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and completes one Ascon round per clock cycle. A 128-bit streaming interface accepts associated data and payload bytes, including empty and partial blocks. Encryption returns ciphertext and a tag. Decryption returns tentative plaintext and releases it only after tag verification. The portable test flow passed all 1,089 official known-answer vectors in both directions with GHDL. Generated Verilog was also checked with Icarus Verilog and Verilator. Vivado scripts, a TextIO testbench, constraints, and a switch-and-LED demonstration are included. Vivado implementation measurements remain pending because Vivado is not available on the Mac used for this stage of the work.</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r>
        <w:br w:type="page"/>
      </w:r>
    </w:p>
    <w:p>
      <w:pPr>
        <w:keepNext/>
        <w:spacing w:before="100" w:after="40"/>
      </w:pPr>
      <w:r>
        <w:rPr>
          <w:b/>
          <w:sz w:val="21"/>
        </w:rPr>
        <w:t>III. Hardware architecture</w:t>
      </w:r>
    </w:p>
    <w:p>
      <w:pPr>
        <w:spacing w:after="60" w:line="245" w:lineRule="auto"/>
        <w:ind w:firstLine="317"/>
        <w:jc w:val="both"/>
      </w:pPr>
      <w:r>
        <w:t>The datapath contains five 64-bit state registers and one combinational round. A small round counter selects the required constants and returns the updated state after 8 or 12 clocks. Reusing one round reduces duplicated logic and keeps the relationship between the VHDL and the algorithm visible. The same engine serves initialization, associated data, payload processing, and finalization.</w:t>
      </w:r>
    </w:p>
    <w:p>
      <w:r>
        <w:drawing>
          <wp:inline xmlns:a="http://schemas.openxmlformats.org/drawingml/2006/main" xmlns:pic="http://schemas.openxmlformats.org/drawingml/2006/picture">
            <wp:extent cx="6400800" cy="3749040"/>
            <wp:docPr id="1" name="Picture 1"/>
            <wp:cNvGraphicFramePr>
              <a:graphicFrameLocks noChangeAspect="1"/>
            </wp:cNvGraphicFramePr>
            <a:graphic>
              <a:graphicData uri="http://schemas.openxmlformats.org/drawingml/2006/picture">
                <pic:pic>
                  <pic:nvPicPr>
                    <pic:cNvPr id="0" name="ascon_architecture.png"/>
                    <pic:cNvPicPr/>
                  </pic:nvPicPr>
                  <pic:blipFill>
                    <a:blip r:embed="rId10"/>
                    <a:stretch>
                      <a:fillRect/>
                    </a:stretch>
                  </pic:blipFill>
                  <pic:spPr>
                    <a:xfrm>
                      <a:off x="0" y="0"/>
                      <a:ext cx="6400800" cy="3749040"/>
                    </a:xfrm>
                    <a:prstGeom prst="rect"/>
                  </pic:spPr>
                </pic:pic>
              </a:graphicData>
            </a:graphic>
          </wp:inline>
        </w:drawing>
      </w:r>
    </w:p>
    <w:p>
      <w:pPr>
        <w:keepNext w:val="0"/>
        <w:spacing w:before="40" w:after="80"/>
        <w:jc w:val="center"/>
      </w:pPr>
      <w:r>
        <w:rPr>
          <w:sz w:val="17"/>
        </w:rPr>
        <w:t>Fig. 2. Original block diagram of the implemented architecture.</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r>
        <w:br w:type="page"/>
      </w:r>
    </w:p>
    <w:p>
      <w:pPr>
        <w:keepNext/>
        <w:spacing w:before="100" w:after="40"/>
      </w:pPr>
      <w:r>
        <w:rPr>
          <w:b/>
          <w:sz w:val="21"/>
        </w:rPr>
        <w:t>V.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r>
        <w:drawing>
          <wp:inline xmlns:a="http://schemas.openxmlformats.org/drawingml/2006/main" xmlns:pic="http://schemas.openxmlformats.org/drawingml/2006/picture">
            <wp:extent cx="6400800" cy="3840480"/>
            <wp:docPr id="2" name="Picture 2"/>
            <wp:cNvGraphicFramePr>
              <a:graphicFrameLocks noChangeAspect="1"/>
            </wp:cNvGraphicFramePr>
            <a:graphic>
              <a:graphicData uri="http://schemas.openxmlformats.org/drawingml/2006/picture">
                <pic:pic>
                  <pic:nvPicPr>
                    <pic:cNvPr id="0" name="ascon_fsm.png"/>
                    <pic:cNvPicPr/>
                  </pic:nvPicPr>
                  <pic:blipFill>
                    <a:blip r:embed="rId11"/>
                    <a:stretch>
                      <a:fillRect/>
                    </a:stretch>
                  </pic:blipFill>
                  <pic:spPr>
                    <a:xfrm>
                      <a:off x="0" y="0"/>
                      <a:ext cx="6400800" cy="3840480"/>
                    </a:xfrm>
                    <a:prstGeom prst="rect"/>
                  </pic:spPr>
                </pic:pic>
              </a:graphicData>
            </a:graphic>
          </wp:inline>
        </w:drawing>
      </w:r>
    </w:p>
    <w:p>
      <w:pPr>
        <w:keepNext w:val="0"/>
        <w:spacing w:before="40" w:after="80"/>
        <w:jc w:val="center"/>
      </w:pPr>
      <w:r>
        <w:rPr>
          <w:sz w:val="17"/>
        </w:rPr>
        <w:t>Fig. 3. Original controller state flow used by the VHDL core.</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 bench</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2023.2</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not run</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requires Windows/Linux host</w:t>
            </w:r>
          </w:p>
        </w:tc>
      </w:tr>
    </w:tbl>
    <w:p>
      <w:pPr>
        <w:keepNext w:val="0"/>
        <w:spacing w:before="40" w:after="80"/>
        <w:jc w:val="center"/>
      </w:pPr>
      <w:r>
        <w:rPr>
          <w:sz w:val="17"/>
        </w:rPr>
        <w:t>Table I. Verification results collected before Vivado implementation.</w:t>
      </w:r>
    </w:p>
    <w:p>
      <w:r>
        <w:br w:type="page"/>
      </w:r>
    </w:p>
    <w:p>
      <w:pPr>
        <w:keepNext/>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uses the identical TextIO input. The official-vector TextIO run measured 34 to 88 command-to-done cycles. For a 32-byte payload, the mean across all 33 associated-data lengths was 72.636 cycles, equal to 352.441 Mb/s at 100 MHz. These are cycle-based simulation results, not a measured maximum clock rate. XSim execution, synthesis, implementation, timing, and power reporting still require the Vivado machine. Resource use, maximum clock rate, and post-route throughput are intentionally not estimated in this paper.</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pPr>
        <w:keepNext/>
        <w:spacing w:before="100" w:after="40"/>
      </w:pPr>
      <w:r>
        <w:rPr>
          <w:b/>
          <w:sz w:val="21"/>
        </w:rPr>
        <w:t>VII.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after the baseline is stable [3]. A faster unrolled or ping-pong architecture is another option, but it would use more logic and make the first implementation harder to inspect [4]. The external quarantine buffer is also a required part of safe decryption, not an optional application feature.</w:t>
      </w:r>
    </w:p>
    <w:p>
      <w:pPr>
        <w:keepNext/>
        <w:spacing w:before="100" w:after="40"/>
      </w:pPr>
      <w:r>
        <w:rPr>
          <w:b/>
          <w:sz w:val="21"/>
        </w:rPr>
        <w:t>VIII. Conclusion</w:t>
      </w:r>
    </w:p>
    <w:p>
      <w:pPr>
        <w:spacing w:after="60" w:line="245" w:lineRule="auto"/>
        <w:ind w:firstLine="317"/>
        <w:jc w:val="both"/>
      </w:pPr>
      <w:r>
        <w:t>The project now has a readable NIST Ascon-AEAD128 RTL core, an explicit streaming protocol, an authentication-safe decryption contract, official-vector tests, and a reproducible Vivado setup. Portable simulation gives evidence that the algorithm and boundary handling are correct. The next measured step is to run the prepared Vivado flow, record utilization and post-route timing, and test the four-vector demonstration on the Nexys A7 board.</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