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32"/>
          <w:szCs w:val="32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  <w:u w:val="none"/>
          <w:lang w:val="zxx" w:eastAsia="zxx" w:bidi="zxx"/>
        </w:rPr>
        <w:t>DOC-ANALOG-001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zxx" w:eastAsia="zxx" w:bidi="zxx"/>
        </w:rPr>
      </w:r>
    </w:p>
    <w:p>
      <w:pPr>
        <w:pStyle w:val="Normal"/>
        <w:numPr>
          <w:ilvl w:val="0"/>
          <w:numId w:val="1"/>
        </w:numPr>
        <w:bidi w:val="0"/>
        <w:rPr/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Summary and Architectural Philosophy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fundamental purpose of this project is to revive the purity of continuous analog computing as applied to real-time power control, emulating the philosophy of aerospace guidance and dynamic simulation computers.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Unlike modern digital controllers based on microcontrollers or DSPs, which are inherently limited by:</w:t>
      </w:r>
    </w:p>
    <w:p>
      <w:pPr>
        <w:pStyle w:val="Normal"/>
        <w:numPr>
          <w:ilvl w:val="0"/>
          <w:numId w:val="2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Sampling Latency: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Conversion times of analog-to-digital converters (ADCs).</w:t>
      </w:r>
    </w:p>
    <w:p>
      <w:pPr>
        <w:pStyle w:val="Normal"/>
        <w:numPr>
          <w:ilvl w:val="0"/>
          <w:numId w:val="2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Sampling and Quantization Jitter: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Phase Noise and Finite Resolution in the Error Signal. </w:t>
      </w:r>
    </w:p>
    <w:p>
      <w:pPr>
        <w:pStyle w:val="Normal"/>
        <w:numPr>
          <w:ilvl w:val="0"/>
          <w:numId w:val="2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Computational delay: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Lags caused by interrupt service routines (ISR) and digital PWM refresh rates.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A pure analog control loop processes the error signal using the flow of electrons in the continuous domain. The response speed is limited only by the gain-bandwidth product (GBW) and the slew rate of the selected precision operational amplifiers.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82115"/>
            <wp:effectExtent l="0" t="0" r="0" b="0"/>
            <wp:wrapSquare wrapText="largest"/>
            <wp:docPr id="1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Mathematical Modeling and Plant Sizing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physical design consists of a step-down (Buck) DC-DC converter operating in Continuous Conduction Mode (CCM). Its function is to step down a nominal 24V industrial bus voltage to a stabilized 5V output voltage, supplying up to 2.0A of direct current to the load.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Nominal Operating Conditions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524"/>
        <w:gridCol w:w="1013"/>
        <w:gridCol w:w="1875"/>
        <w:gridCol w:w="3226"/>
      </w:tblGrid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Symbol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Nominal Value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Tolerance/Physical Criteria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Input Voltage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in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 V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DC bus with typical ripple ±10 %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Output Voltage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5.0 V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Static tolerance &lt; </w:t>
            </w:r>
            <w:r>
              <w:rPr>
                <w:rFonts w:ascii="Times New Roman" w:hAnsi="Times New Roman"/>
                <w:sz w:val="20"/>
                <w:szCs w:val="20"/>
              </w:rPr>
              <w:t>±0.5 %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Load Current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out_max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2.0 A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Rated Design Current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Minimum Load Current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out_min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291 mA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Critical threshold for preventing DCM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Switching Frequency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sw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kHz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Period T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sw</w:t>
            </w:r>
            <w:r>
              <w:rPr>
                <w:rFonts w:ascii="Times New Roman" w:hAnsi="Times New Roman"/>
                <w:position w:val="0"/>
                <w:sz w:val="24"/>
                <w:szCs w:val="24"/>
                <w:vertAlign w:val="baseline"/>
              </w:rPr>
              <w:t xml:space="preserve"> = 10 μs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Relative Current Ripple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γ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30 %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ΔI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hAnsi="Times New Roman"/>
                <w:position w:val="0"/>
                <w:sz w:val="24"/>
                <w:szCs w:val="24"/>
                <w:vertAlign w:val="baseline"/>
              </w:rPr>
              <w:t xml:space="preserve"> = 0.30 * 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</w:t>
            </w:r>
            <w:r>
              <w:rPr>
                <w:rFonts w:ascii="Times New Roman" w:hAnsi="Times New Roman"/>
                <w:position w:val="0"/>
                <w:sz w:val="24"/>
                <w:szCs w:val="24"/>
                <w:vertAlign w:val="baseline"/>
              </w:rPr>
              <w:t xml:space="preserve"> = 0.60 A</w:t>
            </w:r>
          </w:p>
        </w:tc>
      </w:tr>
      <w:tr>
        <w:trPr/>
        <w:tc>
          <w:tcPr>
            <w:tcW w:w="3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Output Voltage Ripple</w:t>
            </w:r>
          </w:p>
        </w:tc>
        <w:tc>
          <w:tcPr>
            <w:tcW w:w="1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ΔV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iberation Serif" w:cs="Liberation Serif"/>
                <w:sz w:val="24"/>
                <w:szCs w:val="24"/>
              </w:rPr>
              <w:t>≤</w:t>
            </w:r>
            <w:r>
              <w:rPr>
                <w:rFonts w:eastAsia="NSimSun" w:cs="Arial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NSimSun" w:cs="Arial" w:ascii="Times New Roman" w:hAnsi="Times New Roman"/>
                <w:sz w:val="24"/>
                <w:szCs w:val="24"/>
              </w:rPr>
              <w:t>20 mV</w:t>
            </w:r>
            <w:r>
              <w:rPr>
                <w:rFonts w:eastAsia="NSimSun" w:cs="Arial" w:ascii="Times New Roman" w:hAnsi="Times New Roman"/>
                <w:sz w:val="24"/>
                <w:szCs w:val="24"/>
                <w:vertAlign w:val="subscript"/>
              </w:rPr>
              <w:t>p-p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&lt; 0.4 % de V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out</w:t>
            </w:r>
          </w:p>
        </w:tc>
      </w:tr>
    </w:tbl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  <w:r>
        <w:br w:type="page"/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Calculation of Power Inductance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lang w:val="zxx" w:eastAsia="zxx" w:bidi="zxx"/>
        </w:rPr>
      </w:pPr>
      <w:r>
        <w:rPr>
          <w:lang w:val="zxx" w:eastAsia="zxx" w:bidi="zxx"/>
        </w:rPr>
        <w:t>Under steady-state conditions and assuming ideal components, the duty cycle D is defined as:</w:t>
      </w:r>
    </w:p>
    <w:p>
      <w:pPr>
        <w:pStyle w:val="Normal"/>
        <w:bidi w:val="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5615" cy="429895"/>
            <wp:effectExtent l="0" t="0" r="0" b="0"/>
            <wp:wrapTopAndBottom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42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During the main switch's conduction interval (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t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on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D · T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sw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2.0833 μs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), the voltage applied to the inductor is 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L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in –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19.0 V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. Applying Faraday-Lenz's Law to the volt-second relationship: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54300" cy="434340"/>
            <wp:effectExtent l="0" t="0" r="0" b="0"/>
            <wp:wrapTopAndBottom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3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Substituting the target values: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6710" cy="410845"/>
            <wp:effectExtent l="0" t="0" r="0" b="0"/>
            <wp:wrapTopAndBottom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71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Seleccionamos el valor comercial estandarizado superior: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L = 68 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μH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 xml:space="preserve">Recalculation of Dynamic Parameters Using  L = 68 </w:t>
      </w:r>
      <w:r>
        <w:rPr>
          <w:rFonts w:ascii="Times New Roman" w:hAnsi="Times New Roman"/>
          <w:b/>
          <w:bCs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μH: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3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Real Current Ripple (ΔI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L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6580" cy="399415"/>
            <wp:effectExtent l="0" t="0" r="0" b="0"/>
            <wp:wrapTopAndBottom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9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Peak Current in Inductance (I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L_peak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6215" cy="376555"/>
            <wp:effectExtent l="0" t="0" r="0" b="0"/>
            <wp:wrapTopAndBottom/>
            <wp:docPr id="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37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Magnetic Saturation Margin (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I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sat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To prevent a catastrophic drop in inductance caused by saturation of the ferrite core during load transients, the selected physical component must meet the following requirements: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8625" cy="201930"/>
            <wp:effectExtent l="0" t="0" r="0" b="0"/>
            <wp:wrapTopAndBottom/>
            <wp:docPr id="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0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Threshold for Transition to Intermittent Driving Mode (DCM):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9415" cy="388620"/>
            <wp:effectExtent l="0" t="0" r="0" b="0"/>
            <wp:wrapTopAndBottom/>
            <wp:docPr id="8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Design Note: If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I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&lt; 291.2 mA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, the plant transitions from a second-order system to a first-order system dependent on load resistance 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R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L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, by changing the position of the loop's ends.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  <w:r>
        <w:br w:type="page"/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Calculation of the Output Capacitor and ESR Budget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total voltage ripple at the output node Δ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is the vector sum/superposition of the pure capacitive component (Δ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C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 and the resistive drop across the Equivalent Series Resistance (Δ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ESR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860" cy="197485"/>
            <wp:effectExtent l="0" t="0" r="0" b="0"/>
            <wp:wrapTopAndBottom/>
            <wp:docPr id="9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9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To meet the requirement for high analog purity (Δ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</w:t>
      </w:r>
      <w:r>
        <w:rPr>
          <w:rFonts w:eastAsia="Liberation Serif" w:cs="Liberation Serif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≤</w:t>
      </w:r>
      <w:r>
        <w:rPr>
          <w:rFonts w:eastAsia="NSimSun" w:cs="Arial"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20 mV</w:t>
      </w:r>
      <w:r>
        <w:rPr>
          <w:rFonts w:eastAsia="NSimSun" w:cs="Arial"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p-p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), we break down the switching noise budget as follows:</w:t>
      </w:r>
    </w:p>
    <w:p>
      <w:pPr>
        <w:pStyle w:val="Normal"/>
        <w:numPr>
          <w:ilvl w:val="0"/>
          <w:numId w:val="4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Capacitive Budget (Δ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C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): </w:t>
      </w:r>
      <w:r>
        <w:rPr>
          <w:rFonts w:eastAsia="Liberation Serif" w:cs="Liberation Serif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≤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5.0 mV</w:t>
      </w:r>
    </w:p>
    <w:p>
      <w:pPr>
        <w:pStyle w:val="Normal"/>
        <w:numPr>
          <w:ilvl w:val="0"/>
          <w:numId w:val="4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ESR by Budget (Δ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ESR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): </w:t>
      </w:r>
      <w:r>
        <w:rPr>
          <w:rFonts w:eastAsia="Liberation Serif" w:cs="Liberation Serif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≤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15.0 mV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5"/>
        </w:numPr>
        <w:bidi w:val="0"/>
        <w:spacing w:before="0" w:after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Minimum Capacity (C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out_min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7175" cy="374015"/>
            <wp:effectExtent l="0" t="0" r="0" b="0"/>
            <wp:wrapTopAndBottom/>
            <wp:docPr id="10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37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3540" cy="389255"/>
            <wp:effectExtent l="0" t="0" r="0" b="0"/>
            <wp:wrapTopAndBottom/>
            <wp:docPr id="11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40" cy="38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We select a market value of 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220 μF (Ultra-low ESR aluminum polymer electrolytic capacitor in parallel with a ceramic capacitor 10  μF X7R/C0G to attenuate high-frequency spikes).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5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Maximum Equivalent Series Resistance (ESR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max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4675" cy="375920"/>
            <wp:effectExtent l="0" t="0" r="0" b="0"/>
            <wp:wrapSquare wrapText="largest"/>
            <wp:docPr id="12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7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It is a strict rule that the capacitive output network must ensure an ESR </w:t>
      </w:r>
      <w:r>
        <w:rPr>
          <w:rFonts w:eastAsia="Liberation Serif" w:cs="Liberation Serif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≤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25.0 m</w:t>
      </w:r>
      <w:r>
        <w:rPr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Ω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Recalculation of the Expected Total Stress Curvature: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9230" cy="336550"/>
            <wp:effectExtent l="0" t="0" r="0" b="0"/>
            <wp:wrapSquare wrapText="largest"/>
            <wp:docPr id="13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33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3680" cy="177165"/>
            <wp:effectExtent l="0" t="0" r="0" b="0"/>
            <wp:wrapSquare wrapText="largest"/>
            <wp:docPr id="14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6705" cy="186690"/>
            <wp:effectExtent l="0" t="0" r="0" b="0"/>
            <wp:wrapSquare wrapText="largest"/>
            <wp:docPr id="15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18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Plant Transfer Function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Using the State-Space Averaging (SSA) method developed by R. D. Middlebrook and S. Ćuk, the small-signal transfer function between the duty cycle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d(s)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and the output voltage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v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(s)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is given by: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6255"/>
            <wp:effectExtent l="0" t="0" r="0" b="0"/>
            <wp:wrapTopAndBottom/>
            <wp:docPr id="16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lang w:val="zxx" w:eastAsia="zxx" w:bidi="zxx"/>
        </w:rPr>
      </w:pPr>
      <w:r>
        <w:rPr>
          <w:lang w:val="zxx" w:eastAsia="zxx" w:bidi="zxx"/>
        </w:rPr>
        <w:t>Since R</w:t>
      </w:r>
      <w:r>
        <w:rPr>
          <w:vertAlign w:val="subscript"/>
          <w:lang w:val="zxx" w:eastAsia="zxx" w:bidi="zxx"/>
        </w:rPr>
        <w:t>L</w:t>
      </w:r>
      <w:r>
        <w:rPr>
          <w:position w:val="0"/>
          <w:sz w:val="24"/>
          <w:vertAlign w:val="baseline"/>
          <w:lang w:val="zxx" w:eastAsia="zxx" w:bidi="zxx"/>
        </w:rPr>
        <w:t xml:space="preserve"> = V</w:t>
      </w:r>
      <w:r>
        <w:rPr>
          <w:vertAlign w:val="subscript"/>
          <w:lang w:val="zxx" w:eastAsia="zxx" w:bidi="zxx"/>
        </w:rPr>
        <w:t>out</w:t>
      </w:r>
      <w:r>
        <w:rPr>
          <w:position w:val="0"/>
          <w:sz w:val="24"/>
          <w:vertAlign w:val="baseline"/>
          <w:lang w:val="zxx" w:eastAsia="zxx" w:bidi="zxx"/>
        </w:rPr>
        <w:t xml:space="preserve"> / I</w:t>
      </w:r>
      <w:r>
        <w:rPr>
          <w:vertAlign w:val="subscript"/>
          <w:lang w:val="zxx" w:eastAsia="zxx" w:bidi="zxx"/>
        </w:rPr>
        <w:t>out_max</w:t>
      </w:r>
      <w:r>
        <w:rPr>
          <w:position w:val="0"/>
          <w:sz w:val="24"/>
          <w:vertAlign w:val="baseline"/>
          <w:lang w:val="zxx" w:eastAsia="zxx" w:bidi="zxx"/>
        </w:rPr>
        <w:t xml:space="preserve"> = 5 V / 2 A = 2.5 </w:t>
      </w:r>
      <w:r>
        <w:rPr>
          <w:position w:val="0"/>
          <w:sz w:val="24"/>
          <w:vertAlign w:val="baseline"/>
          <w:lang w:val="zxx" w:eastAsia="zxx" w:bidi="zxx"/>
        </w:rPr>
        <w:t>Ω</w:t>
      </w:r>
      <w:r>
        <w:rPr>
          <w:position w:val="0"/>
          <w:sz w:val="24"/>
          <w:vertAlign w:val="baseline"/>
          <w:lang w:val="zxx" w:eastAsia="zxx" w:bidi="zxx"/>
        </w:rPr>
        <w:t xml:space="preserve"> &gt;&gt; ESR = 25 m</w:t>
      </w:r>
      <w:r>
        <w:rPr>
          <w:position w:val="0"/>
          <w:sz w:val="24"/>
          <w:vertAlign w:val="baseline"/>
          <w:lang w:val="zxx" w:eastAsia="zxx" w:bidi="zxx"/>
        </w:rPr>
        <w:t>Ω</w:t>
      </w:r>
      <w:r>
        <w:rPr>
          <w:position w:val="0"/>
          <w:sz w:val="24"/>
          <w:vertAlign w:val="baseline"/>
          <w:lang w:val="zxx" w:eastAsia="zxx" w:bidi="zxx"/>
        </w:rPr>
        <w:t>, the equation simplifies to the canonical second-order form:</w:t>
      </w:r>
    </w:p>
    <w:p>
      <w:pPr>
        <w:pStyle w:val="Normal"/>
        <w:bidi w:val="0"/>
        <w:rPr>
          <w:rFonts w:ascii="Liberation Serif" w:hAnsi="Liberation Serif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rPr>
          <w:rFonts w:ascii="Liberation Serif" w:hAnsi="Liberation Serif"/>
          <w:lang w:val="zxx" w:eastAsia="zxx" w:bidi="zxx"/>
        </w:rPr>
      </w:pPr>
      <w:r>
        <w:rPr>
          <w:lang w:val="zxx" w:eastAsia="zxx" w:bidi="zxx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0425" cy="577850"/>
            <wp:effectExtent l="0" t="0" r="0" b="0"/>
            <wp:wrapSquare wrapText="largest"/>
            <wp:docPr id="17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1"/>
          <w:numId w:val="1"/>
        </w:numPr>
        <w:bidi w:val="0"/>
        <w:spacing w:before="0" w:after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Location of Poles and Zeros in an Open-Loop System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6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Natural Resonance Frequency of the LC Filter (f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0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9010" cy="343535"/>
            <wp:effectExtent l="0" t="0" r="0" b="0"/>
            <wp:wrapSquare wrapText="largest"/>
            <wp:docPr id="18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34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40915" cy="314325"/>
            <wp:effectExtent l="0" t="0" r="0" b="0"/>
            <wp:wrapSquare wrapText="largest"/>
            <wp:docPr id="19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6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Zero Introduced by the Capacitor's ESR (f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z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3295" cy="322580"/>
            <wp:effectExtent l="0" t="0" r="0" b="0"/>
            <wp:wrapSquare wrapText="largest"/>
            <wp:docPr id="20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32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01850" cy="276860"/>
            <wp:effectExtent l="0" t="0" r="0" b="0"/>
            <wp:wrapSquare wrapText="largest"/>
            <wp:docPr id="21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7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6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Resonance Quality Factor (Q):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2705" cy="316230"/>
            <wp:effectExtent l="0" t="0" r="0" b="0"/>
            <wp:wrapSquare wrapText="largest"/>
            <wp:docPr id="22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05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Physical Interpretation of Control: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At a frequency of 1.30 kHz, the LC filter introduces a double pole that causes an abrupt drop in gain at a rate of -40 dB/decade and a critical phase drop of -180º. The analog compensator must provide a substantial phase boost near the crossover frequency to prevent unstable oscillation of the converter.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Physics of Discrete Components and Non-idealities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High-level design of an analog circuit requires modeling real-world imperfections before physical assembly.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Capacitors and Dielectric Soakage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In the integrator nodes and feedback networks of the compensator, the use of high-dielectric-constant ceramic capacitors (X7R/Y5V type) is strictly prohibited due to their high DC voltage coefficient and high dielectric loss.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7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Effect of Dielectric Absorption: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molecules in the dielectric retain a residual charge that they slowly release after a rapid discharge, causing integration drift and memory errors in the PID loop.</w:t>
      </w:r>
    </w:p>
    <w:p>
      <w:pPr>
        <w:pStyle w:val="Normal"/>
        <w:numPr>
          <w:ilvl w:val="0"/>
          <w:numId w:val="7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Approved Components: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Only polypropylene (PP) or polystyrene film capacitors for the op-amp's R-C networks, and C0G/NP0 ceramic capacitors for small capacitance values (&lt; 10 nF).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  <w:r>
        <w:br w:type="page"/>
      </w:r>
    </w:p>
    <w:p>
      <w:pPr>
        <w:pStyle w:val="Normal"/>
        <w:numPr>
          <w:ilvl w:val="1"/>
          <w:numId w:val="1"/>
        </w:numPr>
        <w:bidi w:val="0"/>
        <w:spacing w:before="0" w:after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Magnetic Cores and Hysteresis</w:t>
      </w:r>
    </w:p>
    <w:p>
      <w:pPr>
        <w:pStyle w:val="Normal"/>
        <w:bidi w:val="0"/>
        <w:spacing w:before="0" w:after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565785</wp:posOffset>
            </wp:positionH>
            <wp:positionV relativeFrom="paragraph">
              <wp:posOffset>71120</wp:posOffset>
            </wp:positionV>
            <wp:extent cx="4989195" cy="1895475"/>
            <wp:effectExtent l="0" t="0" r="0" b="0"/>
            <wp:wrapTopAndBottom/>
            <wp:docPr id="23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The power inductance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L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exhibits three nonlinear phenomena: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8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Losses in the Core (Steinmetz Equation):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P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core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k 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· 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f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perscript"/>
          <w:lang w:val="zxx" w:eastAsia="zxx" w:bidi="zxx"/>
        </w:rPr>
        <w:t>α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· B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perscript"/>
          <w:lang w:val="zxx" w:eastAsia="zxx" w:bidi="zxx"/>
        </w:rPr>
        <w:t>β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. At 100 kHz, the flux density Δ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B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must be limited to prevent thermal runaway in the core.</w:t>
      </w:r>
    </w:p>
    <w:p>
      <w:pPr>
        <w:pStyle w:val="Normal"/>
        <w:numPr>
          <w:ilvl w:val="0"/>
          <w:numId w:val="8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Skin Effect and Proximity Effect: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At 100 kHz, the depth of current penetration in copper is δ ≈ 0.21 mm. Multifilament yarn is required (Litz) or flat windings to minimize AC resistance (R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AC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Error Operational Amplifier: Input Imperfections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op-amp for the analog compensator should be selected by evaluating: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9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Input Bias Current (I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vertAlign w:val="subscript"/>
          <w:lang w:val="zxx" w:eastAsia="zxx" w:bidi="zxx"/>
        </w:rPr>
        <w:t>b</w:t>
      </w:r>
      <w:r>
        <w:rPr>
          <w:rFonts w:ascii="Times New Roman" w:hAnsi="Times New Roman"/>
          <w:b w:val="false"/>
          <w:bCs w:val="false"/>
          <w:i/>
          <w:iCs/>
          <w:position w:val="0"/>
          <w:sz w:val="24"/>
          <w:szCs w:val="24"/>
          <w:u w:val="none"/>
          <w:vertAlign w:val="baseline"/>
          <w:lang w:val="zxx" w:eastAsia="zxx" w:bidi="zxx"/>
        </w:rPr>
        <w:t>):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A current I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b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&gt; 100 pA when continuously injected into the high-impedance summing node, it will charge the integration capacitor 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f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, causing the output to drift toward saturation of the power rails.</w:t>
      </w:r>
    </w:p>
    <w:p>
      <w:pPr>
        <w:pStyle w:val="Normal"/>
        <w:numPr>
          <w:ilvl w:val="1"/>
          <w:numId w:val="9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Requirement: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I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b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&gt; 10 pA (JFET or ultra-low-leakage CMOS technology, e.g., OPA140 or LMC662).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9"/>
        </w:numPr>
        <w:bidi w:val="0"/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Product-Bandwidth Product (GBW):</w:t>
      </w:r>
    </w:p>
    <w:p>
      <w:pPr>
        <w:pStyle w:val="Normal"/>
        <w:numPr>
          <w:ilvl w:val="1"/>
          <w:numId w:val="9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 xml:space="preserve">Requirement: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GBW </w:t>
      </w:r>
      <w:r>
        <w:rPr>
          <w:rFonts w:eastAsia="Liberation Serif" w:cs="Liberation Serif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≥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100 x f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sw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= 10 Mhz to ensure that the open-loop gain A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OL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the op-amp's phase response does not degrade at the desired crossover frequency (10 kHz).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Pre-Layout Simulation Strategy in Ltspice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verification process in LTspice is divided into two distinct stages: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6355" cy="1944370"/>
            <wp:effectExtent l="0" t="0" r="0" b="0"/>
            <wp:wrapTopAndBottom/>
            <wp:docPr id="24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1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Signal Injection Protocol (Tian/Middlebrook Method)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To measure closed-loop gain T(s) = A(s) · β(s) Without disrupting the DC operating point of the analog loop, a test AC voltage source is inserted (V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test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in series with the feedback network.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Margen de Fase (Φ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m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 = 180º +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∕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T(jw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crossover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 </w:t>
      </w:r>
      <w:r>
        <w:rPr>
          <w:rFonts w:eastAsia="Liberation Serif" w:cs="Liberation Serif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≥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60º</w:t>
      </w:r>
    </w:p>
    <w:p>
      <w:pPr>
        <w:pStyle w:val="Normal"/>
        <w:bidi w:val="0"/>
        <w:jc w:val="center"/>
        <w:rPr>
          <w:rFonts w:ascii="Times New Roman" w:hAnsi="Times New Roman" w:eastAsia="NSimSun" w:cs="Arial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jc w:val="center"/>
        <w:rPr>
          <w:rFonts w:ascii="Times New Roman" w:hAnsi="Times New Roman" w:eastAsia="NSimSun" w:cs="Arial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Margen de Ganancia (A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m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) = -20 log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10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|T(jw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-180º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)| </w:t>
      </w:r>
      <w:r>
        <w:rPr>
          <w:rFonts w:eastAsia="Liberation Serif" w:cs="Liberation Serif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>≥</w:t>
      </w:r>
      <w:r>
        <w:rPr>
          <w:rFonts w:eastAsia="NSimSun" w:cs="Arial" w:ascii="Times New Roman" w:hAnsi="Times New Roman"/>
          <w:b w:val="false"/>
          <w:bCs w:val="false"/>
          <w:i w:val="false"/>
          <w:iCs w:val="false"/>
          <w:position w:val="0"/>
          <w:sz w:val="24"/>
          <w:szCs w:val="24"/>
          <w:u w:val="none"/>
          <w:vertAlign w:val="baseline"/>
          <w:lang w:val="zxx" w:eastAsia="zxx" w:bidi="zxx"/>
        </w:rPr>
        <w:t xml:space="preserve"> 10 dB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zxx" w:eastAsia="zxx" w:bidi="zxx"/>
        </w:rPr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Rules for Electromagnetic Tracing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The most common failure in analog power controllers is contamination of the high-impedance summing node by radiated (dv/dt) and conducted (di/dt) noise from the power stage.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/>
          <w:bCs/>
          <w:i/>
          <w:iCs/>
          <w:sz w:val="24"/>
          <w:szCs w:val="24"/>
          <w:u w:val="none"/>
          <w:lang w:val="zxx" w:eastAsia="zxx" w:bidi="zxx"/>
        </w:rPr>
      </w:pPr>
      <w:r>
        <w:rPr/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7415" cy="3199765"/>
            <wp:effectExtent l="0" t="0" r="0" b="0"/>
            <wp:wrapTopAndBottom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/>
          <w:bCs/>
          <w:i/>
          <w:iCs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1"/>
          <w:numId w:val="1"/>
        </w:numPr>
        <w:bidi w:val="0"/>
        <w:spacing w:before="0" w:after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Signal Injection Protocol (Tian/Middlebrook Method)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0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Ground Separation: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The Power Ground (PGND) and Analog Ground (AGND) planes are completely separated on the PCB and are connected strictly at a single star point located beneath the negative terminal of the output capacitor 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out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.</w:t>
      </w:r>
    </w:p>
    <w:p>
      <w:pPr>
        <w:pStyle w:val="Normal"/>
        <w:numPr>
          <w:ilvl w:val="0"/>
          <w:numId w:val="10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Guard Rings: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Trace the analog ground (AGND) signal around the inverting input pins (V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vertAlign w:val="subscript"/>
          <w:lang w:val="zxx" w:eastAsia="zxx" w:bidi="zxx"/>
        </w:rPr>
        <w:t>-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) of the error op-amps to drain surface leakage currents from the PCB caused by moisture or flux residue.</w:t>
      </w:r>
    </w:p>
    <w:p>
      <w:pPr>
        <w:pStyle w:val="Normal"/>
        <w:numPr>
          <w:ilvl w:val="0"/>
          <w:numId w:val="10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Reducing the Switching Node (SW) Area: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The copper in the node that connects the MOSFETs to the inductor L generates intense electric fields (E-field; dv/dt ≈ 10 V/ns). Its area must be minimized and must never cross layers adjacent to the analog compensator traces.</w:t>
      </w:r>
    </w:p>
    <w:p>
      <w:pPr>
        <w:pStyle w:val="Normal"/>
        <w:numPr>
          <w:ilvl w:val="0"/>
          <w:numId w:val="10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Bipolar Symmetrical Power Supply: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The op-amps in the control loop will be powered by dedicated ±12 V regulated rails derived from ultra-low-noise LDO regulators (VRMS &lt; 10 μV), independent of the 24 V input line.</w:t>
      </w:r>
    </w:p>
    <w:p>
      <w:pPr>
        <w:pStyle w:val="Normal"/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r>
      <w:r>
        <w:br w:type="page"/>
      </w:r>
    </w:p>
    <w:p>
      <w:pPr>
        <w:pStyle w:val="Normal"/>
        <w:numPr>
          <w:ilvl w:val="0"/>
          <w:numId w:val="1"/>
        </w:numPr>
        <w:bidi w:val="0"/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zxx" w:eastAsia="zxx" w:bidi="zxx"/>
        </w:rPr>
        <w:t>References and Sources of Contrast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>To verify and explore in greater depth the mathematical and physical concepts presented in this document, the following sources of technical reference literature are cited: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Middlebrook, R. D., &amp; Ćuk, S. (1976).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A General Unified Approach to Modeling Switching-Converter Power Stages. IEEE Power Electronics Specialists Conference (PESC).</w:t>
        <w:br/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(A fundamental reference for the state-space averaging method).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Erickson, R. W., &amp; Maksimović, D. (2001).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Fundamentals of Power Electronics (2nd ed.). Springer Science &amp; Business Media.</w:t>
      </w:r>
    </w:p>
    <w:p>
      <w:pPr>
        <w:pStyle w:val="Normal"/>
        <w:numPr>
          <w:ilvl w:val="0"/>
          <w:numId w:val="0"/>
        </w:numPr>
        <w:bidi w:val="0"/>
        <w:ind w:hanging="0" w:start="720"/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(Chapters 7 and 8: Formal derivation of Gvd(s) and design of Type II/III compensators).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Basso, C. (2012).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Designing Control Loops for Linear and Switching Power Supplies: A Tutorial Guide. Artech House.</w:t>
        <w:br/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(A practical guide to pole-zero placement and stability margins).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Analog Devices / Linear Technology.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Application Note 19: LTspice IV Circuit Notes - Middlebrook Loop Gain Measurement.</w:t>
        <w:br/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(Signal Injection Methodology in SPICE Simulations).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Texas Instruments. SLOA020A: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Precision Op-Amp Single-Supply Design Techniques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(Analysis of bias currents Ib, offset, and guard ring design).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r>
    </w:p>
    <w:p>
      <w:pPr>
        <w:pStyle w:val="Normal"/>
        <w:numPr>
          <w:ilvl w:val="0"/>
          <w:numId w:val="11"/>
        </w:numPr>
        <w:bidi w:val="0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</w:pP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National Aeronautics and Space Administration (NASA).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zxx" w:eastAsia="zxx" w:bidi="zxx"/>
        </w:rPr>
        <w:t xml:space="preserve"> NASA SP-8018: Spacecraft Gravitational Torques—Analog Flight Computers Reference.</w:t>
        <w:br/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u w:val="none"/>
          <w:lang w:val="zxx" w:eastAsia="zxx" w:bidi="zxx"/>
        </w:rPr>
        <w:t>(Fundamentals of Drift Mitigation in Pure Analog Integrators).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LibreOffice/26.8.1.1$Windows_X86_64 LibreOffice_project/bf6ef2662401c7d6dce671ab4deb26ee0af3a7c1</Application>
  <AppVersion>15.0000</AppVersion>
  <Pages>7</Pages>
  <Words>1465</Words>
  <Characters>7886</Characters>
  <CharactersWithSpaces>9196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2026-10-22T20:24:13Z</dcterms:created>
  <dc:creator/>
  <dc:description/>
  <dc:language>es-ES</dc:language>
  <cp:lastModifiedBy/>
  <dcterms:modified xsi:type="dcterms:W3CDTF">2026-10-22T22:52:40Z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