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6808841" w:rsidR="002E6E25" w:rsidRDefault="002E6E25" w:rsidP="002E6E25">
      <w:pPr>
        <w:pStyle w:val="PartTitle"/>
      </w:pPr>
      <w:r>
        <w:t>Supplement</w:t>
      </w:r>
      <w:r w:rsidR="0066502D">
        <w:t xml:space="preserve"> NNN: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1F098CF3" w14:textId="6898C057" w:rsidR="005142F2"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5142F2">
        <w:rPr>
          <w:noProof/>
        </w:rPr>
        <w:t>Document History</w:t>
      </w:r>
      <w:r w:rsidR="005142F2">
        <w:rPr>
          <w:noProof/>
        </w:rPr>
        <w:tab/>
      </w:r>
      <w:r w:rsidR="005142F2">
        <w:rPr>
          <w:noProof/>
        </w:rPr>
        <w:fldChar w:fldCharType="begin"/>
      </w:r>
      <w:r w:rsidR="005142F2">
        <w:rPr>
          <w:noProof/>
        </w:rPr>
        <w:instrText xml:space="preserve"> PAGEREF _Toc170226759 \h </w:instrText>
      </w:r>
      <w:r w:rsidR="005142F2">
        <w:rPr>
          <w:noProof/>
        </w:rPr>
      </w:r>
      <w:r w:rsidR="005142F2">
        <w:rPr>
          <w:noProof/>
        </w:rPr>
        <w:fldChar w:fldCharType="separate"/>
      </w:r>
      <w:r w:rsidR="005142F2">
        <w:rPr>
          <w:noProof/>
        </w:rPr>
        <w:t>5</w:t>
      </w:r>
      <w:r w:rsidR="005142F2">
        <w:rPr>
          <w:noProof/>
        </w:rPr>
        <w:fldChar w:fldCharType="end"/>
      </w:r>
    </w:p>
    <w:p w14:paraId="4C7103F1" w14:textId="01A12296"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_Toc170226760 \h </w:instrText>
      </w:r>
      <w:r>
        <w:rPr>
          <w:noProof/>
        </w:rPr>
      </w:r>
      <w:r>
        <w:rPr>
          <w:noProof/>
        </w:rPr>
        <w:fldChar w:fldCharType="separate"/>
      </w:r>
      <w:r>
        <w:rPr>
          <w:noProof/>
        </w:rPr>
        <w:t>5</w:t>
      </w:r>
      <w:r>
        <w:rPr>
          <w:noProof/>
        </w:rPr>
        <w:fldChar w:fldCharType="end"/>
      </w:r>
    </w:p>
    <w:p w14:paraId="26B12133" w14:textId="59DEDADE"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_Toc170226761 \h </w:instrText>
      </w:r>
      <w:r>
        <w:rPr>
          <w:noProof/>
        </w:rPr>
      </w:r>
      <w:r>
        <w:rPr>
          <w:noProof/>
        </w:rPr>
        <w:fldChar w:fldCharType="separate"/>
      </w:r>
      <w:r>
        <w:rPr>
          <w:noProof/>
        </w:rPr>
        <w:t>6</w:t>
      </w:r>
      <w:r>
        <w:rPr>
          <w:noProof/>
        </w:rPr>
        <w:fldChar w:fldCharType="end"/>
      </w:r>
    </w:p>
    <w:p w14:paraId="74536389" w14:textId="7D1B9971"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_Toc170226762 \h </w:instrText>
      </w:r>
      <w:r>
        <w:rPr>
          <w:noProof/>
        </w:rPr>
      </w:r>
      <w:r>
        <w:rPr>
          <w:noProof/>
        </w:rPr>
        <w:fldChar w:fldCharType="separate"/>
      </w:r>
      <w:r>
        <w:rPr>
          <w:noProof/>
        </w:rPr>
        <w:t>7</w:t>
      </w:r>
      <w:r>
        <w:rPr>
          <w:noProof/>
        </w:rPr>
        <w:fldChar w:fldCharType="end"/>
      </w:r>
    </w:p>
    <w:p w14:paraId="3E1E7FF2" w14:textId="7B3E32D6" w:rsidR="005142F2" w:rsidRDefault="005142F2">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_Toc170226763 \h </w:instrText>
      </w:r>
      <w:r>
        <w:rPr>
          <w:noProof/>
        </w:rPr>
      </w:r>
      <w:r>
        <w:rPr>
          <w:noProof/>
        </w:rPr>
        <w:fldChar w:fldCharType="separate"/>
      </w:r>
      <w:r>
        <w:rPr>
          <w:noProof/>
        </w:rPr>
        <w:t>8</w:t>
      </w:r>
      <w:r>
        <w:rPr>
          <w:noProof/>
        </w:rPr>
        <w:fldChar w:fldCharType="end"/>
      </w:r>
    </w:p>
    <w:p w14:paraId="331F4673" w14:textId="35D9CD0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_Toc170226764 \h </w:instrText>
      </w:r>
      <w:r>
        <w:rPr>
          <w:noProof/>
        </w:rPr>
      </w:r>
      <w:r>
        <w:rPr>
          <w:noProof/>
        </w:rPr>
        <w:fldChar w:fldCharType="separate"/>
      </w:r>
      <w:r>
        <w:rPr>
          <w:noProof/>
        </w:rPr>
        <w:t>8</w:t>
      </w:r>
      <w:r>
        <w:rPr>
          <w:noProof/>
        </w:rPr>
        <w:fldChar w:fldCharType="end"/>
      </w:r>
    </w:p>
    <w:p w14:paraId="51DE73F5" w14:textId="26F5B85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_Toc170226765 \h </w:instrText>
      </w:r>
      <w:r>
        <w:rPr>
          <w:noProof/>
        </w:rPr>
      </w:r>
      <w:r>
        <w:rPr>
          <w:noProof/>
        </w:rPr>
        <w:fldChar w:fldCharType="separate"/>
      </w:r>
      <w:r>
        <w:rPr>
          <w:noProof/>
        </w:rPr>
        <w:t>8</w:t>
      </w:r>
      <w:r>
        <w:rPr>
          <w:noProof/>
        </w:rPr>
        <w:fldChar w:fldCharType="end"/>
      </w:r>
    </w:p>
    <w:p w14:paraId="5E135119" w14:textId="210A20E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_Toc170226766 \h </w:instrText>
      </w:r>
      <w:r>
        <w:rPr>
          <w:noProof/>
        </w:rPr>
      </w:r>
      <w:r>
        <w:rPr>
          <w:noProof/>
        </w:rPr>
        <w:fldChar w:fldCharType="separate"/>
      </w:r>
      <w:r>
        <w:rPr>
          <w:noProof/>
        </w:rPr>
        <w:t>8</w:t>
      </w:r>
      <w:r>
        <w:rPr>
          <w:noProof/>
        </w:rPr>
        <w:fldChar w:fldCharType="end"/>
      </w:r>
    </w:p>
    <w:p w14:paraId="261B16C8" w14:textId="0D2D7C84"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_Toc170226767 \h </w:instrText>
      </w:r>
      <w:r>
        <w:rPr>
          <w:noProof/>
        </w:rPr>
      </w:r>
      <w:r>
        <w:rPr>
          <w:noProof/>
        </w:rPr>
        <w:fldChar w:fldCharType="separate"/>
      </w:r>
      <w:r>
        <w:rPr>
          <w:noProof/>
        </w:rPr>
        <w:t>9</w:t>
      </w:r>
      <w:r>
        <w:rPr>
          <w:noProof/>
        </w:rPr>
        <w:fldChar w:fldCharType="end"/>
      </w:r>
    </w:p>
    <w:p w14:paraId="7845C34E" w14:textId="1DAEFB1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_Toc170226768 \h </w:instrText>
      </w:r>
      <w:r>
        <w:rPr>
          <w:noProof/>
        </w:rPr>
      </w:r>
      <w:r>
        <w:rPr>
          <w:noProof/>
        </w:rPr>
        <w:fldChar w:fldCharType="separate"/>
      </w:r>
      <w:r>
        <w:rPr>
          <w:noProof/>
        </w:rPr>
        <w:t>10</w:t>
      </w:r>
      <w:r>
        <w:rPr>
          <w:noProof/>
        </w:rPr>
        <w:fldChar w:fldCharType="end"/>
      </w:r>
    </w:p>
    <w:p w14:paraId="27628092" w14:textId="6BE09A2C"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_Toc170226769 \h </w:instrText>
      </w:r>
      <w:r>
        <w:rPr>
          <w:noProof/>
        </w:rPr>
      </w:r>
      <w:r>
        <w:rPr>
          <w:noProof/>
        </w:rPr>
        <w:fldChar w:fldCharType="separate"/>
      </w:r>
      <w:r>
        <w:rPr>
          <w:noProof/>
        </w:rPr>
        <w:t>10</w:t>
      </w:r>
      <w:r>
        <w:rPr>
          <w:noProof/>
        </w:rPr>
        <w:fldChar w:fldCharType="end"/>
      </w:r>
    </w:p>
    <w:p w14:paraId="08EB36FC" w14:textId="052254B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_Toc170226770 \h </w:instrText>
      </w:r>
      <w:r>
        <w:rPr>
          <w:noProof/>
        </w:rPr>
      </w:r>
      <w:r>
        <w:rPr>
          <w:noProof/>
        </w:rPr>
        <w:fldChar w:fldCharType="separate"/>
      </w:r>
      <w:r>
        <w:rPr>
          <w:noProof/>
        </w:rPr>
        <w:t>11</w:t>
      </w:r>
      <w:r>
        <w:rPr>
          <w:noProof/>
        </w:rPr>
        <w:fldChar w:fldCharType="end"/>
      </w:r>
    </w:p>
    <w:p w14:paraId="42A92223" w14:textId="74932668"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_Toc170226771 \h </w:instrText>
      </w:r>
      <w:r>
        <w:rPr>
          <w:noProof/>
        </w:rPr>
      </w:r>
      <w:r>
        <w:rPr>
          <w:noProof/>
        </w:rPr>
        <w:fldChar w:fldCharType="separate"/>
      </w:r>
      <w:r>
        <w:rPr>
          <w:noProof/>
        </w:rPr>
        <w:t>11</w:t>
      </w:r>
      <w:r>
        <w:rPr>
          <w:noProof/>
        </w:rPr>
        <w:fldChar w:fldCharType="end"/>
      </w:r>
    </w:p>
    <w:p w14:paraId="6D8F6238" w14:textId="4D380DE3"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_Toc170226772 \h </w:instrText>
      </w:r>
      <w:r>
        <w:rPr>
          <w:noProof/>
        </w:rPr>
      </w:r>
      <w:r>
        <w:rPr>
          <w:noProof/>
        </w:rPr>
        <w:fldChar w:fldCharType="separate"/>
      </w:r>
      <w:r>
        <w:rPr>
          <w:noProof/>
        </w:rPr>
        <w:t>11</w:t>
      </w:r>
      <w:r>
        <w:rPr>
          <w:noProof/>
        </w:rPr>
        <w:fldChar w:fldCharType="end"/>
      </w:r>
    </w:p>
    <w:p w14:paraId="30B7DF74" w14:textId="24DCB039"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_Toc170226773 \h </w:instrText>
      </w:r>
      <w:r>
        <w:rPr>
          <w:noProof/>
        </w:rPr>
      </w:r>
      <w:r>
        <w:rPr>
          <w:noProof/>
        </w:rPr>
        <w:fldChar w:fldCharType="separate"/>
      </w:r>
      <w:r>
        <w:rPr>
          <w:noProof/>
        </w:rPr>
        <w:t>12</w:t>
      </w:r>
      <w:r>
        <w:rPr>
          <w:noProof/>
        </w:rPr>
        <w:fldChar w:fldCharType="end"/>
      </w:r>
    </w:p>
    <w:p w14:paraId="19042834" w14:textId="42529B33"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_Toc170226774 \h </w:instrText>
      </w:r>
      <w:r>
        <w:rPr>
          <w:noProof/>
        </w:rPr>
      </w:r>
      <w:r>
        <w:rPr>
          <w:noProof/>
        </w:rPr>
        <w:fldChar w:fldCharType="separate"/>
      </w:r>
      <w:r>
        <w:rPr>
          <w:noProof/>
        </w:rPr>
        <w:t>12</w:t>
      </w:r>
      <w:r>
        <w:rPr>
          <w:noProof/>
        </w:rPr>
        <w:fldChar w:fldCharType="end"/>
      </w:r>
    </w:p>
    <w:p w14:paraId="4F871C2B" w14:textId="018F8EE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_Toc170226775 \h </w:instrText>
      </w:r>
      <w:r>
        <w:rPr>
          <w:noProof/>
        </w:rPr>
      </w:r>
      <w:r>
        <w:rPr>
          <w:noProof/>
        </w:rPr>
        <w:fldChar w:fldCharType="separate"/>
      </w:r>
      <w:r>
        <w:rPr>
          <w:noProof/>
        </w:rPr>
        <w:t>14</w:t>
      </w:r>
      <w:r>
        <w:rPr>
          <w:noProof/>
        </w:rPr>
        <w:fldChar w:fldCharType="end"/>
      </w:r>
    </w:p>
    <w:p w14:paraId="0D509031" w14:textId="2B91EB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_Toc170226776 \h </w:instrText>
      </w:r>
      <w:r>
        <w:rPr>
          <w:noProof/>
        </w:rPr>
      </w:r>
      <w:r>
        <w:rPr>
          <w:noProof/>
        </w:rPr>
        <w:fldChar w:fldCharType="separate"/>
      </w:r>
      <w:r>
        <w:rPr>
          <w:noProof/>
        </w:rPr>
        <w:t>14</w:t>
      </w:r>
      <w:r>
        <w:rPr>
          <w:noProof/>
        </w:rPr>
        <w:fldChar w:fldCharType="end"/>
      </w:r>
    </w:p>
    <w:p w14:paraId="66B850DC" w14:textId="6241100F"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_Toc170226777 \h </w:instrText>
      </w:r>
      <w:r>
        <w:rPr>
          <w:noProof/>
        </w:rPr>
      </w:r>
      <w:r>
        <w:rPr>
          <w:noProof/>
        </w:rPr>
        <w:fldChar w:fldCharType="separate"/>
      </w:r>
      <w:r>
        <w:rPr>
          <w:noProof/>
        </w:rPr>
        <w:t>14</w:t>
      </w:r>
      <w:r>
        <w:rPr>
          <w:noProof/>
        </w:rPr>
        <w:fldChar w:fldCharType="end"/>
      </w:r>
    </w:p>
    <w:p w14:paraId="4802F671" w14:textId="2EA950B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_Toc170226778 \h </w:instrText>
      </w:r>
      <w:r>
        <w:rPr>
          <w:noProof/>
        </w:rPr>
      </w:r>
      <w:r>
        <w:rPr>
          <w:noProof/>
        </w:rPr>
        <w:fldChar w:fldCharType="separate"/>
      </w:r>
      <w:r>
        <w:rPr>
          <w:noProof/>
        </w:rPr>
        <w:t>14</w:t>
      </w:r>
      <w:r>
        <w:rPr>
          <w:noProof/>
        </w:rPr>
        <w:fldChar w:fldCharType="end"/>
      </w:r>
    </w:p>
    <w:p w14:paraId="34B523D2" w14:textId="1BB608A2"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_Toc170226779 \h </w:instrText>
      </w:r>
      <w:r>
        <w:rPr>
          <w:noProof/>
        </w:rPr>
      </w:r>
      <w:r>
        <w:rPr>
          <w:noProof/>
        </w:rPr>
        <w:fldChar w:fldCharType="separate"/>
      </w:r>
      <w:r>
        <w:rPr>
          <w:noProof/>
        </w:rPr>
        <w:t>14</w:t>
      </w:r>
      <w:r>
        <w:rPr>
          <w:noProof/>
        </w:rPr>
        <w:fldChar w:fldCharType="end"/>
      </w:r>
    </w:p>
    <w:p w14:paraId="242BEFCE" w14:textId="360E28E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_Toc170226780 \h </w:instrText>
      </w:r>
      <w:r>
        <w:rPr>
          <w:noProof/>
        </w:rPr>
      </w:r>
      <w:r>
        <w:rPr>
          <w:noProof/>
        </w:rPr>
        <w:fldChar w:fldCharType="separate"/>
      </w:r>
      <w:r>
        <w:rPr>
          <w:noProof/>
        </w:rPr>
        <w:t>14</w:t>
      </w:r>
      <w:r>
        <w:rPr>
          <w:noProof/>
        </w:rPr>
        <w:fldChar w:fldCharType="end"/>
      </w:r>
    </w:p>
    <w:p w14:paraId="449B745F" w14:textId="112D9568"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_Toc170226781 \h </w:instrText>
      </w:r>
      <w:r>
        <w:rPr>
          <w:noProof/>
        </w:rPr>
      </w:r>
      <w:r>
        <w:rPr>
          <w:noProof/>
        </w:rPr>
        <w:fldChar w:fldCharType="separate"/>
      </w:r>
      <w:r>
        <w:rPr>
          <w:noProof/>
        </w:rPr>
        <w:t>14</w:t>
      </w:r>
      <w:r>
        <w:rPr>
          <w:noProof/>
        </w:rPr>
        <w:fldChar w:fldCharType="end"/>
      </w:r>
    </w:p>
    <w:p w14:paraId="1ACC45BE" w14:textId="48694BF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_Toc170226782 \h </w:instrText>
      </w:r>
      <w:r>
        <w:rPr>
          <w:noProof/>
        </w:rPr>
      </w:r>
      <w:r>
        <w:rPr>
          <w:noProof/>
        </w:rPr>
        <w:fldChar w:fldCharType="separate"/>
      </w:r>
      <w:r>
        <w:rPr>
          <w:noProof/>
        </w:rPr>
        <w:t>14</w:t>
      </w:r>
      <w:r>
        <w:rPr>
          <w:noProof/>
        </w:rPr>
        <w:fldChar w:fldCharType="end"/>
      </w:r>
    </w:p>
    <w:p w14:paraId="299C4CB6" w14:textId="5B025EC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_Toc170226783 \h </w:instrText>
      </w:r>
      <w:r>
        <w:rPr>
          <w:noProof/>
        </w:rPr>
      </w:r>
      <w:r>
        <w:rPr>
          <w:noProof/>
        </w:rPr>
        <w:fldChar w:fldCharType="separate"/>
      </w:r>
      <w:r>
        <w:rPr>
          <w:noProof/>
        </w:rPr>
        <w:t>14</w:t>
      </w:r>
      <w:r>
        <w:rPr>
          <w:noProof/>
        </w:rPr>
        <w:fldChar w:fldCharType="end"/>
      </w:r>
    </w:p>
    <w:p w14:paraId="6C37AEEB" w14:textId="451A06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_Toc170226784 \h </w:instrText>
      </w:r>
      <w:r>
        <w:rPr>
          <w:noProof/>
        </w:rPr>
      </w:r>
      <w:r>
        <w:rPr>
          <w:noProof/>
        </w:rPr>
        <w:fldChar w:fldCharType="separate"/>
      </w:r>
      <w:r>
        <w:rPr>
          <w:noProof/>
        </w:rPr>
        <w:t>14</w:t>
      </w:r>
      <w:r>
        <w:rPr>
          <w:noProof/>
        </w:rPr>
        <w:fldChar w:fldCharType="end"/>
      </w:r>
    </w:p>
    <w:p w14:paraId="2F3E4E2E" w14:textId="3186161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_Toc170226785 \h </w:instrText>
      </w:r>
      <w:r>
        <w:rPr>
          <w:noProof/>
        </w:rPr>
      </w:r>
      <w:r>
        <w:rPr>
          <w:noProof/>
        </w:rPr>
        <w:fldChar w:fldCharType="separate"/>
      </w:r>
      <w:r>
        <w:rPr>
          <w:noProof/>
        </w:rPr>
        <w:t>14</w:t>
      </w:r>
      <w:r>
        <w:rPr>
          <w:noProof/>
        </w:rPr>
        <w:fldChar w:fldCharType="end"/>
      </w:r>
    </w:p>
    <w:p w14:paraId="044A0844" w14:textId="4F64E72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_Toc170226786 \h </w:instrText>
      </w:r>
      <w:r>
        <w:rPr>
          <w:noProof/>
        </w:rPr>
      </w:r>
      <w:r>
        <w:rPr>
          <w:noProof/>
        </w:rPr>
        <w:fldChar w:fldCharType="separate"/>
      </w:r>
      <w:r>
        <w:rPr>
          <w:noProof/>
        </w:rPr>
        <w:t>14</w:t>
      </w:r>
      <w:r>
        <w:rPr>
          <w:noProof/>
        </w:rPr>
        <w:fldChar w:fldCharType="end"/>
      </w:r>
    </w:p>
    <w:p w14:paraId="272BCC1B" w14:textId="5FF7DE2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_Toc170226787 \h </w:instrText>
      </w:r>
      <w:r>
        <w:rPr>
          <w:noProof/>
        </w:rPr>
      </w:r>
      <w:r>
        <w:rPr>
          <w:noProof/>
        </w:rPr>
        <w:fldChar w:fldCharType="separate"/>
      </w:r>
      <w:r>
        <w:rPr>
          <w:noProof/>
        </w:rPr>
        <w:t>14</w:t>
      </w:r>
      <w:r>
        <w:rPr>
          <w:noProof/>
        </w:rPr>
        <w:fldChar w:fldCharType="end"/>
      </w:r>
    </w:p>
    <w:p w14:paraId="5641F283" w14:textId="5132D1AD"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_Toc170226788 \h </w:instrText>
      </w:r>
      <w:r>
        <w:rPr>
          <w:noProof/>
        </w:rPr>
      </w:r>
      <w:r>
        <w:rPr>
          <w:noProof/>
        </w:rPr>
        <w:fldChar w:fldCharType="separate"/>
      </w:r>
      <w:r>
        <w:rPr>
          <w:noProof/>
        </w:rPr>
        <w:t>14</w:t>
      </w:r>
      <w:r>
        <w:rPr>
          <w:noProof/>
        </w:rPr>
        <w:fldChar w:fldCharType="end"/>
      </w:r>
    </w:p>
    <w:p w14:paraId="3B01691A" w14:textId="10C3B29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_Toc170226789 \h </w:instrText>
      </w:r>
      <w:r>
        <w:rPr>
          <w:noProof/>
        </w:rPr>
      </w:r>
      <w:r>
        <w:rPr>
          <w:noProof/>
        </w:rPr>
        <w:fldChar w:fldCharType="separate"/>
      </w:r>
      <w:r>
        <w:rPr>
          <w:noProof/>
        </w:rPr>
        <w:t>14</w:t>
      </w:r>
      <w:r>
        <w:rPr>
          <w:noProof/>
        </w:rPr>
        <w:fldChar w:fldCharType="end"/>
      </w:r>
    </w:p>
    <w:p w14:paraId="4029D84C" w14:textId="63E33D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_Toc170226790 \h </w:instrText>
      </w:r>
      <w:r>
        <w:rPr>
          <w:noProof/>
        </w:rPr>
      </w:r>
      <w:r>
        <w:rPr>
          <w:noProof/>
        </w:rPr>
        <w:fldChar w:fldCharType="separate"/>
      </w:r>
      <w:r>
        <w:rPr>
          <w:noProof/>
        </w:rPr>
        <w:t>15</w:t>
      </w:r>
      <w:r>
        <w:rPr>
          <w:noProof/>
        </w:rPr>
        <w:fldChar w:fldCharType="end"/>
      </w:r>
    </w:p>
    <w:p w14:paraId="205BAAE3" w14:textId="5A130ECB"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_Toc170226791 \h </w:instrText>
      </w:r>
      <w:r>
        <w:rPr>
          <w:noProof/>
        </w:rPr>
      </w:r>
      <w:r>
        <w:rPr>
          <w:noProof/>
        </w:rPr>
        <w:fldChar w:fldCharType="separate"/>
      </w:r>
      <w:r>
        <w:rPr>
          <w:noProof/>
        </w:rPr>
        <w:t>15</w:t>
      </w:r>
      <w:r>
        <w:rPr>
          <w:noProof/>
        </w:rPr>
        <w:fldChar w:fldCharType="end"/>
      </w:r>
    </w:p>
    <w:p w14:paraId="77B780AE" w14:textId="7A1A3CF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_Toc170226792 \h </w:instrText>
      </w:r>
      <w:r>
        <w:rPr>
          <w:noProof/>
        </w:rPr>
      </w:r>
      <w:r>
        <w:rPr>
          <w:noProof/>
        </w:rPr>
        <w:fldChar w:fldCharType="separate"/>
      </w:r>
      <w:r>
        <w:rPr>
          <w:noProof/>
        </w:rPr>
        <w:t>15</w:t>
      </w:r>
      <w:r>
        <w:rPr>
          <w:noProof/>
        </w:rPr>
        <w:fldChar w:fldCharType="end"/>
      </w:r>
    </w:p>
    <w:p w14:paraId="55D09895" w14:textId="55EAC3FE"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_Toc170226793 \h </w:instrText>
      </w:r>
      <w:r>
        <w:rPr>
          <w:noProof/>
        </w:rPr>
      </w:r>
      <w:r>
        <w:rPr>
          <w:noProof/>
        </w:rPr>
        <w:fldChar w:fldCharType="separate"/>
      </w:r>
      <w:r>
        <w:rPr>
          <w:noProof/>
        </w:rPr>
        <w:t>15</w:t>
      </w:r>
      <w:r>
        <w:rPr>
          <w:noProof/>
        </w:rPr>
        <w:fldChar w:fldCharType="end"/>
      </w:r>
    </w:p>
    <w:p w14:paraId="3E7A7242" w14:textId="2361283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_Toc170226794 \h </w:instrText>
      </w:r>
      <w:r>
        <w:rPr>
          <w:noProof/>
        </w:rPr>
      </w:r>
      <w:r>
        <w:rPr>
          <w:noProof/>
        </w:rPr>
        <w:fldChar w:fldCharType="separate"/>
      </w:r>
      <w:r>
        <w:rPr>
          <w:noProof/>
        </w:rPr>
        <w:t>15</w:t>
      </w:r>
      <w:r>
        <w:rPr>
          <w:noProof/>
        </w:rPr>
        <w:fldChar w:fldCharType="end"/>
      </w:r>
    </w:p>
    <w:p w14:paraId="7A7E178E" w14:textId="67BB023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_Toc170226795 \h </w:instrText>
      </w:r>
      <w:r>
        <w:rPr>
          <w:noProof/>
        </w:rPr>
      </w:r>
      <w:r>
        <w:rPr>
          <w:noProof/>
        </w:rPr>
        <w:fldChar w:fldCharType="separate"/>
      </w:r>
      <w:r>
        <w:rPr>
          <w:noProof/>
        </w:rPr>
        <w:t>15</w:t>
      </w:r>
      <w:r>
        <w:rPr>
          <w:noProof/>
        </w:rPr>
        <w:fldChar w:fldCharType="end"/>
      </w:r>
    </w:p>
    <w:p w14:paraId="525A8AA9" w14:textId="7D215D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_Toc170226796 \h </w:instrText>
      </w:r>
      <w:r>
        <w:rPr>
          <w:noProof/>
        </w:rPr>
      </w:r>
      <w:r>
        <w:rPr>
          <w:noProof/>
        </w:rPr>
        <w:fldChar w:fldCharType="separate"/>
      </w:r>
      <w:r>
        <w:rPr>
          <w:noProof/>
        </w:rPr>
        <w:t>15</w:t>
      </w:r>
      <w:r>
        <w:rPr>
          <w:noProof/>
        </w:rPr>
        <w:fldChar w:fldCharType="end"/>
      </w:r>
    </w:p>
    <w:p w14:paraId="76865AC5" w14:textId="3F9CC6A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_Toc170226797 \h </w:instrText>
      </w:r>
      <w:r>
        <w:rPr>
          <w:noProof/>
        </w:rPr>
      </w:r>
      <w:r>
        <w:rPr>
          <w:noProof/>
        </w:rPr>
        <w:fldChar w:fldCharType="separate"/>
      </w:r>
      <w:r>
        <w:rPr>
          <w:noProof/>
        </w:rPr>
        <w:t>15</w:t>
      </w:r>
      <w:r>
        <w:rPr>
          <w:noProof/>
        </w:rPr>
        <w:fldChar w:fldCharType="end"/>
      </w:r>
    </w:p>
    <w:p w14:paraId="1B552E8E" w14:textId="48BA8D88"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_Toc170226798 \h </w:instrText>
      </w:r>
      <w:r>
        <w:rPr>
          <w:noProof/>
        </w:rPr>
      </w:r>
      <w:r>
        <w:rPr>
          <w:noProof/>
        </w:rPr>
        <w:fldChar w:fldCharType="separate"/>
      </w:r>
      <w:r>
        <w:rPr>
          <w:noProof/>
        </w:rPr>
        <w:t>15</w:t>
      </w:r>
      <w:r>
        <w:rPr>
          <w:noProof/>
        </w:rPr>
        <w:fldChar w:fldCharType="end"/>
      </w:r>
    </w:p>
    <w:p w14:paraId="2DE7C226" w14:textId="774C35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_Toc170226799 \h </w:instrText>
      </w:r>
      <w:r>
        <w:rPr>
          <w:noProof/>
        </w:rPr>
      </w:r>
      <w:r>
        <w:rPr>
          <w:noProof/>
        </w:rPr>
        <w:fldChar w:fldCharType="separate"/>
      </w:r>
      <w:r>
        <w:rPr>
          <w:noProof/>
        </w:rPr>
        <w:t>15</w:t>
      </w:r>
      <w:r>
        <w:rPr>
          <w:noProof/>
        </w:rPr>
        <w:fldChar w:fldCharType="end"/>
      </w:r>
    </w:p>
    <w:p w14:paraId="2F0FE700" w14:textId="5D60DC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_Toc170226800 \h </w:instrText>
      </w:r>
      <w:r>
        <w:rPr>
          <w:noProof/>
        </w:rPr>
      </w:r>
      <w:r>
        <w:rPr>
          <w:noProof/>
        </w:rPr>
        <w:fldChar w:fldCharType="separate"/>
      </w:r>
      <w:r>
        <w:rPr>
          <w:noProof/>
        </w:rPr>
        <w:t>15</w:t>
      </w:r>
      <w:r>
        <w:rPr>
          <w:noProof/>
        </w:rPr>
        <w:fldChar w:fldCharType="end"/>
      </w:r>
    </w:p>
    <w:p w14:paraId="101DB183" w14:textId="6F741C5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_Toc170226801 \h </w:instrText>
      </w:r>
      <w:r>
        <w:rPr>
          <w:noProof/>
        </w:rPr>
      </w:r>
      <w:r>
        <w:rPr>
          <w:noProof/>
        </w:rPr>
        <w:fldChar w:fldCharType="separate"/>
      </w:r>
      <w:r>
        <w:rPr>
          <w:noProof/>
        </w:rPr>
        <w:t>15</w:t>
      </w:r>
      <w:r>
        <w:rPr>
          <w:noProof/>
        </w:rPr>
        <w:fldChar w:fldCharType="end"/>
      </w:r>
    </w:p>
    <w:p w14:paraId="5E2F9F24" w14:textId="76AB623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_Toc170226802 \h </w:instrText>
      </w:r>
      <w:r>
        <w:rPr>
          <w:noProof/>
        </w:rPr>
      </w:r>
      <w:r>
        <w:rPr>
          <w:noProof/>
        </w:rPr>
        <w:fldChar w:fldCharType="separate"/>
      </w:r>
      <w:r>
        <w:rPr>
          <w:noProof/>
        </w:rPr>
        <w:t>15</w:t>
      </w:r>
      <w:r>
        <w:rPr>
          <w:noProof/>
        </w:rPr>
        <w:fldChar w:fldCharType="end"/>
      </w:r>
    </w:p>
    <w:p w14:paraId="63F91CE4" w14:textId="4256660A"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_Toc170226803 \h </w:instrText>
      </w:r>
      <w:r>
        <w:rPr>
          <w:noProof/>
        </w:rPr>
      </w:r>
      <w:r>
        <w:rPr>
          <w:noProof/>
        </w:rPr>
        <w:fldChar w:fldCharType="separate"/>
      </w:r>
      <w:r>
        <w:rPr>
          <w:noProof/>
        </w:rPr>
        <w:t>15</w:t>
      </w:r>
      <w:r>
        <w:rPr>
          <w:noProof/>
        </w:rPr>
        <w:fldChar w:fldCharType="end"/>
      </w:r>
    </w:p>
    <w:p w14:paraId="66D6377C" w14:textId="4B0311E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_Toc170226804 \h </w:instrText>
      </w:r>
      <w:r>
        <w:rPr>
          <w:noProof/>
        </w:rPr>
      </w:r>
      <w:r>
        <w:rPr>
          <w:noProof/>
        </w:rPr>
        <w:fldChar w:fldCharType="separate"/>
      </w:r>
      <w:r>
        <w:rPr>
          <w:noProof/>
        </w:rPr>
        <w:t>15</w:t>
      </w:r>
      <w:r>
        <w:rPr>
          <w:noProof/>
        </w:rPr>
        <w:fldChar w:fldCharType="end"/>
      </w:r>
    </w:p>
    <w:p w14:paraId="431B7606" w14:textId="5B09100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_Toc170226805 \h </w:instrText>
      </w:r>
      <w:r>
        <w:rPr>
          <w:noProof/>
        </w:rPr>
      </w:r>
      <w:r>
        <w:rPr>
          <w:noProof/>
        </w:rPr>
        <w:fldChar w:fldCharType="separate"/>
      </w:r>
      <w:r>
        <w:rPr>
          <w:noProof/>
        </w:rPr>
        <w:t>15</w:t>
      </w:r>
      <w:r>
        <w:rPr>
          <w:noProof/>
        </w:rPr>
        <w:fldChar w:fldCharType="end"/>
      </w:r>
    </w:p>
    <w:p w14:paraId="0F8BA630" w14:textId="10D2D5A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_Toc170226806 \h </w:instrText>
      </w:r>
      <w:r>
        <w:rPr>
          <w:noProof/>
        </w:rPr>
      </w:r>
      <w:r>
        <w:rPr>
          <w:noProof/>
        </w:rPr>
        <w:fldChar w:fldCharType="separate"/>
      </w:r>
      <w:r>
        <w:rPr>
          <w:noProof/>
        </w:rPr>
        <w:t>15</w:t>
      </w:r>
      <w:r>
        <w:rPr>
          <w:noProof/>
        </w:rPr>
        <w:fldChar w:fldCharType="end"/>
      </w:r>
    </w:p>
    <w:p w14:paraId="7B734963" w14:textId="6F33DB7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_Toc170226807 \h </w:instrText>
      </w:r>
      <w:r>
        <w:rPr>
          <w:noProof/>
        </w:rPr>
      </w:r>
      <w:r>
        <w:rPr>
          <w:noProof/>
        </w:rPr>
        <w:fldChar w:fldCharType="separate"/>
      </w:r>
      <w:r>
        <w:rPr>
          <w:noProof/>
        </w:rPr>
        <w:t>15</w:t>
      </w:r>
      <w:r>
        <w:rPr>
          <w:noProof/>
        </w:rPr>
        <w:fldChar w:fldCharType="end"/>
      </w:r>
    </w:p>
    <w:p w14:paraId="10D365E3" w14:textId="68B6497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_Toc170226808 \h </w:instrText>
      </w:r>
      <w:r>
        <w:rPr>
          <w:noProof/>
        </w:rPr>
      </w:r>
      <w:r>
        <w:rPr>
          <w:noProof/>
        </w:rPr>
        <w:fldChar w:fldCharType="separate"/>
      </w:r>
      <w:r>
        <w:rPr>
          <w:noProof/>
        </w:rPr>
        <w:t>15</w:t>
      </w:r>
      <w:r>
        <w:rPr>
          <w:noProof/>
        </w:rPr>
        <w:fldChar w:fldCharType="end"/>
      </w:r>
    </w:p>
    <w:p w14:paraId="18F85FF4" w14:textId="0FE65D87"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_Toc170226809 \h </w:instrText>
      </w:r>
      <w:r>
        <w:rPr>
          <w:noProof/>
        </w:rPr>
      </w:r>
      <w:r>
        <w:rPr>
          <w:noProof/>
        </w:rPr>
        <w:fldChar w:fldCharType="separate"/>
      </w:r>
      <w:r>
        <w:rPr>
          <w:noProof/>
        </w:rPr>
        <w:t>16</w:t>
      </w:r>
      <w:r>
        <w:rPr>
          <w:noProof/>
        </w:rPr>
        <w:fldChar w:fldCharType="end"/>
      </w:r>
    </w:p>
    <w:p w14:paraId="0B85C6BF" w14:textId="32E60E4A"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_Toc170226810 \h </w:instrText>
      </w:r>
      <w:r>
        <w:rPr>
          <w:noProof/>
        </w:rPr>
      </w:r>
      <w:r>
        <w:rPr>
          <w:noProof/>
        </w:rPr>
        <w:fldChar w:fldCharType="separate"/>
      </w:r>
      <w:r>
        <w:rPr>
          <w:noProof/>
        </w:rPr>
        <w:t>16</w:t>
      </w:r>
      <w:r>
        <w:rPr>
          <w:noProof/>
        </w:rPr>
        <w:fldChar w:fldCharType="end"/>
      </w:r>
    </w:p>
    <w:p w14:paraId="26263C38" w14:textId="3F00A100"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_Toc170226811 \h </w:instrText>
      </w:r>
      <w:r>
        <w:rPr>
          <w:noProof/>
        </w:rPr>
      </w:r>
      <w:r>
        <w:rPr>
          <w:noProof/>
        </w:rPr>
        <w:fldChar w:fldCharType="separate"/>
      </w:r>
      <w:r>
        <w:rPr>
          <w:noProof/>
        </w:rPr>
        <w:t>16</w:t>
      </w:r>
      <w:r>
        <w:rPr>
          <w:noProof/>
        </w:rPr>
        <w:fldChar w:fldCharType="end"/>
      </w:r>
    </w:p>
    <w:p w14:paraId="79D5A674" w14:textId="23E0F7FA"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7022675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7022676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79E46553" w:rsidR="009D1242" w:rsidRDefault="00201D51" w:rsidP="004054D0">
            <w:pPr>
              <w:pStyle w:val="TableEntry"/>
            </w:pPr>
            <w:r w:rsidRPr="00201D51">
              <w:rPr>
                <w:b/>
                <w:bCs/>
              </w:rPr>
              <w:t>Decision</w:t>
            </w:r>
            <w:r>
              <w:t xml:space="preserve">: </w:t>
            </w:r>
            <w:r w:rsidR="00726D1B">
              <w:t>[</w:t>
            </w:r>
            <w:proofErr w:type="spellStart"/>
            <w:r w:rsidR="00726D1B">
              <w:t>WGxx</w:t>
            </w:r>
            <w:proofErr w:type="spellEnd"/>
            <w:r w:rsidR="00726D1B">
              <w:t xml:space="preserve">: YYYY-MM-DD] </w:t>
            </w:r>
            <w:r>
              <w:t>None yet.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5DB56247" w:rsidR="00211E2F" w:rsidRDefault="00211E2F" w:rsidP="006545C0">
            <w:pPr>
              <w:pStyle w:val="TableEntry"/>
              <w:keepNext/>
            </w:pPr>
            <w:r>
              <w:rPr>
                <w:b/>
                <w:bCs/>
              </w:rPr>
              <w:t>Context</w:t>
            </w:r>
            <w:r w:rsidRPr="00211E2F">
              <w:t xml:space="preserve">: </w:t>
            </w:r>
            <w:r w:rsidR="00EF01F1">
              <w:t>DIMSE knows about MPPS n</w:t>
            </w:r>
            <w:r w:rsidRPr="00211E2F">
              <w:t>otifications</w:t>
            </w:r>
            <w:r w:rsidR="00A81108">
              <w:t xml:space="preserve">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EF01F1">
              <w:t xml:space="preserve">knows about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why this is done this way, as to take him or her along.</w:t>
            </w:r>
          </w:p>
          <w:p w14:paraId="49D5B73E" w14:textId="55BB1E01" w:rsidR="00A81108" w:rsidRDefault="00A81108" w:rsidP="006545C0">
            <w:pPr>
              <w:pStyle w:val="TableEntry"/>
              <w:keepNext/>
              <w:rPr>
                <w:b/>
                <w:bCs/>
              </w:rPr>
            </w:pPr>
            <w:r>
              <w:rPr>
                <w:b/>
                <w:bCs/>
              </w:rPr>
              <w:t>Decision</w:t>
            </w:r>
            <w:r w:rsidRPr="00A81108">
              <w:t xml:space="preserve">: </w:t>
            </w:r>
            <w:r>
              <w:t>[</w:t>
            </w:r>
            <w:proofErr w:type="spellStart"/>
            <w:r>
              <w:t>WGxx</w:t>
            </w:r>
            <w:proofErr w:type="spellEnd"/>
            <w:r>
              <w:t>: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5D2DB589" w:rsidR="002E6E25" w:rsidRDefault="00201D51" w:rsidP="006545C0">
            <w:pPr>
              <w:pStyle w:val="TableEntry"/>
              <w:keepNext/>
            </w:pPr>
            <w:r w:rsidRPr="00201D51">
              <w:rPr>
                <w:b/>
                <w:bCs/>
              </w:rPr>
              <w:t>Issue</w:t>
            </w:r>
            <w:r>
              <w:t xml:space="preserve">: </w:t>
            </w:r>
            <w:r w:rsidR="00113A60">
              <w:t xml:space="preserve">It is not possible to make a </w:t>
            </w:r>
            <w:r w:rsidR="00FB435D">
              <w:t xml:space="preserve">two-way </w:t>
            </w:r>
            <w:r w:rsidR="00113A60">
              <w:t>mapping; therefore</w:t>
            </w:r>
            <w:r w:rsidR="003E2518">
              <w:t>,</w:t>
            </w:r>
            <w:r w:rsidR="00113A60">
              <w:t xml:space="preserve"> </w:t>
            </w:r>
            <w:r w:rsidR="00FB435D">
              <w:t xml:space="preserve">it is simply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t>
            </w:r>
            <w:proofErr w:type="spellStart"/>
            <w:r w:rsidR="00726D1B">
              <w:t>WGxx</w:t>
            </w:r>
            <w:proofErr w:type="spellEnd"/>
            <w:r w:rsidR="00726D1B">
              <w:t>: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472DBF26" w:rsidR="002E6E25" w:rsidRDefault="00113A60" w:rsidP="006545C0">
            <w:pPr>
              <w:pStyle w:val="TableEntry"/>
              <w:keepNext/>
            </w:pPr>
            <w:r w:rsidRPr="00113A60">
              <w:rPr>
                <w:b/>
                <w:bCs/>
              </w:rPr>
              <w:t>Context</w:t>
            </w:r>
            <w:r>
              <w:t xml:space="preserve">: The 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52774DE7" w:rsidR="0086106B" w:rsidRPr="0086106B" w:rsidRDefault="0086106B" w:rsidP="006545C0">
            <w:pPr>
              <w:pStyle w:val="TableEntry"/>
              <w:keepNext/>
            </w:pPr>
            <w:r>
              <w:rPr>
                <w:b/>
                <w:bCs/>
              </w:rPr>
              <w:t>Context</w:t>
            </w:r>
            <w:r w:rsidRPr="0086106B">
              <w:t xml:space="preserve">: </w:t>
            </w:r>
            <w:r>
              <w:t xml:space="preserve">The DIMSE modality services MWL and MPPS distinguish between </w:t>
            </w:r>
            <w:proofErr w:type="gramStart"/>
            <w:r>
              <w:t>workitems</w:t>
            </w:r>
            <w:proofErr w:type="gramEnd"/>
            <w:r>
              <w:t xml:space="preserve"> and </w:t>
            </w:r>
            <w:r w:rsidR="00C765E4">
              <w:t xml:space="preserve">modality </w:t>
            </w:r>
            <w:r>
              <w:t>performed procedure steps</w:t>
            </w:r>
            <w:r w:rsidR="006545C0">
              <w:t xml:space="preserve">; </w:t>
            </w:r>
            <w:r>
              <w:t>UPS-RS knows about workitems only.</w:t>
            </w:r>
          </w:p>
          <w:p w14:paraId="655FD1D9" w14:textId="7C2408EF"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 xml:space="preserve">t needs to be completely clear how a UPS-RS workitem can be </w:t>
            </w:r>
            <w:r w:rsidR="00944220">
              <w:t>uniq</w:t>
            </w:r>
            <w:r w:rsidR="0002437F">
              <w:t xml:space="preserve">uely </w:t>
            </w:r>
            <w:r w:rsidR="00A710CF">
              <w:t>identified based on information in the MWL workitem.</w:t>
            </w:r>
          </w:p>
          <w:p w14:paraId="19CD0E94" w14:textId="49A190AE"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t>
            </w:r>
            <w:proofErr w:type="spellStart"/>
            <w:r>
              <w:t>WGxx</w:t>
            </w:r>
            <w:proofErr w:type="spellEnd"/>
            <w:r>
              <w:t>: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4D740975" w:rsidR="00EA4646" w:rsidRDefault="00EA4646" w:rsidP="006545C0">
            <w:pPr>
              <w:pStyle w:val="TableEntry"/>
              <w:keepNext/>
              <w:rPr>
                <w:b/>
                <w:bCs/>
              </w:rPr>
            </w:pPr>
            <w:r>
              <w:rPr>
                <w:b/>
                <w:bCs/>
              </w:rPr>
              <w:t>Context</w:t>
            </w:r>
            <w:r w:rsidRPr="00EA4646">
              <w:t>:</w:t>
            </w:r>
            <w:r>
              <w:rPr>
                <w:b/>
                <w:bCs/>
              </w:rPr>
              <w:t xml:space="preserve"> </w:t>
            </w:r>
            <w:r w:rsidR="00FC772F" w:rsidRPr="0040293B">
              <w:t xml:space="preserve">Cancellation of </w:t>
            </w:r>
            <w:r w:rsidR="0040293B" w:rsidRPr="0040293B">
              <w:t>Workitems.</w:t>
            </w:r>
          </w:p>
          <w:p w14:paraId="691E66AA" w14:textId="70810D9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p>
          <w:p w14:paraId="6853A56B" w14:textId="0339B61E" w:rsidR="00EA4646" w:rsidRDefault="00EA4646" w:rsidP="006545C0">
            <w:pPr>
              <w:pStyle w:val="TableEntry"/>
              <w:keepNext/>
              <w:rPr>
                <w:b/>
                <w:bCs/>
              </w:rPr>
            </w:pPr>
            <w:r>
              <w:rPr>
                <w:b/>
                <w:bCs/>
              </w:rPr>
              <w:t>Proposal</w:t>
            </w:r>
            <w:r w:rsidRPr="00EA4646">
              <w:t xml:space="preserve">: </w:t>
            </w:r>
            <w:r w:rsidR="00A13B95">
              <w:t>None yet.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t>
            </w:r>
            <w:proofErr w:type="spellStart"/>
            <w:r w:rsidR="0040293B">
              <w:t>WGxx</w:t>
            </w:r>
            <w:proofErr w:type="spellEnd"/>
            <w:r w:rsidR="0040293B">
              <w:t>: YYYY-MM-DD] None yet.</w:t>
            </w:r>
          </w:p>
        </w:tc>
      </w:tr>
    </w:tbl>
    <w:p w14:paraId="42E7551E" w14:textId="77777777" w:rsidR="002E6E25" w:rsidRDefault="002E6E25" w:rsidP="002E6E25">
      <w:pPr>
        <w:pStyle w:val="Heading1"/>
      </w:pPr>
      <w:bookmarkStart w:id="42" w:name="_Toc170226761"/>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6666A162" w:rsidR="002E6E25" w:rsidRDefault="002E6E25" w:rsidP="00107EF9">
            <w:pPr>
              <w:pStyle w:val="TableEntry"/>
            </w:pPr>
          </w:p>
        </w:tc>
        <w:tc>
          <w:tcPr>
            <w:tcW w:w="8370" w:type="dxa"/>
          </w:tcPr>
          <w:p w14:paraId="3E08CEEE" w14:textId="567F22CB" w:rsidR="002E6E25" w:rsidRDefault="002E6E25" w:rsidP="00107EF9">
            <w:pPr>
              <w:pStyle w:val="TableEntry"/>
            </w:pP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70226762"/>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3577CA43"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such that it is relatively easy to create proxies from/to DIMSE to/from DICOMweb Modality Services.</w:t>
      </w:r>
    </w:p>
    <w:p w14:paraId="4EA22004" w14:textId="6F5B4364" w:rsidR="002E6E25" w:rsidRPr="00985208" w:rsidRDefault="00823046" w:rsidP="002E6E25">
      <w:r>
        <w:t xml:space="preserve">This supplement describes the way to perform modality services MWL and MPPS based on </w:t>
      </w:r>
      <w:proofErr w:type="spellStart"/>
      <w:r>
        <w:t>DICOMweb’s</w:t>
      </w:r>
      <w:proofErr w:type="spellEnd"/>
      <w:r>
        <w:t xml:space="preserve">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4" w:name="_Toc170226763"/>
      <w:r>
        <w:t>X</w:t>
      </w:r>
      <w:r>
        <w:tab/>
        <w:t>Modality Services and Resources</w:t>
      </w:r>
      <w:bookmarkEnd w:id="44"/>
    </w:p>
    <w:p w14:paraId="2610D76E" w14:textId="263B185F" w:rsidR="00FE3B13" w:rsidRDefault="00A3658D" w:rsidP="00FE3B13">
      <w:pPr>
        <w:pStyle w:val="Heading2"/>
      </w:pPr>
      <w:bookmarkStart w:id="45" w:name="_Toc170226764"/>
      <w:r>
        <w:t>X.1</w:t>
      </w:r>
      <w:r>
        <w:tab/>
      </w:r>
      <w:r w:rsidR="00FE3B13">
        <w:t>Overview</w:t>
      </w:r>
      <w:bookmarkEnd w:id="45"/>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 xml:space="preserve">Sections </w:t>
      </w:r>
      <w:proofErr w:type="spellStart"/>
      <w:proofErr w:type="gramStart"/>
      <w:r w:rsidR="009668DB">
        <w:t>B</w:t>
      </w:r>
      <w:r w:rsidR="008A33CE">
        <w:t>.xx</w:t>
      </w:r>
      <w:proofErr w:type="gramEnd"/>
      <w:r w:rsidR="008A33CE">
        <w:t>-B.yy</w:t>
      </w:r>
      <w:proofErr w:type="spellEnd"/>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6" w:name="_Toc170226765"/>
      <w:r>
        <w:t>X.1.2</w:t>
      </w:r>
      <w:r>
        <w:tab/>
      </w:r>
      <w:r w:rsidR="00B974C7">
        <w:t>Scenarios</w:t>
      </w:r>
      <w:r w:rsidR="00E84780">
        <w:t xml:space="preserve"> (Informative)</w:t>
      </w:r>
      <w:bookmarkEnd w:id="46"/>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7" w:name="_Toc170226766"/>
      <w:r>
        <w:t>X.1.2.1</w:t>
      </w:r>
      <w:r>
        <w:tab/>
        <w:t xml:space="preserve">Scheduled </w:t>
      </w:r>
      <w:r w:rsidR="00537BF5">
        <w:t xml:space="preserve">Acquisition </w:t>
      </w:r>
      <w:r>
        <w:t>Workflow</w:t>
      </w:r>
      <w:bookmarkEnd w:id="47"/>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workitem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39D2C5AF"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r w:rsidR="00537BF5">
        <w:t xml:space="preserve"> Here, the modality would typically play the role of the user agent, while the worklist provider would be the origin server.</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4"/>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48" w:name="_Toc170226767"/>
      <w:r>
        <w:t>X.1.2.2</w:t>
      </w:r>
      <w:r>
        <w:tab/>
        <w:t xml:space="preserve">Encounter-Based </w:t>
      </w:r>
      <w:r w:rsidR="00537BF5">
        <w:t xml:space="preserve">Acquisition </w:t>
      </w:r>
      <w:r>
        <w:t>Workflow</w:t>
      </w:r>
      <w:bookmarkEnd w:id="48"/>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Here too, as in the scheduled acquisition workflow, the modality would typically play the role of the user agent, while the worklist provider would be the origin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5"/>
                    <a:stretch>
                      <a:fillRect/>
                    </a:stretch>
                  </pic:blipFill>
                  <pic:spPr>
                    <a:xfrm>
                      <a:off x="0" y="0"/>
                      <a:ext cx="2106000" cy="1846800"/>
                    </a:xfrm>
                    <a:prstGeom prst="rect">
                      <a:avLst/>
                    </a:prstGeom>
                  </pic:spPr>
                </pic:pic>
              </a:graphicData>
            </a:graphic>
          </wp:inline>
        </w:drawing>
      </w:r>
    </w:p>
    <w:p w14:paraId="71A98B2C" w14:textId="216593DC" w:rsidR="00C429EC" w:rsidRPr="00A710CF"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08473C3" w14:textId="45BD2126" w:rsidR="00A710CF" w:rsidRDefault="00A710CF" w:rsidP="00A710CF">
      <w:pPr>
        <w:pStyle w:val="Heading4"/>
      </w:pPr>
      <w:bookmarkStart w:id="49" w:name="_Toc170226768"/>
      <w:r>
        <w:lastRenderedPageBreak/>
        <w:t>X.1.2.3</w:t>
      </w:r>
      <w:r>
        <w:tab/>
      </w:r>
      <w:r w:rsidR="000279D0">
        <w:t xml:space="preserve">Acquisition </w:t>
      </w:r>
      <w:r>
        <w:t xml:space="preserve">Workflow </w:t>
      </w:r>
      <w:r w:rsidR="000279D0">
        <w:t>Monitoring</w:t>
      </w:r>
      <w:bookmarkEnd w:id="49"/>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Here</w:t>
      </w:r>
      <w:r w:rsidR="00D34173">
        <w:t xml:space="preserve"> </w:t>
      </w:r>
      <w:r>
        <w:t>the modalit</w:t>
      </w:r>
      <w:r w:rsidR="00D34173">
        <w:t>ies</w:t>
      </w:r>
      <w:r>
        <w:t xml:space="preserve"> </w:t>
      </w:r>
      <w:r w:rsidR="00777AAD">
        <w:t xml:space="preserve">and the dashboard </w:t>
      </w:r>
      <w:r>
        <w:t>would typically play the role of user agent</w:t>
      </w:r>
      <w:r w:rsidR="000044F5">
        <w:t>s</w:t>
      </w:r>
      <w:r>
        <w:t>, while the worklist provider would be the origin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0"/>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16"/>
                    <a:stretch>
                      <a:fillRect/>
                    </a:stretch>
                  </pic:blipFill>
                  <pic:spPr>
                    <a:xfrm>
                      <a:off x="0" y="0"/>
                      <a:ext cx="4672800" cy="3787200"/>
                    </a:xfrm>
                    <a:prstGeom prst="rect">
                      <a:avLst/>
                    </a:prstGeom>
                  </pic:spPr>
                </pic:pic>
              </a:graphicData>
            </a:graphic>
          </wp:inline>
        </w:drawing>
      </w:r>
      <w:commentRangeEnd w:id="50"/>
      <w:r w:rsidR="00730A02">
        <w:rPr>
          <w:rStyle w:val="CommentReference"/>
        </w:rPr>
        <w:commentReference w:id="50"/>
      </w:r>
    </w:p>
    <w:p w14:paraId="60DC430B" w14:textId="35264939" w:rsidR="00D15229" w:rsidRPr="00A9284D" w:rsidRDefault="00D15229" w:rsidP="00A9284D">
      <w:pPr>
        <w:pStyle w:val="Heading4"/>
      </w:pPr>
      <w:bookmarkStart w:id="51" w:name="_Toc170226769"/>
      <w:r>
        <w:t>X.1.2.4</w:t>
      </w:r>
      <w:r>
        <w:tab/>
      </w:r>
      <w:r w:rsidR="001F2478">
        <w:t>Reviewing</w:t>
      </w:r>
      <w:r w:rsidR="009C26A5">
        <w:t xml:space="preserve"> Workflow</w:t>
      </w:r>
      <w:bookmarkEnd w:id="51"/>
    </w:p>
    <w:p w14:paraId="1B726834" w14:textId="66C86C9B" w:rsidR="00D57340" w:rsidRDefault="00CA37B8" w:rsidP="00D15229">
      <w:commentRangeStart w:id="52"/>
      <w:commentRangeStart w:id="53"/>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2"/>
      <w:commentRangeEnd w:id="53"/>
      <w:r w:rsidR="00011F6A">
        <w:rPr>
          <w:rStyle w:val="CommentReference"/>
        </w:rPr>
        <w:commentReference w:id="53"/>
      </w:r>
      <w:r w:rsidR="00D65A50">
        <w:rPr>
          <w:rStyle w:val="CommentReference"/>
        </w:rPr>
        <w:commentReference w:id="52"/>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r>
        <w:t>origin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22A23F4D" w:rsidR="009C26A5" w:rsidRPr="00D15229" w:rsidRDefault="005B1092" w:rsidP="001C46EE">
      <w:pPr>
        <w:jc w:val="center"/>
      </w:pPr>
      <w:r w:rsidRPr="005B1092">
        <w:rPr>
          <w:noProof/>
        </w:rPr>
        <w:drawing>
          <wp:inline distT="0" distB="0" distL="0" distR="0" wp14:anchorId="4563434A" wp14:editId="0E10428A">
            <wp:extent cx="4136400" cy="2448000"/>
            <wp:effectExtent l="0" t="0" r="0" b="9525"/>
            <wp:docPr id="134920532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5322" name="Picture 1" descr="A diagram of a workflow&#10;&#10;Description automatically generated"/>
                    <pic:cNvPicPr/>
                  </pic:nvPicPr>
                  <pic:blipFill>
                    <a:blip r:embed="rId21"/>
                    <a:stretch>
                      <a:fillRect/>
                    </a:stretch>
                  </pic:blipFill>
                  <pic:spPr>
                    <a:xfrm>
                      <a:off x="0" y="0"/>
                      <a:ext cx="4136400" cy="2448000"/>
                    </a:xfrm>
                    <a:prstGeom prst="rect">
                      <a:avLst/>
                    </a:prstGeom>
                  </pic:spPr>
                </pic:pic>
              </a:graphicData>
            </a:graphic>
          </wp:inline>
        </w:drawing>
      </w:r>
    </w:p>
    <w:p w14:paraId="2CDFFE95" w14:textId="470EFEBC" w:rsidR="00A710CF" w:rsidRDefault="00A710CF" w:rsidP="00A710CF">
      <w:pPr>
        <w:pStyle w:val="Heading3"/>
      </w:pPr>
      <w:bookmarkStart w:id="54" w:name="_Toc170226770"/>
      <w:r>
        <w:t>X.1.3</w:t>
      </w:r>
      <w:r>
        <w:tab/>
        <w:t>Concepts</w:t>
      </w:r>
      <w:bookmarkEnd w:id="54"/>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55" w:name="_Toc170226771"/>
      <w:r>
        <w:t>X.1.</w:t>
      </w:r>
      <w:r w:rsidR="00A710CF">
        <w:t>3.</w:t>
      </w:r>
      <w:r>
        <w:t>1</w:t>
      </w:r>
      <w:r>
        <w:tab/>
        <w:t>Entities</w:t>
      </w:r>
      <w:bookmarkEnd w:id="55"/>
    </w:p>
    <w:p w14:paraId="3C9AC135" w14:textId="77777777"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creates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56" w:name="_Toc170226772"/>
      <w:r>
        <w:t>X.1.</w:t>
      </w:r>
      <w:r w:rsidR="00A710CF">
        <w:t>3.</w:t>
      </w:r>
      <w:r>
        <w:t>2</w:t>
      </w:r>
      <w:r>
        <w:tab/>
      </w:r>
      <w:r w:rsidR="002B2FFA">
        <w:t>Notification</w:t>
      </w:r>
      <w:bookmarkEnd w:id="56"/>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proofErr w:type="spellStart"/>
      <w:r w:rsidR="000F2CE5">
        <w:t>W</w:t>
      </w:r>
      <w:r w:rsidR="00E353C0">
        <w:t>eb</w:t>
      </w:r>
      <w:r w:rsidR="000F2CE5">
        <w:t>S</w:t>
      </w:r>
      <w:r w:rsidR="00E353C0">
        <w:t>ockets</w:t>
      </w:r>
      <w:proofErr w:type="spellEnd"/>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w:t>
      </w:r>
      <w:proofErr w:type="spellStart"/>
      <w:r>
        <w:t>DICOMweb’s</w:t>
      </w:r>
      <w:proofErr w:type="spellEnd"/>
      <w:r>
        <w:t xml:space="preserve">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w:t>
      </w:r>
      <w:proofErr w:type="spellStart"/>
      <w:r w:rsidR="00557171">
        <w:t>DICOMweb’s</w:t>
      </w:r>
      <w:proofErr w:type="spellEnd"/>
      <w:r w:rsidR="00557171">
        <w:t xml:space="preserve">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77777777" w:rsidR="00823776" w:rsidRDefault="00823776" w:rsidP="00971B52"/>
    <w:p w14:paraId="073EA70C" w14:textId="05B9131B" w:rsidR="00A3658D" w:rsidRDefault="00A3658D" w:rsidP="00A3658D">
      <w:pPr>
        <w:pStyle w:val="Heading2"/>
      </w:pPr>
      <w:bookmarkStart w:id="57" w:name="_Toc170226773"/>
      <w:r>
        <w:t>X.2</w:t>
      </w:r>
      <w:r>
        <w:tab/>
        <w:t>Conformance</w:t>
      </w:r>
      <w:bookmarkEnd w:id="57"/>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proofErr w:type="spellStart"/>
      <w:r>
        <w:t>the</w:t>
      </w:r>
      <w:proofErr w:type="spellEnd"/>
      <w:r>
        <w:t xml:space="preserve"> supported Query Parameters, including optional Attributes, if </w:t>
      </w:r>
      <w:proofErr w:type="gramStart"/>
      <w:r>
        <w:t>any;</w:t>
      </w:r>
      <w:proofErr w:type="gramEnd"/>
    </w:p>
    <w:p w14:paraId="7AA65A39" w14:textId="77777777" w:rsidR="00686284" w:rsidRDefault="00686284" w:rsidP="00686284">
      <w:pPr>
        <w:pStyle w:val="ListParagraph"/>
        <w:numPr>
          <w:ilvl w:val="0"/>
          <w:numId w:val="9"/>
        </w:numPr>
      </w:pPr>
      <w:proofErr w:type="spellStart"/>
      <w:r>
        <w:t>the</w:t>
      </w:r>
      <w:proofErr w:type="spellEnd"/>
      <w:r>
        <w:t xml:space="preserve"> supported DICOM Media </w:t>
      </w:r>
      <w:proofErr w:type="gramStart"/>
      <w:r>
        <w:t>Types;</w:t>
      </w:r>
      <w:proofErr w:type="gramEnd"/>
    </w:p>
    <w:p w14:paraId="5AE0266E" w14:textId="77777777" w:rsidR="00686284" w:rsidRDefault="00686284" w:rsidP="00686284">
      <w:pPr>
        <w:pStyle w:val="ListParagraph"/>
        <w:numPr>
          <w:ilvl w:val="0"/>
          <w:numId w:val="9"/>
        </w:numPr>
      </w:pPr>
      <w:proofErr w:type="spellStart"/>
      <w:r>
        <w:t>the</w:t>
      </w:r>
      <w:proofErr w:type="spellEnd"/>
      <w:r>
        <w:t xml:space="preserve"> supported character sets (if other than UTF-8).</w:t>
      </w:r>
    </w:p>
    <w:p w14:paraId="0CD03401" w14:textId="387ECE73" w:rsidR="00686284" w:rsidRDefault="00686284" w:rsidP="00686284">
      <w:r w:rsidRPr="00E24667">
        <w:t xml:space="preserve">An origin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58" w:name="_Toc170226774"/>
      <w:r>
        <w:t>X.3</w:t>
      </w:r>
      <w:r>
        <w:tab/>
        <w:t>Transaction Overview</w:t>
      </w:r>
      <w:bookmarkEnd w:id="58"/>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lastRenderedPageBreak/>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lastRenderedPageBreak/>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59" w:name="_Toc170226775"/>
      <w:r>
        <w:t>X.4</w:t>
      </w:r>
      <w:r>
        <w:tab/>
      </w:r>
      <w:r w:rsidR="006D46A6">
        <w:t xml:space="preserve">Create Workitem </w:t>
      </w:r>
      <w:r>
        <w:t>Transaction</w:t>
      </w:r>
      <w:bookmarkEnd w:id="59"/>
    </w:p>
    <w:p w14:paraId="6F9056E3" w14:textId="0ED293DA" w:rsidR="00AE7F62" w:rsidRDefault="006C7A32" w:rsidP="006B1641">
      <w:pPr>
        <w:pStyle w:val="Heading3"/>
      </w:pPr>
      <w:bookmarkStart w:id="60" w:name="_Toc170226776"/>
      <w:r>
        <w:t>X.4.1</w:t>
      </w:r>
      <w:r>
        <w:tab/>
        <w:t>Request</w:t>
      </w:r>
      <w:bookmarkEnd w:id="60"/>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1" w:name="_Toc170226777"/>
      <w:r>
        <w:t>X.4.2</w:t>
      </w:r>
      <w:r>
        <w:tab/>
        <w:t>Behavior</w:t>
      </w:r>
      <w:bookmarkEnd w:id="61"/>
    </w:p>
    <w:p w14:paraId="30E36966" w14:textId="38EFFC1B" w:rsidR="00873769" w:rsidRDefault="00873769" w:rsidP="00873769">
      <w:r>
        <w:t xml:space="preserve">The origin server shall create a new Workitem </w:t>
      </w:r>
      <w:r w:rsidR="00FC2B23">
        <w:t xml:space="preserve">and set it in </w:t>
      </w:r>
      <w:r>
        <w:t xml:space="preserve">the </w:t>
      </w:r>
      <w:proofErr w:type="gramStart"/>
      <w:r w:rsidR="00FC2B23">
        <w:t>IN PROGRESS</w:t>
      </w:r>
      <w:proofErr w:type="gramEnd"/>
      <w:r w:rsidR="00FC2B23">
        <w:t xml:space="preserve">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The origin server shall create and maintain the Workitem as specified by the SCP behavior defined in Section CC.2.5.3 in PS3.4.</w:t>
      </w:r>
    </w:p>
    <w:p w14:paraId="2942167F" w14:textId="18F1F286" w:rsidR="006C7A32" w:rsidRDefault="006C7A32" w:rsidP="006B1641">
      <w:pPr>
        <w:pStyle w:val="Heading3"/>
      </w:pPr>
      <w:bookmarkStart w:id="62" w:name="_Toc170226778"/>
      <w:r>
        <w:t>X.4.3</w:t>
      </w:r>
      <w:r>
        <w:tab/>
        <w:t>Response</w:t>
      </w:r>
      <w:bookmarkEnd w:id="62"/>
    </w:p>
    <w:p w14:paraId="2B04B588" w14:textId="0FC1C47B" w:rsidR="004833A3" w:rsidRPr="004833A3" w:rsidRDefault="007943A6" w:rsidP="004833A3">
      <w:r>
        <w:t>See 11.4.3.</w:t>
      </w:r>
    </w:p>
    <w:p w14:paraId="5002246A" w14:textId="32412F88" w:rsidR="00D03740" w:rsidRDefault="00D03740" w:rsidP="00AE7F62">
      <w:pPr>
        <w:pStyle w:val="Heading2"/>
      </w:pPr>
      <w:bookmarkStart w:id="63" w:name="_Toc170226779"/>
      <w:r>
        <w:t>X.5</w:t>
      </w:r>
      <w:r>
        <w:tab/>
        <w:t>Claim and Prepare Workitem Transaction</w:t>
      </w:r>
      <w:bookmarkEnd w:id="63"/>
    </w:p>
    <w:p w14:paraId="33FE120A" w14:textId="4950C804" w:rsidR="004833A3" w:rsidRDefault="004833A3" w:rsidP="004833A3">
      <w:pPr>
        <w:pStyle w:val="Heading3"/>
      </w:pPr>
      <w:bookmarkStart w:id="64" w:name="_Toc170226780"/>
      <w:r>
        <w:t>X.</w:t>
      </w:r>
      <w:r w:rsidR="00373730">
        <w:t>5</w:t>
      </w:r>
      <w:r>
        <w:t>.1</w:t>
      </w:r>
      <w:r>
        <w:tab/>
        <w:t>Request</w:t>
      </w:r>
      <w:bookmarkEnd w:id="64"/>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65" w:name="_Toc170226781"/>
      <w:r>
        <w:t>X.</w:t>
      </w:r>
      <w:r w:rsidR="00373730">
        <w:t>5</w:t>
      </w:r>
      <w:r>
        <w:t>.2</w:t>
      </w:r>
      <w:r>
        <w:tab/>
        <w:t>Behavior</w:t>
      </w:r>
      <w:bookmarkEnd w:id="65"/>
    </w:p>
    <w:p w14:paraId="1374D6A3" w14:textId="77777777" w:rsidR="004833A3" w:rsidRPr="004833A3" w:rsidRDefault="004833A3" w:rsidP="004833A3"/>
    <w:p w14:paraId="045AF64C" w14:textId="18D84397" w:rsidR="004833A3" w:rsidRDefault="004833A3" w:rsidP="004833A3">
      <w:pPr>
        <w:pStyle w:val="Heading3"/>
      </w:pPr>
      <w:bookmarkStart w:id="66" w:name="_Toc170226782"/>
      <w:r>
        <w:t>X.</w:t>
      </w:r>
      <w:r w:rsidR="00373730">
        <w:t>5</w:t>
      </w:r>
      <w:r>
        <w:t>.3</w:t>
      </w:r>
      <w:r>
        <w:tab/>
        <w:t>Response</w:t>
      </w:r>
      <w:bookmarkEnd w:id="66"/>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67" w:name="_Toc170226783"/>
      <w:r>
        <w:t>X.6</w:t>
      </w:r>
      <w:r>
        <w:tab/>
      </w:r>
      <w:r w:rsidR="006D46A6">
        <w:t xml:space="preserve">Retrieve </w:t>
      </w:r>
      <w:r>
        <w:t>Workitem Transaction</w:t>
      </w:r>
      <w:bookmarkEnd w:id="67"/>
    </w:p>
    <w:p w14:paraId="60A01FAD" w14:textId="0ED760DA" w:rsidR="004833A3" w:rsidRDefault="004833A3" w:rsidP="004833A3">
      <w:pPr>
        <w:pStyle w:val="Heading3"/>
      </w:pPr>
      <w:bookmarkStart w:id="68" w:name="_Toc170226784"/>
      <w:r>
        <w:t>X.</w:t>
      </w:r>
      <w:r w:rsidR="00373730">
        <w:t>6</w:t>
      </w:r>
      <w:r>
        <w:t>.1</w:t>
      </w:r>
      <w:r>
        <w:tab/>
        <w:t>Request</w:t>
      </w:r>
      <w:bookmarkEnd w:id="68"/>
    </w:p>
    <w:p w14:paraId="79EC22DC" w14:textId="77777777" w:rsidR="004833A3" w:rsidRPr="004833A3" w:rsidRDefault="004833A3" w:rsidP="004833A3"/>
    <w:p w14:paraId="5C60095A" w14:textId="290A20D4" w:rsidR="004833A3" w:rsidRDefault="004833A3" w:rsidP="004833A3">
      <w:pPr>
        <w:pStyle w:val="Heading3"/>
      </w:pPr>
      <w:bookmarkStart w:id="69" w:name="_Toc170226785"/>
      <w:r>
        <w:t>X.</w:t>
      </w:r>
      <w:r w:rsidR="00373730">
        <w:t>6</w:t>
      </w:r>
      <w:r>
        <w:t>.2</w:t>
      </w:r>
      <w:r>
        <w:tab/>
        <w:t>Behavior</w:t>
      </w:r>
      <w:bookmarkEnd w:id="69"/>
    </w:p>
    <w:p w14:paraId="6B539E9B" w14:textId="77777777" w:rsidR="004833A3" w:rsidRPr="004833A3" w:rsidRDefault="004833A3" w:rsidP="004833A3"/>
    <w:p w14:paraId="01F88325" w14:textId="2717A688" w:rsidR="004833A3" w:rsidRDefault="004833A3" w:rsidP="004833A3">
      <w:pPr>
        <w:pStyle w:val="Heading3"/>
      </w:pPr>
      <w:bookmarkStart w:id="70" w:name="_Toc170226786"/>
      <w:r>
        <w:t>X.</w:t>
      </w:r>
      <w:r w:rsidR="00373730">
        <w:t>6</w:t>
      </w:r>
      <w:r>
        <w:t>.3</w:t>
      </w:r>
      <w:r>
        <w:tab/>
        <w:t>Response</w:t>
      </w:r>
      <w:bookmarkEnd w:id="70"/>
    </w:p>
    <w:p w14:paraId="35CBC609" w14:textId="77777777" w:rsidR="004833A3" w:rsidRPr="004833A3" w:rsidRDefault="004833A3" w:rsidP="004833A3"/>
    <w:p w14:paraId="2D541207" w14:textId="45E335F6" w:rsidR="00D03740" w:rsidRDefault="00D03740" w:rsidP="00AE7F62">
      <w:pPr>
        <w:pStyle w:val="Heading2"/>
      </w:pPr>
      <w:bookmarkStart w:id="71" w:name="_Toc170226787"/>
      <w:r>
        <w:t>X.</w:t>
      </w:r>
      <w:r w:rsidR="00373730">
        <w:t>7</w:t>
      </w:r>
      <w:r>
        <w:tab/>
      </w:r>
      <w:r w:rsidR="00AE7694">
        <w:t xml:space="preserve">Report Progress on Workitem </w:t>
      </w:r>
      <w:r w:rsidR="00673206">
        <w:t>Transaction</w:t>
      </w:r>
      <w:bookmarkEnd w:id="71"/>
    </w:p>
    <w:p w14:paraId="2F4DEDE3" w14:textId="75BEE70A" w:rsidR="00373730" w:rsidRDefault="00373730" w:rsidP="00373730">
      <w:pPr>
        <w:pStyle w:val="Heading3"/>
      </w:pPr>
      <w:bookmarkStart w:id="72" w:name="_Toc170226788"/>
      <w:r>
        <w:t>X.7.1</w:t>
      </w:r>
      <w:r>
        <w:tab/>
        <w:t>Request</w:t>
      </w:r>
      <w:bookmarkEnd w:id="72"/>
    </w:p>
    <w:p w14:paraId="5BABEE63" w14:textId="77777777" w:rsidR="00373730" w:rsidRPr="004833A3" w:rsidRDefault="00373730" w:rsidP="00373730"/>
    <w:p w14:paraId="6051D870" w14:textId="27E28554" w:rsidR="00373730" w:rsidRDefault="00373730" w:rsidP="00373730">
      <w:pPr>
        <w:pStyle w:val="Heading3"/>
      </w:pPr>
      <w:bookmarkStart w:id="73" w:name="_Toc170226789"/>
      <w:r>
        <w:t>X.7.2</w:t>
      </w:r>
      <w:r>
        <w:tab/>
        <w:t>Behavior</w:t>
      </w:r>
      <w:bookmarkEnd w:id="73"/>
    </w:p>
    <w:p w14:paraId="3EE91B20" w14:textId="77777777" w:rsidR="00373730" w:rsidRPr="004833A3" w:rsidRDefault="00373730" w:rsidP="00373730"/>
    <w:p w14:paraId="0FC27DAF" w14:textId="7EB0B802" w:rsidR="00373730" w:rsidRDefault="00373730" w:rsidP="00373730">
      <w:pPr>
        <w:pStyle w:val="Heading3"/>
      </w:pPr>
      <w:bookmarkStart w:id="74" w:name="_Toc170226790"/>
      <w:r>
        <w:lastRenderedPageBreak/>
        <w:t>X.7.3</w:t>
      </w:r>
      <w:r>
        <w:tab/>
        <w:t>Response</w:t>
      </w:r>
      <w:bookmarkEnd w:id="74"/>
    </w:p>
    <w:p w14:paraId="335C5AFF" w14:textId="77777777" w:rsidR="00373730" w:rsidRPr="004833A3" w:rsidRDefault="00373730" w:rsidP="00373730"/>
    <w:p w14:paraId="0B1F11C9" w14:textId="3E99C91F" w:rsidR="00673206" w:rsidRDefault="00673206" w:rsidP="00AE7F62">
      <w:pPr>
        <w:pStyle w:val="Heading2"/>
      </w:pPr>
      <w:bookmarkStart w:id="75" w:name="_Toc170226791"/>
      <w:r>
        <w:t>X.8</w:t>
      </w:r>
      <w:r>
        <w:tab/>
      </w:r>
      <w:r w:rsidR="00AE7694">
        <w:t xml:space="preserve">Change Workitem State </w:t>
      </w:r>
      <w:r>
        <w:t>Transaction</w:t>
      </w:r>
      <w:bookmarkEnd w:id="75"/>
    </w:p>
    <w:p w14:paraId="6DA4C7AE" w14:textId="3C81198B" w:rsidR="00373730" w:rsidRDefault="00373730" w:rsidP="00373730">
      <w:pPr>
        <w:pStyle w:val="Heading3"/>
      </w:pPr>
      <w:bookmarkStart w:id="76" w:name="_Toc170226792"/>
      <w:r>
        <w:t>X.8.1</w:t>
      </w:r>
      <w:r>
        <w:tab/>
        <w:t>Request</w:t>
      </w:r>
      <w:bookmarkEnd w:id="76"/>
    </w:p>
    <w:p w14:paraId="658D40BD" w14:textId="77777777" w:rsidR="00373730" w:rsidRPr="004833A3" w:rsidRDefault="00373730" w:rsidP="00373730"/>
    <w:p w14:paraId="42C87847" w14:textId="0D90C356" w:rsidR="00373730" w:rsidRDefault="00373730" w:rsidP="00373730">
      <w:pPr>
        <w:pStyle w:val="Heading3"/>
      </w:pPr>
      <w:bookmarkStart w:id="77" w:name="_Toc170226793"/>
      <w:r>
        <w:t>X.8.2</w:t>
      </w:r>
      <w:r>
        <w:tab/>
        <w:t>Behavior</w:t>
      </w:r>
      <w:bookmarkEnd w:id="77"/>
    </w:p>
    <w:p w14:paraId="1FBB1A34" w14:textId="77777777" w:rsidR="00373730" w:rsidRPr="004833A3" w:rsidRDefault="00373730" w:rsidP="00373730"/>
    <w:p w14:paraId="67E911A2" w14:textId="43665CDE" w:rsidR="00373730" w:rsidRDefault="00373730" w:rsidP="00373730">
      <w:pPr>
        <w:pStyle w:val="Heading3"/>
      </w:pPr>
      <w:bookmarkStart w:id="78" w:name="_Toc170226794"/>
      <w:r>
        <w:t>X.8.3</w:t>
      </w:r>
      <w:r>
        <w:tab/>
        <w:t>Response</w:t>
      </w:r>
      <w:bookmarkEnd w:id="78"/>
    </w:p>
    <w:p w14:paraId="73565E66" w14:textId="77777777" w:rsidR="00373730" w:rsidRPr="004833A3" w:rsidRDefault="00373730" w:rsidP="00373730"/>
    <w:p w14:paraId="53705422" w14:textId="7736B134" w:rsidR="00373730" w:rsidRDefault="00373730" w:rsidP="00373730">
      <w:pPr>
        <w:pStyle w:val="Heading3"/>
      </w:pPr>
      <w:bookmarkStart w:id="79" w:name="_Toc170226795"/>
      <w:r>
        <w:t>X.8.3.1</w:t>
      </w:r>
      <w:r>
        <w:tab/>
        <w:t>Status Codes</w:t>
      </w:r>
      <w:bookmarkEnd w:id="79"/>
    </w:p>
    <w:p w14:paraId="1758778B" w14:textId="77777777" w:rsidR="00373730" w:rsidRPr="004833A3" w:rsidRDefault="00373730" w:rsidP="00373730"/>
    <w:p w14:paraId="37EEC525" w14:textId="125DF6E2" w:rsidR="00373730" w:rsidRDefault="00373730" w:rsidP="00373730">
      <w:pPr>
        <w:pStyle w:val="Heading3"/>
      </w:pPr>
      <w:bookmarkStart w:id="80" w:name="_Toc170226796"/>
      <w:r>
        <w:t>X.8.3.2</w:t>
      </w:r>
      <w:r>
        <w:tab/>
        <w:t>Response Header Fields</w:t>
      </w:r>
      <w:bookmarkEnd w:id="80"/>
    </w:p>
    <w:p w14:paraId="5E0DF860" w14:textId="77777777" w:rsidR="00373730" w:rsidRPr="004833A3" w:rsidRDefault="00373730" w:rsidP="00373730"/>
    <w:p w14:paraId="58FE7635" w14:textId="3B6D561E" w:rsidR="00373730" w:rsidRDefault="00373730" w:rsidP="00373730">
      <w:pPr>
        <w:pStyle w:val="Heading3"/>
      </w:pPr>
      <w:bookmarkStart w:id="81" w:name="_Toc170226797"/>
      <w:r>
        <w:t>X.8.3.3</w:t>
      </w:r>
      <w:r>
        <w:tab/>
        <w:t>Response Payload</w:t>
      </w:r>
      <w:bookmarkEnd w:id="81"/>
    </w:p>
    <w:p w14:paraId="0B7AA334" w14:textId="77777777" w:rsidR="00AE7F62" w:rsidRPr="00AE7F62" w:rsidRDefault="00AE7F62" w:rsidP="00AE7F62"/>
    <w:p w14:paraId="37708360" w14:textId="73BBB8AC" w:rsidR="00673206" w:rsidRDefault="00673206" w:rsidP="00AE7F62">
      <w:pPr>
        <w:pStyle w:val="Heading2"/>
      </w:pPr>
      <w:bookmarkStart w:id="82" w:name="_Toc170226798"/>
      <w:r>
        <w:t>X.</w:t>
      </w:r>
      <w:r w:rsidR="00373730">
        <w:t>9</w:t>
      </w:r>
      <w:r>
        <w:tab/>
        <w:t xml:space="preserve">Get </w:t>
      </w:r>
      <w:r w:rsidR="00D15833">
        <w:t>Applicable Workitems</w:t>
      </w:r>
      <w:r>
        <w:t xml:space="preserve"> Transaction</w:t>
      </w:r>
      <w:bookmarkEnd w:id="82"/>
    </w:p>
    <w:p w14:paraId="3F997086" w14:textId="060BBEEA" w:rsidR="00373730" w:rsidRDefault="00373730" w:rsidP="00373730">
      <w:pPr>
        <w:pStyle w:val="Heading3"/>
      </w:pPr>
      <w:bookmarkStart w:id="83" w:name="_Toc170226799"/>
      <w:r>
        <w:t>X.9.1</w:t>
      </w:r>
      <w:r>
        <w:tab/>
        <w:t>Request</w:t>
      </w:r>
      <w:bookmarkEnd w:id="83"/>
    </w:p>
    <w:p w14:paraId="7C7E8F88" w14:textId="77777777" w:rsidR="00373730" w:rsidRPr="004833A3" w:rsidRDefault="00373730" w:rsidP="00373730"/>
    <w:p w14:paraId="04D78D9C" w14:textId="6063A02B" w:rsidR="00373730" w:rsidRDefault="00373730" w:rsidP="00373730">
      <w:pPr>
        <w:pStyle w:val="Heading3"/>
      </w:pPr>
      <w:bookmarkStart w:id="84" w:name="_Toc170226800"/>
      <w:r>
        <w:t>X.</w:t>
      </w:r>
      <w:r w:rsidR="009754B7">
        <w:t>9</w:t>
      </w:r>
      <w:r>
        <w:t>.2</w:t>
      </w:r>
      <w:r>
        <w:tab/>
        <w:t>Behavior</w:t>
      </w:r>
      <w:bookmarkEnd w:id="84"/>
    </w:p>
    <w:p w14:paraId="5C605F94" w14:textId="77777777" w:rsidR="00373730" w:rsidRPr="004833A3" w:rsidRDefault="00373730" w:rsidP="00373730"/>
    <w:p w14:paraId="783F9CA9" w14:textId="6D1F170F" w:rsidR="00373730" w:rsidRDefault="00373730" w:rsidP="00373730">
      <w:pPr>
        <w:pStyle w:val="Heading3"/>
      </w:pPr>
      <w:bookmarkStart w:id="85" w:name="_Toc170226801"/>
      <w:r>
        <w:t>X.</w:t>
      </w:r>
      <w:r w:rsidR="009754B7">
        <w:t>9</w:t>
      </w:r>
      <w:r>
        <w:t>.3</w:t>
      </w:r>
      <w:r>
        <w:tab/>
        <w:t>Response</w:t>
      </w:r>
      <w:bookmarkEnd w:id="85"/>
    </w:p>
    <w:p w14:paraId="3B69EED0" w14:textId="77777777" w:rsidR="00373730" w:rsidRPr="004833A3" w:rsidRDefault="00373730" w:rsidP="00373730"/>
    <w:p w14:paraId="1A12E5A2" w14:textId="079D8B22" w:rsidR="00D15833" w:rsidRDefault="00D15833" w:rsidP="00D15833">
      <w:pPr>
        <w:pStyle w:val="Heading2"/>
      </w:pPr>
      <w:bookmarkStart w:id="86" w:name="_Toc170226802"/>
      <w:r>
        <w:t>X.10</w:t>
      </w:r>
      <w:r>
        <w:tab/>
        <w:t>Subscribe to Workitem Changes Transaction</w:t>
      </w:r>
      <w:bookmarkEnd w:id="86"/>
    </w:p>
    <w:p w14:paraId="620034FE" w14:textId="77777777" w:rsidR="00D15833" w:rsidRDefault="00D15833" w:rsidP="00D15833">
      <w:pPr>
        <w:pStyle w:val="Heading3"/>
      </w:pPr>
      <w:bookmarkStart w:id="87" w:name="_Toc170226803"/>
      <w:r>
        <w:t>X.9.1</w:t>
      </w:r>
      <w:r>
        <w:tab/>
        <w:t>Request</w:t>
      </w:r>
      <w:bookmarkEnd w:id="87"/>
    </w:p>
    <w:p w14:paraId="3CFDD681" w14:textId="77777777" w:rsidR="00D15833" w:rsidRPr="004833A3" w:rsidRDefault="00D15833" w:rsidP="00D15833"/>
    <w:p w14:paraId="3CF6B671" w14:textId="77777777" w:rsidR="00D15833" w:rsidRDefault="00D15833" w:rsidP="00D15833">
      <w:pPr>
        <w:pStyle w:val="Heading3"/>
      </w:pPr>
      <w:bookmarkStart w:id="88" w:name="_Toc170226804"/>
      <w:r>
        <w:t>X.9.2</w:t>
      </w:r>
      <w:r>
        <w:tab/>
        <w:t>Behavior</w:t>
      </w:r>
      <w:bookmarkEnd w:id="88"/>
    </w:p>
    <w:p w14:paraId="5FC1D0B6" w14:textId="77777777" w:rsidR="00D15833" w:rsidRPr="004833A3" w:rsidRDefault="00D15833" w:rsidP="00D15833"/>
    <w:p w14:paraId="2970B0C8" w14:textId="77777777" w:rsidR="00D15833" w:rsidRDefault="00D15833" w:rsidP="00D15833">
      <w:pPr>
        <w:pStyle w:val="Heading3"/>
      </w:pPr>
      <w:bookmarkStart w:id="89" w:name="_Toc170226805"/>
      <w:r>
        <w:t>X.9.3</w:t>
      </w:r>
      <w:r>
        <w:tab/>
        <w:t>Response</w:t>
      </w:r>
      <w:bookmarkEnd w:id="89"/>
    </w:p>
    <w:p w14:paraId="633ABA40" w14:textId="77777777" w:rsidR="00D15833" w:rsidRPr="004833A3" w:rsidRDefault="00D15833" w:rsidP="00D15833"/>
    <w:p w14:paraId="55363E9A" w14:textId="6F9DBAAA" w:rsidR="00C82FB4" w:rsidRDefault="00C82FB4" w:rsidP="00C82FB4">
      <w:pPr>
        <w:pStyle w:val="Heading2"/>
      </w:pPr>
      <w:bookmarkStart w:id="90" w:name="_Toc170226806"/>
      <w:r>
        <w:t>X.11</w:t>
      </w:r>
      <w:r>
        <w:tab/>
        <w:t>Unsubscribe to Workitem Changes Transaction</w:t>
      </w:r>
      <w:bookmarkEnd w:id="90"/>
    </w:p>
    <w:p w14:paraId="1D0C75CF" w14:textId="77777777" w:rsidR="00C82FB4" w:rsidRDefault="00C82FB4" w:rsidP="00C82FB4">
      <w:pPr>
        <w:pStyle w:val="Heading3"/>
      </w:pPr>
      <w:bookmarkStart w:id="91" w:name="_Toc170226807"/>
      <w:r>
        <w:t>X.9.1</w:t>
      </w:r>
      <w:r>
        <w:tab/>
        <w:t>Request</w:t>
      </w:r>
      <w:bookmarkEnd w:id="91"/>
    </w:p>
    <w:p w14:paraId="02105434" w14:textId="77777777" w:rsidR="00C82FB4" w:rsidRPr="004833A3" w:rsidRDefault="00C82FB4" w:rsidP="00C82FB4"/>
    <w:p w14:paraId="477B05BD" w14:textId="77777777" w:rsidR="00C82FB4" w:rsidRDefault="00C82FB4" w:rsidP="00C82FB4">
      <w:pPr>
        <w:pStyle w:val="Heading3"/>
      </w:pPr>
      <w:bookmarkStart w:id="92" w:name="_Toc170226808"/>
      <w:r>
        <w:t>X.9.2</w:t>
      </w:r>
      <w:r>
        <w:tab/>
        <w:t>Behavior</w:t>
      </w:r>
      <w:bookmarkEnd w:id="92"/>
    </w:p>
    <w:p w14:paraId="5597FC01" w14:textId="77777777" w:rsidR="00C82FB4" w:rsidRPr="004833A3" w:rsidRDefault="00C82FB4" w:rsidP="00C82FB4"/>
    <w:p w14:paraId="42AB82C3" w14:textId="77777777" w:rsidR="00C82FB4" w:rsidRDefault="00C82FB4" w:rsidP="00C82FB4">
      <w:pPr>
        <w:pStyle w:val="Heading3"/>
      </w:pPr>
      <w:bookmarkStart w:id="93" w:name="_Toc170226809"/>
      <w:r>
        <w:lastRenderedPageBreak/>
        <w:t>X.9.3</w:t>
      </w:r>
      <w:r>
        <w:tab/>
        <w:t>Response</w:t>
      </w:r>
      <w:bookmarkEnd w:id="93"/>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94" w:name="_Toc170226810"/>
      <w:r>
        <w:t>B.x</w:t>
      </w:r>
      <w:r w:rsidR="00BC54E0">
        <w:t>1</w:t>
      </w:r>
      <w:r>
        <w:tab/>
        <w:t xml:space="preserve">Example </w:t>
      </w:r>
      <w:r w:rsidR="00BC54E0">
        <w:t>1</w:t>
      </w:r>
      <w:bookmarkEnd w:id="94"/>
    </w:p>
    <w:p w14:paraId="377A8D0A" w14:textId="77777777" w:rsidR="00864A7E" w:rsidRDefault="00864A7E" w:rsidP="00916206">
      <w:pPr>
        <w:pStyle w:val="Heading2"/>
      </w:pPr>
    </w:p>
    <w:p w14:paraId="56C15423" w14:textId="71D654FB" w:rsidR="00D15833" w:rsidRDefault="00916206" w:rsidP="00916206">
      <w:pPr>
        <w:pStyle w:val="Heading2"/>
      </w:pPr>
      <w:bookmarkStart w:id="95" w:name="_Toc170226811"/>
      <w:r>
        <w:t>B.x</w:t>
      </w:r>
      <w:r w:rsidR="00BC54E0">
        <w:t>2</w:t>
      </w:r>
      <w:r>
        <w:tab/>
      </w:r>
      <w:r w:rsidR="00E964A1">
        <w:t>Bi-directional Prox</w:t>
      </w:r>
      <w:r w:rsidR="00864A7E">
        <w:t>ies</w:t>
      </w:r>
      <w:bookmarkEnd w:id="95"/>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Pr="00FE3B13" w:rsidRDefault="00DF3065" w:rsidP="00FE3B13">
      <w:r>
        <w:t>…</w:t>
      </w:r>
    </w:p>
    <w:sectPr w:rsidR="0067320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Jeroen Medema" w:date="2024-06-21T11:47:00Z" w:initials="JM">
    <w:p w14:paraId="75183BB9" w14:textId="77777777"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3" w:author="Krotz, Dieter" w:date="2024-07-01T09:14:00Z" w:initials="KD">
    <w:p w14:paraId="4B2233DD" w14:textId="77777777" w:rsidR="00011F6A" w:rsidRDefault="00011F6A" w:rsidP="00E9356E">
      <w:pPr>
        <w:pStyle w:val="CommentText"/>
      </w:pPr>
      <w:r>
        <w:rPr>
          <w:rStyle w:val="CommentReference"/>
        </w:rPr>
        <w:annotationRef/>
      </w:r>
      <w:r>
        <w:t>The raw images contain the link to the study already (by StudyInstanceUid), the PACS normally only needs to know that when the study is complete so that a review can happen. Also sometimes the PACS can provide a instance availability notification based on the finished acquisition on the modality. I would reformulate this part.</w:t>
      </w:r>
    </w:p>
  </w:comment>
  <w:comment w:id="52" w:author="Jeroen Medema" w:date="2024-06-21T15:25:00Z" w:initials="JM">
    <w:p w14:paraId="4F42325A" w14:textId="2D8D519E" w:rsidR="00D65A50" w:rsidRDefault="00D65A50" w:rsidP="00D65A50">
      <w:pPr>
        <w:pStyle w:val="CommentText"/>
      </w:pPr>
      <w:r>
        <w:rPr>
          <w:rStyle w:val="CommentReference"/>
        </w:rPr>
        <w:annotationRef/>
      </w:r>
      <w:r>
        <w:t>This text has been adapted from note 1 in Annex F.9 of PS3.4.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83BB9" w15:done="0"/>
  <w15:commentEx w15:paraId="4B2233DD" w15:done="0"/>
  <w15:commentEx w15:paraId="4F4232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864141" w16cex:dateUtc="2024-06-21T09:47:00Z"/>
  <w16cex:commentExtensible w16cex:durableId="2A2CF1D9" w16cex:dateUtc="2024-07-01T07:14:00Z"/>
  <w16cex:commentExtensible w16cex:durableId="74F4F625" w16cex:dateUtc="2024-06-21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83BB9" w16cid:durableId="34864141"/>
  <w16cid:commentId w16cid:paraId="4B2233DD" w16cid:durableId="2A2CF1D9"/>
  <w16cid:commentId w16cid:paraId="4F42325A" w16cid:durableId="74F4F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CC75" w14:textId="77777777" w:rsidR="00C61723" w:rsidRDefault="00C61723">
      <w:pPr>
        <w:spacing w:after="0"/>
      </w:pPr>
      <w:r>
        <w:separator/>
      </w:r>
    </w:p>
  </w:endnote>
  <w:endnote w:type="continuationSeparator" w:id="0">
    <w:p w14:paraId="3329C7B3" w14:textId="77777777" w:rsidR="00C61723" w:rsidRDefault="00C61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40A3" w14:textId="77777777" w:rsidR="00C61723" w:rsidRDefault="00C61723">
      <w:pPr>
        <w:spacing w:after="0"/>
      </w:pPr>
      <w:r>
        <w:separator/>
      </w:r>
    </w:p>
  </w:footnote>
  <w:footnote w:type="continuationSeparator" w:id="0">
    <w:p w14:paraId="39F58D18" w14:textId="77777777" w:rsidR="00C61723" w:rsidRDefault="00C617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9"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7"/>
  </w:num>
  <w:num w:numId="3" w16cid:durableId="1919170070">
    <w:abstractNumId w:val="8"/>
  </w:num>
  <w:num w:numId="4" w16cid:durableId="175577463">
    <w:abstractNumId w:val="0"/>
  </w:num>
  <w:num w:numId="5" w16cid:durableId="1865510697">
    <w:abstractNumId w:val="5"/>
  </w:num>
  <w:num w:numId="6" w16cid:durableId="2057001118">
    <w:abstractNumId w:val="9"/>
  </w:num>
  <w:num w:numId="7" w16cid:durableId="717818846">
    <w:abstractNumId w:val="4"/>
  </w:num>
  <w:num w:numId="8" w16cid:durableId="560869225">
    <w:abstractNumId w:val="3"/>
  </w:num>
  <w:num w:numId="9" w16cid:durableId="544492390">
    <w:abstractNumId w:val="6"/>
  </w:num>
  <w:num w:numId="10" w16cid:durableId="1198927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oen Medema">
    <w15:presenceInfo w15:providerId="AD" w15:userId="S::jeroen.medema@philips.com::90144b7f-eec6-4c83-8b10-defe49b600ac"/>
  </w15:person>
  <w15:person w15:author="Krotz, Dieter">
    <w15:presenceInfo w15:providerId="AD" w15:userId="S::dieter.krotz@siemens-healthineers.com::5ca6bc1a-6ec7-49b7-a370-e14647c53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1F6A"/>
    <w:rsid w:val="00013C36"/>
    <w:rsid w:val="000149B2"/>
    <w:rsid w:val="00017F5F"/>
    <w:rsid w:val="00021772"/>
    <w:rsid w:val="0002437F"/>
    <w:rsid w:val="00026FF8"/>
    <w:rsid w:val="000279D0"/>
    <w:rsid w:val="00031196"/>
    <w:rsid w:val="000402F2"/>
    <w:rsid w:val="0006144D"/>
    <w:rsid w:val="00067A66"/>
    <w:rsid w:val="000725C8"/>
    <w:rsid w:val="000756F0"/>
    <w:rsid w:val="00075D2A"/>
    <w:rsid w:val="00076837"/>
    <w:rsid w:val="00085730"/>
    <w:rsid w:val="00093249"/>
    <w:rsid w:val="00095316"/>
    <w:rsid w:val="00097C3C"/>
    <w:rsid w:val="000A0D87"/>
    <w:rsid w:val="000D2F2A"/>
    <w:rsid w:val="000E0F68"/>
    <w:rsid w:val="000E25BF"/>
    <w:rsid w:val="000E3F4E"/>
    <w:rsid w:val="000E6462"/>
    <w:rsid w:val="000F2CE5"/>
    <w:rsid w:val="00106A76"/>
    <w:rsid w:val="00113A60"/>
    <w:rsid w:val="00124198"/>
    <w:rsid w:val="0013554A"/>
    <w:rsid w:val="001363F8"/>
    <w:rsid w:val="00161D37"/>
    <w:rsid w:val="00174F00"/>
    <w:rsid w:val="001866D7"/>
    <w:rsid w:val="001879DC"/>
    <w:rsid w:val="0019031A"/>
    <w:rsid w:val="001919FF"/>
    <w:rsid w:val="001A1808"/>
    <w:rsid w:val="001B105F"/>
    <w:rsid w:val="001B1224"/>
    <w:rsid w:val="001B3FB9"/>
    <w:rsid w:val="001B41A0"/>
    <w:rsid w:val="001C0451"/>
    <w:rsid w:val="001C46EE"/>
    <w:rsid w:val="001C589A"/>
    <w:rsid w:val="001C762F"/>
    <w:rsid w:val="001E398E"/>
    <w:rsid w:val="001E6BA1"/>
    <w:rsid w:val="001E7933"/>
    <w:rsid w:val="001F2478"/>
    <w:rsid w:val="001F7344"/>
    <w:rsid w:val="00201636"/>
    <w:rsid w:val="00201D51"/>
    <w:rsid w:val="002051E3"/>
    <w:rsid w:val="00211E2F"/>
    <w:rsid w:val="0021595C"/>
    <w:rsid w:val="00237B38"/>
    <w:rsid w:val="00252D03"/>
    <w:rsid w:val="00252EE2"/>
    <w:rsid w:val="0026121A"/>
    <w:rsid w:val="002832CA"/>
    <w:rsid w:val="00293F38"/>
    <w:rsid w:val="0029594C"/>
    <w:rsid w:val="002A1111"/>
    <w:rsid w:val="002B2FFA"/>
    <w:rsid w:val="002B4F5F"/>
    <w:rsid w:val="002B6948"/>
    <w:rsid w:val="002C58AF"/>
    <w:rsid w:val="002D445A"/>
    <w:rsid w:val="002D692B"/>
    <w:rsid w:val="002E6188"/>
    <w:rsid w:val="002E6621"/>
    <w:rsid w:val="002E6E25"/>
    <w:rsid w:val="002F132A"/>
    <w:rsid w:val="0030372A"/>
    <w:rsid w:val="00306F55"/>
    <w:rsid w:val="00311B1C"/>
    <w:rsid w:val="00314927"/>
    <w:rsid w:val="00335EF8"/>
    <w:rsid w:val="003362C0"/>
    <w:rsid w:val="00341645"/>
    <w:rsid w:val="00342DFF"/>
    <w:rsid w:val="003501A5"/>
    <w:rsid w:val="003540AD"/>
    <w:rsid w:val="00361B5D"/>
    <w:rsid w:val="00363325"/>
    <w:rsid w:val="0036559E"/>
    <w:rsid w:val="003708CC"/>
    <w:rsid w:val="00372EF9"/>
    <w:rsid w:val="00373730"/>
    <w:rsid w:val="00377330"/>
    <w:rsid w:val="003801E7"/>
    <w:rsid w:val="00383F33"/>
    <w:rsid w:val="00390973"/>
    <w:rsid w:val="00396F10"/>
    <w:rsid w:val="003A0942"/>
    <w:rsid w:val="003B27A1"/>
    <w:rsid w:val="003B6340"/>
    <w:rsid w:val="003C3FBB"/>
    <w:rsid w:val="003C58AE"/>
    <w:rsid w:val="003D298E"/>
    <w:rsid w:val="003D495C"/>
    <w:rsid w:val="003D679E"/>
    <w:rsid w:val="003D7E1A"/>
    <w:rsid w:val="003E2518"/>
    <w:rsid w:val="003F5A87"/>
    <w:rsid w:val="0040293B"/>
    <w:rsid w:val="00403A44"/>
    <w:rsid w:val="004107E3"/>
    <w:rsid w:val="00414B03"/>
    <w:rsid w:val="00420C1B"/>
    <w:rsid w:val="00425239"/>
    <w:rsid w:val="00436AB0"/>
    <w:rsid w:val="0044276C"/>
    <w:rsid w:val="00443021"/>
    <w:rsid w:val="004448F6"/>
    <w:rsid w:val="004711A1"/>
    <w:rsid w:val="00473288"/>
    <w:rsid w:val="004833A3"/>
    <w:rsid w:val="0049528F"/>
    <w:rsid w:val="004B7FE5"/>
    <w:rsid w:val="004C2402"/>
    <w:rsid w:val="004C2F49"/>
    <w:rsid w:val="004C491D"/>
    <w:rsid w:val="004D543C"/>
    <w:rsid w:val="004E00B8"/>
    <w:rsid w:val="004E29FB"/>
    <w:rsid w:val="004F5DB3"/>
    <w:rsid w:val="004F6B75"/>
    <w:rsid w:val="004F77DD"/>
    <w:rsid w:val="00500FB4"/>
    <w:rsid w:val="005121DE"/>
    <w:rsid w:val="005122B6"/>
    <w:rsid w:val="005142F2"/>
    <w:rsid w:val="0052237A"/>
    <w:rsid w:val="005318A7"/>
    <w:rsid w:val="00536007"/>
    <w:rsid w:val="005370C5"/>
    <w:rsid w:val="00537BF5"/>
    <w:rsid w:val="00542F75"/>
    <w:rsid w:val="0055237D"/>
    <w:rsid w:val="005527AF"/>
    <w:rsid w:val="00556820"/>
    <w:rsid w:val="00557171"/>
    <w:rsid w:val="00572DA7"/>
    <w:rsid w:val="005A5C31"/>
    <w:rsid w:val="005B1092"/>
    <w:rsid w:val="005B5A1D"/>
    <w:rsid w:val="005B666E"/>
    <w:rsid w:val="005B7179"/>
    <w:rsid w:val="005C4298"/>
    <w:rsid w:val="005C4A1D"/>
    <w:rsid w:val="005D3E26"/>
    <w:rsid w:val="005D4FE5"/>
    <w:rsid w:val="005D55F0"/>
    <w:rsid w:val="005E24A1"/>
    <w:rsid w:val="005E2E77"/>
    <w:rsid w:val="005F3A9A"/>
    <w:rsid w:val="00600A37"/>
    <w:rsid w:val="00600AC0"/>
    <w:rsid w:val="00602E91"/>
    <w:rsid w:val="00606570"/>
    <w:rsid w:val="006121C3"/>
    <w:rsid w:val="0061632B"/>
    <w:rsid w:val="00620C9B"/>
    <w:rsid w:val="0062709B"/>
    <w:rsid w:val="006277E2"/>
    <w:rsid w:val="00631FFC"/>
    <w:rsid w:val="00635F31"/>
    <w:rsid w:val="0063719C"/>
    <w:rsid w:val="00650590"/>
    <w:rsid w:val="00653C3E"/>
    <w:rsid w:val="00653CAC"/>
    <w:rsid w:val="006543DA"/>
    <w:rsid w:val="006545C0"/>
    <w:rsid w:val="00661318"/>
    <w:rsid w:val="00664130"/>
    <w:rsid w:val="0066502D"/>
    <w:rsid w:val="00673206"/>
    <w:rsid w:val="00686284"/>
    <w:rsid w:val="0069137A"/>
    <w:rsid w:val="00693312"/>
    <w:rsid w:val="006A0E89"/>
    <w:rsid w:val="006B1641"/>
    <w:rsid w:val="006C119B"/>
    <w:rsid w:val="006C39AF"/>
    <w:rsid w:val="006C7A32"/>
    <w:rsid w:val="006D01FE"/>
    <w:rsid w:val="006D46A6"/>
    <w:rsid w:val="006E28FD"/>
    <w:rsid w:val="006E7282"/>
    <w:rsid w:val="006F39A1"/>
    <w:rsid w:val="00701AFF"/>
    <w:rsid w:val="00703951"/>
    <w:rsid w:val="007066FC"/>
    <w:rsid w:val="007129E6"/>
    <w:rsid w:val="00713EFD"/>
    <w:rsid w:val="00716A07"/>
    <w:rsid w:val="007215CE"/>
    <w:rsid w:val="0072490A"/>
    <w:rsid w:val="00726D1B"/>
    <w:rsid w:val="00730A02"/>
    <w:rsid w:val="00730D56"/>
    <w:rsid w:val="0074126F"/>
    <w:rsid w:val="0074244B"/>
    <w:rsid w:val="00743FDB"/>
    <w:rsid w:val="007532C2"/>
    <w:rsid w:val="007654B3"/>
    <w:rsid w:val="00770E23"/>
    <w:rsid w:val="00777AAD"/>
    <w:rsid w:val="007943A6"/>
    <w:rsid w:val="007B2F08"/>
    <w:rsid w:val="007C4619"/>
    <w:rsid w:val="007C6907"/>
    <w:rsid w:val="007C6CAE"/>
    <w:rsid w:val="007C71B6"/>
    <w:rsid w:val="007D23B2"/>
    <w:rsid w:val="007D2FDB"/>
    <w:rsid w:val="007E531E"/>
    <w:rsid w:val="007F5374"/>
    <w:rsid w:val="00817482"/>
    <w:rsid w:val="00820BFF"/>
    <w:rsid w:val="00823046"/>
    <w:rsid w:val="00823776"/>
    <w:rsid w:val="00827AB3"/>
    <w:rsid w:val="008359AC"/>
    <w:rsid w:val="008451E8"/>
    <w:rsid w:val="0085424D"/>
    <w:rsid w:val="008549D7"/>
    <w:rsid w:val="0086106B"/>
    <w:rsid w:val="00864A7E"/>
    <w:rsid w:val="00870206"/>
    <w:rsid w:val="00873769"/>
    <w:rsid w:val="00873D27"/>
    <w:rsid w:val="00886D51"/>
    <w:rsid w:val="00890546"/>
    <w:rsid w:val="00891250"/>
    <w:rsid w:val="008A33CE"/>
    <w:rsid w:val="008B2119"/>
    <w:rsid w:val="008B4B6D"/>
    <w:rsid w:val="008B60FB"/>
    <w:rsid w:val="008B7C34"/>
    <w:rsid w:val="008C2F46"/>
    <w:rsid w:val="008D114C"/>
    <w:rsid w:val="008D672C"/>
    <w:rsid w:val="008E5033"/>
    <w:rsid w:val="008F43B2"/>
    <w:rsid w:val="00907FD1"/>
    <w:rsid w:val="0091308E"/>
    <w:rsid w:val="00916206"/>
    <w:rsid w:val="00921666"/>
    <w:rsid w:val="00923CD6"/>
    <w:rsid w:val="0094311D"/>
    <w:rsid w:val="00944220"/>
    <w:rsid w:val="00945CAE"/>
    <w:rsid w:val="00946649"/>
    <w:rsid w:val="00951238"/>
    <w:rsid w:val="0095442A"/>
    <w:rsid w:val="009668DB"/>
    <w:rsid w:val="00971B52"/>
    <w:rsid w:val="0097397B"/>
    <w:rsid w:val="009754B7"/>
    <w:rsid w:val="009806FD"/>
    <w:rsid w:val="00991FD1"/>
    <w:rsid w:val="00993198"/>
    <w:rsid w:val="00993F73"/>
    <w:rsid w:val="009A0528"/>
    <w:rsid w:val="009A05C0"/>
    <w:rsid w:val="009B7ABA"/>
    <w:rsid w:val="009C26A5"/>
    <w:rsid w:val="009C3B52"/>
    <w:rsid w:val="009C50F9"/>
    <w:rsid w:val="009D1242"/>
    <w:rsid w:val="009E2AF7"/>
    <w:rsid w:val="009E4C78"/>
    <w:rsid w:val="009F6373"/>
    <w:rsid w:val="00A12FF4"/>
    <w:rsid w:val="00A13B95"/>
    <w:rsid w:val="00A13BFA"/>
    <w:rsid w:val="00A31912"/>
    <w:rsid w:val="00A331E1"/>
    <w:rsid w:val="00A344FB"/>
    <w:rsid w:val="00A3658D"/>
    <w:rsid w:val="00A50A5C"/>
    <w:rsid w:val="00A5399D"/>
    <w:rsid w:val="00A710CF"/>
    <w:rsid w:val="00A723DB"/>
    <w:rsid w:val="00A73CEC"/>
    <w:rsid w:val="00A81108"/>
    <w:rsid w:val="00A9284D"/>
    <w:rsid w:val="00A94193"/>
    <w:rsid w:val="00A9567D"/>
    <w:rsid w:val="00A97FF5"/>
    <w:rsid w:val="00AA0F48"/>
    <w:rsid w:val="00AA73E8"/>
    <w:rsid w:val="00AB0BA2"/>
    <w:rsid w:val="00AB0F9F"/>
    <w:rsid w:val="00AC3915"/>
    <w:rsid w:val="00AE1E2D"/>
    <w:rsid w:val="00AE4FC0"/>
    <w:rsid w:val="00AE5937"/>
    <w:rsid w:val="00AE7694"/>
    <w:rsid w:val="00AE7F62"/>
    <w:rsid w:val="00AF345D"/>
    <w:rsid w:val="00B02C58"/>
    <w:rsid w:val="00B20993"/>
    <w:rsid w:val="00B24CF3"/>
    <w:rsid w:val="00B37E38"/>
    <w:rsid w:val="00B42BFA"/>
    <w:rsid w:val="00B434B1"/>
    <w:rsid w:val="00B476DA"/>
    <w:rsid w:val="00B5004D"/>
    <w:rsid w:val="00B50788"/>
    <w:rsid w:val="00B521B5"/>
    <w:rsid w:val="00B54774"/>
    <w:rsid w:val="00B557E2"/>
    <w:rsid w:val="00B602A2"/>
    <w:rsid w:val="00B71305"/>
    <w:rsid w:val="00B76B59"/>
    <w:rsid w:val="00B9563C"/>
    <w:rsid w:val="00B974C7"/>
    <w:rsid w:val="00BA0474"/>
    <w:rsid w:val="00BA3DB5"/>
    <w:rsid w:val="00BB1D5C"/>
    <w:rsid w:val="00BB2EA5"/>
    <w:rsid w:val="00BC377B"/>
    <w:rsid w:val="00BC54E0"/>
    <w:rsid w:val="00BD1EC3"/>
    <w:rsid w:val="00BD34EF"/>
    <w:rsid w:val="00BE3E07"/>
    <w:rsid w:val="00BF3032"/>
    <w:rsid w:val="00C005C7"/>
    <w:rsid w:val="00C01200"/>
    <w:rsid w:val="00C0301D"/>
    <w:rsid w:val="00C1206A"/>
    <w:rsid w:val="00C15D73"/>
    <w:rsid w:val="00C31861"/>
    <w:rsid w:val="00C4261A"/>
    <w:rsid w:val="00C429EC"/>
    <w:rsid w:val="00C50656"/>
    <w:rsid w:val="00C51A37"/>
    <w:rsid w:val="00C61723"/>
    <w:rsid w:val="00C639E1"/>
    <w:rsid w:val="00C63E2F"/>
    <w:rsid w:val="00C765E4"/>
    <w:rsid w:val="00C80011"/>
    <w:rsid w:val="00C82FB4"/>
    <w:rsid w:val="00C9010C"/>
    <w:rsid w:val="00CA37B8"/>
    <w:rsid w:val="00CA4503"/>
    <w:rsid w:val="00CB2841"/>
    <w:rsid w:val="00CC216B"/>
    <w:rsid w:val="00CD0B87"/>
    <w:rsid w:val="00CD15F3"/>
    <w:rsid w:val="00CD260A"/>
    <w:rsid w:val="00CE3487"/>
    <w:rsid w:val="00CF0A77"/>
    <w:rsid w:val="00CF0FCE"/>
    <w:rsid w:val="00CF174D"/>
    <w:rsid w:val="00D02B35"/>
    <w:rsid w:val="00D03740"/>
    <w:rsid w:val="00D13445"/>
    <w:rsid w:val="00D15229"/>
    <w:rsid w:val="00D15833"/>
    <w:rsid w:val="00D17139"/>
    <w:rsid w:val="00D266E3"/>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4AA5"/>
    <w:rsid w:val="00D76AF9"/>
    <w:rsid w:val="00D835E1"/>
    <w:rsid w:val="00D84124"/>
    <w:rsid w:val="00D84782"/>
    <w:rsid w:val="00D85577"/>
    <w:rsid w:val="00DA0ABB"/>
    <w:rsid w:val="00DB0157"/>
    <w:rsid w:val="00DB608C"/>
    <w:rsid w:val="00DB60CF"/>
    <w:rsid w:val="00DD1B57"/>
    <w:rsid w:val="00DF3065"/>
    <w:rsid w:val="00E0169D"/>
    <w:rsid w:val="00E05C62"/>
    <w:rsid w:val="00E06C16"/>
    <w:rsid w:val="00E06EEF"/>
    <w:rsid w:val="00E13D1F"/>
    <w:rsid w:val="00E1506A"/>
    <w:rsid w:val="00E25F8A"/>
    <w:rsid w:val="00E26A4B"/>
    <w:rsid w:val="00E26E2D"/>
    <w:rsid w:val="00E3113B"/>
    <w:rsid w:val="00E353C0"/>
    <w:rsid w:val="00E44D13"/>
    <w:rsid w:val="00E538D0"/>
    <w:rsid w:val="00E5597A"/>
    <w:rsid w:val="00E57010"/>
    <w:rsid w:val="00E65024"/>
    <w:rsid w:val="00E70E41"/>
    <w:rsid w:val="00E72704"/>
    <w:rsid w:val="00E80D6C"/>
    <w:rsid w:val="00E84780"/>
    <w:rsid w:val="00E964A1"/>
    <w:rsid w:val="00EA0F16"/>
    <w:rsid w:val="00EA4646"/>
    <w:rsid w:val="00EA7E40"/>
    <w:rsid w:val="00EB2E36"/>
    <w:rsid w:val="00EB55AA"/>
    <w:rsid w:val="00EB6140"/>
    <w:rsid w:val="00EB721B"/>
    <w:rsid w:val="00ED0085"/>
    <w:rsid w:val="00ED2BC4"/>
    <w:rsid w:val="00ED4683"/>
    <w:rsid w:val="00EE0332"/>
    <w:rsid w:val="00EE20BB"/>
    <w:rsid w:val="00EF01F1"/>
    <w:rsid w:val="00EF35D7"/>
    <w:rsid w:val="00EF406B"/>
    <w:rsid w:val="00F15757"/>
    <w:rsid w:val="00F252CA"/>
    <w:rsid w:val="00F25868"/>
    <w:rsid w:val="00F26A9B"/>
    <w:rsid w:val="00F36889"/>
    <w:rsid w:val="00F422F0"/>
    <w:rsid w:val="00F42EFF"/>
    <w:rsid w:val="00F52234"/>
    <w:rsid w:val="00F6160C"/>
    <w:rsid w:val="00F63128"/>
    <w:rsid w:val="00F6705E"/>
    <w:rsid w:val="00F72216"/>
    <w:rsid w:val="00F7553B"/>
    <w:rsid w:val="00F756E1"/>
    <w:rsid w:val="00F759F7"/>
    <w:rsid w:val="00F90BDE"/>
    <w:rsid w:val="00FB1EDC"/>
    <w:rsid w:val="00FB435D"/>
    <w:rsid w:val="00FC2B23"/>
    <w:rsid w:val="00FC64F5"/>
    <w:rsid w:val="00FC772F"/>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1B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3172</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Krotz, Dieter</cp:lastModifiedBy>
  <cp:revision>415</cp:revision>
  <dcterms:created xsi:type="dcterms:W3CDTF">2019-11-04T21:44:00Z</dcterms:created>
  <dcterms:modified xsi:type="dcterms:W3CDTF">2024-07-01T07:14:00Z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2024-07-01T07:14:13Z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219ede57-093d-4dae-8b6c-0fc8558e90c5</vt:lpwstr>
  </property>
  <property fmtid="{D5CDD505-2E9C-101B-9397-08002B2CF9AE}" pid="8" name="MSIP_Label_ff6dbec8-95a8-4638-9f5f-bd076536645c_ContentBits">
    <vt:lpwstr>0</vt:lpwstr>
  </property>
</Properties>
</file>