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tblPr>
      <w:tblGrid>
        <w:gridCol w:w="2835"/>
        <w:gridCol w:w="1985"/>
        <w:gridCol w:w="2551"/>
      </w:tblGrid>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rsidR="00B529BD" w:rsidRPr="00E721D2"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rsidR="00B529BD" w:rsidRPr="007C6742"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rsidR="00B529BD" w:rsidRPr="00CD7E85"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rsidR="00B529BD" w:rsidRPr="00463D90" w:rsidRDefault="00B529BD" w:rsidP="00B529BD">
      <w:pPr>
        <w:jc w:val="both"/>
        <w:rPr>
          <w:rFonts w:ascii="Times New Roman" w:eastAsia="Times New Roman" w:hAnsi="Times New Roman" w:cs="Times New Roman"/>
          <w:lang w:eastAsia="es-CL"/>
        </w:rPr>
      </w:pP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rsidR="00B529BD" w:rsidRPr="004E12CF" w:rsidRDefault="00B529BD" w:rsidP="00B529BD">
      <w:pPr>
        <w:pStyle w:val="Prrafodelista"/>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rsidR="00B529BD" w:rsidRPr="00463D90" w:rsidRDefault="00B529BD" w:rsidP="00B529BD">
      <w:pPr>
        <w:jc w:val="both"/>
        <w:rPr>
          <w:rFonts w:ascii="Times New Roman" w:eastAsia="Times New Roman" w:hAnsi="Times New Roman" w:cs="Times New Roman"/>
          <w:lang w:eastAsia="es-CL"/>
        </w:rPr>
      </w:pP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tblPr>
      <w:tblGrid>
        <w:gridCol w:w="5949"/>
        <w:gridCol w:w="2511"/>
      </w:tblGrid>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rsidR="00B529BD" w:rsidRDefault="00B529BD" w:rsidP="00B529BD">
      <w:pPr>
        <w:jc w:val="both"/>
        <w:rPr>
          <w:rFonts w:ascii="Times New Roman" w:eastAsia="Times New Roman" w:hAnsi="Times New Roman" w:cs="Times New Roman"/>
          <w:color w:val="FF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rsidR="00B529BD" w:rsidRPr="00BB6609" w:rsidRDefault="00B529BD" w:rsidP="00B529BD">
      <w:pPr>
        <w:jc w:val="both"/>
        <w:rPr>
          <w:rFonts w:ascii="Times New Roman" w:eastAsia="Times New Roman" w:hAnsi="Times New Roman" w:cs="Times New Roman"/>
          <w:lang w:eastAsia="es-CL"/>
        </w:rPr>
      </w:pP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p w:rsidR="00B529BD" w:rsidRDefault="00B529BD" w:rsidP="00B529BD">
      <w:pPr>
        <w:jc w:val="both"/>
        <w:rPr>
          <w:rFonts w:ascii="Times New Roman" w:eastAsia="Times New Roman" w:hAnsi="Times New Roman" w:cs="Times New Roman"/>
          <w:color w:val="000000"/>
          <w:lang w:eastAsia="es-CL"/>
        </w:rPr>
      </w:pPr>
    </w:p>
    <w:p w:rsidR="00097C6E" w:rsidRPr="000B2CF2" w:rsidRDefault="00097C6E" w:rsidP="00097C6E">
      <w:pPr>
        <w:pStyle w:val="NormalWeb"/>
        <w:spacing w:before="0" w:beforeAutospacing="0" w:after="0" w:afterAutospacing="0"/>
      </w:pPr>
      <w:r w:rsidRPr="000B2CF2">
        <w:rPr>
          <w:color w:val="000000"/>
        </w:rPr>
        <w:t>15. AUDITORÍA DE TÉCNICA DE SISTEMAS</w:t>
      </w:r>
    </w:p>
    <w:p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rsidR="00097C6E" w:rsidRPr="000B2CF2" w:rsidRDefault="00097C6E" w:rsidP="00097C6E">
      <w:pPr>
        <w:pStyle w:val="NormalWeb"/>
        <w:spacing w:before="0" w:beforeAutospacing="0" w:after="0" w:afterAutospacing="0"/>
        <w:jc w:val="both"/>
      </w:pPr>
      <w:r w:rsidRPr="000B2CF2">
        <w:rPr>
          <w:b/>
          <w:bCs/>
          <w:color w:val="000000"/>
        </w:rPr>
        <w:t xml:space="preserve">15.2. </w:t>
      </w:r>
      <w:r w:rsidRPr="000B2CF2">
        <w:rPr>
          <w:color w:val="000000"/>
        </w:rPr>
        <w:t>Definición de la función</w:t>
      </w:r>
    </w:p>
    <w:p w:rsidR="00097C6E" w:rsidRPr="000B2CF2" w:rsidRDefault="00097C6E" w:rsidP="00097C6E">
      <w:pPr>
        <w:pStyle w:val="NormalWeb"/>
        <w:spacing w:before="0" w:beforeAutospacing="0" w:after="0" w:afterAutospacing="0"/>
        <w:jc w:val="both"/>
      </w:pPr>
      <w:r w:rsidRPr="000B2CF2">
        <w:rPr>
          <w:b/>
          <w:bCs/>
          <w:color w:val="000000"/>
        </w:rPr>
        <w:t xml:space="preserve">15.3. </w:t>
      </w:r>
      <w:r w:rsidRPr="000B2CF2">
        <w:rPr>
          <w:color w:val="000000"/>
        </w:rPr>
        <w:t>El nivel del servicio</w:t>
      </w: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15.4.1.      </w:t>
      </w:r>
      <w:r w:rsidRPr="000B2CF2">
        <w:rPr>
          <w:color w:val="000000"/>
        </w:rPr>
        <w:t>Instalación y puesta en servicio</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15.4.3.      </w:t>
      </w:r>
      <w:r w:rsidRPr="000B2CF2">
        <w:rPr>
          <w:color w:val="000000"/>
        </w:rPr>
        <w:t>Requisitos para otros componentes</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15.4.4.      </w:t>
      </w:r>
      <w:r w:rsidRPr="000B2CF2">
        <w:rPr>
          <w:color w:val="000000"/>
        </w:rPr>
        <w:t>Resolución de incidencias</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15.4.5.      </w:t>
      </w:r>
      <w:r w:rsidRPr="000B2CF2">
        <w:rPr>
          <w:color w:val="000000"/>
        </w:rPr>
        <w:t>Seguridad y control</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15.4.6.      </w:t>
      </w:r>
      <w:r w:rsidRPr="000B2CF2">
        <w:rPr>
          <w:color w:val="000000"/>
        </w:rPr>
        <w:t>Información sobre la actividad</w:t>
      </w: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15.5. </w:t>
      </w:r>
      <w:r w:rsidRPr="000B2CF2">
        <w:rPr>
          <w:color w:val="000000"/>
        </w:rPr>
        <w:t>Los Controles</w:t>
      </w: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15.6. </w:t>
      </w:r>
      <w:r w:rsidRPr="000B2CF2">
        <w:rPr>
          <w:color w:val="000000"/>
        </w:rPr>
        <w:t>Auditoría de la función</w:t>
      </w: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15.7. </w:t>
      </w:r>
      <w:r w:rsidRPr="000B2CF2">
        <w:rPr>
          <w:color w:val="000000"/>
        </w:rPr>
        <w:t>Consideraciones sobre la tecnología y su evolución</w:t>
      </w:r>
    </w:p>
    <w:p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097C6E" w:rsidRDefault="00097C6E" w:rsidP="00097C6E">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 xml:space="preserve">propuesta por la organización </w:t>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rsidR="00B529BD" w:rsidRDefault="00B529BD" w:rsidP="00B529BD">
      <w:pPr>
        <w:jc w:val="both"/>
        <w:rPr>
          <w:rFonts w:ascii="Times New Roman" w:eastAsia="Times New Roman" w:hAnsi="Times New Roman" w:cs="Times New Roman"/>
          <w:color w:val="000000"/>
          <w:lang w:eastAsia="es-CL"/>
        </w:rPr>
      </w:pP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propuesta por la organización ISACA, comienza fijando los objetivos de control que minimizan los riesgos potenciales a los que está sometido el entorno. Una lista de riesgos importantes son: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Incremento de la “dependencia” del servicio informático de terceros, debido a la concentración de datos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Mayores posibilidades de acceso en la figura del administrador de la base de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datos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Incompatibilidad entre sistemas de seguridad de acceso propios del SGBD y el</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general de la instalación.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impacto de los errores en datos o programas que en los sistemas</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tradicionales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 Mayor impacto de accesos no autorizados al diccionario de la base de datos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dependencia del nivel de conocimientos técnicos del personal que realice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tareas relacionadas con el software de base de datos (DBAs, BDOs, usuarios especializados)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Recomendaciones: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Objetivo-de-control, en nuestro caso:</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El SGBD deberá preservar la confidencialidad de la base de datos. Una vez establecidos los objetivos de control,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las Técnicas-de-control (que sostendrán al Objetivo-de-control), en nuestro caso:</w:t>
      </w:r>
    </w:p>
    <w:p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perfiles y privilegios necesarios para controlar el acceso a las bases de datos. </w:t>
      </w:r>
      <w:r w:rsidRPr="004466E9">
        <w:rPr>
          <w:rFonts w:ascii="Times New Roman" w:eastAsia="Times New Roman" w:hAnsi="Times New Roman" w:cs="Times New Roman"/>
          <w:color w:val="FF0000"/>
          <w:lang w:eastAsia="es-CL"/>
        </w:rPr>
        <w:t>Actualmente existe un único usuario de acceso a la BD y éste se conecta a través de una aplicación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rsidR="00B529BD" w:rsidRPr="001E5621"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rsidR="00B529BD" w:rsidRPr="001E5621" w:rsidRDefault="00B529BD" w:rsidP="00B529BD">
      <w:pPr>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rsidR="00B529BD" w:rsidRPr="001E5621"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rsidR="00B529BD" w:rsidRPr="00FE30D5"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Pr>
          <w:rFonts w:ascii="Times New Roman" w:hAnsi="Times New Roman" w:cs="Times New Roman"/>
        </w:rPr>
        <w:t>Anexos</w:t>
      </w:r>
    </w:p>
    <w:p w:rsidR="00B529BD" w:rsidRDefault="00B529BD" w:rsidP="00B529BD">
      <w:pPr>
        <w:pStyle w:val="Ttulo"/>
      </w:pPr>
      <w:r>
        <w:t xml:space="preserve">Levantamiento de Evidencia </w:t>
      </w:r>
    </w:p>
    <w:p w:rsidR="00B529BD" w:rsidRDefault="00B529BD" w:rsidP="00B529BD">
      <w:pPr>
        <w:pStyle w:val="Ttulo1"/>
      </w:pPr>
      <w:bookmarkStart w:id="0" w:name="_Toc236042846"/>
      <w:r w:rsidRPr="007F07A6">
        <w:t>Evidencia base</w:t>
      </w:r>
      <w:bookmarkEnd w:id="0"/>
    </w:p>
    <w:p w:rsidR="00B529BD" w:rsidRDefault="00B529BD" w:rsidP="00B529BD">
      <w:pPr>
        <w:pStyle w:val="Ttulo2"/>
      </w:pPr>
      <w:bookmarkStart w:id="1" w:name="_Toc236042847"/>
      <w:r>
        <w:t>Diagrama conceptual</w:t>
      </w:r>
      <w:bookmarkEnd w:id="1"/>
    </w:p>
    <w:p w:rsidR="00B529BD" w:rsidRDefault="00B529BD" w:rsidP="00B529BD">
      <w:r>
        <w:rPr>
          <w:noProof/>
          <w:lang w:val="es-ES" w:eastAsia="es-ES"/>
        </w:rPr>
        <w:drawing>
          <wp:inline distT="0" distB="0" distL="0" distR="0">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1060" cy="4408170"/>
                    </a:xfrm>
                    <a:prstGeom prst="rect">
                      <a:avLst/>
                    </a:prstGeom>
                  </pic:spPr>
                </pic:pic>
              </a:graphicData>
            </a:graphic>
          </wp:inline>
        </w:drawing>
      </w:r>
    </w:p>
    <w:p w:rsidR="00B529BD" w:rsidRPr="00CF23CD" w:rsidRDefault="00B529BD" w:rsidP="00B529BD">
      <w:pPr>
        <w:jc w:val="center"/>
        <w:rPr>
          <w:sz w:val="20"/>
        </w:rPr>
      </w:pPr>
      <w:r w:rsidRPr="00CF23CD">
        <w:rPr>
          <w:sz w:val="20"/>
        </w:rPr>
        <w:t>Imagen 1.0 Diagrama conceptual Situación Actual Básico- IPS</w:t>
      </w:r>
    </w:p>
    <w:p w:rsidR="00B529BD" w:rsidRDefault="00B529BD" w:rsidP="00B529BD"/>
    <w:p w:rsidR="00B529BD" w:rsidRPr="007F07A6" w:rsidRDefault="00B529BD" w:rsidP="00B529BD">
      <w:pPr>
        <w:pStyle w:val="Ttulo2"/>
      </w:pPr>
      <w:bookmarkStart w:id="2" w:name="_Toc236042848"/>
      <w:r w:rsidRPr="007F07A6">
        <w:t xml:space="preserve">Identificar toda la Infraestructura (hardware) que soporta las instancias ORACLE </w:t>
      </w:r>
      <w:r>
        <w:t xml:space="preserve">&amp; INFORMIX </w:t>
      </w:r>
      <w:r w:rsidRPr="007F07A6">
        <w:t>(Servidores y Storage)</w:t>
      </w:r>
      <w:bookmarkEnd w:id="2"/>
    </w:p>
    <w:p w:rsidR="00B529BD" w:rsidRDefault="00B529BD" w:rsidP="00B529BD">
      <w:bookmarkStart w:id="3" w:name="OLE_LINK9"/>
      <w:bookmarkStart w:id="4"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3"/>
      <w:bookmarkEnd w:id="4"/>
    </w:p>
    <w:p w:rsidR="00B529BD" w:rsidRDefault="00B529BD" w:rsidP="00B529BD"/>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B57406">
        <w:t>Hardware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Soporte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Garantía</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Utilizado</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Libre</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t>Comunicaciones</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PUB</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BACK</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rsidR="00B529BD" w:rsidRDefault="00B529BD" w:rsidP="00B529BD">
      <w:pPr>
        <w:pStyle w:val="Ttulo3"/>
      </w:pPr>
      <w:bookmarkStart w:id="5" w:name="_Toc236042849"/>
      <w:bookmarkStart w:id="6" w:name="OLE_LINK11"/>
      <w:bookmarkStart w:id="7" w:name="OLE_LINK12"/>
      <w:r w:rsidRPr="007F07A6">
        <w:t>Diagrama técnico y funcional</w:t>
      </w:r>
      <w:bookmarkEnd w:id="5"/>
    </w:p>
    <w:bookmarkEnd w:id="6"/>
    <w:bookmarkEnd w:id="7"/>
    <w:p w:rsidR="00B529BD" w:rsidRDefault="00B529BD" w:rsidP="00B529BD">
      <w:r>
        <w:t>Evidencia no entregada, por no encontrarse disponible por parte de Synapsis.</w:t>
      </w:r>
    </w:p>
    <w:p w:rsidR="00B529BD" w:rsidRDefault="00B529BD" w:rsidP="00B529BD">
      <w:pPr>
        <w:pStyle w:val="Ttulo2"/>
        <w:rPr>
          <w:rStyle w:val="Textoennegrita"/>
        </w:rPr>
      </w:pPr>
      <w:r w:rsidRPr="0068009C">
        <w:rPr>
          <w:rStyle w:val="Textoennegrita"/>
        </w:rPr>
        <w:t xml:space="preserve">Identificar toda la Infraestructura (hardware) que soporta las instancias ORACLE </w:t>
      </w:r>
      <w:r>
        <w:rPr>
          <w:rStyle w:val="Textoennegrita"/>
        </w:rPr>
        <w:t xml:space="preserve">&amp; INFORMIX </w:t>
      </w:r>
      <w:r w:rsidRPr="0068009C">
        <w:rPr>
          <w:rStyle w:val="Textoennegrita"/>
        </w:rPr>
        <w:t>(Periféricos de Comunicaciones y Datos)</w:t>
      </w:r>
    </w:p>
    <w:p w:rsidR="00B529BD" w:rsidRDefault="00B529BD" w:rsidP="00B529BD">
      <w:bookmarkStart w:id="8" w:name="OLE_LINK13"/>
      <w:bookmarkStart w:id="9"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8"/>
      <w:bookmarkEnd w:id="9"/>
    </w:p>
    <w:p w:rsidR="00B529BD" w:rsidRDefault="00B529BD" w:rsidP="00B529BD"/>
    <w:p w:rsidR="00B529BD" w:rsidRDefault="00B529BD" w:rsidP="00B529BD">
      <w:pPr>
        <w:pStyle w:val="Prrafodelista"/>
        <w:numPr>
          <w:ilvl w:val="0"/>
          <w:numId w:val="20"/>
        </w:numPr>
        <w:suppressAutoHyphens/>
        <w:overflowPunct w:val="0"/>
        <w:autoSpaceDE w:val="0"/>
        <w:spacing w:after="0" w:line="240" w:lineRule="auto"/>
        <w:jc w:val="both"/>
        <w:textAlignment w:val="baseline"/>
      </w:pPr>
      <w:r>
        <w:t>Comunicaciones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rsidR="00B529BD" w:rsidRDefault="00B529BD" w:rsidP="00B529BD">
      <w:pPr>
        <w:pStyle w:val="Prrafodelista"/>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rsidR="00B529BD" w:rsidRDefault="00B529BD" w:rsidP="00B529BD">
      <w:pPr>
        <w:pStyle w:val="Prrafodelista"/>
        <w:numPr>
          <w:ilvl w:val="0"/>
          <w:numId w:val="20"/>
        </w:numPr>
        <w:suppressAutoHyphens/>
        <w:overflowPunct w:val="0"/>
        <w:autoSpaceDE w:val="0"/>
        <w:spacing w:after="0" w:line="240" w:lineRule="auto"/>
        <w:jc w:val="both"/>
        <w:textAlignment w:val="baseline"/>
      </w:pPr>
      <w:r>
        <w:t>Datos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rsidR="00B529BD" w:rsidRPr="00093534" w:rsidRDefault="00B529BD" w:rsidP="00B529BD">
      <w:pPr>
        <w:pStyle w:val="Prrafodelista"/>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rsidR="00B529BD" w:rsidRPr="00093534" w:rsidRDefault="00B529BD" w:rsidP="00B529BD">
      <w:pPr>
        <w:pStyle w:val="Prrafodelista"/>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rsidR="00B529BD" w:rsidRDefault="00B529BD" w:rsidP="00B529BD"/>
    <w:p w:rsidR="00B529BD" w:rsidRDefault="00B529BD" w:rsidP="00B529BD">
      <w:pPr>
        <w:pStyle w:val="Ttulo3"/>
      </w:pPr>
      <w:r w:rsidRPr="007F07A6">
        <w:t>Diagrama técnico y funcional</w:t>
      </w:r>
    </w:p>
    <w:p w:rsidR="00B529BD" w:rsidRDefault="00B529BD" w:rsidP="00B529BD">
      <w:r>
        <w:rPr>
          <w:rFonts w:ascii="Calibri" w:hAnsi="Calibri" w:cs="Calibri"/>
          <w:noProof/>
          <w:color w:val="18376A"/>
          <w:sz w:val="30"/>
          <w:szCs w:val="30"/>
          <w:lang w:val="es-ES" w:eastAsia="es-ES"/>
        </w:rPr>
        <w:drawing>
          <wp:inline distT="0" distB="0" distL="0" distR="0">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060" cy="4401361"/>
                    </a:xfrm>
                    <a:prstGeom prst="rect">
                      <a:avLst/>
                    </a:prstGeom>
                    <a:noFill/>
                    <a:ln>
                      <a:noFill/>
                    </a:ln>
                  </pic:spPr>
                </pic:pic>
              </a:graphicData>
            </a:graphic>
          </wp:inline>
        </w:drawing>
      </w:r>
    </w:p>
    <w:p w:rsidR="00B529BD" w:rsidRDefault="00B529BD" w:rsidP="00B529BD"/>
    <w:p w:rsidR="00B529BD" w:rsidRDefault="00B529BD" w:rsidP="00B529BD">
      <w:pPr>
        <w:pStyle w:val="Ttulo2"/>
      </w:pPr>
      <w:r w:rsidRPr="00777963">
        <w:t xml:space="preserve">Identificar toda la Arquitectura (software) que soporta y  forma parte de las instancias ORACLE </w:t>
      </w:r>
      <w:r>
        <w:t xml:space="preserve">&amp; INFORMIX </w:t>
      </w:r>
      <w:r w:rsidRPr="00777963">
        <w:t>(Servidores y Storage)</w:t>
      </w:r>
    </w:p>
    <w:p w:rsidR="00B529BD" w:rsidRPr="00093534" w:rsidRDefault="00B529BD" w:rsidP="00B529BD"/>
    <w:p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rsidR="00B529BD" w:rsidRDefault="00B529BD" w:rsidP="00B529BD"/>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Tipo 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IOS</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Configuración</w:t>
      </w:r>
    </w:p>
    <w:p w:rsidR="00B529BD" w:rsidRDefault="00B529BD" w:rsidP="00B529BD">
      <w:pPr>
        <w:pStyle w:val="Prrafodelista"/>
        <w:numPr>
          <w:ilvl w:val="0"/>
          <w:numId w:val="21"/>
        </w:numPr>
        <w:suppressAutoHyphens/>
        <w:overflowPunct w:val="0"/>
        <w:autoSpaceDE w:val="0"/>
        <w:spacing w:after="0" w:line="240" w:lineRule="auto"/>
        <w:jc w:val="both"/>
        <w:textAlignment w:val="baseline"/>
      </w:pPr>
      <w:r w:rsidRPr="006E4D04">
        <w:t>Sistema Operativo Servidor</w:t>
      </w:r>
    </w:p>
    <w:p w:rsidR="00B529BD" w:rsidRPr="006E4D04" w:rsidRDefault="00B529BD" w:rsidP="00B529BD">
      <w:pPr>
        <w:pStyle w:val="Prrafodelista"/>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rsidR="00B529BD" w:rsidRDefault="00B529BD" w:rsidP="00B529BD"/>
    <w:p w:rsidR="00B529BD" w:rsidRDefault="00B529BD" w:rsidP="00B529BD">
      <w:pPr>
        <w:rPr>
          <w:rFonts w:ascii="Times New Roman" w:hAnsi="Times New Roman" w:cs="Times New Roman"/>
        </w:rPr>
        <w:sectPr w:rsidR="00B529BD" w:rsidSect="00B307A3">
          <w:headerReference w:type="default" r:id="rId9"/>
          <w:pgSz w:w="12240" w:h="15840" w:code="1"/>
          <w:pgMar w:top="851" w:right="1134" w:bottom="851" w:left="1134" w:header="284" w:footer="284" w:gutter="0"/>
          <w:cols w:space="708"/>
          <w:docGrid w:linePitch="360"/>
        </w:sectPr>
      </w:pPr>
    </w:p>
    <w:p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tblPr>
      <w:tblGrid>
        <w:gridCol w:w="604"/>
        <w:gridCol w:w="12400"/>
      </w:tblGrid>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rsidTr="00B307A3">
        <w:trPr>
          <w:trHeight w:val="300"/>
        </w:trPr>
        <w:tc>
          <w:tcPr>
            <w:tcW w:w="436"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tblPr>
      <w:tblGrid>
        <w:gridCol w:w="592"/>
        <w:gridCol w:w="2200"/>
        <w:gridCol w:w="1960"/>
        <w:gridCol w:w="1720"/>
        <w:gridCol w:w="761"/>
        <w:gridCol w:w="899"/>
        <w:gridCol w:w="980"/>
        <w:gridCol w:w="980"/>
        <w:gridCol w:w="1720"/>
        <w:gridCol w:w="2120"/>
      </w:tblGrid>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bookmarkStart w:id="10" w:name="RANGE!C8"/>
            <w:r w:rsidRPr="00472513">
              <w:rPr>
                <w:rFonts w:ascii="Calibri" w:eastAsia="Times New Roman" w:hAnsi="Calibri" w:cs="Calibri"/>
                <w:color w:val="000000"/>
                <w:lang w:eastAsia="es-CL"/>
              </w:rPr>
              <w:t>INP1</w:t>
            </w:r>
            <w:bookmarkEnd w:id="10"/>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tblPr>
      <w:tblGrid>
        <w:gridCol w:w="1280"/>
        <w:gridCol w:w="1220"/>
        <w:gridCol w:w="1180"/>
        <w:gridCol w:w="1101"/>
        <w:gridCol w:w="1160"/>
        <w:gridCol w:w="1280"/>
        <w:gridCol w:w="761"/>
        <w:gridCol w:w="899"/>
        <w:gridCol w:w="1780"/>
        <w:gridCol w:w="1720"/>
        <w:gridCol w:w="1600"/>
      </w:tblGrid>
      <w:tr w:rsidR="00B529BD" w:rsidRPr="00472513"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rsidTr="00B307A3">
        <w:trPr>
          <w:trHeight w:val="282"/>
        </w:trPr>
        <w:tc>
          <w:tcPr>
            <w:tcW w:w="1280" w:type="dxa"/>
            <w:tcBorders>
              <w:top w:val="nil"/>
              <w:left w:val="nil"/>
              <w:bottom w:val="nil"/>
              <w:right w:val="nil"/>
            </w:tcBorders>
            <w:shd w:val="clear" w:color="000000" w:fill="FFFFFF"/>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tblPr>
      <w:tblGrid>
        <w:gridCol w:w="1715"/>
        <w:gridCol w:w="1196"/>
        <w:gridCol w:w="1506"/>
        <w:gridCol w:w="1363"/>
        <w:gridCol w:w="1069"/>
      </w:tblGrid>
      <w:tr w:rsidR="00B529BD" w:rsidRPr="00472513"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tblPr>
      <w:tblGrid>
        <w:gridCol w:w="2205"/>
        <w:gridCol w:w="1101"/>
        <w:gridCol w:w="1012"/>
        <w:gridCol w:w="1295"/>
        <w:gridCol w:w="2920"/>
        <w:gridCol w:w="1295"/>
        <w:gridCol w:w="2255"/>
        <w:gridCol w:w="1407"/>
      </w:tblGrid>
      <w:tr w:rsidR="00B529BD" w:rsidRPr="00472513"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tblPr>
      <w:tblGrid>
        <w:gridCol w:w="2380"/>
        <w:gridCol w:w="1101"/>
        <w:gridCol w:w="1012"/>
        <w:gridCol w:w="1407"/>
      </w:tblGrid>
      <w:tr w:rsidR="00B529BD" w:rsidRPr="00472513"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312"/>
        <w:gridCol w:w="1900"/>
        <w:gridCol w:w="1427"/>
        <w:gridCol w:w="761"/>
        <w:gridCol w:w="899"/>
        <w:gridCol w:w="913"/>
        <w:gridCol w:w="898"/>
        <w:gridCol w:w="1159"/>
        <w:gridCol w:w="1660"/>
      </w:tblGrid>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tblPr>
      <w:tblGrid>
        <w:gridCol w:w="3000"/>
        <w:gridCol w:w="567"/>
        <w:gridCol w:w="1044"/>
        <w:gridCol w:w="1362"/>
        <w:gridCol w:w="1109"/>
        <w:gridCol w:w="763"/>
        <w:gridCol w:w="761"/>
        <w:gridCol w:w="899"/>
        <w:gridCol w:w="1872"/>
        <w:gridCol w:w="1720"/>
      </w:tblGrid>
      <w:tr w:rsidR="00B529BD" w:rsidRPr="00E77AEB"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tblPr>
      <w:tblGrid>
        <w:gridCol w:w="1616"/>
        <w:gridCol w:w="567"/>
        <w:gridCol w:w="1256"/>
        <w:gridCol w:w="1236"/>
        <w:gridCol w:w="1003"/>
      </w:tblGrid>
      <w:tr w:rsidR="00B529BD" w:rsidRPr="00E77AEB"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tblPr>
      <w:tblGrid>
        <w:gridCol w:w="1713"/>
        <w:gridCol w:w="1438"/>
        <w:gridCol w:w="1307"/>
        <w:gridCol w:w="1546"/>
        <w:gridCol w:w="975"/>
        <w:gridCol w:w="1546"/>
        <w:gridCol w:w="1143"/>
        <w:gridCol w:w="1892"/>
      </w:tblGrid>
      <w:tr w:rsidR="00B529BD" w:rsidRPr="00E77AEB"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tblPr>
      <w:tblGrid>
        <w:gridCol w:w="1518"/>
        <w:gridCol w:w="1101"/>
        <w:gridCol w:w="1012"/>
        <w:gridCol w:w="1407"/>
      </w:tblGrid>
      <w:tr w:rsidR="00B529BD" w:rsidRPr="00E77AEB"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tblPr>
      <w:tblGrid>
        <w:gridCol w:w="592"/>
        <w:gridCol w:w="2200"/>
        <w:gridCol w:w="2200"/>
        <w:gridCol w:w="2487"/>
        <w:gridCol w:w="1144"/>
        <w:gridCol w:w="807"/>
        <w:gridCol w:w="785"/>
        <w:gridCol w:w="2555"/>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tblPr>
      <w:tblGrid>
        <w:gridCol w:w="1377"/>
        <w:gridCol w:w="1136"/>
        <w:gridCol w:w="1376"/>
        <w:gridCol w:w="1563"/>
        <w:gridCol w:w="1256"/>
        <w:gridCol w:w="1496"/>
      </w:tblGrid>
      <w:tr w:rsidR="00B529BD" w:rsidRPr="0003402D"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200"/>
        <w:gridCol w:w="2181"/>
        <w:gridCol w:w="2031"/>
        <w:gridCol w:w="1144"/>
        <w:gridCol w:w="807"/>
        <w:gridCol w:w="785"/>
        <w:gridCol w:w="2231"/>
        <w:gridCol w:w="1377"/>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tblPr>
      <w:tblGrid>
        <w:gridCol w:w="761"/>
        <w:gridCol w:w="1376"/>
        <w:gridCol w:w="1563"/>
        <w:gridCol w:w="1237"/>
        <w:gridCol w:w="1496"/>
        <w:gridCol w:w="764"/>
        <w:gridCol w:w="1101"/>
        <w:gridCol w:w="1012"/>
        <w:gridCol w:w="696"/>
        <w:gridCol w:w="816"/>
        <w:gridCol w:w="996"/>
        <w:gridCol w:w="896"/>
        <w:gridCol w:w="1407"/>
      </w:tblGrid>
      <w:tr w:rsidR="00B529BD" w:rsidRPr="0003402D"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tblPr>
      <w:tblGrid>
        <w:gridCol w:w="1237"/>
        <w:gridCol w:w="1733"/>
        <w:gridCol w:w="1124"/>
        <w:gridCol w:w="975"/>
        <w:gridCol w:w="1188"/>
        <w:gridCol w:w="1500"/>
        <w:gridCol w:w="1363"/>
      </w:tblGrid>
      <w:tr w:rsidR="00B529BD" w:rsidRPr="0003402D"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tblPr>
      <w:tblGrid>
        <w:gridCol w:w="659"/>
        <w:gridCol w:w="2789"/>
        <w:gridCol w:w="1926"/>
        <w:gridCol w:w="505"/>
        <w:gridCol w:w="1454"/>
        <w:gridCol w:w="761"/>
        <w:gridCol w:w="899"/>
        <w:gridCol w:w="881"/>
        <w:gridCol w:w="1046"/>
        <w:gridCol w:w="1593"/>
      </w:tblGrid>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tblPr>
      <w:tblGrid>
        <w:gridCol w:w="943"/>
        <w:gridCol w:w="1318"/>
        <w:gridCol w:w="1377"/>
        <w:gridCol w:w="881"/>
        <w:gridCol w:w="948"/>
        <w:gridCol w:w="1402"/>
        <w:gridCol w:w="1221"/>
        <w:gridCol w:w="2578"/>
      </w:tblGrid>
      <w:tr w:rsidR="00B529BD" w:rsidRPr="0003402D"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tblPr>
      <w:tblGrid>
        <w:gridCol w:w="881"/>
        <w:gridCol w:w="3771"/>
        <w:gridCol w:w="1212"/>
        <w:gridCol w:w="893"/>
        <w:gridCol w:w="1028"/>
        <w:gridCol w:w="1251"/>
        <w:gridCol w:w="2021"/>
        <w:gridCol w:w="881"/>
        <w:gridCol w:w="893"/>
      </w:tblGrid>
      <w:tr w:rsidR="00B529BD" w:rsidRPr="0003402D"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tblPr>
      <w:tblGrid>
        <w:gridCol w:w="671"/>
        <w:gridCol w:w="2978"/>
        <w:gridCol w:w="1687"/>
        <w:gridCol w:w="543"/>
        <w:gridCol w:w="1539"/>
        <w:gridCol w:w="779"/>
        <w:gridCol w:w="950"/>
        <w:gridCol w:w="1068"/>
        <w:gridCol w:w="1068"/>
        <w:gridCol w:w="1496"/>
      </w:tblGrid>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tblPr>
      <w:tblGrid>
        <w:gridCol w:w="943"/>
        <w:gridCol w:w="1318"/>
        <w:gridCol w:w="1377"/>
        <w:gridCol w:w="881"/>
        <w:gridCol w:w="915"/>
        <w:gridCol w:w="1402"/>
        <w:gridCol w:w="1256"/>
        <w:gridCol w:w="1956"/>
        <w:gridCol w:w="986"/>
        <w:gridCol w:w="940"/>
        <w:gridCol w:w="1090"/>
      </w:tblGrid>
      <w:tr w:rsidR="00B529BD" w:rsidRPr="00177ADA"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tblPr>
      <w:tblGrid>
        <w:gridCol w:w="1056"/>
        <w:gridCol w:w="1056"/>
        <w:gridCol w:w="1305"/>
        <w:gridCol w:w="1207"/>
        <w:gridCol w:w="1224"/>
      </w:tblGrid>
      <w:tr w:rsidR="00B529BD" w:rsidRPr="00177ADA"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Pr="001E5621" w:rsidRDefault="00B529BD" w:rsidP="00B529BD">
      <w:pPr>
        <w:rPr>
          <w:rFonts w:ascii="Times New Roman" w:hAnsi="Times New Roman" w:cs="Times New Roman"/>
        </w:rPr>
      </w:pPr>
    </w:p>
    <w:p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69F" w:rsidRDefault="00CD769F" w:rsidP="00B57D6F">
      <w:r>
        <w:separator/>
      </w:r>
    </w:p>
  </w:endnote>
  <w:endnote w:type="continuationSeparator" w:id="0">
    <w:p w:rsidR="00CD769F" w:rsidRDefault="00CD769F" w:rsidP="00B57D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Bold">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69F" w:rsidRDefault="00CD769F" w:rsidP="00B57D6F">
      <w:r>
        <w:separator/>
      </w:r>
    </w:p>
  </w:footnote>
  <w:footnote w:type="continuationSeparator" w:id="0">
    <w:p w:rsidR="00CD769F" w:rsidRDefault="00CD769F" w:rsidP="00B57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750253"/>
      <w:docPartObj>
        <w:docPartGallery w:val="Page Numbers (Top of Page)"/>
        <w:docPartUnique/>
      </w:docPartObj>
    </w:sdtPr>
    <w:sdtEndPr>
      <w:rPr>
        <w:sz w:val="16"/>
        <w:szCs w:val="16"/>
      </w:rPr>
    </w:sdtEndPr>
    <w:sdtContent>
      <w:p w:rsidR="00B307A3" w:rsidRPr="00A169B0" w:rsidRDefault="00B57D6F" w:rsidP="00B307A3">
        <w:pPr>
          <w:pStyle w:val="Encabezado"/>
          <w:jc w:val="right"/>
          <w:rPr>
            <w:sz w:val="16"/>
            <w:szCs w:val="16"/>
          </w:rPr>
        </w:pPr>
        <w:r w:rsidRPr="00A169B0">
          <w:rPr>
            <w:sz w:val="16"/>
            <w:szCs w:val="16"/>
          </w:rPr>
          <w:fldChar w:fldCharType="begin"/>
        </w:r>
        <w:r w:rsidR="00B307A3" w:rsidRPr="00A169B0">
          <w:rPr>
            <w:sz w:val="16"/>
            <w:szCs w:val="16"/>
          </w:rPr>
          <w:instrText>PAGE</w:instrText>
        </w:r>
        <w:r w:rsidRPr="00A169B0">
          <w:rPr>
            <w:sz w:val="16"/>
            <w:szCs w:val="16"/>
          </w:rPr>
          <w:fldChar w:fldCharType="separate"/>
        </w:r>
        <w:r w:rsidR="00CD769F">
          <w:rPr>
            <w:noProof/>
            <w:sz w:val="16"/>
            <w:szCs w:val="16"/>
          </w:rPr>
          <w:t>1</w:t>
        </w:r>
        <w:r w:rsidRPr="00A169B0">
          <w:rPr>
            <w:sz w:val="16"/>
            <w:szCs w:val="16"/>
          </w:rPr>
          <w:fldChar w:fldCharType="end"/>
        </w:r>
        <w:r w:rsidR="00B307A3" w:rsidRPr="00A169B0">
          <w:rPr>
            <w:sz w:val="16"/>
            <w:szCs w:val="16"/>
          </w:rPr>
          <w:t xml:space="preserve"> de </w:t>
        </w:r>
        <w:r w:rsidRPr="00A169B0">
          <w:rPr>
            <w:sz w:val="16"/>
            <w:szCs w:val="16"/>
          </w:rPr>
          <w:fldChar w:fldCharType="begin"/>
        </w:r>
        <w:r w:rsidR="00B307A3" w:rsidRPr="00A169B0">
          <w:rPr>
            <w:sz w:val="16"/>
            <w:szCs w:val="16"/>
          </w:rPr>
          <w:instrText>NUMPAGES</w:instrText>
        </w:r>
        <w:r w:rsidRPr="00A169B0">
          <w:rPr>
            <w:sz w:val="16"/>
            <w:szCs w:val="16"/>
          </w:rPr>
          <w:fldChar w:fldCharType="separate"/>
        </w:r>
        <w:r w:rsidR="00CD769F">
          <w:rPr>
            <w:noProof/>
            <w:sz w:val="16"/>
            <w:szCs w:val="16"/>
          </w:rPr>
          <w:t>1</w:t>
        </w:r>
        <w:r w:rsidRPr="00A169B0">
          <w:rPr>
            <w:sz w:val="16"/>
            <w:szCs w:val="16"/>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27"/>
  </w:num>
  <w:num w:numId="7">
    <w:abstractNumId w:val="15"/>
  </w:num>
  <w:num w:numId="8">
    <w:abstractNumId w:val="14"/>
  </w:num>
  <w:num w:numId="9">
    <w:abstractNumId w:val="16"/>
  </w:num>
  <w:num w:numId="10">
    <w:abstractNumId w:val="20"/>
  </w:num>
  <w:num w:numId="11">
    <w:abstractNumId w:val="24"/>
  </w:num>
  <w:num w:numId="12">
    <w:abstractNumId w:val="3"/>
  </w:num>
  <w:num w:numId="13">
    <w:abstractNumId w:val="2"/>
  </w:num>
  <w:num w:numId="14">
    <w:abstractNumId w:val="18"/>
  </w:num>
  <w:num w:numId="15">
    <w:abstractNumId w:val="23"/>
  </w:num>
  <w:num w:numId="16">
    <w:abstractNumId w:val="11"/>
  </w:num>
  <w:num w:numId="17">
    <w:abstractNumId w:val="10"/>
  </w:num>
  <w:num w:numId="18">
    <w:abstractNumId w:val="1"/>
  </w:num>
  <w:num w:numId="19">
    <w:abstractNumId w:val="17"/>
  </w:num>
  <w:num w:numId="20">
    <w:abstractNumId w:val="6"/>
  </w:num>
  <w:num w:numId="21">
    <w:abstractNumId w:val="19"/>
  </w:num>
  <w:num w:numId="22">
    <w:abstractNumId w:val="25"/>
  </w:num>
  <w:num w:numId="23">
    <w:abstractNumId w:val="8"/>
  </w:num>
  <w:num w:numId="24">
    <w:abstractNumId w:val="12"/>
  </w:num>
  <w:num w:numId="25">
    <w:abstractNumId w:val="5"/>
  </w:num>
  <w:num w:numId="26">
    <w:abstractNumId w:val="7"/>
  </w:num>
  <w:num w:numId="27">
    <w:abstractNumId w:val="4"/>
  </w:num>
  <w:num w:numId="28">
    <w:abstractNumId w:val="13"/>
  </w:num>
  <w:num w:numId="29">
    <w:abstractNumId w:val="26"/>
  </w:num>
  <w:num w:numId="30">
    <w:abstractNumId w:val="21"/>
  </w:num>
  <w:num w:numId="31">
    <w:abstractNumId w:val="9"/>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hyphenationZone w:val="425"/>
  <w:characterSpacingControl w:val="doNotCompress"/>
  <w:savePreviewPicture/>
  <w:footnotePr>
    <w:footnote w:id="-1"/>
    <w:footnote w:id="0"/>
  </w:footnotePr>
  <w:endnotePr>
    <w:endnote w:id="-1"/>
    <w:endnote w:id="0"/>
  </w:endnotePr>
  <w:compat>
    <w:useFELayout/>
  </w:compat>
  <w:rsids>
    <w:rsidRoot w:val="00F50AC6"/>
    <w:rsid w:val="00097C6E"/>
    <w:rsid w:val="000D4D02"/>
    <w:rsid w:val="002A7461"/>
    <w:rsid w:val="00AC1FBF"/>
    <w:rsid w:val="00B307A3"/>
    <w:rsid w:val="00B529BD"/>
    <w:rsid w:val="00B57D6F"/>
    <w:rsid w:val="00CD769F"/>
    <w:rsid w:val="00F50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Ttulo1">
    <w:name w:val="heading 1"/>
    <w:basedOn w:val="Normal"/>
    <w:next w:val="Normal"/>
    <w:link w:val="Ttulo1C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Ttulo2">
    <w:name w:val="heading 2"/>
    <w:basedOn w:val="Normal"/>
    <w:next w:val="Normal"/>
    <w:link w:val="Ttulo2C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Ttulo3">
    <w:name w:val="heading 3"/>
    <w:basedOn w:val="Normal"/>
    <w:next w:val="Normal"/>
    <w:link w:val="Ttulo3C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29BD"/>
    <w:rPr>
      <w:rFonts w:ascii="Arial" w:eastAsia="Times New Roman" w:hAnsi="Arial" w:cs="Times New Roman"/>
      <w:b/>
      <w:szCs w:val="20"/>
      <w:lang w:eastAsia="ar-SA"/>
    </w:rPr>
  </w:style>
  <w:style w:type="character" w:customStyle="1" w:styleId="Ttulo2Car">
    <w:name w:val="Título 2 Car"/>
    <w:basedOn w:val="Fuentedeprrafopredeter"/>
    <w:link w:val="Ttulo2"/>
    <w:rsid w:val="00B529BD"/>
    <w:rPr>
      <w:rFonts w:ascii="Arial" w:eastAsia="Times New Roman" w:hAnsi="Arial" w:cs="Arial"/>
      <w:b/>
      <w:bCs/>
      <w:iCs/>
      <w:szCs w:val="20"/>
      <w:lang w:eastAsia="ar-SA"/>
    </w:rPr>
  </w:style>
  <w:style w:type="character" w:customStyle="1" w:styleId="Ttulo3Car">
    <w:name w:val="Título 3 Car"/>
    <w:basedOn w:val="Fuentedeprrafopredeter"/>
    <w:link w:val="Ttulo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Prrafodelista">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Encabezado">
    <w:name w:val="header"/>
    <w:basedOn w:val="Normal"/>
    <w:link w:val="EncabezadoCar"/>
    <w:uiPriority w:val="99"/>
    <w:unhideWhenUsed/>
    <w:rsid w:val="00B529BD"/>
    <w:pPr>
      <w:tabs>
        <w:tab w:val="center" w:pos="4419"/>
        <w:tab w:val="right" w:pos="8838"/>
      </w:tabs>
    </w:pPr>
    <w:rPr>
      <w:rFonts w:eastAsiaTheme="minorHAnsi"/>
      <w:sz w:val="22"/>
      <w:szCs w:val="22"/>
      <w:lang w:val="es-CL"/>
    </w:rPr>
  </w:style>
  <w:style w:type="character" w:customStyle="1" w:styleId="EncabezadoCar">
    <w:name w:val="Encabezado Car"/>
    <w:basedOn w:val="Fuentedeprrafopredeter"/>
    <w:link w:val="Encabezado"/>
    <w:uiPriority w:val="99"/>
    <w:rsid w:val="00B529BD"/>
    <w:rPr>
      <w:rFonts w:eastAsiaTheme="minorHAnsi"/>
      <w:sz w:val="22"/>
      <w:szCs w:val="22"/>
      <w:lang w:val="es-CL"/>
    </w:rPr>
  </w:style>
  <w:style w:type="paragraph" w:styleId="Piedepgina">
    <w:name w:val="footer"/>
    <w:basedOn w:val="Normal"/>
    <w:link w:val="PiedepginaCar"/>
    <w:uiPriority w:val="99"/>
    <w:semiHidden/>
    <w:unhideWhenUsed/>
    <w:rsid w:val="00B529BD"/>
    <w:pPr>
      <w:tabs>
        <w:tab w:val="center" w:pos="4419"/>
        <w:tab w:val="right" w:pos="8838"/>
      </w:tabs>
    </w:pPr>
    <w:rPr>
      <w:rFonts w:eastAsiaTheme="minorHAnsi"/>
      <w:sz w:val="22"/>
      <w:szCs w:val="22"/>
      <w:lang w:val="es-CL"/>
    </w:rPr>
  </w:style>
  <w:style w:type="character" w:customStyle="1" w:styleId="PiedepginaCar">
    <w:name w:val="Pie de página Car"/>
    <w:basedOn w:val="Fuentedeprrafopredeter"/>
    <w:link w:val="Piedepgina"/>
    <w:uiPriority w:val="99"/>
    <w:semiHidden/>
    <w:rsid w:val="00B529BD"/>
    <w:rPr>
      <w:rFonts w:eastAsiaTheme="minorHAnsi"/>
      <w:sz w:val="22"/>
      <w:szCs w:val="22"/>
      <w:lang w:val="es-CL"/>
    </w:rPr>
  </w:style>
  <w:style w:type="character" w:customStyle="1" w:styleId="apple-tab-span">
    <w:name w:val="apple-tab-span"/>
    <w:basedOn w:val="Fuentedeprrafopredeter"/>
    <w:rsid w:val="00B529BD"/>
  </w:style>
  <w:style w:type="paragraph" w:styleId="Ttulo">
    <w:name w:val="Title"/>
    <w:basedOn w:val="Normal"/>
    <w:next w:val="Normal"/>
    <w:link w:val="TtuloC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tuloCar">
    <w:name w:val="Título Car"/>
    <w:basedOn w:val="Fuentedeprrafopredeter"/>
    <w:link w:val="Ttulo"/>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Textoennegrita">
    <w:name w:val="Strong"/>
    <w:basedOn w:val="Fuentedeprrafopredeter"/>
    <w:qFormat/>
    <w:rsid w:val="00B529BD"/>
    <w:rPr>
      <w:b/>
      <w:bCs/>
    </w:rPr>
  </w:style>
  <w:style w:type="paragraph" w:styleId="Textodeglobo">
    <w:name w:val="Balloon Text"/>
    <w:basedOn w:val="Normal"/>
    <w:link w:val="TextodegloboCar"/>
    <w:uiPriority w:val="99"/>
    <w:semiHidden/>
    <w:unhideWhenUsed/>
    <w:rsid w:val="00B529BD"/>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52</Pages>
  <Words>7305</Words>
  <Characters>40181</Characters>
  <Application>Microsoft Office Word</Application>
  <DocSecurity>0</DocSecurity>
  <Lines>334</Lines>
  <Paragraphs>94</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47392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sergio ramos cossio</cp:lastModifiedBy>
  <cp:revision>4</cp:revision>
  <dcterms:created xsi:type="dcterms:W3CDTF">2013-07-27T21:57:00Z</dcterms:created>
  <dcterms:modified xsi:type="dcterms:W3CDTF">2013-07-27T23:09:00Z</dcterms:modified>
</cp:coreProperties>
</file>