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p w:rsidR="00B529BD" w:rsidRDefault="00B529BD" w:rsidP="00B529BD">
      <w:pPr>
        <w:jc w:val="both"/>
        <w:rPr>
          <w:rFonts w:ascii="Times New Roman" w:eastAsia="Times New Roman" w:hAnsi="Times New Roman" w:cs="Times New Roman"/>
          <w:color w:val="000000"/>
          <w:lang w:eastAsia="es-CL"/>
        </w:rPr>
      </w:pPr>
    </w:p>
    <w:p w:rsidR="00B529BD" w:rsidRDefault="00B529BD" w:rsidP="00B529BD">
      <w:pPr>
        <w:jc w:val="center"/>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 xml:space="preserve">propuesta por la organización </w:t>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B529BD" w:rsidRDefault="00B529BD" w:rsidP="00B529BD">
      <w:pPr>
        <w:jc w:val="both"/>
        <w:rPr>
          <w:rFonts w:ascii="Times New Roman" w:eastAsia="Times New Roman" w:hAnsi="Times New Roman" w:cs="Times New Roman"/>
          <w:color w:val="000000"/>
          <w:lang w:eastAsia="es-CL"/>
        </w:rPr>
      </w:pP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La metodología de evaluación de riesgos (</w:t>
      </w:r>
      <w:r w:rsidRPr="004466E9">
        <w:rPr>
          <w:rFonts w:ascii="Times New Roman" w:eastAsia="Times New Roman" w:hAnsi="Times New Roman" w:cs="Times New Roman"/>
          <w:i/>
          <w:iCs/>
          <w:color w:val="000000"/>
          <w:lang w:eastAsia="es-CL"/>
        </w:rPr>
        <w:t xml:space="preserve">risk oriented approach), </w:t>
      </w:r>
      <w:r w:rsidRPr="004466E9">
        <w:rPr>
          <w:rFonts w:ascii="Times New Roman" w:eastAsia="Times New Roman" w:hAnsi="Times New Roman" w:cs="Times New Roman"/>
          <w:color w:val="000000"/>
          <w:lang w:eastAsia="es-CL"/>
        </w:rPr>
        <w:t>propuesta por la organización ISACA, comienza fijando los objetivos de control que minimizan los riesgos potenciales a los que está sometido el entorno. Una lista de riesgos importantes son: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Incremento de la “dependencia” del servicio informático de terceros, debido a la concentración de 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Mayores posibilidades de acceso en la figura del administrador de la base de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datos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Incompatibilidad entre sistemas de seguridad de acceso propios del SGBD y el</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general de la instalación.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impacto de los errores en datos o programas que en los sistemas</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tradicionales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 Mayor impacto de accesos no autorizados al diccionario de la base de datos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Mayor dependencia del nivel de conocimientos técnicos del personal que realice</w:t>
      </w:r>
      <w:r>
        <w:rPr>
          <w:rFonts w:ascii="Times New Roman" w:eastAsia="Times New Roman" w:hAnsi="Times New Roman" w:cs="Times New Roman"/>
          <w:color w:val="000000"/>
          <w:lang w:eastAsia="es-CL"/>
        </w:rPr>
        <w:t xml:space="preserve"> </w:t>
      </w:r>
      <w:r w:rsidRPr="004466E9">
        <w:rPr>
          <w:rFonts w:ascii="Times New Roman" w:eastAsia="Times New Roman" w:hAnsi="Times New Roman" w:cs="Times New Roman"/>
          <w:color w:val="000000"/>
          <w:lang w:eastAsia="es-CL"/>
        </w:rPr>
        <w:t>tareas relacionadas con el software de base de datos (DBAs, BDOs, usuarios especializados)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Recomendaciones:</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Objetivo-de-control, en nuestro caso:</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El SGBD deberá preservar la confidencialidad de la base de datos. Una vez establecidos los objetivos de control,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Deben establecerse las Técnicas-de-control (que sostendrán al Objetivo-de-control), en nuestro caso:</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Se deberán establecer los tipos de usuarios, </w:t>
      </w:r>
    </w:p>
    <w:p w:rsidR="00B529BD" w:rsidRPr="004466E9" w:rsidRDefault="00B529BD" w:rsidP="00B529BD">
      <w:pPr>
        <w:numPr>
          <w:ilvl w:val="0"/>
          <w:numId w:val="1"/>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perfiles y privilegios necesarios para controlar el acceso a las bases de datos. </w:t>
      </w:r>
      <w:r w:rsidRPr="004466E9">
        <w:rPr>
          <w:rFonts w:ascii="Times New Roman" w:eastAsia="Times New Roman" w:hAnsi="Times New Roman" w:cs="Times New Roman"/>
          <w:color w:val="FF0000"/>
          <w:lang w:eastAsia="es-CL"/>
        </w:rPr>
        <w:t>Actualmente existe un único usuario de acceso a la BD y éste se conecta a través de una aplicación</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técnicas pueden ser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Preventivas/detectivas (como lo es el monitoreo de la BD) o </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Correctivas (como lo es un backup).</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B529BD" w:rsidRPr="004466E9" w:rsidRDefault="00B529BD" w:rsidP="00B529BD">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eastAsia="Times New Roman" w:hAnsi="Times New Roman" w:cs="Times New Roman"/>
          <w:lang w:eastAsia="es-CL"/>
        </w:rPr>
        <w:br/>
      </w:r>
      <w:r w:rsidRPr="001E5621">
        <w:rPr>
          <w:rFonts w:ascii="Times New Roman" w:eastAsia="Times New Roman" w:hAnsi="Times New Roman" w:cs="Times New Roman"/>
          <w:lang w:eastAsia="es-CL"/>
        </w:rPr>
        <w:br/>
      </w:r>
      <w:r w:rsidRPr="001E5621">
        <w:rPr>
          <w:rFonts w:ascii="Times New Roman" w:hAnsi="Times New Roman" w:cs="Times New Roman"/>
          <w:highlight w:val="yellow"/>
        </w:rPr>
        <w:t xml:space="preserve">Controlando en el ciclo de vida de una </w:t>
      </w:r>
      <w:r w:rsidRPr="001E5621">
        <w:rPr>
          <w:rFonts w:ascii="Times New Roman" w:hAnsi="Times New Roman" w:cs="Times New Roman"/>
        </w:rPr>
        <w:t>BD</w:t>
      </w:r>
    </w:p>
    <w:p w:rsidR="00B529BD" w:rsidRPr="001E5621"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utilidades, etc. De soporte para al SGND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Diseño y carga</w:t>
      </w: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diseños lógico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highlight w:val="yellow"/>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highlight w:val="yellow"/>
          <w:lang w:val="es-MX"/>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1E5621">
        <w:rPr>
          <w:rFonts w:ascii="Times New Roman" w:hAnsi="Times New Roman" w:cs="Times New Roman"/>
          <w:bCs/>
          <w:kern w:val="24"/>
          <w:lang w:val="es-PE"/>
        </w:rPr>
        <w:br/>
      </w: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B529BD">
      <w:p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14.4.1. Sistema de Gestion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Entre sus componentes podemos destacar, el Kernel, el catálogo (componente fundamental para asegurar la seguridad de la base de datos), las utilidad para el administrador ( crear usuarios, conceder privilegios ) y resolver otras cuestiones relativas a la confidencialidad.</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B529BD">
      <w:pPr>
        <w:numPr>
          <w:ilvl w:val="0"/>
          <w:numId w:val="2"/>
        </w:numPr>
        <w:autoSpaceDE w:val="0"/>
        <w:autoSpaceDN w:val="0"/>
        <w:adjustRightInd w:val="0"/>
        <w:ind w:left="568" w:hanging="568"/>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la base de datos sean veriificables”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14.4.3. </w:t>
      </w:r>
      <w:r w:rsidRPr="001E5621">
        <w:rPr>
          <w:rFonts w:ascii="Times New Roman" w:hAnsi="Times New Roman" w:cs="Times New Roman"/>
          <w:bCs/>
          <w:kern w:val="24"/>
          <w:lang w:val="es-MX"/>
        </w:rPr>
        <w:t>SISTEMA DE MONITORIZACIÓN Y AJUSTE (tuning)</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14.4.4. </w:t>
      </w:r>
      <w:r w:rsidRPr="001E5621">
        <w:rPr>
          <w:rFonts w:ascii="Times New Roman" w:hAnsi="Times New Roman" w:cs="Times New Roman"/>
          <w:bCs/>
          <w:kern w:val="24"/>
          <w:lang w:val="es-MX"/>
        </w:rPr>
        <w:t>SISTEMA OPERATIVO (S.O)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rPr>
        <w:t xml:space="preserve">14.4.5. </w:t>
      </w:r>
      <w:r w:rsidRPr="001E5621">
        <w:rPr>
          <w:rFonts w:ascii="Times New Roman" w:hAnsi="Times New Roman" w:cs="Times New Roman"/>
          <w:bCs/>
          <w:kern w:val="24"/>
          <w:lang w:val="es-MX"/>
        </w:rPr>
        <w:t xml:space="preserve">MONITOR DE TRANSACCIONES </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14.4.7. </w:t>
      </w:r>
      <w:r w:rsidRPr="001E5621">
        <w:rPr>
          <w:rFonts w:ascii="Times New Roman" w:hAnsi="Times New Roman" w:cs="Times New Roman"/>
          <w:bCs/>
          <w:kern w:val="24"/>
          <w:lang w:val="es-MX"/>
        </w:rPr>
        <w:t xml:space="preserve">PAQUETES DE SEGURIDAD                                                            </w:t>
      </w:r>
    </w:p>
    <w:p w:rsidR="00B529BD" w:rsidRPr="001E5621" w:rsidRDefault="00B529BD" w:rsidP="00B529BD">
      <w:pPr>
        <w:autoSpaceDE w:val="0"/>
        <w:autoSpaceDN w:val="0"/>
        <w:adjustRightInd w:val="0"/>
        <w:jc w:val="both"/>
        <w:rPr>
          <w:rFonts w:ascii="Times New Roman" w:hAnsi="Times New Roman" w:cs="Times New Roman"/>
          <w:shadow/>
          <w:kern w:val="24"/>
          <w:lang w:val="es-PE"/>
        </w:rPr>
      </w:pPr>
      <w:r w:rsidRPr="001E5621">
        <w:rPr>
          <w:rFonts w:ascii="Times New Roman" w:hAnsi="Times New Roman" w:cs="Times New Roman"/>
          <w:bCs/>
          <w:kern w:val="24"/>
        </w:rPr>
        <w:t>14.4.8.</w:t>
      </w:r>
      <w:r>
        <w:rPr>
          <w:rFonts w:ascii="Times New Roman" w:hAnsi="Times New Roman" w:cs="Times New Roman"/>
          <w:bCs/>
          <w:kern w:val="24"/>
        </w:rPr>
        <w:t xml:space="preserve"> </w:t>
      </w:r>
      <w:r w:rsidRPr="001E5621">
        <w:rPr>
          <w:rFonts w:ascii="Times New Roman" w:hAnsi="Times New Roman" w:cs="Times New Roman"/>
          <w:bCs/>
          <w:kern w:val="24"/>
          <w:lang w:val="es-PE"/>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Juegan un papel primordial en el ede 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14.4.11. </w:t>
      </w:r>
      <w:r w:rsidRPr="001E5621">
        <w:rPr>
          <w:rFonts w:ascii="Times New Roman" w:hAnsi="Times New Roman" w:cs="Times New Roman"/>
          <w:bCs/>
          <w:kern w:val="24"/>
          <w:lang w:val="es-PE"/>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14.4.12. </w:t>
      </w:r>
      <w:r w:rsidRPr="001E5621">
        <w:rPr>
          <w:rFonts w:ascii="Times New Roman" w:hAnsi="Times New Roman" w:cs="Times New Roman"/>
          <w:bCs/>
          <w:kern w:val="24"/>
          <w:lang w:val="es-MX"/>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rPr>
        <w:t xml:space="preserve">14.4.13. </w:t>
      </w:r>
      <w:r w:rsidRPr="001E5621">
        <w:rPr>
          <w:rFonts w:ascii="Times New Roman" w:hAnsi="Times New Roman" w:cs="Times New Roman"/>
          <w:bCs/>
          <w:kern w:val="24"/>
          <w:lang w:val="es-MX"/>
        </w:rPr>
        <w:t>Aplicaciones</w:t>
      </w: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r w:rsidRPr="001E5621">
        <w:rPr>
          <w:rFonts w:ascii="Times New Roman" w:hAnsi="Times New Roman" w:cs="Times New Roman"/>
          <w:bCs/>
          <w:kern w:val="24"/>
          <w:lang w:val="es-MX"/>
        </w:rPr>
        <w:tab/>
        <w:t>Se deberá controlar que las aplicaciones no atentan contra la integridad de los datos de la base.</w:t>
      </w: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0" w:name="_Toc236042846"/>
      <w:r w:rsidRPr="007F07A6">
        <w:t>Evidencia base</w:t>
      </w:r>
      <w:bookmarkEnd w:id="0"/>
    </w:p>
    <w:p w:rsidR="00B529BD" w:rsidRDefault="00B529BD" w:rsidP="00B529BD">
      <w:pPr>
        <w:pStyle w:val="Ttulo2"/>
      </w:pPr>
      <w:bookmarkStart w:id="1" w:name="_Toc236042847"/>
      <w:r>
        <w:t>Diagrama conceptual</w:t>
      </w:r>
      <w:bookmarkEnd w:id="1"/>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2" w:name="_Toc236042848"/>
      <w:r w:rsidRPr="007F07A6">
        <w:t xml:space="preserve">Identificar toda la Infraestructura (hardware) que soporta las instancias ORACLE </w:t>
      </w:r>
      <w:r>
        <w:t xml:space="preserve">&amp; INFORMIX </w:t>
      </w:r>
      <w:r w:rsidRPr="007F07A6">
        <w:t>(Servidores y Storage)</w:t>
      </w:r>
      <w:bookmarkEnd w:id="2"/>
    </w:p>
    <w:p w:rsidR="00B529BD" w:rsidRDefault="00B529BD" w:rsidP="00B529BD">
      <w:bookmarkStart w:id="3" w:name="OLE_LINK9"/>
      <w:bookmarkStart w:id="4"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3"/>
      <w:bookmarkEnd w:id="4"/>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5" w:name="_Toc236042849"/>
      <w:bookmarkStart w:id="6" w:name="OLE_LINK11"/>
      <w:bookmarkStart w:id="7" w:name="OLE_LINK12"/>
      <w:r w:rsidRPr="007F07A6">
        <w:t>Diagrama técnico y funcional</w:t>
      </w:r>
      <w:bookmarkEnd w:id="5"/>
    </w:p>
    <w:bookmarkEnd w:id="6"/>
    <w:bookmarkEnd w:id="7"/>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8" w:name="OLE_LINK13"/>
      <w:bookmarkStart w:id="9"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8"/>
      <w:bookmarkEnd w:id="9"/>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7"/>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0" w:name="RANGE!C8"/>
            <w:r w:rsidRPr="00472513">
              <w:rPr>
                <w:rFonts w:ascii="Calibri" w:eastAsia="Times New Roman" w:hAnsi="Calibri" w:cs="Calibri"/>
                <w:color w:val="000000"/>
                <w:lang w:eastAsia="es-CL"/>
              </w:rPr>
              <w:t>INP1</w:t>
            </w:r>
            <w:bookmarkEnd w:id="10"/>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B307A3" w:rsidRPr="00A169B0" w:rsidRDefault="00B307A3" w:rsidP="00B307A3">
        <w:pPr>
          <w:pStyle w:val="Encabezado"/>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AC1FBF">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AC1FBF">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4032A"/>
    <w:multiLevelType w:val="multilevel"/>
    <w:tmpl w:val="377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2"/>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27"/>
  </w:num>
  <w:num w:numId="7">
    <w:abstractNumId w:val="15"/>
  </w:num>
  <w:num w:numId="8">
    <w:abstractNumId w:val="14"/>
  </w:num>
  <w:num w:numId="9">
    <w:abstractNumId w:val="16"/>
  </w:num>
  <w:num w:numId="10">
    <w:abstractNumId w:val="20"/>
  </w:num>
  <w:num w:numId="11">
    <w:abstractNumId w:val="24"/>
  </w:num>
  <w:num w:numId="12">
    <w:abstractNumId w:val="3"/>
  </w:num>
  <w:num w:numId="13">
    <w:abstractNumId w:val="2"/>
  </w:num>
  <w:num w:numId="14">
    <w:abstractNumId w:val="18"/>
  </w:num>
  <w:num w:numId="15">
    <w:abstractNumId w:val="23"/>
  </w:num>
  <w:num w:numId="16">
    <w:abstractNumId w:val="11"/>
  </w:num>
  <w:num w:numId="17">
    <w:abstractNumId w:val="10"/>
  </w:num>
  <w:num w:numId="18">
    <w:abstractNumId w:val="1"/>
  </w:num>
  <w:num w:numId="19">
    <w:abstractNumId w:val="17"/>
  </w:num>
  <w:num w:numId="20">
    <w:abstractNumId w:val="6"/>
  </w:num>
  <w:num w:numId="21">
    <w:abstractNumId w:val="19"/>
  </w:num>
  <w:num w:numId="22">
    <w:abstractNumId w:val="25"/>
  </w:num>
  <w:num w:numId="23">
    <w:abstractNumId w:val="8"/>
  </w:num>
  <w:num w:numId="24">
    <w:abstractNumId w:val="12"/>
  </w:num>
  <w:num w:numId="25">
    <w:abstractNumId w:val="5"/>
  </w:num>
  <w:num w:numId="26">
    <w:abstractNumId w:val="7"/>
  </w:num>
  <w:num w:numId="27">
    <w:abstractNumId w:val="4"/>
  </w:num>
  <w:num w:numId="28">
    <w:abstractNumId w:val="13"/>
  </w:num>
  <w:num w:numId="29">
    <w:abstractNumId w:val="26"/>
  </w:num>
  <w:num w:numId="30">
    <w:abstractNumId w:val="21"/>
  </w:num>
  <w:num w:numId="31">
    <w:abstractNumId w:val="9"/>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savePreviewPicture/>
  <w:compat>
    <w:useFELayout/>
  </w:compat>
  <w:rsids>
    <w:rsidRoot w:val="00F50AC6"/>
    <w:rsid w:val="000D4D02"/>
    <w:rsid w:val="002A7461"/>
    <w:rsid w:val="00AC1FBF"/>
    <w:rsid w:val="00B307A3"/>
    <w:rsid w:val="00B529BD"/>
    <w:rsid w:val="00F50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51</Pages>
  <Words>7226</Words>
  <Characters>39747</Characters>
  <Application>Microsoft Office Word</Application>
  <DocSecurity>0</DocSecurity>
  <Lines>331</Lines>
  <Paragraphs>93</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46880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3</cp:revision>
  <dcterms:created xsi:type="dcterms:W3CDTF">2013-07-27T21:57:00Z</dcterms:created>
  <dcterms:modified xsi:type="dcterms:W3CDTF">2013-07-27T22:55:00Z</dcterms:modified>
</cp:coreProperties>
</file>