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Account Review</w:t>
      </w:r>
    </w:p>
    <w:p>
      <w:r>
        <w:t>Prepared: 2026-07-07   |   Confidential — Internal Use</w:t>
      </w:r>
    </w:p>
    <w:p>
      <w:pPr>
        <w:pStyle w:val="Heading1"/>
      </w:pPr>
      <w:r>
        <w:t>Executive Summary</w:t>
      </w:r>
    </w:p>
    <w:p>
      <w:r>
        <w:t>This quarter the team closed 17 deals worth $1,171,000 in new revenue, with an open pipeline of $2,824,000 across 34 active opportunities. The overall win rate stands at 65.4%. Below is a breakdown by sales rep and a set of at-risk accounts flagged for follow-up.</w:t>
      </w:r>
    </w:p>
    <w:p>
      <w:pPr>
        <w:pStyle w:val="Heading1"/>
      </w:pPr>
      <w:r>
        <w:t>Rep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Closed Won (USD)</w:t>
            </w:r>
          </w:p>
        </w:tc>
        <w:tc>
          <w:tcPr>
            <w:tcW w:type="dxa" w:w="2160"/>
          </w:tcPr>
          <w:p>
            <w:r>
              <w:t>Open Pipeline (USD)</w:t>
            </w:r>
          </w:p>
        </w:tc>
      </w:tr>
      <w:tr>
        <w:tc>
          <w:tcPr>
            <w:tcW w:type="dxa" w:w="2160"/>
          </w:tcPr>
          <w:p>
            <w:r>
              <w:t>Aisha Khan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$87,000</w:t>
            </w:r>
          </w:p>
        </w:tc>
        <w:tc>
          <w:tcPr>
            <w:tcW w:type="dxa" w:w="2160"/>
          </w:tcPr>
          <w:p>
            <w:r>
              <w:t>$480,000</w:t>
            </w:r>
          </w:p>
        </w:tc>
      </w:tr>
      <w:tr>
        <w:tc>
          <w:tcPr>
            <w:tcW w:type="dxa" w:w="2160"/>
          </w:tcPr>
          <w:p>
            <w:r>
              <w:t>Marco Reyes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$73,000</w:t>
            </w:r>
          </w:p>
        </w:tc>
        <w:tc>
          <w:tcPr>
            <w:tcW w:type="dxa" w:w="2160"/>
          </w:tcPr>
          <w:p>
            <w:r>
              <w:t>$308,000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$121,000</w:t>
            </w:r>
          </w:p>
        </w:tc>
        <w:tc>
          <w:tcPr>
            <w:tcW w:type="dxa" w:w="2160"/>
          </w:tcPr>
          <w:p>
            <w:r>
              <w:t>$672,000</w:t>
            </w:r>
          </w:p>
        </w:tc>
      </w:tr>
      <w:tr>
        <w:tc>
          <w:tcPr>
            <w:tcW w:type="dxa" w:w="2160"/>
          </w:tcPr>
          <w:p>
            <w:r>
              <w:t>Tom Fischer</w:t>
            </w:r>
          </w:p>
        </w:tc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$675,000</w:t>
            </w:r>
          </w:p>
        </w:tc>
        <w:tc>
          <w:tcPr>
            <w:tcW w:type="dxa" w:w="2160"/>
          </w:tcPr>
          <w:p>
            <w:r>
              <w:t>$748,000</w:t>
            </w:r>
          </w:p>
        </w:tc>
      </w:tr>
      <w:tr>
        <w:tc>
          <w:tcPr>
            <w:tcW w:type="dxa" w:w="2160"/>
          </w:tcPr>
          <w:p>
            <w:r>
              <w:t>Lena Osei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$215,000</w:t>
            </w:r>
          </w:p>
        </w:tc>
        <w:tc>
          <w:tcPr>
            <w:tcW w:type="dxa" w:w="2160"/>
          </w:tcPr>
          <w:p>
            <w:r>
              <w:t>$616,000</w:t>
            </w:r>
          </w:p>
        </w:tc>
      </w:tr>
    </w:tbl>
    <w:p>
      <w:pPr>
        <w:pStyle w:val="Heading1"/>
      </w:pPr>
      <w:r>
        <w:t>At-Risk Accounts</w:t>
      </w:r>
    </w:p>
    <w:p>
      <w:pPr>
        <w:pStyle w:val="ListBullet"/>
      </w:pPr>
      <w:r>
        <w:rPr>
          <w:b/>
        </w:rPr>
        <w:t xml:space="preserve">Globex — DEAL-3001: </w:t>
      </w:r>
      <w:r>
        <w:t>$48,000 in Proposal, owned by Marco Reyes. Close target 2025-05-04.</w:t>
      </w:r>
    </w:p>
    <w:p>
      <w:pPr>
        <w:pStyle w:val="ListBullet"/>
      </w:pPr>
      <w:r>
        <w:rPr>
          <w:b/>
        </w:rPr>
        <w:t xml:space="preserve">Vandelay Ind — DEAL-3003: </w:t>
      </w:r>
      <w:r>
        <w:t>$75,000 in Negotiation, owned by Aisha Khan. Close target 2025-02-12.</w:t>
      </w:r>
    </w:p>
    <w:p>
      <w:pPr>
        <w:pStyle w:val="ListBullet"/>
      </w:pPr>
      <w:r>
        <w:rPr>
          <w:b/>
        </w:rPr>
        <w:t xml:space="preserve">Globex — DEAL-3004: </w:t>
      </w:r>
      <w:r>
        <w:t>$250,000 in Negotiation, owned by Lena Osei. Close target 2025-06-12.</w:t>
      </w:r>
    </w:p>
    <w:p>
      <w:pPr>
        <w:pStyle w:val="ListBullet"/>
      </w:pPr>
      <w:r>
        <w:rPr>
          <w:b/>
        </w:rPr>
        <w:t xml:space="preserve">Initech — DEAL-3010: </w:t>
      </w:r>
      <w:r>
        <w:t>$75,000 in Negotiation, owned by Aisha Khan. Close target 2025-04-24.</w:t>
      </w:r>
    </w:p>
    <w:p>
      <w:pPr>
        <w:pStyle w:val="ListBullet"/>
      </w:pPr>
      <w:r>
        <w:rPr>
          <w:b/>
        </w:rPr>
        <w:t xml:space="preserve">Wonka LLC — DEAL-3012: </w:t>
      </w:r>
      <w:r>
        <w:t>$75,000 in Proposal, owned by Marco Reyes. Close target 2025-10-06.</w:t>
      </w:r>
    </w:p>
    <w:p>
      <w:pPr>
        <w:pStyle w:val="ListBullet"/>
      </w:pPr>
      <w:r>
        <w:rPr>
          <w:b/>
        </w:rPr>
        <w:t xml:space="preserve">Stark Labs — DEAL-3021: </w:t>
      </w:r>
      <w:r>
        <w:t>$75,000 in Proposal, owned by Aisha Khan. Close target 2025-08-08.</w:t>
      </w:r>
    </w:p>
    <w:p>
      <w:pPr>
        <w:pStyle w:val="Heading1"/>
      </w:pPr>
      <w:r>
        <w:t>Recommended Actions</w:t>
      </w:r>
    </w:p>
    <w:p>
      <w:pPr>
        <w:pStyle w:val="ListNumber"/>
      </w:pPr>
      <w:r>
        <w:t>Prioritize Negotiation-stage deals closing this month.</w:t>
      </w:r>
    </w:p>
    <w:p>
      <w:pPr>
        <w:pStyle w:val="ListNumber"/>
      </w:pPr>
      <w:r>
        <w:t>Re-engage stalled Proposal deals with updated pricing.</w:t>
      </w:r>
    </w:p>
    <w:p>
      <w:pPr>
        <w:pStyle w:val="ListNumber"/>
      </w:pPr>
      <w:r>
        <w:t>Reassign accounts where the champion has changed roles.</w:t>
      </w:r>
    </w:p>
    <w:p>
      <w:pPr>
        <w:pStyle w:val="ListNumber"/>
      </w:pPr>
      <w:r>
        <w:t>Increase demo cadence for high-value inbound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