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1992" w:rsidRDefault="00A81992" w:rsidP="00A81992">
      <w:pPr>
        <w:pStyle w:val="font-claude-response-body"/>
        <w:rPr>
          <w:color w:val="000000"/>
        </w:rPr>
      </w:pPr>
      <w:r>
        <w:rPr>
          <w:rStyle w:val="Strong"/>
          <w:color w:val="000000"/>
        </w:rPr>
        <w:t>Supporting LB731: Protecting Victims Through Extended Accountability</w:t>
      </w:r>
    </w:p>
    <w:p w:rsidR="00A81992" w:rsidRDefault="00A81992" w:rsidP="00A81992">
      <w:pPr>
        <w:pStyle w:val="font-claude-response-body"/>
        <w:rPr>
          <w:color w:val="000000"/>
        </w:rPr>
      </w:pPr>
      <w:r>
        <w:rPr>
          <w:color w:val="000000"/>
        </w:rPr>
        <w:t>I strongly support LB731, the Gender Transition Malpractice Accountability Act, particularly its critical statute of limitations provisions.</w:t>
      </w:r>
    </w:p>
    <w:p w:rsidR="00A81992" w:rsidRDefault="00A81992" w:rsidP="00A81992">
      <w:pPr>
        <w:pStyle w:val="font-claude-response-body"/>
        <w:rPr>
          <w:color w:val="000000"/>
        </w:rPr>
      </w:pPr>
      <w:r>
        <w:rPr>
          <w:color w:val="000000"/>
        </w:rPr>
        <w:t xml:space="preserve">Nebraska's current </w:t>
      </w:r>
      <w:r>
        <w:rPr>
          <w:color w:val="000000"/>
        </w:rPr>
        <w:t xml:space="preserve">statute of limitations for </w:t>
      </w:r>
      <w:r>
        <w:rPr>
          <w:color w:val="000000"/>
        </w:rPr>
        <w:t xml:space="preserve">medical malpractice </w:t>
      </w:r>
      <w:r>
        <w:rPr>
          <w:color w:val="000000"/>
        </w:rPr>
        <w:t>claim</w:t>
      </w:r>
      <w:r>
        <w:rPr>
          <w:color w:val="000000"/>
        </w:rPr>
        <w:t xml:space="preserve"> </w:t>
      </w:r>
      <w:r>
        <w:rPr>
          <w:color w:val="000000"/>
        </w:rPr>
        <w:t xml:space="preserve">is two years from the act or omission unless the injury was not discovered or reasonably able to be discovered in that two-year time from, the injured party has another year to assert a claim.  </w:t>
      </w:r>
      <w:r>
        <w:rPr>
          <w:color w:val="000000"/>
        </w:rPr>
        <w:t xml:space="preserve">For most medical injuries, this timeframe may seem adequate. But </w:t>
      </w:r>
      <w:r>
        <w:rPr>
          <w:color w:val="000000"/>
        </w:rPr>
        <w:t xml:space="preserve">sex-rejecting </w:t>
      </w:r>
      <w:r>
        <w:rPr>
          <w:color w:val="000000"/>
        </w:rPr>
        <w:t>gender procedures are fundamentally different. Young people subjected to these irreversible treatments—puberty blockers, cross-sex hormones, mastectomies, castration—often cannot comprehend the full scope of their injuries until years or even decades late</w:t>
      </w:r>
      <w:r>
        <w:rPr>
          <w:color w:val="000000"/>
        </w:rPr>
        <w:t xml:space="preserve">r, as they are often encouraged to seek more invasive interventions chasing a dream  that will never come to fruition – no human has or will change sex. </w:t>
      </w:r>
    </w:p>
    <w:p w:rsidR="00A81992" w:rsidRDefault="00A81992" w:rsidP="00A81992">
      <w:pPr>
        <w:pStyle w:val="font-claude-response-body"/>
        <w:rPr>
          <w:color w:val="000000"/>
        </w:rPr>
      </w:pPr>
      <w:r>
        <w:rPr>
          <w:color w:val="000000"/>
        </w:rPr>
        <w:t>A fifteen-year-old girl who has her healthy breasts removed may not recognize the psychological trauma, the loss of her ability to breastfeed, or the regret she feels until she's in her thirties and wants to start a family. Under current law, her window to seek justice could close before she even understands what was taken from her. This is unconscionable.</w:t>
      </w:r>
    </w:p>
    <w:p w:rsidR="00A81992" w:rsidRDefault="00A81992" w:rsidP="00A81992">
      <w:pPr>
        <w:pStyle w:val="font-claude-response-body"/>
        <w:rPr>
          <w:color w:val="000000"/>
        </w:rPr>
      </w:pPr>
      <w:r>
        <w:rPr>
          <w:color w:val="000000"/>
        </w:rPr>
        <w:t>LB731's twelve-year statute of limitations acknowledges this reality. The Legislature correctly found that individuals subjected to these procedures "may not recognize the full extent of physical, psychological, or reproductive harm until well into adulthood" and that "standard medical malpractice statutes of limitations often expire before such individuals can reasonably discover injury or causation."</w:t>
      </w:r>
    </w:p>
    <w:p w:rsidR="00A81992" w:rsidRDefault="00A81992" w:rsidP="00A81992">
      <w:pPr>
        <w:pStyle w:val="font-claude-response-body"/>
        <w:rPr>
          <w:color w:val="000000"/>
        </w:rPr>
      </w:pPr>
      <w:r>
        <w:rPr>
          <w:color w:val="000000"/>
        </w:rPr>
        <w:t xml:space="preserve">This isn't about punishing healthcare providers—it's about accountability. If a doctor performs life-altering, irreversible procedures on a minor that later prove harmful, that child deserves a meaningful opportunity to seek redress. </w:t>
      </w:r>
      <w:r w:rsidR="003412C7">
        <w:rPr>
          <w:color w:val="000000"/>
        </w:rPr>
        <w:t xml:space="preserve">Children and vulnerable adults are being treated with cafeteria-like medicine with them dictating their treatment without no guardrails/ </w:t>
      </w:r>
      <w:r>
        <w:rPr>
          <w:color w:val="000000"/>
        </w:rPr>
        <w:t>The twelve-year timeframe provides a fair window while still protecting providers from indefinite liability.</w:t>
      </w:r>
    </w:p>
    <w:p w:rsidR="00A81992" w:rsidRDefault="00A81992" w:rsidP="00A81992">
      <w:pPr>
        <w:pStyle w:val="font-claude-response-body"/>
        <w:rPr>
          <w:color w:val="000000"/>
        </w:rPr>
      </w:pPr>
      <w:r>
        <w:rPr>
          <w:color w:val="000000"/>
        </w:rPr>
        <w:t>Moreover, the bill's prohibition on contractual liability waivers ensures that vulnerable young people and their families cannot be pressured into signing away their rights before they understand the consequences. This is particularly important given the power imbalance between desperate families and medical institutions.</w:t>
      </w:r>
    </w:p>
    <w:p w:rsidR="00A81992" w:rsidRDefault="00A81992" w:rsidP="00A81992">
      <w:pPr>
        <w:pStyle w:val="font-claude-response-body"/>
        <w:rPr>
          <w:color w:val="000000"/>
        </w:rPr>
      </w:pPr>
      <w:r>
        <w:rPr>
          <w:color w:val="000000"/>
        </w:rPr>
        <w:t>LB731 balances justice with practicality, ensuring that those harmed by these experimental procedures have a real chance at accountability and recovery.</w:t>
      </w:r>
    </w:p>
    <w:p w:rsidR="00A81992" w:rsidRDefault="00A81992"/>
    <w:sectPr w:rsidR="00A8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92"/>
    <w:rsid w:val="003412C7"/>
    <w:rsid w:val="00A8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9E3A6E"/>
  <w15:chartTrackingRefBased/>
  <w15:docId w15:val="{E5B56D30-B9A7-5D44-A27E-405A95914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8199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1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50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Friday</dc:creator>
  <cp:keywords/>
  <dc:description/>
  <cp:lastModifiedBy>Erin Friday</cp:lastModifiedBy>
  <cp:revision>1</cp:revision>
  <dcterms:created xsi:type="dcterms:W3CDTF">2026-01-21T23:00:00Z</dcterms:created>
  <dcterms:modified xsi:type="dcterms:W3CDTF">2026-01-21T23:13:00Z</dcterms:modified>
</cp:coreProperties>
</file>