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4F93D" w14:textId="77777777" w:rsidR="00DB76CF" w:rsidRPr="00D10DC3" w:rsidRDefault="00DB76CF" w:rsidP="00A90F08">
      <w:pPr>
        <w:rPr>
          <w:rFonts w:eastAsia="Times New Roman" w:cstheme="minorHAnsi"/>
          <w:b/>
          <w:color w:val="4472C4" w:themeColor="accent1"/>
        </w:rPr>
      </w:pPr>
    </w:p>
    <w:p w14:paraId="0BF44FA7" w14:textId="0E2EE86F" w:rsidR="00395EAA" w:rsidRPr="00D10DC3" w:rsidRDefault="00303C49" w:rsidP="00A90F08">
      <w:pPr>
        <w:rPr>
          <w:rFonts w:eastAsia="Times New Roman" w:cstheme="minorHAnsi"/>
          <w:b/>
          <w:color w:val="4472C4" w:themeColor="accent1"/>
        </w:rPr>
      </w:pPr>
      <w:r>
        <w:rPr>
          <w:rFonts w:eastAsia="Times New Roman" w:cstheme="minorHAnsi"/>
          <w:b/>
          <w:color w:val="4472C4" w:themeColor="accent1"/>
        </w:rPr>
        <w:t>Objectives</w:t>
      </w:r>
      <w:r w:rsidR="00A90F08" w:rsidRPr="00D10DC3">
        <w:rPr>
          <w:rFonts w:eastAsia="Times New Roman" w:cstheme="minorHAnsi"/>
          <w:b/>
          <w:color w:val="4472C4" w:themeColor="accent1"/>
        </w:rPr>
        <w:t>:</w:t>
      </w:r>
    </w:p>
    <w:p w14:paraId="41D7630B" w14:textId="68C8D7FA" w:rsidR="00561B70" w:rsidRPr="00303C49" w:rsidRDefault="00303C49" w:rsidP="00303C49">
      <w:pPr>
        <w:pStyle w:val="ListParagraph"/>
        <w:numPr>
          <w:ilvl w:val="0"/>
          <w:numId w:val="9"/>
        </w:numPr>
        <w:rPr>
          <w:rFonts w:eastAsia="Times New Roman" w:cstheme="minorHAnsi"/>
        </w:rPr>
      </w:pPr>
      <w:r w:rsidRPr="0085202B">
        <w:rPr>
          <w:rFonts w:eastAsia="Times New Roman" w:cstheme="minorHAnsi"/>
          <w:i/>
        </w:rPr>
        <w:t>Analyze</w:t>
      </w:r>
      <w:r w:rsidRPr="00303C49">
        <w:rPr>
          <w:rFonts w:eastAsia="Times New Roman" w:cstheme="minorHAnsi"/>
        </w:rPr>
        <w:t xml:space="preserve"> 150 cities across the United States using data from 200</w:t>
      </w:r>
      <w:r w:rsidR="0078400E">
        <w:rPr>
          <w:rFonts w:eastAsia="Times New Roman" w:cstheme="minorHAnsi"/>
        </w:rPr>
        <w:t>2</w:t>
      </w:r>
      <w:r w:rsidRPr="00303C49">
        <w:rPr>
          <w:rFonts w:eastAsia="Times New Roman" w:cstheme="minorHAnsi"/>
        </w:rPr>
        <w:t xml:space="preserve"> to 2016 to determine…</w:t>
      </w:r>
    </w:p>
    <w:p w14:paraId="178E36F2" w14:textId="61E6A765" w:rsidR="00303C49" w:rsidRDefault="00303C49" w:rsidP="00303C49">
      <w:pPr>
        <w:pStyle w:val="ListParagraph"/>
        <w:numPr>
          <w:ilvl w:val="0"/>
          <w:numId w:val="8"/>
        </w:numPr>
        <w:ind w:left="1080"/>
        <w:rPr>
          <w:rFonts w:eastAsia="Times New Roman" w:cstheme="minorHAnsi"/>
        </w:rPr>
      </w:pPr>
      <w:r>
        <w:rPr>
          <w:rFonts w:eastAsia="Times New Roman" w:cstheme="minorHAnsi"/>
        </w:rPr>
        <w:t>percent of cities that are managing expenses within revenues (sound budget practices)</w:t>
      </w:r>
    </w:p>
    <w:p w14:paraId="2E891181" w14:textId="0029476D" w:rsidR="00303C49" w:rsidRDefault="00303C49" w:rsidP="00303C49">
      <w:pPr>
        <w:pStyle w:val="ListParagraph"/>
        <w:numPr>
          <w:ilvl w:val="0"/>
          <w:numId w:val="8"/>
        </w:numPr>
        <w:ind w:left="108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if annual </w:t>
      </w:r>
      <w:r w:rsidR="00D5153A">
        <w:rPr>
          <w:rFonts w:eastAsia="Times New Roman" w:cstheme="minorHAnsi"/>
        </w:rPr>
        <w:t xml:space="preserve">remaining balance (deficit or surplus), </w:t>
      </w:r>
      <w:r>
        <w:rPr>
          <w:rFonts w:eastAsia="Times New Roman" w:cstheme="minorHAnsi"/>
        </w:rPr>
        <w:t>after adjusting for inflation</w:t>
      </w:r>
      <w:r w:rsidR="00D5153A">
        <w:rPr>
          <w:rFonts w:eastAsia="Times New Roman" w:cstheme="minorHAnsi"/>
        </w:rPr>
        <w:t>, is</w:t>
      </w:r>
      <w:r>
        <w:rPr>
          <w:rFonts w:eastAsia="Times New Roman" w:cstheme="minorHAnsi"/>
        </w:rPr>
        <w:t xml:space="preserve"> increasing, stable, or decreasing</w:t>
      </w:r>
      <w:r w:rsidR="0078400E">
        <w:rPr>
          <w:rFonts w:eastAsia="Times New Roman" w:cstheme="minorHAnsi"/>
        </w:rPr>
        <w:t xml:space="preserve"> for each city</w:t>
      </w:r>
    </w:p>
    <w:p w14:paraId="79EEE33C" w14:textId="56AB7015" w:rsidR="00303C49" w:rsidRDefault="00A62546" w:rsidP="00303C49">
      <w:pPr>
        <w:pStyle w:val="ListParagraph"/>
        <w:numPr>
          <w:ilvl w:val="0"/>
          <w:numId w:val="8"/>
        </w:numPr>
        <w:ind w:left="1080"/>
        <w:rPr>
          <w:rFonts w:eastAsia="Times New Roman" w:cstheme="minorHAnsi"/>
        </w:rPr>
      </w:pPr>
      <w:r>
        <w:rPr>
          <w:rFonts w:eastAsia="Times New Roman" w:cstheme="minorHAnsi"/>
        </w:rPr>
        <w:t>which states have the highest percent of fiscally responsible</w:t>
      </w:r>
      <w:r w:rsidR="00D0462E">
        <w:rPr>
          <w:rFonts w:eastAsia="Times New Roman" w:cstheme="minorHAnsi"/>
        </w:rPr>
        <w:t xml:space="preserve"> and not responsible</w:t>
      </w:r>
      <w:r>
        <w:rPr>
          <w:rFonts w:eastAsia="Times New Roman" w:cstheme="minorHAnsi"/>
        </w:rPr>
        <w:t xml:space="preserve"> cities</w:t>
      </w:r>
    </w:p>
    <w:p w14:paraId="59D540B2" w14:textId="7E461456" w:rsidR="00CE2813" w:rsidRDefault="00306C69" w:rsidP="00303C49">
      <w:pPr>
        <w:pStyle w:val="ListParagraph"/>
        <w:numPr>
          <w:ilvl w:val="0"/>
          <w:numId w:val="8"/>
        </w:numPr>
        <w:ind w:left="108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Using (revenue – spend) </w:t>
      </w:r>
      <w:r w:rsidR="00CE2813">
        <w:rPr>
          <w:rFonts w:eastAsia="Times New Roman" w:cstheme="minorHAnsi"/>
        </w:rPr>
        <w:t>apply clustering methods to look for ways to group the cities</w:t>
      </w:r>
      <w:r>
        <w:rPr>
          <w:rFonts w:eastAsia="Times New Roman" w:cstheme="minorHAnsi"/>
        </w:rPr>
        <w:t xml:space="preserve"> that over-spend versus cities that maintain budget or generate a surplus.</w:t>
      </w:r>
      <w:r w:rsidR="00CE2813">
        <w:rPr>
          <w:rFonts w:eastAsia="Times New Roman" w:cstheme="minorHAnsi"/>
        </w:rPr>
        <w:t xml:space="preserve"> </w:t>
      </w:r>
    </w:p>
    <w:p w14:paraId="6B655DFD" w14:textId="2AD3A69A" w:rsidR="00303C49" w:rsidRDefault="00303C49" w:rsidP="00303C49">
      <w:pPr>
        <w:pStyle w:val="ListParagraph"/>
        <w:ind w:left="1080"/>
        <w:rPr>
          <w:rFonts w:eastAsia="Times New Roman" w:cstheme="minorHAnsi"/>
        </w:rPr>
      </w:pPr>
    </w:p>
    <w:p w14:paraId="14AB26CF" w14:textId="7A5530AD" w:rsidR="00303C49" w:rsidRDefault="00303C49" w:rsidP="00303C49">
      <w:pPr>
        <w:pStyle w:val="ListParagraph"/>
        <w:numPr>
          <w:ilvl w:val="0"/>
          <w:numId w:val="9"/>
        </w:numPr>
        <w:rPr>
          <w:rFonts w:eastAsia="Times New Roman" w:cstheme="minorHAnsi"/>
        </w:rPr>
      </w:pPr>
      <w:r w:rsidRPr="0085202B">
        <w:rPr>
          <w:rFonts w:eastAsia="Times New Roman" w:cstheme="minorHAnsi"/>
          <w:i/>
        </w:rPr>
        <w:t>Build a model</w:t>
      </w:r>
      <w:r>
        <w:rPr>
          <w:rFonts w:eastAsia="Times New Roman" w:cstheme="minorHAnsi"/>
        </w:rPr>
        <w:t xml:space="preserve"> that can be used to predict the probability that a city will remain solvent or go bankrupt</w:t>
      </w:r>
    </w:p>
    <w:p w14:paraId="31394B25" w14:textId="5230ECC6" w:rsidR="00CA1B68" w:rsidRDefault="00CA1B68" w:rsidP="00303C49">
      <w:pPr>
        <w:pStyle w:val="ListParagraph"/>
        <w:numPr>
          <w:ilvl w:val="0"/>
          <w:numId w:val="9"/>
        </w:numPr>
        <w:rPr>
          <w:rFonts w:eastAsia="Times New Roman" w:cstheme="minorHAnsi"/>
        </w:rPr>
      </w:pPr>
      <w:r>
        <w:rPr>
          <w:rFonts w:eastAsia="Times New Roman" w:cstheme="minorHAnsi"/>
          <w:i/>
        </w:rPr>
        <w:t xml:space="preserve">Create a Tableau viz </w:t>
      </w:r>
      <w:r>
        <w:rPr>
          <w:rFonts w:eastAsia="Times New Roman" w:cstheme="minorHAnsi"/>
          <w:iCs/>
        </w:rPr>
        <w:t>that can be used to assess the health of a given city and whether the city is going to go bankrupt</w:t>
      </w:r>
    </w:p>
    <w:p w14:paraId="72036742" w14:textId="77777777" w:rsidR="00A90F08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</w:p>
    <w:p w14:paraId="36A07BFB" w14:textId="25D9DFC2" w:rsidR="00395EAA" w:rsidRPr="00D10DC3" w:rsidRDefault="0085202B" w:rsidP="00A90F08">
      <w:pPr>
        <w:rPr>
          <w:rFonts w:eastAsia="Times New Roman" w:cstheme="minorHAnsi"/>
          <w:b/>
          <w:color w:val="4472C4" w:themeColor="accent1"/>
        </w:rPr>
      </w:pPr>
      <w:r>
        <w:rPr>
          <w:rFonts w:eastAsia="Times New Roman" w:cstheme="minorHAnsi"/>
          <w:b/>
          <w:color w:val="4472C4" w:themeColor="accent1"/>
        </w:rPr>
        <w:t>Client/Target Audience</w:t>
      </w:r>
      <w:r w:rsidR="00A90F08" w:rsidRPr="00D10DC3">
        <w:rPr>
          <w:rFonts w:eastAsia="Times New Roman" w:cstheme="minorHAnsi"/>
          <w:b/>
          <w:color w:val="4472C4" w:themeColor="accent1"/>
        </w:rPr>
        <w:t>:</w:t>
      </w:r>
    </w:p>
    <w:p w14:paraId="4AC9D234" w14:textId="78DAA0EC" w:rsidR="004C6DB0" w:rsidRPr="00D10DC3" w:rsidRDefault="0078400E" w:rsidP="00A90F08">
      <w:pPr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="00303C49">
        <w:rPr>
          <w:rFonts w:eastAsia="Times New Roman" w:cstheme="minorHAnsi"/>
        </w:rPr>
        <w:t xml:space="preserve">nyone interested in an improved understanding of the financial footing that America’s largest cities are trending towards. </w:t>
      </w:r>
    </w:p>
    <w:p w14:paraId="55807549" w14:textId="77777777" w:rsidR="004C6DB0" w:rsidRPr="00D10DC3" w:rsidRDefault="004C6DB0" w:rsidP="00A90F08">
      <w:pPr>
        <w:rPr>
          <w:rFonts w:eastAsia="Times New Roman" w:cstheme="minorHAnsi"/>
          <w:b/>
          <w:color w:val="4472C4" w:themeColor="accent1"/>
        </w:rPr>
      </w:pPr>
    </w:p>
    <w:p w14:paraId="45C11C82" w14:textId="1F9120AC" w:rsidR="00395EAA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>Dataset</w:t>
      </w:r>
      <w:r w:rsidR="00544459">
        <w:rPr>
          <w:rFonts w:eastAsia="Times New Roman" w:cstheme="minorHAnsi"/>
          <w:b/>
          <w:color w:val="4472C4" w:themeColor="accent1"/>
        </w:rPr>
        <w:t>s</w:t>
      </w:r>
      <w:r w:rsidRPr="00D10DC3">
        <w:rPr>
          <w:rFonts w:eastAsia="Times New Roman" w:cstheme="minorHAnsi"/>
          <w:b/>
          <w:color w:val="4472C4" w:themeColor="accent1"/>
        </w:rPr>
        <w:t xml:space="preserve">: </w:t>
      </w:r>
    </w:p>
    <w:p w14:paraId="1419154B" w14:textId="77777777" w:rsidR="00544459" w:rsidRPr="00544459" w:rsidRDefault="00A14B3A" w:rsidP="00544459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rPr>
          <w:rFonts w:eastAsia="Times New Roman" w:cstheme="minorHAnsi"/>
        </w:rPr>
      </w:pPr>
      <w:bookmarkStart w:id="0" w:name="_Hlk13830170"/>
      <w:r w:rsidRPr="00544459">
        <w:rPr>
          <w:rFonts w:eastAsia="Times New Roman" w:cstheme="minorHAnsi"/>
        </w:rPr>
        <w:t xml:space="preserve">The </w:t>
      </w:r>
      <w:r w:rsidR="0085202B" w:rsidRPr="00544459">
        <w:rPr>
          <w:rFonts w:eastAsia="Times New Roman" w:cstheme="minorHAnsi"/>
        </w:rPr>
        <w:t>“</w:t>
      </w:r>
      <w:hyperlink r:id="rId7" w:history="1">
        <w:r w:rsidR="0085202B" w:rsidRPr="00544459">
          <w:rPr>
            <w:rStyle w:val="Hyperlink"/>
            <w:rFonts w:eastAsia="Times New Roman" w:cstheme="minorHAnsi"/>
          </w:rPr>
          <w:t>Fiscally Standardized Cities Database (FSCB)</w:t>
        </w:r>
      </w:hyperlink>
      <w:r w:rsidR="0085202B" w:rsidRPr="00544459">
        <w:rPr>
          <w:rFonts w:eastAsia="Times New Roman" w:cstheme="minorHAnsi"/>
        </w:rPr>
        <w:t xml:space="preserve">” is the </w:t>
      </w:r>
      <w:r w:rsidR="00544459" w:rsidRPr="00544459">
        <w:rPr>
          <w:rFonts w:eastAsia="Times New Roman" w:cstheme="minorHAnsi"/>
        </w:rPr>
        <w:t xml:space="preserve">primary </w:t>
      </w:r>
      <w:r w:rsidR="0085202B" w:rsidRPr="00544459">
        <w:rPr>
          <w:rFonts w:eastAsia="Times New Roman" w:cstheme="minorHAnsi"/>
        </w:rPr>
        <w:t>source for this study</w:t>
      </w:r>
    </w:p>
    <w:p w14:paraId="69A4508A" w14:textId="658330CA" w:rsidR="00A90F08" w:rsidRPr="00544459" w:rsidRDefault="00544459" w:rsidP="00544459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rPr>
          <w:rFonts w:eastAsia="Times New Roman" w:cstheme="minorHAnsi"/>
        </w:rPr>
      </w:pPr>
      <w:r w:rsidRPr="00544459">
        <w:rPr>
          <w:rFonts w:eastAsia="Times New Roman" w:cstheme="minorHAnsi"/>
        </w:rPr>
        <w:t xml:space="preserve">A listing of cities that require bailouts or went bankrupt (source is </w:t>
      </w:r>
      <w:proofErr w:type="spellStart"/>
      <w:r w:rsidRPr="00544459">
        <w:rPr>
          <w:rFonts w:eastAsia="Times New Roman" w:cstheme="minorHAnsi"/>
        </w:rPr>
        <w:t>tbd</w:t>
      </w:r>
      <w:proofErr w:type="spellEnd"/>
      <w:r w:rsidRPr="00544459">
        <w:rPr>
          <w:rFonts w:eastAsia="Times New Roman" w:cstheme="minorHAnsi"/>
        </w:rPr>
        <w:t>)</w:t>
      </w:r>
    </w:p>
    <w:p w14:paraId="359D30BF" w14:textId="18EB244D" w:rsidR="000E741D" w:rsidRPr="00D10DC3" w:rsidRDefault="000E741D" w:rsidP="000E741D">
      <w:pPr>
        <w:rPr>
          <w:rFonts w:cstheme="minorHAnsi"/>
          <w:color w:val="222222"/>
        </w:rPr>
      </w:pPr>
    </w:p>
    <w:p w14:paraId="2C435BC9" w14:textId="61DAABCE" w:rsidR="000E741D" w:rsidRDefault="0085202B" w:rsidP="0085202B">
      <w:pPr>
        <w:rPr>
          <w:rFonts w:cstheme="minorHAnsi"/>
          <w:i/>
          <w:color w:val="222222"/>
        </w:rPr>
      </w:pPr>
      <w:r>
        <w:rPr>
          <w:rFonts w:cstheme="minorHAnsi"/>
          <w:i/>
          <w:color w:val="222222"/>
        </w:rPr>
        <w:t>About the FSCB:</w:t>
      </w:r>
    </w:p>
    <w:p w14:paraId="3B274B9B" w14:textId="34920BC7" w:rsidR="0085202B" w:rsidRPr="0085202B" w:rsidRDefault="0085202B" w:rsidP="0085202B">
      <w:pPr>
        <w:rPr>
          <w:rFonts w:cstheme="minorHAnsi"/>
          <w:color w:val="222222"/>
        </w:rPr>
      </w:pPr>
      <w:r>
        <w:t>This database makes it possible to compare local government finances for 150 of the largest U.S. cities across more than 120 categories of revenues, expenditures, debt, and assets.</w:t>
      </w:r>
    </w:p>
    <w:bookmarkEnd w:id="0"/>
    <w:p w14:paraId="77F3FC00" w14:textId="77777777" w:rsidR="004C6DB0" w:rsidRPr="00D10DC3" w:rsidRDefault="004C6DB0" w:rsidP="00A90F08">
      <w:pPr>
        <w:autoSpaceDE w:val="0"/>
        <w:autoSpaceDN w:val="0"/>
        <w:adjustRightInd w:val="0"/>
        <w:rPr>
          <w:rFonts w:eastAsia="Times New Roman" w:cstheme="minorHAnsi"/>
          <w:b/>
          <w:color w:val="4472C4" w:themeColor="accent1"/>
        </w:rPr>
      </w:pPr>
    </w:p>
    <w:p w14:paraId="07281228" w14:textId="53B4BD96" w:rsidR="004E4CF7" w:rsidRDefault="00A90F08" w:rsidP="00A90F08">
      <w:pPr>
        <w:autoSpaceDE w:val="0"/>
        <w:autoSpaceDN w:val="0"/>
        <w:adjustRightInd w:val="0"/>
        <w:rPr>
          <w:rFonts w:eastAsia="Times New Roman" w:cstheme="minorHAnsi"/>
          <w:b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 xml:space="preserve">Approach: </w:t>
      </w:r>
      <w:bookmarkStart w:id="1" w:name="_GoBack"/>
      <w:bookmarkEnd w:id="1"/>
    </w:p>
    <w:p w14:paraId="31954B43" w14:textId="477512B2" w:rsidR="0085202B" w:rsidRDefault="0085202B" w:rsidP="0085202B">
      <w:pPr>
        <w:pStyle w:val="ListParagraph"/>
        <w:numPr>
          <w:ilvl w:val="0"/>
          <w:numId w:val="10"/>
        </w:numPr>
        <w:ind w:left="360"/>
      </w:pPr>
      <w:r>
        <w:t>Analyze the data to identify which of the 120 features can contribute to the analysis and model</w:t>
      </w:r>
    </w:p>
    <w:p w14:paraId="7202E274" w14:textId="77777777" w:rsidR="0085202B" w:rsidRDefault="0085202B" w:rsidP="0085202B">
      <w:pPr>
        <w:pStyle w:val="ListParagraph"/>
        <w:numPr>
          <w:ilvl w:val="0"/>
          <w:numId w:val="10"/>
        </w:numPr>
        <w:ind w:left="360"/>
      </w:pPr>
      <w:r>
        <w:t>Prepare/clean the data</w:t>
      </w:r>
    </w:p>
    <w:p w14:paraId="1BB968A0" w14:textId="412C1CBF" w:rsidR="004553A0" w:rsidRDefault="0085202B" w:rsidP="005109D4">
      <w:pPr>
        <w:pStyle w:val="ListParagraph"/>
        <w:numPr>
          <w:ilvl w:val="0"/>
          <w:numId w:val="10"/>
        </w:numPr>
        <w:ind w:left="360"/>
      </w:pPr>
      <w:r>
        <w:t>Assess feasibility of using this data to create a model to predict bankruptcy</w:t>
      </w:r>
      <w:r w:rsidR="004553A0">
        <w:t xml:space="preserve">.  </w:t>
      </w:r>
      <w:r w:rsidR="005109D4">
        <w:t>If feasible, build a model.  If not feasible, create model/s to predict which cities are likely to continue to have surpluses and which will most likely continue to run deficits.</w:t>
      </w:r>
    </w:p>
    <w:p w14:paraId="3F3F270E" w14:textId="579D557A" w:rsidR="004553A0" w:rsidRDefault="004553A0" w:rsidP="0085202B">
      <w:pPr>
        <w:pStyle w:val="ListParagraph"/>
        <w:numPr>
          <w:ilvl w:val="0"/>
          <w:numId w:val="10"/>
        </w:numPr>
        <w:ind w:left="360"/>
      </w:pPr>
      <w:r>
        <w:t>Share results</w:t>
      </w:r>
      <w:r w:rsidR="00544459">
        <w:t xml:space="preserve"> via </w:t>
      </w:r>
      <w:proofErr w:type="spellStart"/>
      <w:r w:rsidR="00544459">
        <w:t>Github</w:t>
      </w:r>
      <w:proofErr w:type="spellEnd"/>
    </w:p>
    <w:p w14:paraId="4E63BCF4" w14:textId="6354AC36" w:rsidR="004553A0" w:rsidRDefault="004553A0" w:rsidP="004553A0">
      <w:pPr>
        <w:pStyle w:val="ListParagraph"/>
        <w:ind w:left="360"/>
      </w:pPr>
    </w:p>
    <w:p w14:paraId="7F0A8BD2" w14:textId="77777777" w:rsidR="004553A0" w:rsidRDefault="004553A0" w:rsidP="004553A0">
      <w:pPr>
        <w:autoSpaceDE w:val="0"/>
        <w:autoSpaceDN w:val="0"/>
        <w:adjustRightInd w:val="0"/>
        <w:rPr>
          <w:rFonts w:eastAsia="Times New Roman" w:cstheme="minorHAnsi"/>
          <w:b/>
          <w:color w:val="4472C4" w:themeColor="accent1"/>
        </w:rPr>
      </w:pPr>
      <w:r>
        <w:rPr>
          <w:rFonts w:eastAsia="Times New Roman" w:cstheme="minorHAnsi"/>
          <w:b/>
          <w:color w:val="4472C4" w:themeColor="accent1"/>
        </w:rPr>
        <w:t>Deliverables</w:t>
      </w:r>
      <w:r w:rsidRPr="00D10DC3">
        <w:rPr>
          <w:rFonts w:eastAsia="Times New Roman" w:cstheme="minorHAnsi"/>
          <w:b/>
          <w:color w:val="4472C4" w:themeColor="accent1"/>
        </w:rPr>
        <w:t>:</w:t>
      </w:r>
    </w:p>
    <w:p w14:paraId="6726F76D" w14:textId="1BC06416" w:rsidR="004553A0" w:rsidRDefault="005109D4" w:rsidP="004553A0">
      <w:pPr>
        <w:pStyle w:val="ListParagraph"/>
        <w:numPr>
          <w:ilvl w:val="0"/>
          <w:numId w:val="12"/>
        </w:numPr>
        <w:ind w:left="360"/>
      </w:pPr>
      <w:r>
        <w:t>Summary of results</w:t>
      </w:r>
    </w:p>
    <w:p w14:paraId="3969527F" w14:textId="47E2ECD4" w:rsidR="00544459" w:rsidRPr="004553A0" w:rsidRDefault="00544459" w:rsidP="004553A0">
      <w:pPr>
        <w:pStyle w:val="ListParagraph"/>
        <w:numPr>
          <w:ilvl w:val="0"/>
          <w:numId w:val="12"/>
        </w:numPr>
        <w:ind w:left="360"/>
      </w:pPr>
      <w:r>
        <w:t xml:space="preserve">Supporting data and analysis (analysis will in Python via </w:t>
      </w:r>
      <w:proofErr w:type="spellStart"/>
      <w:r>
        <w:t>Jupyter</w:t>
      </w:r>
      <w:proofErr w:type="spellEnd"/>
      <w:r>
        <w:t xml:space="preserve"> notebooks)</w:t>
      </w:r>
    </w:p>
    <w:p w14:paraId="7ACBBEDF" w14:textId="27BF23D7" w:rsidR="00F22AB3" w:rsidRPr="00D10DC3" w:rsidRDefault="00F22AB3" w:rsidP="00A90F08">
      <w:pPr>
        <w:rPr>
          <w:rFonts w:cstheme="minorHAnsi"/>
        </w:rPr>
      </w:pPr>
    </w:p>
    <w:sectPr w:rsidR="00F22AB3" w:rsidRPr="00D10DC3" w:rsidSect="00395EA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427EC" w14:textId="77777777" w:rsidR="00351031" w:rsidRDefault="00351031" w:rsidP="006E0229">
      <w:r>
        <w:separator/>
      </w:r>
    </w:p>
  </w:endnote>
  <w:endnote w:type="continuationSeparator" w:id="0">
    <w:p w14:paraId="3934F5A9" w14:textId="77777777" w:rsidR="00351031" w:rsidRDefault="00351031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95A24" w14:textId="6726E2B5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  <w:t>9/11/2018 1:21 PM</w:t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12B42" w14:textId="77777777" w:rsidR="00351031" w:rsidRDefault="00351031" w:rsidP="006E0229">
      <w:r>
        <w:separator/>
      </w:r>
    </w:p>
  </w:footnote>
  <w:footnote w:type="continuationSeparator" w:id="0">
    <w:p w14:paraId="25EFD71A" w14:textId="77777777" w:rsidR="00351031" w:rsidRDefault="00351031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4780F" w14:textId="6E535F6D" w:rsidR="006E0229" w:rsidRPr="006E0229" w:rsidRDefault="00E65869" w:rsidP="006E0229">
    <w:pPr>
      <w:pStyle w:val="Header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 xml:space="preserve">City Finances </w:t>
    </w:r>
    <w:r w:rsidR="006E0229" w:rsidRPr="006E0229">
      <w:rPr>
        <w:b/>
        <w:color w:val="4472C4" w:themeColor="accent1"/>
        <w:sz w:val="28"/>
        <w:szCs w:val="28"/>
      </w:rPr>
      <w:t>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76AC"/>
    <w:multiLevelType w:val="hybridMultilevel"/>
    <w:tmpl w:val="04E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760C"/>
    <w:multiLevelType w:val="hybridMultilevel"/>
    <w:tmpl w:val="E9E4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21F7E"/>
    <w:multiLevelType w:val="multilevel"/>
    <w:tmpl w:val="AB7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00531"/>
    <w:multiLevelType w:val="multilevel"/>
    <w:tmpl w:val="A0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91694"/>
    <w:multiLevelType w:val="hybridMultilevel"/>
    <w:tmpl w:val="17FC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06E3"/>
    <w:multiLevelType w:val="hybridMultilevel"/>
    <w:tmpl w:val="D19E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A395F"/>
    <w:multiLevelType w:val="hybridMultilevel"/>
    <w:tmpl w:val="86583C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9A245A2"/>
    <w:multiLevelType w:val="hybridMultilevel"/>
    <w:tmpl w:val="92B6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8075F"/>
    <w:multiLevelType w:val="multilevel"/>
    <w:tmpl w:val="D3F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25FB0"/>
    <w:multiLevelType w:val="multilevel"/>
    <w:tmpl w:val="66DA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82292"/>
    <w:multiLevelType w:val="hybridMultilevel"/>
    <w:tmpl w:val="9DCA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A4C94"/>
    <w:multiLevelType w:val="hybridMultilevel"/>
    <w:tmpl w:val="B096F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B6179"/>
    <w:rsid w:val="000E741D"/>
    <w:rsid w:val="00107456"/>
    <w:rsid w:val="00201908"/>
    <w:rsid w:val="00303C49"/>
    <w:rsid w:val="00306C69"/>
    <w:rsid w:val="00340E34"/>
    <w:rsid w:val="00351031"/>
    <w:rsid w:val="003719E6"/>
    <w:rsid w:val="00395EAA"/>
    <w:rsid w:val="003D6A87"/>
    <w:rsid w:val="0043338B"/>
    <w:rsid w:val="004358D6"/>
    <w:rsid w:val="004553A0"/>
    <w:rsid w:val="0048778A"/>
    <w:rsid w:val="004C2C4A"/>
    <w:rsid w:val="004C6DB0"/>
    <w:rsid w:val="004E4CF7"/>
    <w:rsid w:val="00503168"/>
    <w:rsid w:val="005109D4"/>
    <w:rsid w:val="00544459"/>
    <w:rsid w:val="00561B70"/>
    <w:rsid w:val="005A77A9"/>
    <w:rsid w:val="005E66B8"/>
    <w:rsid w:val="006324B5"/>
    <w:rsid w:val="00667496"/>
    <w:rsid w:val="006E0229"/>
    <w:rsid w:val="007062EC"/>
    <w:rsid w:val="0078400E"/>
    <w:rsid w:val="007D64E7"/>
    <w:rsid w:val="007F20C0"/>
    <w:rsid w:val="00826B95"/>
    <w:rsid w:val="008348F5"/>
    <w:rsid w:val="0085202B"/>
    <w:rsid w:val="008E5369"/>
    <w:rsid w:val="009115F6"/>
    <w:rsid w:val="00A14B3A"/>
    <w:rsid w:val="00A156B8"/>
    <w:rsid w:val="00A62546"/>
    <w:rsid w:val="00A755FA"/>
    <w:rsid w:val="00A90F08"/>
    <w:rsid w:val="00B41427"/>
    <w:rsid w:val="00BD5F7D"/>
    <w:rsid w:val="00BE514A"/>
    <w:rsid w:val="00C127BF"/>
    <w:rsid w:val="00CA1B68"/>
    <w:rsid w:val="00CE2813"/>
    <w:rsid w:val="00D0462E"/>
    <w:rsid w:val="00D10DC3"/>
    <w:rsid w:val="00D5153A"/>
    <w:rsid w:val="00D742DA"/>
    <w:rsid w:val="00DB76CF"/>
    <w:rsid w:val="00DC3D7A"/>
    <w:rsid w:val="00DF30AE"/>
    <w:rsid w:val="00E0691B"/>
    <w:rsid w:val="00E150A2"/>
    <w:rsid w:val="00E17B92"/>
    <w:rsid w:val="00E65869"/>
    <w:rsid w:val="00EB5432"/>
    <w:rsid w:val="00EC1353"/>
    <w:rsid w:val="00F22AB3"/>
    <w:rsid w:val="00F54ECE"/>
    <w:rsid w:val="00F80576"/>
    <w:rsid w:val="00FB3C1B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colninst.edu/research-data/data-toolkits/fiscally-standardized-c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user</cp:lastModifiedBy>
  <cp:revision>30</cp:revision>
  <dcterms:created xsi:type="dcterms:W3CDTF">2018-09-11T17:19:00Z</dcterms:created>
  <dcterms:modified xsi:type="dcterms:W3CDTF">2019-07-12T17:29:00Z</dcterms:modified>
</cp:coreProperties>
</file>