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0E85" w:rsidRPr="00A10E85" w:rsidRDefault="00A10E85" w:rsidP="00A10E85">
      <w:pPr>
        <w:shd w:val="clear" w:color="auto" w:fill="FFFFFF"/>
        <w:spacing w:after="0" w:line="360" w:lineRule="atLeast"/>
        <w:rPr>
          <w:rFonts w:ascii="Arial" w:eastAsia="Times New Roman" w:hAnsi="Arial" w:cs="Arial"/>
          <w:color w:val="0A0A0A"/>
          <w:sz w:val="24"/>
          <w:szCs w:val="24"/>
          <w:lang w:eastAsia="en-IN"/>
        </w:rPr>
      </w:pPr>
      <w:r w:rsidRPr="00A10E85">
        <w:rPr>
          <w:rFonts w:ascii="Arial" w:eastAsia="Times New Roman" w:hAnsi="Arial" w:cs="Arial"/>
          <w:color w:val="0A0A0A"/>
          <w:sz w:val="24"/>
          <w:szCs w:val="24"/>
          <w:lang w:eastAsia="en-IN"/>
        </w:rPr>
        <w:t>A bank is a regulated financial institution that acts as an intermediary, accepting deposits from individuals and businesses, providing safe storage for money, and lending funds to borrowers. They facilitate payments, money transfers, and investment services while playing a crucial role in economic growth. </w:t>
      </w:r>
    </w:p>
    <w:p w:rsidR="00A10E85" w:rsidRPr="00A10E85" w:rsidRDefault="00A10E85" w:rsidP="00A10E85">
      <w:pPr>
        <w:shd w:val="clear" w:color="auto" w:fill="FFFFFF"/>
        <w:spacing w:after="0" w:line="360" w:lineRule="atLeast"/>
        <w:rPr>
          <w:rFonts w:ascii="Arial" w:eastAsia="Times New Roman" w:hAnsi="Arial" w:cs="Arial"/>
          <w:color w:val="0A0A0A"/>
          <w:sz w:val="24"/>
          <w:szCs w:val="24"/>
          <w:lang w:eastAsia="en-IN"/>
        </w:rPr>
      </w:pPr>
      <w:r w:rsidRPr="00A10E85">
        <w:rPr>
          <w:rFonts w:ascii="Arial" w:eastAsia="Times New Roman" w:hAnsi="Arial" w:cs="Arial"/>
          <w:b/>
          <w:bCs/>
          <w:color w:val="0A0A0A"/>
          <w:sz w:val="24"/>
          <w:szCs w:val="24"/>
          <w:lang w:eastAsia="en-IN"/>
        </w:rPr>
        <w:t>Key Functions of Banks</w:t>
      </w:r>
    </w:p>
    <w:p w:rsidR="00A10E85" w:rsidRPr="00A10E85" w:rsidRDefault="00A10E85" w:rsidP="00A10E85">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A10E85">
        <w:rPr>
          <w:rFonts w:ascii="Arial" w:eastAsia="Times New Roman" w:hAnsi="Arial" w:cs="Arial"/>
          <w:b/>
          <w:bCs/>
          <w:color w:val="0A0A0A"/>
          <w:sz w:val="24"/>
          <w:szCs w:val="24"/>
          <w:lang w:eastAsia="en-IN"/>
        </w:rPr>
        <w:t>Accepting Deposits:</w:t>
      </w:r>
      <w:r w:rsidRPr="00A10E85">
        <w:rPr>
          <w:rFonts w:ascii="Arial" w:eastAsia="Times New Roman" w:hAnsi="Arial" w:cs="Arial"/>
          <w:color w:val="0A0A0A"/>
          <w:sz w:val="24"/>
          <w:szCs w:val="24"/>
          <w:lang w:eastAsia="en-IN"/>
        </w:rPr>
        <w:t> Safekeeping money in various accounts (savings, current, fixed deposits).</w:t>
      </w:r>
    </w:p>
    <w:p w:rsidR="00A10E85" w:rsidRPr="00A10E85" w:rsidRDefault="00A10E85" w:rsidP="00A10E85">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A10E85">
        <w:rPr>
          <w:rFonts w:ascii="Arial" w:eastAsia="Times New Roman" w:hAnsi="Arial" w:cs="Arial"/>
          <w:b/>
          <w:bCs/>
          <w:color w:val="0A0A0A"/>
          <w:sz w:val="24"/>
          <w:szCs w:val="24"/>
          <w:lang w:eastAsia="en-IN"/>
        </w:rPr>
        <w:t>Lending Money:</w:t>
      </w:r>
      <w:r w:rsidRPr="00A10E85">
        <w:rPr>
          <w:rFonts w:ascii="Arial" w:eastAsia="Times New Roman" w:hAnsi="Arial" w:cs="Arial"/>
          <w:color w:val="0A0A0A"/>
          <w:sz w:val="24"/>
          <w:szCs w:val="24"/>
          <w:lang w:eastAsia="en-IN"/>
        </w:rPr>
        <w:t xml:space="preserve"> Providing loans (personal, business, </w:t>
      </w:r>
      <w:proofErr w:type="gramStart"/>
      <w:r w:rsidRPr="00A10E85">
        <w:rPr>
          <w:rFonts w:ascii="Arial" w:eastAsia="Times New Roman" w:hAnsi="Arial" w:cs="Arial"/>
          <w:color w:val="0A0A0A"/>
          <w:sz w:val="24"/>
          <w:szCs w:val="24"/>
          <w:lang w:eastAsia="en-IN"/>
        </w:rPr>
        <w:t>mortgage</w:t>
      </w:r>
      <w:proofErr w:type="gramEnd"/>
      <w:r w:rsidRPr="00A10E85">
        <w:rPr>
          <w:rFonts w:ascii="Arial" w:eastAsia="Times New Roman" w:hAnsi="Arial" w:cs="Arial"/>
          <w:color w:val="0A0A0A"/>
          <w:sz w:val="24"/>
          <w:szCs w:val="24"/>
          <w:lang w:eastAsia="en-IN"/>
        </w:rPr>
        <w:t>) and credit facilities.</w:t>
      </w:r>
    </w:p>
    <w:p w:rsidR="00A10E85" w:rsidRPr="00A10E85" w:rsidRDefault="00A10E85" w:rsidP="00A10E85">
      <w:pPr>
        <w:numPr>
          <w:ilvl w:val="0"/>
          <w:numId w:val="1"/>
        </w:numPr>
        <w:shd w:val="clear" w:color="auto" w:fill="FFFFFF"/>
        <w:spacing w:after="180" w:line="360" w:lineRule="atLeast"/>
        <w:ind w:left="0"/>
        <w:rPr>
          <w:rFonts w:ascii="Times New Roman" w:eastAsia="Times New Roman" w:hAnsi="Times New Roman" w:cs="Times New Roman"/>
          <w:sz w:val="24"/>
          <w:szCs w:val="24"/>
          <w:lang w:eastAsia="en-IN"/>
        </w:rPr>
      </w:pPr>
      <w:r w:rsidRPr="00A10E85">
        <w:rPr>
          <w:rFonts w:ascii="Arial" w:eastAsia="Times New Roman" w:hAnsi="Arial" w:cs="Arial"/>
          <w:b/>
          <w:bCs/>
          <w:color w:val="0A0A0A"/>
          <w:sz w:val="24"/>
          <w:szCs w:val="24"/>
          <w:lang w:eastAsia="en-IN"/>
        </w:rPr>
        <w:t>Payment Services:</w:t>
      </w:r>
    </w:p>
    <w:p w:rsidR="00A10E85" w:rsidRPr="00A10E85" w:rsidRDefault="00A10E85" w:rsidP="00A10E85">
      <w:pPr>
        <w:shd w:val="clear" w:color="auto" w:fill="FFFFFF"/>
        <w:spacing w:after="180" w:line="360" w:lineRule="atLeast"/>
        <w:rPr>
          <w:rFonts w:ascii="Times New Roman" w:eastAsia="Times New Roman" w:hAnsi="Times New Roman" w:cs="Times New Roman"/>
          <w:sz w:val="24"/>
          <w:szCs w:val="24"/>
          <w:lang w:eastAsia="en-IN"/>
        </w:rPr>
      </w:pPr>
      <w:r w:rsidRPr="00A10E85">
        <w:rPr>
          <w:rFonts w:ascii="Arial" w:eastAsia="Times New Roman" w:hAnsi="Arial" w:cs="Arial"/>
          <w:color w:val="0A0A0A"/>
          <w:sz w:val="24"/>
          <w:szCs w:val="24"/>
          <w:lang w:eastAsia="en-IN"/>
        </w:rPr>
        <w:t> Facilitating cheque, cash, and digital transactions (ATMs, UPI, transfers)</w:t>
      </w:r>
    </w:p>
    <w:p w:rsidR="00A10E85" w:rsidRPr="00A10E85" w:rsidRDefault="00A10E85" w:rsidP="00A10E85">
      <w:pPr>
        <w:shd w:val="clear" w:color="auto" w:fill="FFFFFF"/>
        <w:spacing w:after="180" w:line="360" w:lineRule="atLeast"/>
        <w:rPr>
          <w:rFonts w:ascii="Arial" w:eastAsia="Times New Roman" w:hAnsi="Arial" w:cs="Arial"/>
          <w:color w:val="0A0A0A"/>
          <w:sz w:val="24"/>
          <w:szCs w:val="24"/>
          <w:lang w:eastAsia="en-IN"/>
        </w:rPr>
      </w:pPr>
      <w:r w:rsidRPr="00A10E85">
        <w:rPr>
          <w:rFonts w:ascii="Arial" w:eastAsia="Times New Roman" w:hAnsi="Arial" w:cs="Arial"/>
          <w:color w:val="0A0A0A"/>
          <w:sz w:val="24"/>
          <w:szCs w:val="24"/>
          <w:lang w:eastAsia="en-IN"/>
        </w:rPr>
        <w:t>.</w:t>
      </w:r>
    </w:p>
    <w:p w:rsidR="00A10E85" w:rsidRPr="00A10E85" w:rsidRDefault="00A10E85" w:rsidP="00A10E85">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A10E85">
        <w:rPr>
          <w:rFonts w:ascii="Arial" w:eastAsia="Times New Roman" w:hAnsi="Arial" w:cs="Arial"/>
          <w:b/>
          <w:bCs/>
          <w:color w:val="0A0A0A"/>
          <w:sz w:val="24"/>
          <w:szCs w:val="24"/>
          <w:lang w:eastAsia="en-IN"/>
        </w:rPr>
        <w:t>Investments &amp; Advisory:</w:t>
      </w:r>
      <w:r w:rsidRPr="00A10E85">
        <w:rPr>
          <w:rFonts w:ascii="Arial" w:eastAsia="Times New Roman" w:hAnsi="Arial" w:cs="Arial"/>
          <w:color w:val="0A0A0A"/>
          <w:sz w:val="24"/>
          <w:szCs w:val="24"/>
          <w:lang w:eastAsia="en-IN"/>
        </w:rPr>
        <w:t> Offering wealth management, insurance, and investment products. </w:t>
      </w:r>
    </w:p>
    <w:p w:rsidR="00A10E85" w:rsidRPr="00A10E85" w:rsidRDefault="00A10E85" w:rsidP="00A10E85">
      <w:pPr>
        <w:shd w:val="clear" w:color="auto" w:fill="FFFFFF"/>
        <w:spacing w:after="0" w:line="360" w:lineRule="atLeast"/>
        <w:rPr>
          <w:rFonts w:ascii="Arial" w:eastAsia="Times New Roman" w:hAnsi="Arial" w:cs="Arial"/>
          <w:color w:val="0A0A0A"/>
          <w:sz w:val="24"/>
          <w:szCs w:val="24"/>
          <w:lang w:eastAsia="en-IN"/>
        </w:rPr>
      </w:pPr>
      <w:r w:rsidRPr="00A10E85">
        <w:rPr>
          <w:rFonts w:ascii="Arial" w:eastAsia="Times New Roman" w:hAnsi="Arial" w:cs="Arial"/>
          <w:b/>
          <w:bCs/>
          <w:color w:val="0A0A0A"/>
          <w:sz w:val="24"/>
          <w:szCs w:val="24"/>
          <w:lang w:eastAsia="en-IN"/>
        </w:rPr>
        <w:t>Types of Banks</w:t>
      </w:r>
    </w:p>
    <w:p w:rsidR="00A10E85" w:rsidRPr="00A10E85" w:rsidRDefault="00A10E85" w:rsidP="00A10E85">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hyperlink r:id="rId5" w:history="1">
        <w:r w:rsidRPr="00A10E85">
          <w:rPr>
            <w:rFonts w:ascii="Arial" w:eastAsia="Times New Roman" w:hAnsi="Arial" w:cs="Arial"/>
            <w:b/>
            <w:bCs/>
            <w:color w:val="0000FF"/>
            <w:sz w:val="24"/>
            <w:szCs w:val="24"/>
            <w:u w:val="single"/>
            <w:lang w:eastAsia="en-IN"/>
          </w:rPr>
          <w:t>Retail Banks</w:t>
        </w:r>
      </w:hyperlink>
      <w:r w:rsidRPr="00A10E85">
        <w:rPr>
          <w:rFonts w:ascii="Arial" w:eastAsia="Times New Roman" w:hAnsi="Arial" w:cs="Arial"/>
          <w:b/>
          <w:bCs/>
          <w:color w:val="0A0A0A"/>
          <w:sz w:val="24"/>
          <w:szCs w:val="24"/>
          <w:lang w:eastAsia="en-IN"/>
        </w:rPr>
        <w:t>:</w:t>
      </w:r>
      <w:r w:rsidRPr="00A10E85">
        <w:rPr>
          <w:rFonts w:ascii="Arial" w:eastAsia="Times New Roman" w:hAnsi="Arial" w:cs="Arial"/>
          <w:color w:val="0A0A0A"/>
          <w:sz w:val="24"/>
          <w:szCs w:val="24"/>
          <w:lang w:eastAsia="en-IN"/>
        </w:rPr>
        <w:t> Serve individual customers.</w:t>
      </w:r>
    </w:p>
    <w:p w:rsidR="00A10E85" w:rsidRPr="00A10E85" w:rsidRDefault="00A10E85" w:rsidP="00A10E85">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hyperlink r:id="rId6" w:history="1">
        <w:r w:rsidRPr="00A10E85">
          <w:rPr>
            <w:rFonts w:ascii="Arial" w:eastAsia="Times New Roman" w:hAnsi="Arial" w:cs="Arial"/>
            <w:b/>
            <w:bCs/>
            <w:color w:val="0000FF"/>
            <w:sz w:val="24"/>
            <w:szCs w:val="24"/>
            <w:u w:val="single"/>
            <w:lang w:eastAsia="en-IN"/>
          </w:rPr>
          <w:t>Commercial/Corporate Banks</w:t>
        </w:r>
      </w:hyperlink>
      <w:r w:rsidRPr="00A10E85">
        <w:rPr>
          <w:rFonts w:ascii="Arial" w:eastAsia="Times New Roman" w:hAnsi="Arial" w:cs="Arial"/>
          <w:b/>
          <w:bCs/>
          <w:color w:val="0A0A0A"/>
          <w:sz w:val="24"/>
          <w:szCs w:val="24"/>
          <w:lang w:eastAsia="en-IN"/>
        </w:rPr>
        <w:t>:</w:t>
      </w:r>
      <w:r w:rsidRPr="00A10E85">
        <w:rPr>
          <w:rFonts w:ascii="Arial" w:eastAsia="Times New Roman" w:hAnsi="Arial" w:cs="Arial"/>
          <w:color w:val="0A0A0A"/>
          <w:sz w:val="24"/>
          <w:szCs w:val="24"/>
          <w:lang w:eastAsia="en-IN"/>
        </w:rPr>
        <w:t> Focus on business clients.</w:t>
      </w:r>
    </w:p>
    <w:p w:rsidR="00A10E85" w:rsidRPr="00A10E85" w:rsidRDefault="00A10E85" w:rsidP="00A10E85">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hyperlink r:id="rId7" w:history="1">
        <w:r w:rsidRPr="00A10E85">
          <w:rPr>
            <w:rFonts w:ascii="Arial" w:eastAsia="Times New Roman" w:hAnsi="Arial" w:cs="Arial"/>
            <w:b/>
            <w:bCs/>
            <w:color w:val="0000FF"/>
            <w:sz w:val="24"/>
            <w:szCs w:val="24"/>
            <w:u w:val="single"/>
            <w:lang w:eastAsia="en-IN"/>
          </w:rPr>
          <w:t>Investment Banks</w:t>
        </w:r>
      </w:hyperlink>
      <w:r w:rsidRPr="00A10E85">
        <w:rPr>
          <w:rFonts w:ascii="Arial" w:eastAsia="Times New Roman" w:hAnsi="Arial" w:cs="Arial"/>
          <w:b/>
          <w:bCs/>
          <w:color w:val="0A0A0A"/>
          <w:sz w:val="24"/>
          <w:szCs w:val="24"/>
          <w:lang w:eastAsia="en-IN"/>
        </w:rPr>
        <w:t>:</w:t>
      </w:r>
      <w:r w:rsidRPr="00A10E85">
        <w:rPr>
          <w:rFonts w:ascii="Arial" w:eastAsia="Times New Roman" w:hAnsi="Arial" w:cs="Arial"/>
          <w:color w:val="0A0A0A"/>
          <w:sz w:val="24"/>
          <w:szCs w:val="24"/>
          <w:lang w:eastAsia="en-IN"/>
        </w:rPr>
        <w:t> Handle complex financial transactions and underwriting.</w:t>
      </w:r>
    </w:p>
    <w:p w:rsidR="00A10E85" w:rsidRPr="00A10E85" w:rsidRDefault="00A10E85" w:rsidP="00A10E85">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hyperlink r:id="rId8" w:history="1">
        <w:r w:rsidRPr="00A10E85">
          <w:rPr>
            <w:rFonts w:ascii="Arial" w:eastAsia="Times New Roman" w:hAnsi="Arial" w:cs="Arial"/>
            <w:b/>
            <w:bCs/>
            <w:color w:val="0000FF"/>
            <w:sz w:val="24"/>
            <w:szCs w:val="24"/>
            <w:u w:val="single"/>
            <w:lang w:eastAsia="en-IN"/>
          </w:rPr>
          <w:t>Central Banks</w:t>
        </w:r>
      </w:hyperlink>
      <w:r w:rsidRPr="00A10E85">
        <w:rPr>
          <w:rFonts w:ascii="Arial" w:eastAsia="Times New Roman" w:hAnsi="Arial" w:cs="Arial"/>
          <w:b/>
          <w:bCs/>
          <w:color w:val="0A0A0A"/>
          <w:sz w:val="24"/>
          <w:szCs w:val="24"/>
          <w:lang w:eastAsia="en-IN"/>
        </w:rPr>
        <w:t>:</w:t>
      </w:r>
      <w:r w:rsidRPr="00A10E85">
        <w:rPr>
          <w:rFonts w:ascii="Arial" w:eastAsia="Times New Roman" w:hAnsi="Arial" w:cs="Arial"/>
          <w:color w:val="0A0A0A"/>
          <w:sz w:val="24"/>
          <w:szCs w:val="24"/>
          <w:lang w:eastAsia="en-IN"/>
        </w:rPr>
        <w:t> Regulate the banking system and issue currency (e.g., RBI in India, Federal Reserve in the US). </w:t>
      </w:r>
    </w:p>
    <w:p w:rsidR="00A10E85" w:rsidRPr="00A10E85" w:rsidRDefault="00A10E85" w:rsidP="00A10E85">
      <w:pPr>
        <w:shd w:val="clear" w:color="auto" w:fill="FFFFFF"/>
        <w:spacing w:after="0" w:line="360" w:lineRule="atLeast"/>
        <w:rPr>
          <w:rFonts w:ascii="Arial" w:eastAsia="Times New Roman" w:hAnsi="Arial" w:cs="Arial"/>
          <w:color w:val="0A0A0A"/>
          <w:sz w:val="24"/>
          <w:szCs w:val="24"/>
          <w:lang w:eastAsia="en-IN"/>
        </w:rPr>
      </w:pPr>
      <w:r w:rsidRPr="00A10E85">
        <w:rPr>
          <w:rFonts w:ascii="Arial" w:eastAsia="Times New Roman" w:hAnsi="Arial" w:cs="Arial"/>
          <w:b/>
          <w:bCs/>
          <w:color w:val="0A0A0A"/>
          <w:sz w:val="24"/>
          <w:szCs w:val="24"/>
          <w:lang w:eastAsia="en-IN"/>
        </w:rPr>
        <w:t>Banking System Structure</w:t>
      </w:r>
    </w:p>
    <w:p w:rsidR="00A10E85" w:rsidRPr="00A10E85" w:rsidRDefault="00A10E85" w:rsidP="00A10E85">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A10E85">
        <w:rPr>
          <w:rFonts w:ascii="Arial" w:eastAsia="Times New Roman" w:hAnsi="Arial" w:cs="Arial"/>
          <w:b/>
          <w:bCs/>
          <w:color w:val="0A0A0A"/>
          <w:sz w:val="24"/>
          <w:szCs w:val="24"/>
          <w:lang w:eastAsia="en-IN"/>
        </w:rPr>
        <w:t>Safety &amp; Regulation:</w:t>
      </w:r>
      <w:r w:rsidRPr="00A10E85">
        <w:rPr>
          <w:rFonts w:ascii="Arial" w:eastAsia="Times New Roman" w:hAnsi="Arial" w:cs="Arial"/>
          <w:color w:val="0A0A0A"/>
          <w:sz w:val="24"/>
          <w:szCs w:val="24"/>
          <w:lang w:eastAsia="en-IN"/>
        </w:rPr>
        <w:t> Banks are heavily regulated, often with government backing to ensure stability, such as deposit insurance.</w:t>
      </w:r>
    </w:p>
    <w:p w:rsidR="00A10E85" w:rsidRPr="00A10E85" w:rsidRDefault="00A10E85" w:rsidP="00A10E85">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A10E85">
        <w:rPr>
          <w:rFonts w:ascii="Arial" w:eastAsia="Times New Roman" w:hAnsi="Arial" w:cs="Arial"/>
          <w:b/>
          <w:bCs/>
          <w:color w:val="0A0A0A"/>
          <w:sz w:val="24"/>
          <w:szCs w:val="24"/>
          <w:lang w:eastAsia="en-IN"/>
        </w:rPr>
        <w:t>Digital Transformation:</w:t>
      </w:r>
      <w:r w:rsidRPr="00A10E85">
        <w:rPr>
          <w:rFonts w:ascii="Arial" w:eastAsia="Times New Roman" w:hAnsi="Arial" w:cs="Arial"/>
          <w:color w:val="0A0A0A"/>
          <w:sz w:val="24"/>
          <w:szCs w:val="24"/>
          <w:lang w:eastAsia="en-IN"/>
        </w:rPr>
        <w:t> Modern banking heavily relies on technology, including mobile apps and online platforms.</w:t>
      </w:r>
    </w:p>
    <w:p w:rsidR="00A10E85" w:rsidRPr="00A10E85" w:rsidRDefault="00A10E85" w:rsidP="00A10E85">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A10E85">
        <w:rPr>
          <w:rFonts w:ascii="Arial" w:eastAsia="Times New Roman" w:hAnsi="Arial" w:cs="Arial"/>
          <w:b/>
          <w:bCs/>
          <w:color w:val="0A0A0A"/>
          <w:sz w:val="24"/>
          <w:szCs w:val="24"/>
          <w:lang w:eastAsia="en-IN"/>
        </w:rPr>
        <w:t>History:</w:t>
      </w:r>
      <w:r w:rsidRPr="00A10E85">
        <w:rPr>
          <w:rFonts w:ascii="Arial" w:eastAsia="Times New Roman" w:hAnsi="Arial" w:cs="Arial"/>
          <w:color w:val="0A0A0A"/>
          <w:sz w:val="24"/>
          <w:szCs w:val="24"/>
          <w:lang w:eastAsia="en-IN"/>
        </w:rPr>
        <w:t> Evolved from ancient times, with modern banking growing from 17th-century European institutions. </w:t>
      </w:r>
    </w:p>
    <w:p w:rsidR="00A10E85" w:rsidRPr="00A10E85" w:rsidRDefault="00A10E85" w:rsidP="00A10E85">
      <w:pPr>
        <w:shd w:val="clear" w:color="auto" w:fill="FFFFFF"/>
        <w:spacing w:after="0" w:line="360" w:lineRule="atLeast"/>
        <w:rPr>
          <w:rFonts w:ascii="Arial" w:eastAsia="Times New Roman" w:hAnsi="Arial" w:cs="Arial"/>
          <w:color w:val="0A0A0A"/>
          <w:sz w:val="24"/>
          <w:szCs w:val="24"/>
          <w:lang w:eastAsia="en-IN"/>
        </w:rPr>
      </w:pPr>
      <w:r w:rsidRPr="00A10E85">
        <w:rPr>
          <w:rFonts w:ascii="Arial" w:eastAsia="Times New Roman" w:hAnsi="Arial" w:cs="Arial"/>
          <w:color w:val="0A0A0A"/>
          <w:sz w:val="24"/>
          <w:szCs w:val="24"/>
          <w:lang w:eastAsia="en-IN"/>
        </w:rPr>
        <w:t>In India, the banking sector includes public sector, private sector, foreign, and regional rural banks, focusing on both commercial activities and financial inclusion. </w:t>
      </w:r>
    </w:p>
    <w:p w:rsidR="003D1FCD" w:rsidRPr="00A10E85" w:rsidRDefault="003D1FCD" w:rsidP="00A10E85">
      <w:bookmarkStart w:id="0" w:name="_GoBack"/>
      <w:bookmarkEnd w:id="0"/>
    </w:p>
    <w:sectPr w:rsidR="003D1FCD" w:rsidRPr="00A10E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9B3655"/>
    <w:multiLevelType w:val="multilevel"/>
    <w:tmpl w:val="5214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B437C0"/>
    <w:multiLevelType w:val="multilevel"/>
    <w:tmpl w:val="1B8A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7B4C87"/>
    <w:multiLevelType w:val="multilevel"/>
    <w:tmpl w:val="16AE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E85"/>
    <w:rsid w:val="003D1FCD"/>
    <w:rsid w:val="00A10E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CDCB12-5BF8-4E11-B048-6392F67B6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A10E85"/>
  </w:style>
  <w:style w:type="character" w:styleId="Strong">
    <w:name w:val="Strong"/>
    <w:basedOn w:val="DefaultParagraphFont"/>
    <w:uiPriority w:val="22"/>
    <w:qFormat/>
    <w:rsid w:val="00A10E85"/>
    <w:rPr>
      <w:b/>
      <w:bCs/>
    </w:rPr>
  </w:style>
  <w:style w:type="character" w:customStyle="1" w:styleId="t286pc">
    <w:name w:val="t286pc"/>
    <w:basedOn w:val="DefaultParagraphFont"/>
    <w:rsid w:val="00A10E85"/>
  </w:style>
  <w:style w:type="character" w:styleId="Hyperlink">
    <w:name w:val="Hyperlink"/>
    <w:basedOn w:val="DefaultParagraphFont"/>
    <w:uiPriority w:val="99"/>
    <w:semiHidden/>
    <w:unhideWhenUsed/>
    <w:rsid w:val="00A10E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1620531">
      <w:bodyDiv w:val="1"/>
      <w:marLeft w:val="0"/>
      <w:marRight w:val="0"/>
      <w:marTop w:val="0"/>
      <w:marBottom w:val="0"/>
      <w:divBdr>
        <w:top w:val="none" w:sz="0" w:space="0" w:color="auto"/>
        <w:left w:val="none" w:sz="0" w:space="0" w:color="auto"/>
        <w:bottom w:val="none" w:sz="0" w:space="0" w:color="auto"/>
        <w:right w:val="none" w:sz="0" w:space="0" w:color="auto"/>
      </w:divBdr>
      <w:divsChild>
        <w:div w:id="756251604">
          <w:marLeft w:val="0"/>
          <w:marRight w:val="0"/>
          <w:marTop w:val="0"/>
          <w:marBottom w:val="0"/>
          <w:divBdr>
            <w:top w:val="none" w:sz="0" w:space="0" w:color="auto"/>
            <w:left w:val="none" w:sz="0" w:space="0" w:color="auto"/>
            <w:bottom w:val="none" w:sz="0" w:space="0" w:color="auto"/>
            <w:right w:val="none" w:sz="0" w:space="0" w:color="auto"/>
          </w:divBdr>
        </w:div>
        <w:div w:id="528834972">
          <w:marLeft w:val="0"/>
          <w:marRight w:val="0"/>
          <w:marTop w:val="0"/>
          <w:marBottom w:val="0"/>
          <w:divBdr>
            <w:top w:val="none" w:sz="0" w:space="0" w:color="auto"/>
            <w:left w:val="none" w:sz="0" w:space="0" w:color="auto"/>
            <w:bottom w:val="none" w:sz="0" w:space="0" w:color="auto"/>
            <w:right w:val="none" w:sz="0" w:space="0" w:color="auto"/>
          </w:divBdr>
        </w:div>
        <w:div w:id="1014841797">
          <w:marLeft w:val="0"/>
          <w:marRight w:val="0"/>
          <w:marTop w:val="0"/>
          <w:marBottom w:val="0"/>
          <w:divBdr>
            <w:top w:val="none" w:sz="0" w:space="0" w:color="auto"/>
            <w:left w:val="none" w:sz="0" w:space="0" w:color="auto"/>
            <w:bottom w:val="none" w:sz="0" w:space="0" w:color="auto"/>
            <w:right w:val="none" w:sz="0" w:space="0" w:color="auto"/>
          </w:divBdr>
        </w:div>
        <w:div w:id="873034456">
          <w:marLeft w:val="0"/>
          <w:marRight w:val="0"/>
          <w:marTop w:val="0"/>
          <w:marBottom w:val="0"/>
          <w:divBdr>
            <w:top w:val="none" w:sz="0" w:space="0" w:color="auto"/>
            <w:left w:val="none" w:sz="0" w:space="0" w:color="auto"/>
            <w:bottom w:val="none" w:sz="0" w:space="0" w:color="auto"/>
            <w:right w:val="none" w:sz="0" w:space="0" w:color="auto"/>
          </w:divBdr>
        </w:div>
        <w:div w:id="1934125907">
          <w:marLeft w:val="0"/>
          <w:marRight w:val="0"/>
          <w:marTop w:val="0"/>
          <w:marBottom w:val="0"/>
          <w:divBdr>
            <w:top w:val="none" w:sz="0" w:space="0" w:color="auto"/>
            <w:left w:val="none" w:sz="0" w:space="0" w:color="auto"/>
            <w:bottom w:val="none" w:sz="0" w:space="0" w:color="auto"/>
            <w:right w:val="none" w:sz="0" w:space="0" w:color="auto"/>
          </w:divBdr>
        </w:div>
        <w:div w:id="1767075735">
          <w:marLeft w:val="0"/>
          <w:marRight w:val="0"/>
          <w:marTop w:val="0"/>
          <w:marBottom w:val="0"/>
          <w:divBdr>
            <w:top w:val="none" w:sz="0" w:space="0" w:color="auto"/>
            <w:left w:val="none" w:sz="0" w:space="0" w:color="auto"/>
            <w:bottom w:val="none" w:sz="0" w:space="0" w:color="auto"/>
            <w:right w:val="none" w:sz="0" w:space="0" w:color="auto"/>
          </w:divBdr>
          <w:divsChild>
            <w:div w:id="1947154809">
              <w:marLeft w:val="0"/>
              <w:marRight w:val="0"/>
              <w:marTop w:val="0"/>
              <w:marBottom w:val="0"/>
              <w:divBdr>
                <w:top w:val="none" w:sz="0" w:space="0" w:color="auto"/>
                <w:left w:val="none" w:sz="0" w:space="0" w:color="auto"/>
                <w:bottom w:val="none" w:sz="0" w:space="0" w:color="auto"/>
                <w:right w:val="none" w:sz="0" w:space="0" w:color="auto"/>
              </w:divBdr>
            </w:div>
          </w:divsChild>
        </w:div>
        <w:div w:id="357390936">
          <w:marLeft w:val="0"/>
          <w:marRight w:val="0"/>
          <w:marTop w:val="0"/>
          <w:marBottom w:val="0"/>
          <w:divBdr>
            <w:top w:val="none" w:sz="0" w:space="0" w:color="auto"/>
            <w:left w:val="none" w:sz="0" w:space="0" w:color="auto"/>
            <w:bottom w:val="none" w:sz="0" w:space="0" w:color="auto"/>
            <w:right w:val="none" w:sz="0" w:space="0" w:color="auto"/>
          </w:divBdr>
        </w:div>
        <w:div w:id="1902668077">
          <w:marLeft w:val="0"/>
          <w:marRight w:val="0"/>
          <w:marTop w:val="0"/>
          <w:marBottom w:val="0"/>
          <w:divBdr>
            <w:top w:val="none" w:sz="0" w:space="0" w:color="auto"/>
            <w:left w:val="none" w:sz="0" w:space="0" w:color="auto"/>
            <w:bottom w:val="none" w:sz="0" w:space="0" w:color="auto"/>
            <w:right w:val="none" w:sz="0" w:space="0" w:color="auto"/>
          </w:divBdr>
          <w:divsChild>
            <w:div w:id="2110538803">
              <w:marLeft w:val="0"/>
              <w:marRight w:val="0"/>
              <w:marTop w:val="0"/>
              <w:marBottom w:val="0"/>
              <w:divBdr>
                <w:top w:val="none" w:sz="0" w:space="0" w:color="auto"/>
                <w:left w:val="none" w:sz="0" w:space="0" w:color="auto"/>
                <w:bottom w:val="none" w:sz="0" w:space="0" w:color="auto"/>
                <w:right w:val="none" w:sz="0" w:space="0" w:color="auto"/>
              </w:divBdr>
            </w:div>
          </w:divsChild>
        </w:div>
        <w:div w:id="1476991327">
          <w:marLeft w:val="0"/>
          <w:marRight w:val="0"/>
          <w:marTop w:val="0"/>
          <w:marBottom w:val="0"/>
          <w:divBdr>
            <w:top w:val="none" w:sz="0" w:space="0" w:color="auto"/>
            <w:left w:val="none" w:sz="0" w:space="0" w:color="auto"/>
            <w:bottom w:val="none" w:sz="0" w:space="0" w:color="auto"/>
            <w:right w:val="none" w:sz="0" w:space="0" w:color="auto"/>
          </w:divBdr>
        </w:div>
        <w:div w:id="1612394421">
          <w:marLeft w:val="0"/>
          <w:marRight w:val="0"/>
          <w:marTop w:val="0"/>
          <w:marBottom w:val="0"/>
          <w:divBdr>
            <w:top w:val="none" w:sz="0" w:space="0" w:color="auto"/>
            <w:left w:val="none" w:sz="0" w:space="0" w:color="auto"/>
            <w:bottom w:val="none" w:sz="0" w:space="0" w:color="auto"/>
            <w:right w:val="none" w:sz="0" w:space="0" w:color="auto"/>
          </w:divBdr>
          <w:divsChild>
            <w:div w:id="18464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Central+Banks&amp;rlz=1C1CHZN_enIN1185IN1187&amp;oq=about&amp;gs_lcrp=EgZjaHJvbWUqBggAEEUYOzIGCAAQRRg7MgoIARAuGLEDGIAEMg8IAhBFGDkYsQMYyQMYgAQyBggDEAUYQDIGCAQQBRhAMgYIBRAFGEAyBggGEAUYQDIGCAcQRRg90gEIMzE4OWowajeoAgCwAgA&amp;sourceid=chrome&amp;ie=UTF-8&amp;ved=2ahUKEwizr8XehrWSAxXTUGwGHfylJRYQgK4QegYIAQgDEAc" TargetMode="External"/><Relationship Id="rId3" Type="http://schemas.openxmlformats.org/officeDocument/2006/relationships/settings" Target="settings.xml"/><Relationship Id="rId7" Type="http://schemas.openxmlformats.org/officeDocument/2006/relationships/hyperlink" Target="https://www.google.com/search?q=Investment+Banks&amp;rlz=1C1CHZN_enIN1185IN1187&amp;oq=about&amp;gs_lcrp=EgZjaHJvbWUqBggAEEUYOzIGCAAQRRg7MgoIARAuGLEDGIAEMg8IAhBFGDkYsQMYyQMYgAQyBggDEAUYQDIGCAQQBRhAMgYIBRAFGEAyBggGEAUYQDIGCAcQRRg90gEIMzE4OWowajeoAgCwAgA&amp;sourceid=chrome&amp;ie=UTF-8&amp;ved=2ahUKEwizr8XehrWSAxXTUGwGHfylJRYQgK4QegYIAQgDE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Commercial%2FCorporate+Banks&amp;rlz=1C1CHZN_enIN1185IN1187&amp;oq=about&amp;gs_lcrp=EgZjaHJvbWUqBggAEEUYOzIGCAAQRRg7MgoIARAuGLEDGIAEMg8IAhBFGDkYsQMYyQMYgAQyBggDEAUYQDIGCAQQBRhAMgYIBRAFGEAyBggGEAUYQDIGCAcQRRg90gEIMzE4OWowajeoAgCwAgA&amp;sourceid=chrome&amp;ie=UTF-8&amp;ved=2ahUKEwizr8XehrWSAxXTUGwGHfylJRYQgK4QegYIAQgDEAM" TargetMode="External"/><Relationship Id="rId5" Type="http://schemas.openxmlformats.org/officeDocument/2006/relationships/hyperlink" Target="https://www.google.com/search?q=Retail+Banks&amp;rlz=1C1CHZN_enIN1185IN1187&amp;oq=about&amp;gs_lcrp=EgZjaHJvbWUqBggAEEUYOzIGCAAQRRg7MgoIARAuGLEDGIAEMg8IAhBFGDkYsQMYyQMYgAQyBggDEAUYQDIGCAQQBRhAMgYIBRAFGEAyBggGEAUYQDIGCAcQRRg90gEIMzE4OWowajeoAgCwAgA&amp;sourceid=chrome&amp;ie=UTF-8&amp;ved=2ahUKEwizr8XehrWSAxXTUGwGHfylJRYQgK4QegYIAQgDEA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cs2batch</dc:creator>
  <cp:keywords/>
  <dc:description/>
  <cp:lastModifiedBy>cs2batch</cp:lastModifiedBy>
  <cp:revision>1</cp:revision>
  <dcterms:created xsi:type="dcterms:W3CDTF">2026-01-31T05:33:00Z</dcterms:created>
  <dcterms:modified xsi:type="dcterms:W3CDTF">2026-01-31T05:33:00Z</dcterms:modified>
</cp:coreProperties>
</file>