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D环境与POC验证操作手册</w:t>
      </w:r>
    </w:p>
    <w:p>
      <w:pPr>
        <w:pStyle w:val="Heading1"/>
      </w:pPr>
      <w:r>
        <w:t>D的职责和最终成果</w:t>
      </w:r>
    </w:p>
    <w:p>
      <w:r>
        <w:t>D负责让源代码与靶场真实运行的程序一致，提供所有成员可复用的验证环境和POC记录规范。D构造并初审S017—S024，负责S010、S011、S022的9条正式观察，复核A的记录；D的记录由C复核。D还完成一例SQLi及一例XSS的Burp联动演示。</w:t>
      </w:r>
    </w:p>
    <w:p>
      <w:r>
        <w:t>以下步骤以Windows上Docker Desktop和WSL Ubuntu为例。先在一台电脑验证，第二台按同一提交和配置复现。不要把含漏洞的DVWA暴露到公网。操作里标明了“可能受上游版本影响”的地方，现场应以官方仓库的实际文件为准。</w:t>
      </w:r>
    </w:p>
    <w:p>
      <w:pPr>
        <w:pStyle w:val="Heading1"/>
      </w:pPr>
      <w:r>
        <w:t>一  环境搭建从检查开始</w:t>
      </w:r>
    </w:p>
    <w:p>
      <w:r>
        <w:t>打开Docker Desktop并确认WSL集成已开启。进入WSL终端验证版本：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docker version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docker compose version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git --version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php --version</w:t>
      </w:r>
    </w:p>
    <w:p>
      <w:pPr>
        <w:spacing w:after="40"/>
      </w:pPr>
    </w:p>
    <w:p>
      <w:r>
        <w:t>宿主机没有php命令不影响运行Docker方案；PHP语法检查可在DVWA容器里做。如果docker version出现连接失败，先确认Docker Desktop运行和本发行版WSL集成，而非重新克隆源码。</w:t>
      </w:r>
    </w:p>
    <w:p>
      <w:r>
        <w:t>在操作包的根目录建立third_party，获取官方DVWA：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cd ~/llm-web-lab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mkdir -p third_party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cd third_party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git clone https://github.com/digininja/DVWA.git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cd DVWA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git rev-parse HEAD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docker compose up -d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docker compose ps</w:t>
      </w:r>
    </w:p>
    <w:p>
      <w:pPr>
        <w:spacing w:after="40"/>
      </w:pPr>
    </w:p>
    <w:p>
      <w:r>
        <w:t>在浏览器打开http://127.0.0.1:4280。按页面提示访问Setup DVWA，点击Create / Reset Database，然后登录并选择所需安全级别。官方README记载默认登录为admin/password，但启动前仍以所用版本的说明和实际页面为准。容器compose在仓库版本中将DVWA映射到127.0.0.1:4280；若端口变了，先核对实际compose配置。</w:t>
      </w:r>
    </w:p>
    <w:p>
      <w:r>
        <w:t>保存docker compose config、docker compose ps、git rev-parse HEAD、镜像ID、数据库与浏览器版本到environment/version.txt。版本固定时可将上游仓库锁到所记录的提交；必要时将镜像固定到实际摘要，不再依赖latest的漂移。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docker compose config &gt; ../../environment/compose_effective.txt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docker compose ps &gt; ../../environment/services.txt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git rev-parse HEAD &gt; ../../environment/dvwa_commit.txt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docker image inspect ghcr.io/digininja/dvwa:latest --format '{{.Id}}' \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&gt; ../../environment/dvwa_image_id.txt</w:t>
      </w:r>
    </w:p>
    <w:p>
      <w:pPr>
        <w:spacing w:after="40"/>
      </w:pPr>
    </w:p>
    <w:p>
      <w:r>
        <w:t>上述输出路径假定终端位于third_party/DVWA。若Docker镜像命名被本地配置修改，应从docker compose config查看实际镜像名。服务未就绪时查docker compose logs --tail=100，不要把错误栈改写成“部署成功”。</w:t>
      </w:r>
    </w:p>
    <w:p>
      <w:pPr>
        <w:pStyle w:val="Heading1"/>
      </w:pPr>
      <w:r>
        <w:t>二  确保“审计源码＝实际运行源码”</w:t>
      </w:r>
    </w:p>
    <w:p>
      <w:r>
        <w:t>初始compose使用预构建镜像，编辑本地PHP源码不一定改变服务。若要验证本组派生案例，建议遵循官方本地源码挂载说明：在compose.yml中启用应用源码的bind mount，并按官方README从config/config.inc.php.dist复制出config/config.inc.php；然后重建或重启服务。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cd ~/llm-web-lab/third_party/DVWA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cp config/config.inc.php.dist config/config.inc.php</w:t>
      </w:r>
    </w:p>
    <w:p>
      <w:pPr>
        <w:spacing w:after="40"/>
      </w:pPr>
    </w:p>
    <w:p>
      <w:r>
        <w:t>在compose.yml中启用官方注释给出的</w:t>
      </w:r>
      <w:r>
        <w:rPr>
          <w:rFonts w:ascii="DejaVu Sans Mono" w:hAnsi="DejaVu Sans Mono"/>
          <w:sz w:val="18"/>
        </w:rPr>
        <w:t>./:/var/www/html</w:t>
      </w:r>
      <w:r>
        <w:t>挂载。修改配置前保存原始compose.yml到environment或提交自己的实验分支。再次执行docker compose up -d，先访问普通页面，再检查本地与容器内一个目标PHP文件是否一致。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sha256sum vulnerabilities/sqli/source/low.php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docker compose exec -T dvwa sha256sum \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/var/www/html/vulnerabilities/sqli/source/low.php</w:t>
      </w:r>
    </w:p>
    <w:p>
      <w:pPr>
        <w:spacing w:after="40"/>
      </w:pPr>
    </w:p>
    <w:p>
      <w:r>
        <w:t>两端哈希不同就停止对该文件进行“源码与POC”结论配对。新建的教学案例位于独立lab_cases目录，C与D商定实际URL，并对它们做相同的哈希检查。若新版官方镜像中的目录变化，先用容器内pwd与ls确认，不要靠猜测。镜像拉取失败可以使用官方本地构建方式，但记录构建提交和镜像ID后全组保持同一环境。</w:t>
      </w:r>
    </w:p>
    <w:p>
      <w:pPr>
        <w:pStyle w:val="Heading1"/>
      </w:pPr>
      <w:r>
        <w:t>三  教学数据与样本运行</w:t>
      </w:r>
    </w:p>
    <w:p>
      <w:r>
        <w:t>D准备一个小型lab_people表和若干虚构用户，仅供SQLi案例；C按样本卡组织查询与页面，D提供公共数据库连接与可运行外壳。表名、字符集和行数固定，供普通请求及条件改变对照。真实姓名和真实凭据不进入教学数据。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CREATE TABLE IF NOT EXISTS lab_people (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id INT PRIMARY KEY,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name VARCHAR(80) NOT NULL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) CHARACTER SET utf8mb4;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INSERT INTO lab_people(id,name) VALUES (1,'Alice'),(2,'Bob'),(3,'Carol');</w:t>
      </w:r>
    </w:p>
    <w:p>
      <w:pPr>
        <w:spacing w:after="40"/>
      </w:pPr>
    </w:p>
    <w:p>
      <w:r>
        <w:t>上述SQL首次建表使用；第二次运行INSERT可能因主键重复失败，这正是应记录并处理的状态。可在初始化说明里改为先清空教学表再插入，但只针对lab_people，不能用</w:t>
      </w:r>
      <w:r>
        <w:rPr>
          <w:rFonts w:ascii="DejaVu Sans Mono" w:hAnsi="DejaVu Sans Mono"/>
          <w:sz w:val="18"/>
        </w:rPr>
        <w:t>docker compose down -v</w:t>
      </w:r>
      <w:r>
        <w:t>作为随意的日常重置，它会清掉包含DVWA初始化数据的卷。</w:t>
      </w:r>
    </w:p>
    <w:p>
      <w:r>
        <w:t>测试XSS存储案例前清理该案例自己的留言数据，记录执行人、时间和表名。反射型样本每次普通业务测试从干净URL开始。每条样本由C的sample_card说明启动URL、参数、会话状态、预期业务与重置方式，D确认在容器中可运行。</w:t>
      </w:r>
    </w:p>
    <w:p>
      <w:pPr>
        <w:pStyle w:val="Heading2"/>
      </w:pPr>
      <w:r>
        <w:t>PHP语法检查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docker compose exec -T dvwa php -l \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/var/www/html/lab_cases/S001/index.php</w:t>
      </w:r>
    </w:p>
    <w:p>
      <w:pPr>
        <w:spacing w:after="40"/>
      </w:pPr>
    </w:p>
    <w:p>
      <w:r>
        <w:t>语法检查通过仅说明PHP可解析，不能替代HTTP访问、数据库查询或浏览器脚本验证。</w:t>
      </w:r>
    </w:p>
    <w:p>
      <w:pPr>
        <w:pStyle w:val="Heading1"/>
      </w:pPr>
      <w:r>
        <w:t>四  先建立人工参考验证</w:t>
      </w:r>
    </w:p>
    <w:p>
      <w:r>
        <w:t>从目标案例保存正常请求与响应，再构造受控异常输入，观察差异。SQLi示例可让模型设计不改数据的真假条件，人工检查普通返回、错误返回、结果集变化或请求日志。不要只凭SQL错误页推断能够读出敏感信息。</w:t>
      </w:r>
    </w:p>
    <w:p>
      <w:r>
        <w:t>XSS使用不会读取Cookie或向外发送数据的页面标记。下面的文本仅用于本机教学验证；实际触发还要考虑URL编码、输出上下文和浏览器显示。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&lt;script&gt;document.documentElement.dataset.labXss='yes'&lt;/script&gt;</w:t>
      </w:r>
    </w:p>
    <w:p>
      <w:pPr>
        <w:spacing w:after="40"/>
      </w:pPr>
    </w:p>
    <w:p>
      <w:r>
        <w:t>执行后在浏览器开发者工具检查</w:t>
      </w:r>
      <w:r>
        <w:rPr>
          <w:rFonts w:ascii="DejaVu Sans Mono" w:hAnsi="DejaVu Sans Mono"/>
          <w:sz w:val="18"/>
        </w:rPr>
        <w:t>document.documentElement.dataset.labXss</w:t>
      </w:r>
      <w:r>
        <w:t>是否为</w:t>
      </w:r>
      <w:r>
        <w:rPr>
          <w:rFonts w:ascii="DejaVu Sans Mono" w:hAnsi="DejaVu Sans Mono"/>
          <w:sz w:val="18"/>
        </w:rPr>
        <w:t>yes</w:t>
      </w:r>
      <w:r>
        <w:t>。存储型案例还要确认该输入经写入后由另一请求读出、渲染并执行；仅POST成功不能证明XSS。普通文本在页面出现并不等于脚本执行。</w:t>
      </w:r>
    </w:p>
    <w:p>
      <w:r>
        <w:t>参考验证是由人建立真实标签的证据，保存到evidence/truth/Sxxx，和模型的POC证据目录分开。保存请求时去掉实际会话Cookie值；复现步骤注明如何重新登录获取有效会话。</w:t>
      </w:r>
    </w:p>
    <w:p>
      <w:pPr>
        <w:pStyle w:val="Heading1"/>
      </w:pPr>
      <w:r>
        <w:t>五  接收模型POC后的检查</w:t>
      </w:r>
    </w:p>
    <w:p>
      <w:r>
        <w:t>每条</w:t>
      </w:r>
      <w:r>
        <w:rPr>
          <w:rFonts w:ascii="DejaVu Sans Mono" w:hAnsi="DejaVu Sans Mono"/>
          <w:sz w:val="18"/>
        </w:rPr>
        <w:t>run_id</w:t>
      </w:r>
      <w:r>
        <w:t>建目录pocs/run_id。模型生成代码原样保存original.py或其实际语言扩展名，同时保存整个raw_output.txt。先阅读，不直接复制执行；逐项核对目标是否为127.0.0.1:4280、HTTP方法和参数是否与入口一致、是否包含文件删除或外发、是否需要Cookie与CSRF、成功断言是否真正对应漏洞影响。</w:t>
      </w:r>
    </w:p>
    <w:p>
      <w:r>
        <w:t>验证可以分四种状态：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记录动作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未执行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缺环境、依赖或脚本行为无法接受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保留原文和原因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原脚本直接执行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不改代码且正常运行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保存stdout、stderr、退出码与实际现象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只作环境适配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改本机地址、Cookie、令牌、文件路径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另存adapted版本及diff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修改验证逻辑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改请求流程、测试输入或成功断言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另存logic_fixed版本，成功不归给原POC</w:t>
            </w:r>
          </w:p>
        </w:tc>
      </w:tr>
    </w:tbl>
    <w:p>
      <w:pPr>
        <w:spacing w:after="0"/>
      </w:pPr>
    </w:p>
    <w:p>
      <w:r>
        <w:t>记录中的raw_execution_ok、environment_execution_ok分别表示该阶段代码能正常执行；verification=triggered只有观察到既定漏洞影响才填。脚本执行成功但断言错误，必须写明失败。未报告漏洞的模型无需强行补一份POC；在正式记录里填poc_generated=false。</w:t>
      </w:r>
    </w:p>
    <w:p>
      <w:r>
        <w:t>执行示例以真实生成的Python脚本为例，不能在未检查脚本时直接执行：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mkdir -p evidence/F_S007_V0_R1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python3 pocs/F_S007_V0_R1/original.py \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&gt; evidence/F_S007_V0_R1/stdout.txt \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 xml:space="preserve">  2&gt; evidence/F_S007_V0_R1/stderr.txt</w:t>
      </w:r>
    </w:p>
    <w:p>
      <w:pPr>
        <w:spacing w:after="40"/>
      </w:pPr>
    </w:p>
    <w:p>
      <w:r>
        <w:t>命令结束后另记录退出码和当时会话状态。如果模型给的是curl或PHP脚本，按其依赖执行并存原文。修订脚本时用</w:t>
      </w:r>
      <w:r>
        <w:rPr>
          <w:rFonts w:ascii="DejaVu Sans Mono" w:hAnsi="DejaVu Sans Mono"/>
          <w:sz w:val="18"/>
        </w:rPr>
        <w:t>diff -u original.py adapted.py</w:t>
      </w:r>
      <w:r>
        <w:t>保存修改差异；动态登录凭据不写入提交文件。</w:t>
      </w:r>
    </w:p>
    <w:p>
      <w:pPr>
        <w:pStyle w:val="Heading1"/>
      </w:pPr>
      <w:r>
        <w:t>六  Burp Repeater联动的两例演示</w:t>
      </w:r>
    </w:p>
    <w:p>
      <w:r>
        <w:t>一例使用SQLi的本机请求，一例使用XSS的本机请求。浏览器代理指向Burp，触发正常请求，在Proxy历史里确认host为127.0.0.1:4280，再发送到Repeater。手工只改一个参数并点击Send，保存正常与测试请求、响应及浏览器效果。</w:t>
      </w:r>
    </w:p>
    <w:p>
      <w:r>
        <w:t>展示逻辑为“LLM指向某个参数和代码行→Burp重放该参数的正常/测试请求→本机观察差异→切换修复对照→相同方法复测”。Burp是手工请求观察工具，材料中注明没有用其自动扫描器对整站做性能评估。</w:t>
      </w:r>
    </w:p>
    <w:p>
      <w:r>
        <w:t>XSS不能只靠Burp返回体断定代码执行，仍需浏览器证据。存储型XSS的写入与读取分别保存请求。将Cookie与CSRF值遮盖后归档，个人登录步骤写进复现说明。</w:t>
      </w:r>
    </w:p>
    <w:p>
      <w:pPr>
        <w:pStyle w:val="Heading1"/>
      </w:pPr>
      <w:r>
        <w:t>七  给每位成员的验证模板</w:t>
      </w:r>
    </w:p>
    <w:p>
      <w:r>
        <w:t>复制templates/verification.md填入：sample_id、run_id、执行人、模型判断、目标与前提、原始POC路径、脚本审阅结论、是否适配和diff、运行命令、状态码、业务对照、实际浏览器或数据库现象、验证结论、截图与日志路径、复核人。</w:t>
      </w:r>
    </w:p>
    <w:p>
      <w:r>
        <w:t>建议每人先由D带着做一例，然后本人操作余下记录。D只复核异常环境情况，不替全组代跑。发现同一会话Cookie过期造成失败时，标环境故障并记录新会话重试；不要悄悄删除首次失败日志。</w:t>
      </w:r>
    </w:p>
    <w:p>
      <w:pPr>
        <w:pStyle w:val="Heading1"/>
      </w:pPr>
      <w:r>
        <w:t>八  第二台电脑的复现与备份</w:t>
      </w:r>
    </w:p>
    <w:p>
      <w:r>
        <w:t>第9天在另一成员电脑上，按version.txt配置Docker与仓库提交，导入教学数据，打开同一URL，按sample_card执行两个代表样本。对比本地与容器哈希、普通请求与测试请求，记录差异。</w:t>
      </w:r>
    </w:p>
    <w:p>
      <w:r>
        <w:t>准备60—90秒录屏作为现场环境故障后的证据补充，但不替代实际验证。将模型原文、演示命令、样本卡、参考请求和截图放到demo目录；在登台前检查服务、登录状态、数据库和端口。</w:t>
      </w:r>
    </w:p>
    <w:p>
      <w:pPr>
        <w:pStyle w:val="Heading2"/>
      </w:pPr>
      <w:r>
        <w:t>D完成检查</w:t>
      </w:r>
    </w:p>
    <w:p>
      <w:r>
        <w:t>官方仓库提交和镜像明确；本地与运行源码哈希一致；SQLi与XSS参考验证可重现；教学数据可恢复；每人知道怎样保存原始和修改POC；本人9条完成且C复核；A的9条已复核；两例Burp联动有请求与浏览器或数据库实证。</w:t>
      </w:r>
    </w:p>
    <w:p>
      <w:pPr>
        <w:pStyle w:val="Heading1"/>
      </w:pPr>
      <w:r>
        <w:t>官方依据</w:t>
      </w:r>
    </w:p>
    <w:p>
      <w:r>
        <w:t>DVWA安装与默认配置：https://github.com/digininja/DVWA</w:t>
      </w:r>
    </w:p>
    <w:p>
      <w:r>
        <w:t>DVWA Compose：https://github.com/digininja/DVWA/blob/master/compose.yml</w:t>
      </w:r>
    </w:p>
    <w:p>
      <w:r>
        <w:t>Burp Repeater：https://portswigger.net/burp/documentation/desktop/tools/repeater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网络安全大实验  |  操作手册  |  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SC" w:hAnsi="Noto Sans SC" w:eastAsia="Noto Sans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Noto Sans CJK SC" w:hAnsi="Noto Sans CJK SC" w:eastAsia="Noto Sans CJK SC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环境与POC验证操作手册</dc:title>
  <dc:subject/>
  <dc:creator>网络安全课程实验小组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