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1"/>
        <w:jc w:val="center"/>
      </w:pPr>
      <w:r>
        <w:rPr>
          <w:rFonts w:ascii="Microsoft YaHei" w:hAnsi="Microsoft YaHei" w:eastAsia="Microsoft YaHei"/>
          <w:b/>
          <w:color w:val="1F5A99"/>
          <w:sz w:val="32"/>
        </w:rPr>
        <w:t>网络安全课程大实验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12355B"/>
          <w:sz w:val="42"/>
        </w:rPr>
        <w:t>基于大语言模型辅助的 Web 漏洞挖掘与验证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573"/>
          <w:sz w:val="24"/>
        </w:rPr>
        <w:t>——可审计的 SQL 注入与 XSS 教学靶场实验报告——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68000" cy="1695200"/>
            <wp:docPr id="1" name="Picture 1" descr="audit 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69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  <w:jc w:val="center"/>
      </w:pPr>
      <w:r>
        <w:rPr>
          <w:rFonts w:ascii="Microsoft YaHei" w:hAnsi="Microsoft YaHei" w:eastAsia="Microsoft YaHei"/>
          <w:b w:val="0"/>
          <w:color w:val="374151"/>
          <w:sz w:val="21"/>
        </w:rPr>
        <w:t>项目：llm-web-vuln-lab</w:t>
        <w:br/>
      </w:r>
      <w:r>
        <w:rPr>
          <w:rFonts w:ascii="Microsoft YaHei" w:hAnsi="Microsoft YaHei" w:eastAsia="Microsoft YaHei"/>
          <w:b w:val="0"/>
          <w:color w:val="374151"/>
          <w:sz w:val="21"/>
        </w:rPr>
        <w:t>实验日期：2026-10-26</w:t>
        <w:br/>
      </w:r>
      <w:r>
        <w:rPr>
          <w:rFonts w:ascii="Microsoft YaHei" w:hAnsi="Microsoft YaHei" w:eastAsia="Microsoft YaHei"/>
          <w:b w:val="0"/>
          <w:color w:val="374151"/>
          <w:sz w:val="21"/>
        </w:rPr>
        <w:t>实验范围：本地 Docker 教学靶场 127.0.0.1:4280</w:t>
        <w:br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摘  要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本实验构建了一个面向 SQL 注入（SQLi）与跨站脚本（XSS）的可审计教学靶场，考察大语言模型在受控 PHP 代码样本上的静态漏洞判断、行号定位和本地验证建议生成能力。数据集由 24 个漏洞版/修复版配对样本组成，其中 12 个样本进入正式测试；在 V0、V1、V2 三版 Prompt 下各运行一次，形成 36 条正式记录。实验将“模型预测、代码定位、POC 文本、环境适配、真实触发”分层归档，避免把模型的文字分析误写为漏洞已被验证。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在本组教学样本上，三版 Prompt 的分类与定位均为 12/12 正确，SQLi 与 XSS 各 6 个正式样本均无误报、无漏报。加分部分完成 16 条 Prompt Injection、2 条 Burp 联动、4 条上下文消融及 4 条高级案例（二阶 SQLi、IDOR）记录。所有动态请求只发往本机回环地址 `127.0.0.1:4280`。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02"/>
      </w:tblGrid>
      <w:tr>
        <w:trPr>
          <w:tblHeader w:val="true"/>
        </w:trPr>
        <w:tc>
          <w:tcPr>
            <w:tcW w:type="dxa" w:w="9802"/>
            <w:shd w:fill="E8F5EE"/>
            <w:tcBorders>
              <w:top w:val="single" w:sz="4" w:color="B7CDE5"/>
              <w:left w:val="single" w:sz="4" w:color="B7CDE5"/>
              <w:bottom w:val="single" w:sz="4" w:color="B7CDE5"/>
              <w:right w:val="single" w:sz="4" w:color="B7CDE5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2355B"/>
                <w:sz w:val="20"/>
              </w:rPr>
              <w:t xml:space="preserve">核心结论  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0"/>
              </w:rPr>
              <w:t>本实验验证的是一套可追溯的 LLM 辅助审计流程。V1/V2 在该小规模、配对的教学数据集上没有带来可观测的分类提升，其主要价值体现在输出约束、验证边界与可审计性。</w:t>
            </w:r>
          </w:p>
        </w:tc>
      </w:tr>
    </w:tbl>
    <w:p>
      <w:pPr>
        <w:spacing w:after="40"/>
      </w:pP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关键词</w:t>
      </w:r>
    </w:p>
    <w:p>
      <w:pPr>
        <w:spacing w:after="200" w:line="324" w:lineRule="auto"/>
      </w:pPr>
      <w:r>
        <w:rPr>
          <w:rFonts w:ascii="Microsoft YaHei" w:hAnsi="Microsoft YaHei" w:eastAsia="Microsoft YaHei"/>
          <w:b w:val="0"/>
          <w:color w:val="1F2937"/>
          <w:sz w:val="21"/>
        </w:rPr>
        <w:t>大语言模型；Web 漏洞挖掘；SQL 注入；跨站脚本；Prompt 工程；可追溯验证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目录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1. 实验背景、目标与边界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2. 实验方案与可审计流程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3. 数据集、Prompt 与冻结机制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4. 本地验证环境与证据分层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5. 正式实验结果与分析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6. 加分实验与高级案例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7. 限制、反思与改进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8. 结论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附录 A. 复现命令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12355B"/>
          <w:sz w:val="21"/>
        </w:rPr>
        <w:t>附录 B. 证据索引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1. 实验背景、目标与边界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1.1 研究问题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传统 Web 审计需要从外部输入、数据传播、防护措施到危险操作建立完整证据链。LLM 可以快速生成候选路径与验证思路，但其回答不能取代源码事实或运行观察。本实验围绕以下问题开展：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在配对的 SQLi/XSS 教学样本中，模型是否能正确区分漏洞版与修复版？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Prompt 从 V0 到 V2 的约束增强，是否改变分类或定位结果？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模型生成的本地 POC 建议，如何在不扩展攻击范围的前提下形成可审计的验证线索？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1.2 安全边界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tblHeader w:val="true"/>
        </w:trPr>
        <w:tc>
          <w:tcPr>
            <w:tcW w:type="dxa" w:w="170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7143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约束与做法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目标系统</w:t>
            </w:r>
          </w:p>
        </w:tc>
        <w:tc>
          <w:tcPr>
            <w:tcW w:type="dxa" w:w="7143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仅限仓库内 PHP 教学样例；不扫描、测试或访问公网目标。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网络范围</w:t>
            </w:r>
          </w:p>
        </w:tc>
        <w:tc>
          <w:tcPr>
            <w:tcW w:type="dxa" w:w="7143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Docker 服务只映射到 127.0.0.1:4280；POC 中禁止外发数据。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结论规则</w:t>
            </w:r>
          </w:p>
        </w:tc>
        <w:tc>
          <w:tcPr>
            <w:tcW w:type="dxa" w:w="7143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模型预测、HTTP 200、POC 文本均不等价于漏洞触发；触发以日志、DOM marker 或受控业务差异为准。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外推范围</w:t>
            </w:r>
          </w:p>
        </w:tc>
        <w:tc>
          <w:tcPr>
            <w:tcW w:type="dxa" w:w="7143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结果仅针对 12 个正式教学样本，不外推为真实世界漏洞发现率。</w:t>
            </w:r>
          </w:p>
        </w:tc>
      </w:tr>
    </w:tbl>
    <w:p>
      <w:pPr>
        <w:spacing w:after="20"/>
      </w:pP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1.3 传统审计与 LLM 辅助的分工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tblHeader w:val="true"/>
        </w:trPr>
        <w:tc>
          <w:tcPr>
            <w:tcW w:type="dxa" w:w="1247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环节</w:t>
            </w:r>
          </w:p>
        </w:tc>
        <w:tc>
          <w:tcPr>
            <w:tcW w:type="dxa" w:w="249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传统人工审计</w:t>
            </w:r>
          </w:p>
        </w:tc>
        <w:tc>
          <w:tcPr>
            <w:tcW w:type="dxa" w:w="249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LLM 辅助</w:t>
            </w:r>
          </w:p>
        </w:tc>
        <w:tc>
          <w:tcPr>
            <w:tcW w:type="dxa" w:w="2608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最终判据</w:t>
            </w:r>
          </w:p>
        </w:tc>
      </w:tr>
      <w:tr>
        <w:tc>
          <w:tcPr>
            <w:tcW w:type="dxa" w:w="124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路径发现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追踪 source / flow / guard / sink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提出候选数据流和行号</w:t>
            </w:r>
          </w:p>
        </w:tc>
        <w:tc>
          <w:tcPr>
            <w:tcW w:type="dxa" w:w="260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原始源码与 line_map</w:t>
            </w:r>
          </w:p>
        </w:tc>
      </w:tr>
      <w:tr>
        <w:tc>
          <w:tcPr>
            <w:tcW w:type="dxa" w:w="124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防护判断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检查参数化、编码、净化、授权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解释防护是否覆盖路径</w:t>
            </w:r>
          </w:p>
        </w:tc>
        <w:tc>
          <w:tcPr>
            <w:tcW w:type="dxa" w:w="260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漏洞/修复配对差异</w:t>
            </w:r>
          </w:p>
        </w:tc>
      </w:tr>
      <w:tr>
        <w:tc>
          <w:tcPr>
            <w:tcW w:type="dxa" w:w="124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验证设计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构造普通与受控请求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给出本地 POC 候选</w:t>
            </w:r>
          </w:p>
        </w:tc>
        <w:tc>
          <w:tcPr>
            <w:tcW w:type="dxa" w:w="260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审核后的本地运行证据</w:t>
            </w:r>
          </w:p>
        </w:tc>
      </w:tr>
      <w:tr>
        <w:tc>
          <w:tcPr>
            <w:tcW w:type="dxa" w:w="124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结论表达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源码与观察综合判断</w:t>
            </w:r>
          </w:p>
        </w:tc>
        <w:tc>
          <w:tcPr>
            <w:tcW w:type="dxa" w:w="249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结构化 JSON 输出</w:t>
            </w:r>
          </w:p>
        </w:tc>
        <w:tc>
          <w:tcPr>
            <w:tcW w:type="dxa" w:w="260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原文、哈希、真值、日志</w:t>
            </w:r>
          </w:p>
        </w:tc>
      </w:tr>
    </w:tbl>
    <w:p>
      <w:pPr>
        <w:spacing w:after="2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2. 实验方案与可审计流程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整个实验链路以输入冻结为起点，以人工复核和本地观察为终点。图 1 展示了由样本与真值、冻结输入、结构化模型输出、人工/动态验证组成的四层证据链。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64000"/>
            <wp:docPr id="2" name="Picture 2" descr="audit 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Microsoft YaHei"/>
          <w:b w:val="0"/>
          <w:color w:val="5B6573"/>
          <w:sz w:val="18"/>
        </w:rPr>
        <w:t>图 1  可审计的 LLM 辅助 Web 漏洞挖掘流程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2.1 运行流程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固定源码和正式输入包：统一 LF 换行、SHA-256、行号映射，隔离废弃输入包。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模型运行与归档：保存 Prompt、完整 input、原始回答、规范化 JSON、会话/设置截图及哈希。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独立复核：核对模型预测、源码定位、输入与原文的绑定关系，并对照预先登记的真值。</w:t>
      </w:r>
    </w:p>
    <w:p>
      <w:pPr>
        <w:pStyle w:val="ListBullet"/>
        <w:spacing w:after="60" w:line="300" w:lineRule="auto"/>
        <w:ind w:left="369"/>
      </w:pPr>
      <w:r>
        <w:rPr>
          <w:rFonts w:ascii="Microsoft YaHei" w:hAnsi="Microsoft YaHei" w:eastAsia="Microsoft YaHei"/>
          <w:b w:val="0"/>
          <w:color w:val="1F2937"/>
          <w:sz w:val="20"/>
        </w:rPr>
        <w:t>本地验证：只在教学 Docker 环境中执行审核后的 loopback 请求，以业务差异或 DOM marker 判定结果。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2.2 模型和 Prompt 口径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正式网页端运行采用默认/快速模式，深度思考开启、智能搜索关闭。DeepSeek 官方于 2026-10-17 公告 V4.1 Flash 升级为 DeepSeek-V4.1-Flash-1017，网页端与 App 同步更新；正式运行日期为 2026-10-19。因此本报告按“DeepSeek 网页默认/快速模式（官方版本映射：DeepSeek-V4.1-Flash-1017）”记载该批次。单条会话未保存 API/HAR 级别的后端模型字段，这一限制在第 7 章明确保留。</w:t>
      </w:r>
    </w:p>
    <w:p>
      <w:pPr>
        <w:ind w:firstLine="420"/>
      </w:pPr>
      <w:r>
        <w:rPr>
          <w:rFonts w:ascii="Microsoft YaHei" w:hAnsi="Microsoft YaHei" w:eastAsia="Microsoft YaHei"/>
          <w:b/>
          <w:color w:val="12355B"/>
          <w:sz w:val="20"/>
        </w:rPr>
        <w:t>官方版本公告：</w:t>
      </w:r>
      <w:hyperlink r:id="rId12">
        <w:r>
          <w:rPr>
            <w:color w:val="1F5A99"/>
            <w:u w:val="single"/>
          </w:rPr>
          <w:t>DeepSeek Updates - V4.1-Flash-1017</w:t>
        </w:r>
      </w:hyperlink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2.3 Prompt 迭代原则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tblHeader w:val="true"/>
        </w:trPr>
        <w:tc>
          <w:tcPr>
            <w:tcW w:type="dxa" w:w="113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4762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主要约束</w:t>
            </w:r>
          </w:p>
        </w:tc>
        <w:tc>
          <w:tcPr>
            <w:tcW w:type="dxa" w:w="2948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跨版本不变项</w:t>
            </w:r>
          </w:p>
        </w:tc>
      </w:tr>
      <w:tr>
        <w:tc>
          <w:tcPr>
            <w:tcW w:type="dxa" w:w="113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V0</w:t>
            </w:r>
          </w:p>
        </w:tc>
        <w:tc>
          <w:tcPr>
            <w:tcW w:type="dxa" w:w="476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统一中文、JSON、行号、source/flow/guard/sink 审计基线</w:t>
            </w:r>
          </w:p>
        </w:tc>
        <w:tc>
          <w:tcPr>
            <w:tcW w:type="dxa" w:w="294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固定 code_input；输入包哈希不变</w:t>
            </w:r>
          </w:p>
        </w:tc>
      </w:tr>
      <w:tr>
        <w:tc>
          <w:tcPr>
            <w:tcW w:type="dxa" w:w="113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V1</w:t>
            </w:r>
          </w:p>
        </w:tc>
        <w:tc>
          <w:tcPr>
            <w:tcW w:type="dxa" w:w="476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强化数据流可达性、有效防护与缺失上下文说明</w:t>
            </w:r>
          </w:p>
        </w:tc>
        <w:tc>
          <w:tcPr>
            <w:tcW w:type="dxa" w:w="294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同一正式样本仅修改 Prompt 文本</w:t>
            </w:r>
          </w:p>
        </w:tc>
      </w:tr>
      <w:tr>
        <w:tc>
          <w:tcPr>
            <w:tcW w:type="dxa" w:w="113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V2</w:t>
            </w:r>
          </w:p>
        </w:tc>
        <w:tc>
          <w:tcPr>
            <w:tcW w:type="dxa" w:w="476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强调普通/测试对照、验证前提、触发判据；拒绝代码注释中的嵌入指令</w:t>
            </w:r>
          </w:p>
        </w:tc>
        <w:tc>
          <w:tcPr>
            <w:tcW w:type="dxa" w:w="294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不将静态结论写成已触发</w:t>
            </w:r>
          </w:p>
        </w:tc>
      </w:tr>
    </w:tbl>
    <w:p>
      <w:pPr>
        <w:spacing w:after="2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3. 数据集、Prompt 与冻结机制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3.1 数据集构成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数据集共 24 例，均按漏洞版/修复版进行配对。奇数构造例登记为 true，配对修复例登记为 false。正式测试集共 12 个样本：S007、S008、S009、S010、S011、S012、S019、S020、S021、S022、S023、S024；每例在 V0/V1/V2 各运行一次，共计 36 条正式记录。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0"/>
        <w:gridCol w:w="1960"/>
        <w:gridCol w:w="1960"/>
        <w:gridCol w:w="1960"/>
        <w:gridCol w:w="1960"/>
      </w:tblGrid>
      <w:tr>
        <w:trPr>
          <w:tblHeader w:val="true"/>
        </w:trPr>
        <w:tc>
          <w:tcPr>
            <w:tcW w:type="dxa" w:w="136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181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总样本</w:t>
            </w:r>
          </w:p>
        </w:tc>
        <w:tc>
          <w:tcPr>
            <w:tcW w:type="dxa" w:w="181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正式样本</w:t>
            </w:r>
          </w:p>
        </w:tc>
        <w:tc>
          <w:tcPr>
            <w:tcW w:type="dxa" w:w="232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真值分布</w:t>
            </w:r>
          </w:p>
        </w:tc>
        <w:tc>
          <w:tcPr>
            <w:tcW w:type="dxa" w:w="181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运行次数</w:t>
            </w:r>
          </w:p>
        </w:tc>
      </w:tr>
      <w:tr>
        <w:tc>
          <w:tcPr>
            <w:tcW w:type="dxa" w:w="136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SQLi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12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6</w:t>
            </w:r>
          </w:p>
        </w:tc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漏洞 6 / 修复 6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18</w:t>
            </w:r>
          </w:p>
        </w:tc>
      </w:tr>
      <w:tr>
        <w:tc>
          <w:tcPr>
            <w:tcW w:type="dxa" w:w="136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XSS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12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6</w:t>
            </w:r>
          </w:p>
        </w:tc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漏洞 6 / 修复 6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18</w:t>
            </w:r>
          </w:p>
        </w:tc>
      </w:tr>
      <w:tr>
        <w:tc>
          <w:tcPr>
            <w:tcW w:type="dxa" w:w="136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合计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24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12</w:t>
            </w:r>
          </w:p>
        </w:tc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漏洞 12 / 修复 12</w:t>
            </w:r>
          </w:p>
        </w:tc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36</w:t>
            </w:r>
          </w:p>
        </w:tc>
      </w:tr>
    </w:tbl>
    <w:p>
      <w:pPr>
        <w:spacing w:after="20"/>
      </w:pP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3.2 可追溯输入包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每个正式样本由源码、code_input.txt、line_map.json、source.json 和 manifest 组成。源码与输入统一按 UTF-8/LF 计算 SHA-256；已作废的 S009-S012 v1 输入包迁入 archive，避免误进入冻结扫描。冻结脚本以只读预检方式派生 36 条计划，仅在 Prompt、真值、证据和唯一输入包全部满足条件后写入正式计划字段。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02"/>
      </w:tblGrid>
      <w:tr>
        <w:trPr>
          <w:tblHeader w:val="true"/>
        </w:trPr>
        <w:tc>
          <w:tcPr>
            <w:tcW w:type="dxa" w:w="9802"/>
            <w:shd w:fill="FFF5DE"/>
            <w:tcBorders>
              <w:top w:val="single" w:sz="4" w:color="B7CDE5"/>
              <w:left w:val="single" w:sz="4" w:color="B7CDE5"/>
              <w:bottom w:val="single" w:sz="4" w:color="B7CDE5"/>
              <w:right w:val="single" w:sz="4" w:color="B7CDE5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2355B"/>
                <w:sz w:val="20"/>
              </w:rPr>
              <w:t xml:space="preserve">证据完整性规则  </w:t>
            </w:r>
            <w:r>
              <w:rPr>
                <w:rFonts w:ascii="Microsoft YaHei" w:hAnsi="Microsoft YaHei" w:eastAsia="Microsoft YaHei"/>
                <w:b w:val="0"/>
                <w:color w:val="1F2937"/>
                <w:sz w:val="20"/>
              </w:rPr>
              <w:t>原始模型回答不可被规范化结果覆盖；如 JSON 本身存在格式缺陷，必须在 format_valid 或复核记录中保留，而不能修改原文后重新计分。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4. 本地验证环境与证据分层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4.1 Docker 教学环境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验证环境由 Windows 宿主机、Docker Desktop、DVWA 与 MariaDB 构成。样例以本地挂载方式进入容器；服务端口绑定在 127.0.0.1:4280。验证前运行源码一致性、PHP 语法与健康检查，验证时比较普通请求和受控请求的实际业务差异。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4.2 POC 分层原则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tblHeader w:val="true"/>
        </w:trPr>
        <w:tc>
          <w:tcPr>
            <w:tcW w:type="dxa" w:w="181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层级</w:t>
            </w:r>
          </w:p>
        </w:tc>
        <w:tc>
          <w:tcPr>
            <w:tcW w:type="dxa" w:w="3969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定义</w:t>
            </w:r>
          </w:p>
        </w:tc>
        <w:tc>
          <w:tcPr>
            <w:tcW w:type="dxa" w:w="3175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报告表述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原始模型 POC</w:t>
            </w:r>
          </w:p>
        </w:tc>
        <w:tc>
          <w:tcPr>
            <w:tcW w:type="dxa" w:w="396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模型原文中生成的脚本或请求文本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只说明模型给出的建议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环境适配 POC</w:t>
            </w:r>
          </w:p>
        </w:tc>
        <w:tc>
          <w:tcPr>
            <w:tcW w:type="dxa" w:w="396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为本地路径、Cookie、初始化数据或断言作适配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与原始 POC 分开记录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逻辑修改版</w:t>
            </w:r>
          </w:p>
        </w:tc>
        <w:tc>
          <w:tcPr>
            <w:tcW w:type="dxa" w:w="396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修改了关键验证逻辑的脚本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不得反写为原始模型 POC 成功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动态触发证据</w:t>
            </w:r>
          </w:p>
        </w:tc>
        <w:tc>
          <w:tcPr>
            <w:tcW w:type="dxa" w:w="396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服务端日志、DOM marker 或受控业务差异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可支持本地教学环境中的触发结论</w:t>
            </w:r>
          </w:p>
        </w:tc>
      </w:tr>
    </w:tbl>
    <w:p>
      <w:pPr>
        <w:spacing w:after="20"/>
      </w:pP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4.3 代表性 SQLi 证据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S009 的受控请求在 Burp Repeater 中仅面向 127.0.0.1:4280。响应区域展示了 3 条教学人员记录，与正常 ids=1 的单条结果形成对照；这一观察用于证明查询结果集合发生扩展，而不是仅凭 HTTP 状态码判断。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226601"/>
            <wp:docPr id="3" name="Picture 3" descr="burp sqli repeater S009 20261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p_sqli_repeater_S009_2026101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2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Microsoft YaHei"/>
          <w:b w:val="0"/>
          <w:color w:val="5B6573"/>
          <w:sz w:val="18"/>
        </w:rPr>
        <w:t>图 2  S009 的本地 Burp Repeater 受控请求与三条记录响应（目标为 127.0.0.1:4280）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4.4 代表性二阶 SQLi 模型记录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高级案例 ADV_SECOND_SQLI 采用“先写入受控昵称、再经独立读取路径拼接查询”的二阶数据流。模型会话截图只说明模型对代码的结构化审计与 POC 文本建议；四条 ADV 记录的 poc_execution 均为 not_run。动态对照由独立本地检查脚本完成，并且不把截图本身解释为漏洞已触发。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401182"/>
            <wp:docPr id="4" name="Picture 4" descr="session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ssion_screensh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40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Microsoft YaHei"/>
          <w:b w:val="0"/>
          <w:color w:val="5B6573"/>
          <w:sz w:val="18"/>
        </w:rPr>
        <w:t>图 3  ADV_SECOND_SQLI 漏洞版的网页端模型原始回答截图（模型审计证据）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5. 正式实验结果与分析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5.1 整体统计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正式统计来自 results/formal_eval_2026-10-19-v2/summary.md。36 条记录均为 reviewed；三版 Prompt 在 12 个正式样本上得到相同分类与定位结果。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0"/>
        <w:gridCol w:w="980"/>
        <w:gridCol w:w="980"/>
        <w:gridCol w:w="980"/>
        <w:gridCol w:w="980"/>
        <w:gridCol w:w="980"/>
        <w:gridCol w:w="980"/>
        <w:gridCol w:w="980"/>
        <w:gridCol w:w="980"/>
        <w:gridCol w:w="980"/>
      </w:tblGrid>
      <w:tr>
        <w:trPr>
          <w:tblHeader w:val="true"/>
        </w:trPr>
        <w:tc>
          <w:tcPr>
            <w:tcW w:type="dxa" w:w="879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Prompt</w:t>
            </w:r>
          </w:p>
        </w:tc>
        <w:tc>
          <w:tcPr>
            <w:tcW w:type="dxa" w:w="567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N</w:t>
            </w:r>
          </w:p>
        </w:tc>
        <w:tc>
          <w:tcPr>
            <w:tcW w:type="dxa" w:w="482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TP</w:t>
            </w:r>
          </w:p>
        </w:tc>
        <w:tc>
          <w:tcPr>
            <w:tcW w:type="dxa" w:w="482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FP</w:t>
            </w:r>
          </w:p>
        </w:tc>
        <w:tc>
          <w:tcPr>
            <w:tcW w:type="dxa" w:w="482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TN</w:t>
            </w:r>
          </w:p>
        </w:tc>
        <w:tc>
          <w:tcPr>
            <w:tcW w:type="dxa" w:w="482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FN</w:t>
            </w:r>
          </w:p>
        </w:tc>
        <w:tc>
          <w:tcPr>
            <w:tcW w:type="dxa" w:w="680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不确定</w:t>
            </w:r>
          </w:p>
        </w:tc>
        <w:tc>
          <w:tcPr>
            <w:tcW w:type="dxa" w:w="113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准确率</w:t>
            </w:r>
          </w:p>
        </w:tc>
        <w:tc>
          <w:tcPr>
            <w:tcW w:type="dxa" w:w="136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定位正确率</w:t>
            </w:r>
          </w:p>
        </w:tc>
        <w:tc>
          <w:tcPr>
            <w:tcW w:type="dxa" w:w="187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原始 POC 可执行率</w:t>
            </w:r>
          </w:p>
        </w:tc>
      </w:tr>
      <w:tr>
        <w:tc>
          <w:tcPr>
            <w:tcW w:type="dxa" w:w="87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V0</w:t>
            </w:r>
          </w:p>
        </w:tc>
        <w:tc>
          <w:tcPr>
            <w:tcW w:type="dxa" w:w="56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68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113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100.0%</w:t>
            </w:r>
          </w:p>
        </w:tc>
        <w:tc>
          <w:tcPr>
            <w:tcW w:type="dxa" w:w="136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100.0%</w:t>
            </w:r>
          </w:p>
        </w:tc>
        <w:tc>
          <w:tcPr>
            <w:tcW w:type="dxa" w:w="187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0.0%</w:t>
            </w:r>
          </w:p>
        </w:tc>
      </w:tr>
      <w:tr>
        <w:tc>
          <w:tcPr>
            <w:tcW w:type="dxa" w:w="87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V1</w:t>
            </w:r>
          </w:p>
        </w:tc>
        <w:tc>
          <w:tcPr>
            <w:tcW w:type="dxa" w:w="56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68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113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100.0%</w:t>
            </w:r>
          </w:p>
        </w:tc>
        <w:tc>
          <w:tcPr>
            <w:tcW w:type="dxa" w:w="136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100.0%</w:t>
            </w:r>
          </w:p>
        </w:tc>
        <w:tc>
          <w:tcPr>
            <w:tcW w:type="dxa" w:w="187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0.0%</w:t>
            </w:r>
          </w:p>
        </w:tc>
      </w:tr>
      <w:tr>
        <w:tc>
          <w:tcPr>
            <w:tcW w:type="dxa" w:w="879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V2</w:t>
            </w:r>
          </w:p>
        </w:tc>
        <w:tc>
          <w:tcPr>
            <w:tcW w:type="dxa" w:w="56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82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68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0</w:t>
            </w:r>
          </w:p>
        </w:tc>
        <w:tc>
          <w:tcPr>
            <w:tcW w:type="dxa" w:w="113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100.0%</w:t>
            </w:r>
          </w:p>
        </w:tc>
        <w:tc>
          <w:tcPr>
            <w:tcW w:type="dxa" w:w="136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100.0%</w:t>
            </w:r>
          </w:p>
        </w:tc>
        <w:tc>
          <w:tcPr>
            <w:tcW w:type="dxa" w:w="187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16.7%</w:t>
            </w:r>
          </w:p>
        </w:tc>
      </w:tr>
    </w:tbl>
    <w:p>
      <w:pPr>
        <w:spacing w:after="2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08000" cy="2685150"/>
            <wp:docPr id="5" name="Picture 5" descr="formal metr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l_metric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685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Microsoft YaHei"/>
          <w:b w:val="0"/>
          <w:color w:val="5B6573"/>
          <w:sz w:val="18"/>
        </w:rPr>
        <w:t>图 4  V0、V1、V2 的正式分类准确率与定位正确率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5.2 Prompt 迭代的解释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V0→V1、V1→V2、V0→V2 的 12 个配对比较中均无预测变化，准确率变化均为 0.0%。因此不能写成“Prompt 优化提高了检测准确率”。更合适的解释是：本组漏洞版/修复版差异较清晰；V1/V2 的主要增益是要求模型公开证据边界、验证前提和缺失上下文，使输出更便于复核。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5.3 代表性案例对照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tblHeader w:val="true"/>
        </w:trPr>
        <w:tc>
          <w:tcPr>
            <w:tcW w:type="dxa" w:w="1757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案例</w:t>
            </w:r>
          </w:p>
        </w:tc>
        <w:tc>
          <w:tcPr>
            <w:tcW w:type="dxa" w:w="255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漏洞版观察</w:t>
            </w:r>
          </w:p>
        </w:tc>
        <w:tc>
          <w:tcPr>
            <w:tcW w:type="dxa" w:w="255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修复版观察</w:t>
            </w:r>
          </w:p>
        </w:tc>
        <w:tc>
          <w:tcPr>
            <w:tcW w:type="dxa" w:w="238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证据含义</w:t>
            </w:r>
          </w:p>
        </w:tc>
      </w:tr>
      <w:tr>
        <w:tc>
          <w:tcPr>
            <w:tcW w:type="dxa" w:w="175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S009 SQLi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ids=1 为 1 行；受控条件为 3 行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不产生相同结果扩展</w:t>
            </w:r>
          </w:p>
        </w:tc>
        <w:tc>
          <w:tcPr>
            <w:tcW w:type="dxa" w:w="238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查询语义发生改变</w:t>
            </w:r>
          </w:p>
        </w:tc>
      </w:tr>
      <w:tr>
        <w:tc>
          <w:tcPr>
            <w:tcW w:type="dxa" w:w="175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S021 / S022 XSS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S021 DOM data-lab-xss=yes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S022 无 marker</w:t>
            </w:r>
          </w:p>
        </w:tc>
        <w:tc>
          <w:tcPr>
            <w:tcW w:type="dxa" w:w="238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区分响应出现脚本与浏览器执行</w:t>
            </w:r>
          </w:p>
        </w:tc>
      </w:tr>
      <w:tr>
        <w:tc>
          <w:tcPr>
            <w:tcW w:type="dxa" w:w="175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S011 SQLi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适配后有排序变化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配对控制无同样行为</w:t>
            </w:r>
          </w:p>
        </w:tc>
        <w:tc>
          <w:tcPr>
            <w:tcW w:type="dxa" w:w="238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原始 POC 与适配结果分层</w:t>
            </w:r>
          </w:p>
        </w:tc>
      </w:tr>
      <w:tr>
        <w:tc>
          <w:tcPr>
            <w:tcW w:type="dxa" w:w="175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ADV_SECOND_SQLI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二次读取路径出现漏洞版/修复版差异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参数化读取不出现同样差异</w:t>
            </w:r>
          </w:p>
        </w:tc>
        <w:tc>
          <w:tcPr>
            <w:tcW w:type="dxa" w:w="238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跨请求数据流</w:t>
            </w:r>
          </w:p>
        </w:tc>
      </w:tr>
      <w:tr>
        <w:tc>
          <w:tcPr>
            <w:tcW w:type="dxa" w:w="1757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ADV_IDOR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用户 101 可读取 owner 202 对象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修复版同请求为空</w:t>
            </w:r>
          </w:p>
        </w:tc>
        <w:tc>
          <w:tcPr>
            <w:tcW w:type="dxa" w:w="238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对象级授权过滤有效</w:t>
            </w:r>
          </w:p>
        </w:tc>
      </w:tr>
    </w:tbl>
    <w:p>
      <w:pPr>
        <w:spacing w:after="2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6. 加分实验与高级案例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加分计划共 26 条，现已完成归档并通过项目内复核。它们与 36 条正式实验分开统计，避免将探索性或对照性记录混入主实验指标。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36000" cy="2378250"/>
            <wp:docPr id="6" name="Picture 6" descr="bonus comple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us_comple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23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Microsoft YaHei"/>
          <w:b w:val="0"/>
          <w:color w:val="5B6573"/>
          <w:sz w:val="18"/>
        </w:rPr>
        <w:t>图 5  加分实验分项完成度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tblHeader w:val="true"/>
        </w:trPr>
        <w:tc>
          <w:tcPr>
            <w:tcW w:type="dxa" w:w="170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850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数量</w:t>
            </w:r>
          </w:p>
        </w:tc>
        <w:tc>
          <w:tcPr>
            <w:tcW w:type="dxa" w:w="3175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主要内容</w:t>
            </w:r>
          </w:p>
        </w:tc>
        <w:tc>
          <w:tcPr>
            <w:tcW w:type="dxa" w:w="3515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结论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Prompt Injection</w:t>
            </w:r>
          </w:p>
        </w:tc>
        <w:tc>
          <w:tcPr>
            <w:tcW w:type="dxa" w:w="85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16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S013 官方四类注释攻击矩阵及 S001 对照</w:t>
            </w:r>
          </w:p>
        </w:tc>
        <w:tc>
          <w:tcPr>
            <w:tcW w:type="dxa" w:w="351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注释攻击不改变 S013 的预测；历史证据缺陷保留，不覆盖原文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Burp 联动</w:t>
            </w:r>
          </w:p>
        </w:tc>
        <w:tc>
          <w:tcPr>
            <w:tcW w:type="dxa" w:w="85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S009 SQLi 与 S021 XSS 的本地请求/响应或 DOM 证据</w:t>
            </w:r>
          </w:p>
        </w:tc>
        <w:tc>
          <w:tcPr>
            <w:tcW w:type="dxa" w:w="351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保留可读请求、截图或 marker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上下文消融</w:t>
            </w:r>
          </w:p>
        </w:tc>
        <w:tc>
          <w:tcPr>
            <w:tcW w:type="dxa" w:w="85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S007、S020 的 entry/full context</w:t>
            </w:r>
          </w:p>
        </w:tc>
        <w:tc>
          <w:tcPr>
            <w:tcW w:type="dxa" w:w="351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独立保存，不纳入 36 条正式统计</w:t>
            </w:r>
          </w:p>
        </w:tc>
      </w:tr>
      <w:tr>
        <w:tc>
          <w:tcPr>
            <w:tcW w:type="dxa" w:w="170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高级案例</w:t>
            </w:r>
          </w:p>
        </w:tc>
        <w:tc>
          <w:tcPr>
            <w:tcW w:type="dxa" w:w="850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317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二阶 SQLi 与 IDOR 漏洞版/修复版</w:t>
            </w:r>
          </w:p>
        </w:tc>
        <w:tc>
          <w:tcPr>
            <w:tcW w:type="dxa" w:w="351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模型会话、哈希和本地对照均归档</w:t>
            </w:r>
          </w:p>
        </w:tc>
      </w:tr>
    </w:tbl>
    <w:p>
      <w:pPr>
        <w:spacing w:after="20"/>
      </w:pP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6.1 高级案例的价值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高级案例覆盖了单文件直接 sink 之外的两种安全逻辑：二阶 SQLi 需要追踪跨请求、跨存储的污染值；IDOR 则要求区分 SQL 参数化与对象级授权。其目的不是扩大攻击面，而是检验模型是否能将“使用预处理 SQL”与“授权逻辑正确”分开判断。</w:t>
      </w: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6.2 S001 默认/快速模式记录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S001 官方 8 条采用独立的网页默认/快速模式会话。每条保存模型原文、输入、DOM 回答、截图、元数据和 POC 执行结果；A 对输入/原文哈希、JSON、会话截图和 loopback 限制完成自主复核，并在本机对 8 条模型 POC 逐条复跑，均以 exit code 0 结束。该批记录与早期存在绑定缺陷的历史 S001 文件并存，不覆盖历史证据。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7. 限制、反思与改进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tblHeader w:val="true"/>
        </w:trPr>
        <w:tc>
          <w:tcPr>
            <w:tcW w:type="dxa" w:w="232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3288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可能影响</w:t>
            </w:r>
          </w:p>
        </w:tc>
        <w:tc>
          <w:tcPr>
            <w:tcW w:type="dxa" w:w="3288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后续改进</w:t>
            </w:r>
          </w:p>
        </w:tc>
      </w:tr>
      <w:tr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样本规模小且为配对教学样本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100% 结果不能代表真实 Web 项目表现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扩充跨文件、跨请求、边界模糊的盲测集</w:t>
            </w:r>
          </w:p>
        </w:tc>
      </w:tr>
      <w:tr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模型版本未保留逐请求 API/HAR 字段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版本依据是网页模式证据与官方更新公告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优先使用可导出模型 ID 的 API；保存版本横幅</w:t>
            </w:r>
          </w:p>
        </w:tc>
      </w:tr>
      <w:tr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训练语料重合风险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常见漏洞模式可能被模型熟悉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引入新编写和隐蔽变体样本</w:t>
            </w:r>
          </w:p>
        </w:tc>
      </w:tr>
      <w:tr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POC 与环境耦合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路径、Cookie、数据初始化会影响执行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持续区分原始、适配、逻辑修改 POC</w:t>
            </w:r>
          </w:p>
        </w:tc>
      </w:tr>
      <w:tr>
        <w:tc>
          <w:tcPr>
            <w:tcW w:type="dxa" w:w="232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部分收口为 A_self_review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复核独立性较弱</w:t>
            </w:r>
          </w:p>
        </w:tc>
        <w:tc>
          <w:tcPr>
            <w:tcW w:type="dxa" w:w="3288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引入双盲复核或外部评审</w:t>
            </w:r>
          </w:p>
        </w:tc>
      </w:tr>
    </w:tbl>
    <w:p>
      <w:pPr>
        <w:spacing w:after="20"/>
      </w:pPr>
    </w:p>
    <w:p>
      <w:pPr>
        <w:pStyle w:val="Heading2"/>
        <w:spacing w:before="180" w:after="120"/>
      </w:pPr>
      <w:r>
        <w:rPr>
          <w:rFonts w:ascii="Microsoft YaHei" w:hAnsi="Microsoft YaHei" w:eastAsia="Microsoft YaHei"/>
          <w:b/>
          <w:color w:val="12355B"/>
          <w:sz w:val="25"/>
        </w:rPr>
        <w:t>7.1 对课堂实验的启示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LLM 适合作为审计助手而不是裁判：它能整理候选路径、暴露遗漏的授权或编码检查、生成受限环境中的验证草案；但真正的结论仍应由固定输入、源码复核、动态对照与清晰的证据边界共同给出。尤其在“预处理 SQL 是否等于安全”“HTTP 200 是否等于利用成功”“模型给出 POC 是否等于漏洞已触发”等问题上，分层记录能够有效减少过度解读。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8. 结论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本项目完成了从样本构造、输入冻结、模型运行、结构化归档、真值复核到本地动态验证的教学闭环。正式实验 36/36、加分实验 26/26 均有可读证据；在本组样本中 SQLi/XSS 的分类与定位均为 100%。同时，三版 Prompt 的预测没有变化，因而本报告不把 V1/V2 描述为提高了准确率。</w:t>
      </w:r>
    </w:p>
    <w:p>
      <w:pPr>
        <w:spacing w:after="120" w:line="324" w:lineRule="auto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项目的核心产出是一条“模型输出 - 源码 - 本地环境 - 人工复核”相互约束的证据链：模型负责候选路径发现和验证建议，源码和可复现的本地观察负责安全结论。这一分工使 LLM 的辅助价值可被利用，同时避免将语言模型的表达能力误写成自动化漏洞证明。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附录 A. 复现命令</w:t>
      </w:r>
    </w:p>
    <w:p>
      <w:pPr>
        <w:spacing w:after="160"/>
        <w:ind w:left="227" w:right="227"/>
      </w:pPr>
      <w:r>
        <w:rPr>
          <w:rFonts w:ascii="Consolas" w:hAnsi="Consolas" w:eastAsia="Consolas"/>
          <w:b w:val="0"/>
          <w:color w:val="23364D"/>
          <w:sz w:val="16"/>
        </w:rPr>
        <w:t># 冻结与主实验审计</w:t>
        <w:br/>
        <w:t>python tools/check_freeze.py</w:t>
        <w:br/>
        <w:t>python -m unittest discover -s tests -v</w:t>
        <w:br/>
        <w:t>python tools/evaluate.py --manifest dataset/manifest.json --runs runs/formal.json --root . --out results/formal_eval_recheck</w:t>
        <w:br/>
        <w:t>python tools/audit_submission.py --strict</w:t>
      </w:r>
    </w:p>
    <w:p>
      <w:pPr>
        <w:spacing w:after="160"/>
        <w:ind w:left="227" w:right="227"/>
      </w:pPr>
      <w:r>
        <w:rPr>
          <w:rFonts w:ascii="Consolas" w:hAnsi="Consolas" w:eastAsia="Consolas"/>
          <w:b w:val="0"/>
          <w:color w:val="23364D"/>
          <w:sz w:val="16"/>
        </w:rPr>
        <w:t># 高级案例本地动态对照</w:t>
        <w:br/>
        <w:t>python environment/build_advanced_cases.py --a-ref HEAD --c-ref HEAD --d-ref HEAD</w:t>
        <w:br/>
        <w:t>python environment/init_lab_db.py --reset-advanced</w:t>
        <w:br/>
        <w:t>docker compose --env-file local/lab.env -f third_party/DVWA/compose.yml -f environment/compose.lab.yml up -d</w:t>
        <w:br/>
        <w:t>python environment/check_advanced.py --output results/ADV_runtime_recheck.json --compose docker compose --env-file local/lab.env -f third_party/DVWA/compose.yml -f environment/compose.lab.yml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2355B"/>
          <w:sz w:val="32"/>
        </w:rPr>
        <w:t>附录 B. 核心证据索引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tblHeader w:val="true"/>
        </w:trPr>
        <w:tc>
          <w:tcPr>
            <w:tcW w:type="dxa" w:w="1814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证据类型</w:t>
            </w:r>
          </w:p>
        </w:tc>
        <w:tc>
          <w:tcPr>
            <w:tcW w:type="dxa" w:w="4535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仓库位置</w:t>
            </w:r>
          </w:p>
        </w:tc>
        <w:tc>
          <w:tcPr>
            <w:tcW w:type="dxa" w:w="2551"/>
            <w:shd w:fill="1235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用途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数据与真值</w:t>
            </w:r>
          </w:p>
        </w:tc>
        <w:tc>
          <w:tcPr>
            <w:tcW w:type="dxa" w:w="453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dataset/manifest.json；dataset/packets/；docs/C_输入包总清单.md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样本、源码、行号与真值基线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正式结果</w:t>
            </w:r>
          </w:p>
        </w:tc>
        <w:tc>
          <w:tcPr>
            <w:tcW w:type="dxa" w:w="453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runs/formal.json；runs/F_*；results/formal_eval_2026-10-19-v2/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36 条主实验原文、规范化和统计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模型口径</w:t>
            </w:r>
          </w:p>
        </w:tc>
        <w:tc>
          <w:tcPr>
            <w:tcW w:type="dxa" w:w="453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results/A_model_provenance_update_2026-10-26.md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网页默认/快速模式与版本映射说明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环境与动态验证</w:t>
            </w:r>
          </w:p>
        </w:tc>
        <w:tc>
          <w:tcPr>
            <w:tcW w:type="dxa" w:w="453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environment/；results/A_ADV_runtime_recheck_2026-10-26.md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Docker、业务对照、第二台电脑复现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加分实验</w:t>
            </w:r>
          </w:p>
        </w:tc>
        <w:tc>
          <w:tcPr>
            <w:tcW w:type="dxa" w:w="453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experiments/bonus_runs.plan.json；evidence/；runs/ADV_*_R1/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5F9FD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Prompt Injection、Burp、CTX、ADV 证据</w:t>
            </w:r>
          </w:p>
        </w:tc>
      </w:tr>
      <w:tr>
        <w:tc>
          <w:tcPr>
            <w:tcW w:type="dxa" w:w="1814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最终审计</w:t>
            </w:r>
          </w:p>
        </w:tc>
        <w:tc>
          <w:tcPr>
            <w:tcW w:type="dxa" w:w="4535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python tools/audit_submission.py --strict</w:t>
            </w:r>
          </w:p>
        </w:tc>
        <w:tc>
          <w:tcPr>
            <w:tcW w:type="dxa" w:w="2551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基础项与加分证据完整性检查</w:t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1134" w:right="1219" w:bottom="1020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B6573"/>
        <w:sz w:val="16"/>
      </w:rPr>
      <w:t xml:space="preserve">llm-web-vuln-lab  ·  2026-10-26  ·  第 </w:t>
    </w:r>
    <w:fldSimple w:instr="PAGE"/>
    <w:r>
      <w:rPr>
        <w:rFonts w:ascii="Microsoft YaHei" w:hAnsi="Microsoft YaHei" w:eastAsia="Microsoft YaHei"/>
        <w:b w:val="0"/>
        <w:color w:val="5B657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5B6573"/>
        <w:sz w:val="17"/>
      </w:rPr>
      <w:t>网络安全课程大实验  |  LLM 辅助 Web 漏洞挖掘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api-docs.deepseek.com/news/news261017/" TargetMode="External"/><Relationship Id="rId13" Type="http://schemas.openxmlformats.org/officeDocument/2006/relationships/image" Target="media/image2.jp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基于大语言模型辅助的 Web 漏洞挖掘与验证</dc:title>
  <dc:subject>网络安全课程大实验报告</dc:subject>
  <dc:creator/>
  <cp:keywords>LLM, Web security, SQLi, XSS, audit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