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1"/>
        <w:jc w:val="center"/>
      </w:pPr>
      <w:r>
        <w:rPr>
          <w:rFonts w:ascii="Microsoft YaHei" w:hAnsi="Microsoft YaHei" w:eastAsia="Microsoft YaHei"/>
          <w:b/>
          <w:color w:val="1F5A99"/>
          <w:sz w:val="32"/>
        </w:rPr>
        <w:t>网络安全课程大实验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2355B"/>
          <w:sz w:val="42"/>
        </w:rPr>
        <w:t>基于大语言模型辅助的 Web 漏洞挖掘与验证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color w:val="5B6573"/>
          <w:sz w:val="24"/>
        </w:rPr>
        <w:t>——可审计的 SQL 注入与 XSS 教学靶场实验报告——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1695200"/>
            <wp:docPr id="1" name="Picture 1" descr="audit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6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/>
        <w:jc w:val="center"/>
      </w:pPr>
      <w:r>
        <w:rPr>
          <w:rFonts w:ascii="Microsoft YaHei" w:hAnsi="Microsoft YaHei" w:eastAsia="Microsoft YaHei"/>
          <w:b w:val="0"/>
          <w:color w:val="374151"/>
          <w:sz w:val="21"/>
        </w:rPr>
        <w:t>项目：llm-web-vuln-lab</w:t>
        <w:br/>
      </w:r>
      <w:r>
        <w:rPr>
          <w:rFonts w:ascii="Microsoft YaHei" w:hAnsi="Microsoft YaHei" w:eastAsia="Microsoft YaHei"/>
          <w:b w:val="0"/>
          <w:color w:val="374151"/>
          <w:sz w:val="21"/>
        </w:rPr>
        <w:t>实验日期：2026-10-26</w:t>
        <w:br/>
      </w:r>
      <w:r>
        <w:rPr>
          <w:rFonts w:ascii="Microsoft YaHei" w:hAnsi="Microsoft YaHei" w:eastAsia="Microsoft YaHei"/>
          <w:b w:val="0"/>
          <w:color w:val="374151"/>
          <w:sz w:val="21"/>
        </w:rPr>
        <w:t>实验范围：本地 Docker 教学靶场 127.0.0.1:4280</w:t>
        <w:br/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摘  要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本实验构建了一个面向 SQL 注入（SQLi）与跨站脚本（XSS）的可审计教学靶场，考察大语言模型在受控 PHP 代码样本上的静态漏洞判断、行号定位和本地验证建议生成能力。数据集由 24 个漏洞版/修复版配对样本组成，其中 12 个样本进入正式测试；在 V0、V1、V2 三版 Prompt 下各运行一次，形成 36 条正式记录。实验将“模型预测、代码定位、POC 文本、环境适配、真实触发”分层归档，避免把模型的文字分析误写为漏洞已被验证。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在本组教学样本上，三版 Prompt 的分类与定位均为 12/12 正确，SQLi 与 XSS 各 6 个正式样本均无误报、无漏报。加分部分完成 16 条 Prompt Injection、2 条 Burp 联动、4 条上下文消融及 4 条高级案例（二阶 SQLi、IDOR）记录。所有动态请求只发往本机回环地址 `127.0.0.1:4280`。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tblHeader w:val="true"/>
        </w:trPr>
        <w:tc>
          <w:tcPr>
            <w:tcW w:type="dxa" w:w="9802"/>
            <w:shd w:fill="E8F5EE"/>
            <w:tcBorders>
              <w:top w:val="single" w:sz="4" w:color="B7CDE5"/>
              <w:left w:val="single" w:sz="4" w:color="B7CDE5"/>
              <w:bottom w:val="single" w:sz="4" w:color="B7CDE5"/>
              <w:right w:val="single" w:sz="4" w:color="B7CDE5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2355B"/>
                <w:sz w:val="20"/>
              </w:rPr>
              <w:t xml:space="preserve">核心结论  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本实验验证的是一套可追溯的 LLM 辅助审计流程。V1/V2 在该小规模、配对的教学数据集上没有带来可观测的分类提升，其主要价值体现在输出约束、验证边界与可审计性。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关键词</w:t>
      </w:r>
    </w:p>
    <w:p>
      <w:pPr>
        <w:spacing w:after="200" w:line="324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大语言模型；Web 漏洞挖掘；SQL 注入；跨站脚本；Prompt 工程；可追溯验证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目录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2355B"/>
          <w:sz w:val="21"/>
        </w:rPr>
        <w:t>1. 实验背景、目标与边界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2355B"/>
          <w:sz w:val="21"/>
        </w:rPr>
        <w:t>2. 实验方案与可审计流程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2355B"/>
          <w:sz w:val="21"/>
        </w:rPr>
        <w:t>3. 数据集、Prompt 与冻结机制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2355B"/>
          <w:sz w:val="21"/>
        </w:rPr>
        <w:t>4. 本地验证环境与证据分层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2355B"/>
          <w:sz w:val="21"/>
        </w:rPr>
        <w:t>5. 正式实验结果与分析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2355B"/>
          <w:sz w:val="21"/>
        </w:rPr>
        <w:t>6. 加分实验与高级案例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2355B"/>
          <w:sz w:val="21"/>
        </w:rPr>
        <w:t>7. 限制、反思与改进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2355B"/>
          <w:sz w:val="21"/>
        </w:rPr>
        <w:t>8. 结论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2355B"/>
          <w:sz w:val="21"/>
        </w:rPr>
        <w:t>附录 A. 复现命令</w:t>
      </w:r>
    </w:p>
    <w:p>
      <w:pPr>
        <w:spacing w:after="80"/>
      </w:pPr>
      <w:r>
        <w:rPr>
          <w:rFonts w:ascii="Microsoft YaHei" w:hAnsi="Microsoft YaHei" w:eastAsia="Microsoft YaHei"/>
          <w:b w:val="0"/>
          <w:color w:val="12355B"/>
          <w:sz w:val="21"/>
        </w:rPr>
        <w:t>附录 B. 证据索引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1. 实验背景、目标与边界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1.1 研究问题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传统 Web 审计需要从外部输入、数据传播、防护措施到危险操作建立完整证据链。LLM 可以快速生成候选路径与验证思路，但其回答不能取代源码事实或运行观察。本实验围绕以下问题开展：</w:t>
      </w:r>
    </w:p>
    <w:p>
      <w:pPr>
        <w:pStyle w:val="ListBullet"/>
        <w:spacing w:after="60" w:line="300" w:lineRule="auto"/>
        <w:ind w:left="369"/>
      </w:pPr>
      <w:r>
        <w:rPr>
          <w:rFonts w:ascii="Microsoft YaHei" w:hAnsi="Microsoft YaHei" w:eastAsia="Microsoft YaHei"/>
          <w:b w:val="0"/>
          <w:color w:val="1F2937"/>
          <w:sz w:val="20"/>
        </w:rPr>
        <w:t>在配对的 SQLi/XSS 教学样本中，模型是否能正确区分漏洞版与修复版？</w:t>
      </w:r>
    </w:p>
    <w:p>
      <w:pPr>
        <w:pStyle w:val="ListBullet"/>
        <w:spacing w:after="60" w:line="300" w:lineRule="auto"/>
        <w:ind w:left="369"/>
      </w:pPr>
      <w:r>
        <w:rPr>
          <w:rFonts w:ascii="Microsoft YaHei" w:hAnsi="Microsoft YaHei" w:eastAsia="Microsoft YaHei"/>
          <w:b w:val="0"/>
          <w:color w:val="1F2937"/>
          <w:sz w:val="20"/>
        </w:rPr>
        <w:t>Prompt 从 V0 到 V2 的约束增强，是否改变分类或定位结果？</w:t>
      </w:r>
    </w:p>
    <w:p>
      <w:pPr>
        <w:pStyle w:val="ListBullet"/>
        <w:spacing w:after="60" w:line="300" w:lineRule="auto"/>
        <w:ind w:left="369"/>
      </w:pPr>
      <w:r>
        <w:rPr>
          <w:rFonts w:ascii="Microsoft YaHei" w:hAnsi="Microsoft YaHei" w:eastAsia="Microsoft YaHei"/>
          <w:b w:val="0"/>
          <w:color w:val="1F2937"/>
          <w:sz w:val="20"/>
        </w:rPr>
        <w:t>模型生成的本地 POC 建议，如何在不扩展攻击范围的前提下形成可审计的验证线索？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1.2 安全边界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rPr>
          <w:tblHeader w:val="true"/>
        </w:trPr>
        <w:tc>
          <w:tcPr>
            <w:tcW w:type="dxa" w:w="1701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143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约束与做法</w:t>
            </w:r>
          </w:p>
        </w:tc>
      </w:tr>
      <w:tr>
        <w:tc>
          <w:tcPr>
            <w:tcW w:type="dxa" w:w="170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目标系统</w:t>
            </w:r>
          </w:p>
        </w:tc>
        <w:tc>
          <w:tcPr>
            <w:tcW w:type="dxa" w:w="7143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仅限仓库内 PHP 教学样例；不扫描、测试或访问公网目标。</w:t>
            </w:r>
          </w:p>
        </w:tc>
      </w:tr>
      <w:tr>
        <w:tc>
          <w:tcPr>
            <w:tcW w:type="dxa" w:w="170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网络范围</w:t>
            </w:r>
          </w:p>
        </w:tc>
        <w:tc>
          <w:tcPr>
            <w:tcW w:type="dxa" w:w="7143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Docker 服务只映射到 127.0.0.1:4280；POC 中禁止外发数据。</w:t>
            </w:r>
          </w:p>
        </w:tc>
      </w:tr>
      <w:tr>
        <w:tc>
          <w:tcPr>
            <w:tcW w:type="dxa" w:w="170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结论规则</w:t>
            </w:r>
          </w:p>
        </w:tc>
        <w:tc>
          <w:tcPr>
            <w:tcW w:type="dxa" w:w="7143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模型预测、HTTP 200、POC 文本均不等价于漏洞触发；触发以日志、DOM marker 或受控业务差异为准。</w:t>
            </w:r>
          </w:p>
        </w:tc>
      </w:tr>
      <w:tr>
        <w:tc>
          <w:tcPr>
            <w:tcW w:type="dxa" w:w="170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外推范围</w:t>
            </w:r>
          </w:p>
        </w:tc>
        <w:tc>
          <w:tcPr>
            <w:tcW w:type="dxa" w:w="7143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结果仅针对 12 个正式教学样本，不外推为真实世界漏洞发现率。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1.3 传统审计与 LLM 辅助的分工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247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环节</w:t>
            </w:r>
          </w:p>
        </w:tc>
        <w:tc>
          <w:tcPr>
            <w:tcW w:type="dxa" w:w="2494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传统人工审计</w:t>
            </w:r>
          </w:p>
        </w:tc>
        <w:tc>
          <w:tcPr>
            <w:tcW w:type="dxa" w:w="2494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LLM 辅助</w:t>
            </w:r>
          </w:p>
        </w:tc>
        <w:tc>
          <w:tcPr>
            <w:tcW w:type="dxa" w:w="2608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最终判据</w:t>
            </w:r>
          </w:p>
        </w:tc>
      </w:tr>
      <w:tr>
        <w:tc>
          <w:tcPr>
            <w:tcW w:type="dxa" w:w="124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路径发现</w:t>
            </w:r>
          </w:p>
        </w:tc>
        <w:tc>
          <w:tcPr>
            <w:tcW w:type="dxa" w:w="249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追踪 source / flow / guard / sink</w:t>
            </w:r>
          </w:p>
        </w:tc>
        <w:tc>
          <w:tcPr>
            <w:tcW w:type="dxa" w:w="249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提出候选数据流和行号</w:t>
            </w:r>
          </w:p>
        </w:tc>
        <w:tc>
          <w:tcPr>
            <w:tcW w:type="dxa" w:w="260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原始源码与 line_map</w:t>
            </w:r>
          </w:p>
        </w:tc>
      </w:tr>
      <w:tr>
        <w:tc>
          <w:tcPr>
            <w:tcW w:type="dxa" w:w="124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防护判断</w:t>
            </w:r>
          </w:p>
        </w:tc>
        <w:tc>
          <w:tcPr>
            <w:tcW w:type="dxa" w:w="249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检查参数化、编码、净化、授权</w:t>
            </w:r>
          </w:p>
        </w:tc>
        <w:tc>
          <w:tcPr>
            <w:tcW w:type="dxa" w:w="249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解释防护是否覆盖路径</w:t>
            </w:r>
          </w:p>
        </w:tc>
        <w:tc>
          <w:tcPr>
            <w:tcW w:type="dxa" w:w="260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漏洞/修复配对差异</w:t>
            </w:r>
          </w:p>
        </w:tc>
      </w:tr>
      <w:tr>
        <w:tc>
          <w:tcPr>
            <w:tcW w:type="dxa" w:w="124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验证设计</w:t>
            </w:r>
          </w:p>
        </w:tc>
        <w:tc>
          <w:tcPr>
            <w:tcW w:type="dxa" w:w="249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构造普通与受控请求</w:t>
            </w:r>
          </w:p>
        </w:tc>
        <w:tc>
          <w:tcPr>
            <w:tcW w:type="dxa" w:w="249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给出本地 POC 候选</w:t>
            </w:r>
          </w:p>
        </w:tc>
        <w:tc>
          <w:tcPr>
            <w:tcW w:type="dxa" w:w="260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审核后的本地运行证据</w:t>
            </w:r>
          </w:p>
        </w:tc>
      </w:tr>
      <w:tr>
        <w:tc>
          <w:tcPr>
            <w:tcW w:type="dxa" w:w="124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结论表达</w:t>
            </w:r>
          </w:p>
        </w:tc>
        <w:tc>
          <w:tcPr>
            <w:tcW w:type="dxa" w:w="249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源码与观察综合判断</w:t>
            </w:r>
          </w:p>
        </w:tc>
        <w:tc>
          <w:tcPr>
            <w:tcW w:type="dxa" w:w="249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结构化 JSON 输出</w:t>
            </w:r>
          </w:p>
        </w:tc>
        <w:tc>
          <w:tcPr>
            <w:tcW w:type="dxa" w:w="260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原文、哈希、真值、日志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2. 实验方案与可审计流程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整个实验链路以输入冻结为起点，以人工复核和本地观察为终点。图 1 展示了由样本与真值、冻结输入、结构化模型输出、人工/动态验证组成的四层证据链。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64000"/>
            <wp:docPr id="2" name="Picture 2" descr="audit pipeli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1  可审计的 LLM 辅助 Web 漏洞挖掘流程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2.1 运行流程</w:t>
      </w:r>
    </w:p>
    <w:p>
      <w:pPr>
        <w:pStyle w:val="ListBullet"/>
        <w:spacing w:after="60" w:line="300" w:lineRule="auto"/>
        <w:ind w:left="369"/>
      </w:pPr>
      <w:r>
        <w:rPr>
          <w:rFonts w:ascii="Microsoft YaHei" w:hAnsi="Microsoft YaHei" w:eastAsia="Microsoft YaHei"/>
          <w:b w:val="0"/>
          <w:color w:val="1F2937"/>
          <w:sz w:val="20"/>
        </w:rPr>
        <w:t>固定源码和正式输入包：统一 LF 换行、SHA-256、行号映射，隔离废弃输入包。</w:t>
      </w:r>
    </w:p>
    <w:p>
      <w:pPr>
        <w:pStyle w:val="ListBullet"/>
        <w:spacing w:after="60" w:line="300" w:lineRule="auto"/>
        <w:ind w:left="369"/>
      </w:pPr>
      <w:r>
        <w:rPr>
          <w:rFonts w:ascii="Microsoft YaHei" w:hAnsi="Microsoft YaHei" w:eastAsia="Microsoft YaHei"/>
          <w:b w:val="0"/>
          <w:color w:val="1F2937"/>
          <w:sz w:val="20"/>
        </w:rPr>
        <w:t>模型运行与归档：保存 Prompt、完整 input、原始回答、规范化 JSON、会话/设置截图及哈希。</w:t>
      </w:r>
    </w:p>
    <w:p>
      <w:pPr>
        <w:pStyle w:val="ListBullet"/>
        <w:spacing w:after="60" w:line="300" w:lineRule="auto"/>
        <w:ind w:left="369"/>
      </w:pPr>
      <w:r>
        <w:rPr>
          <w:rFonts w:ascii="Microsoft YaHei" w:hAnsi="Microsoft YaHei" w:eastAsia="Microsoft YaHei"/>
          <w:b w:val="0"/>
          <w:color w:val="1F2937"/>
          <w:sz w:val="20"/>
        </w:rPr>
        <w:t>独立复核：核对模型预测、源码定位、输入与原文的绑定关系，并对照预先登记的真值。</w:t>
      </w:r>
    </w:p>
    <w:p>
      <w:pPr>
        <w:pStyle w:val="ListBullet"/>
        <w:spacing w:after="60" w:line="300" w:lineRule="auto"/>
        <w:ind w:left="369"/>
      </w:pPr>
      <w:r>
        <w:rPr>
          <w:rFonts w:ascii="Microsoft YaHei" w:hAnsi="Microsoft YaHei" w:eastAsia="Microsoft YaHei"/>
          <w:b w:val="0"/>
          <w:color w:val="1F2937"/>
          <w:sz w:val="20"/>
        </w:rPr>
        <w:t>本地验证：只在教学 Docker 环境中执行审核后的 loopback 请求，以业务差异或 DOM marker 判定结果。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2.2 模型和 Prompt 口径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正式网页端运行采用默认/快速模式，深度思考开启、智能搜索关闭。DeepSeek 官方于 2026-10-17 公告 V4.1 Flash 升级为 DeepSeek-V4.1-Flash-1017，网页端与 App 同步更新；正式运行日期为 2026-10-19。因此本报告按“DeepSeek 网页默认/快速模式（官方版本映射：DeepSeek-V4.1-Flash-1017）”记载该批次。单条会话未保存 API/HAR 级别的后端模型字段，这一限制在第 7 章明确保留。</w:t>
      </w:r>
    </w:p>
    <w:p>
      <w:pPr>
        <w:ind w:firstLine="420"/>
      </w:pPr>
      <w:r>
        <w:rPr>
          <w:rFonts w:ascii="Microsoft YaHei" w:hAnsi="Microsoft YaHei" w:eastAsia="Microsoft YaHei"/>
          <w:b/>
          <w:color w:val="12355B"/>
          <w:sz w:val="20"/>
        </w:rPr>
        <w:t>官方版本公告：</w:t>
      </w:r>
      <w:hyperlink r:id="rId12">
        <w:r>
          <w:rPr>
            <w:color w:val="1F5A99"/>
            <w:u w:val="single"/>
          </w:rPr>
          <w:t>DeepSeek Updates - V4.1-Flash-1017</w:t>
        </w:r>
      </w:hyperlink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2.3 Prompt 迭代原则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134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4762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主要约束</w:t>
            </w:r>
          </w:p>
        </w:tc>
        <w:tc>
          <w:tcPr>
            <w:tcW w:type="dxa" w:w="2948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跨版本不变项</w:t>
            </w:r>
          </w:p>
        </w:tc>
      </w:tr>
      <w:tr>
        <w:tc>
          <w:tcPr>
            <w:tcW w:type="dxa" w:w="113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V0</w:t>
            </w:r>
          </w:p>
        </w:tc>
        <w:tc>
          <w:tcPr>
            <w:tcW w:type="dxa" w:w="476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统一中文、JSON、行号、source/flow/guard/sink 审计基线</w:t>
            </w:r>
          </w:p>
        </w:tc>
        <w:tc>
          <w:tcPr>
            <w:tcW w:type="dxa" w:w="294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固定 code_input；输入包哈希不变</w:t>
            </w:r>
          </w:p>
        </w:tc>
      </w:tr>
      <w:tr>
        <w:tc>
          <w:tcPr>
            <w:tcW w:type="dxa" w:w="113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V1</w:t>
            </w:r>
          </w:p>
        </w:tc>
        <w:tc>
          <w:tcPr>
            <w:tcW w:type="dxa" w:w="476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强化数据流可达性、有效防护与缺失上下文说明</w:t>
            </w:r>
          </w:p>
        </w:tc>
        <w:tc>
          <w:tcPr>
            <w:tcW w:type="dxa" w:w="294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同一正式样本仅修改 Prompt 文本</w:t>
            </w:r>
          </w:p>
        </w:tc>
      </w:tr>
      <w:tr>
        <w:tc>
          <w:tcPr>
            <w:tcW w:type="dxa" w:w="113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V2</w:t>
            </w:r>
          </w:p>
        </w:tc>
        <w:tc>
          <w:tcPr>
            <w:tcW w:type="dxa" w:w="476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强调普通/测试对照、验证前提、触发判据；拒绝代码注释中的嵌入指令</w:t>
            </w:r>
          </w:p>
        </w:tc>
        <w:tc>
          <w:tcPr>
            <w:tcW w:type="dxa" w:w="294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不将静态结论写成已触发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3. 数据集、Prompt 与冻结机制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3.1 数据集构成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数据集共 24 例，均按漏洞版/修复版进行配对。奇数构造例登记为 true，配对修复例登记为 false。正式测试集共 12 个样本：S007、S008、S009、S010、S011、S012、S019、S020、S021、S022、S023、S024；每例在 V0/V1/V2 各运行一次，共计 36 条正式记录。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60"/>
        <w:gridCol w:w="1960"/>
        <w:gridCol w:w="1960"/>
        <w:gridCol w:w="1960"/>
        <w:gridCol w:w="1960"/>
      </w:tblGrid>
      <w:tr>
        <w:trPr>
          <w:tblHeader w:val="true"/>
        </w:trPr>
        <w:tc>
          <w:tcPr>
            <w:tcW w:type="dxa" w:w="1361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1814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总样本</w:t>
            </w:r>
          </w:p>
        </w:tc>
        <w:tc>
          <w:tcPr>
            <w:tcW w:type="dxa" w:w="1814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正式样本</w:t>
            </w:r>
          </w:p>
        </w:tc>
        <w:tc>
          <w:tcPr>
            <w:tcW w:type="dxa" w:w="2324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真值分布</w:t>
            </w:r>
          </w:p>
        </w:tc>
        <w:tc>
          <w:tcPr>
            <w:tcW w:type="dxa" w:w="1814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运行次数</w:t>
            </w:r>
          </w:p>
        </w:tc>
      </w:tr>
      <w:tr>
        <w:tc>
          <w:tcPr>
            <w:tcW w:type="dxa" w:w="136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SQLi</w:t>
            </w:r>
          </w:p>
        </w:tc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12</w:t>
            </w:r>
          </w:p>
        </w:tc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232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漏洞 6 / 修复 6</w:t>
            </w:r>
          </w:p>
        </w:tc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18</w:t>
            </w:r>
          </w:p>
        </w:tc>
      </w:tr>
      <w:tr>
        <w:tc>
          <w:tcPr>
            <w:tcW w:type="dxa" w:w="136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XSS</w:t>
            </w:r>
          </w:p>
        </w:tc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12</w:t>
            </w:r>
          </w:p>
        </w:tc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232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漏洞 6 / 修复 6</w:t>
            </w:r>
          </w:p>
        </w:tc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18</w:t>
            </w:r>
          </w:p>
        </w:tc>
      </w:tr>
      <w:tr>
        <w:tc>
          <w:tcPr>
            <w:tcW w:type="dxa" w:w="136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合计</w:t>
            </w:r>
          </w:p>
        </w:tc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24</w:t>
            </w:r>
          </w:p>
        </w:tc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12</w:t>
            </w:r>
          </w:p>
        </w:tc>
        <w:tc>
          <w:tcPr>
            <w:tcW w:type="dxa" w:w="232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漏洞 12 / 修复 12</w:t>
            </w:r>
          </w:p>
        </w:tc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36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3.2 可追溯输入包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每个正式样本由源码、code_input.txt、line_map.json、source.json 和 manifest 组成。源码与输入统一按 UTF-8/LF 计算 SHA-256；已作废的 S009-S012 v1 输入包迁入 archive，避免误进入冻结扫描。冻结脚本以只读预检方式派生 36 条计划，仅在 Prompt、真值、证据和唯一输入包全部满足条件后写入正式计划字段。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2"/>
      </w:tblGrid>
      <w:tr>
        <w:trPr>
          <w:tblHeader w:val="true"/>
        </w:trPr>
        <w:tc>
          <w:tcPr>
            <w:tcW w:type="dxa" w:w="9802"/>
            <w:shd w:fill="FFF5DE"/>
            <w:tcBorders>
              <w:top w:val="single" w:sz="4" w:color="B7CDE5"/>
              <w:left w:val="single" w:sz="4" w:color="B7CDE5"/>
              <w:bottom w:val="single" w:sz="4" w:color="B7CDE5"/>
              <w:right w:val="single" w:sz="4" w:color="B7CDE5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2355B"/>
                <w:sz w:val="20"/>
              </w:rPr>
              <w:t xml:space="preserve">证据完整性规则  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原始模型回答不可被规范化结果覆盖；如 JSON 本身存在格式缺陷，必须在 format_valid 或复核记录中保留，而不能修改原文后重新计分。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4. 本地验证环境与证据分层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4.1 Docker 教学环境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验证环境由 Windows 宿主机、Docker Desktop、DVWA 与 MariaDB 构成。样例以本地挂载方式进入容器；服务端口绑定在 127.0.0.1:4280。验证前运行源码一致性、PHP 语法与健康检查，验证时比较普通请求和受控请求的实际业务差异。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4.2 POC 分层原则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814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969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3175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报告表述</w:t>
            </w:r>
          </w:p>
        </w:tc>
      </w:tr>
      <w:tr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原始模型 POC</w:t>
            </w:r>
          </w:p>
        </w:tc>
        <w:tc>
          <w:tcPr>
            <w:tcW w:type="dxa" w:w="396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模型原文中生成的脚本或请求文本</w:t>
            </w:r>
          </w:p>
        </w:tc>
        <w:tc>
          <w:tcPr>
            <w:tcW w:type="dxa" w:w="317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只说明模型给出的建议</w:t>
            </w:r>
          </w:p>
        </w:tc>
      </w:tr>
      <w:tr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环境适配 POC</w:t>
            </w:r>
          </w:p>
        </w:tc>
        <w:tc>
          <w:tcPr>
            <w:tcW w:type="dxa" w:w="396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为本地路径、Cookie、初始化数据或断言作适配</w:t>
            </w:r>
          </w:p>
        </w:tc>
        <w:tc>
          <w:tcPr>
            <w:tcW w:type="dxa" w:w="317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与原始 POC 分开记录</w:t>
            </w:r>
          </w:p>
        </w:tc>
      </w:tr>
      <w:tr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逻辑修改版</w:t>
            </w:r>
          </w:p>
        </w:tc>
        <w:tc>
          <w:tcPr>
            <w:tcW w:type="dxa" w:w="396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修改了关键验证逻辑的脚本</w:t>
            </w:r>
          </w:p>
        </w:tc>
        <w:tc>
          <w:tcPr>
            <w:tcW w:type="dxa" w:w="317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不得反写为原始模型 POC 成功</w:t>
            </w:r>
          </w:p>
        </w:tc>
      </w:tr>
      <w:tr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动态触发证据</w:t>
            </w:r>
          </w:p>
        </w:tc>
        <w:tc>
          <w:tcPr>
            <w:tcW w:type="dxa" w:w="396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服务端日志、DOM marker 或受控业务差异</w:t>
            </w:r>
          </w:p>
        </w:tc>
        <w:tc>
          <w:tcPr>
            <w:tcW w:type="dxa" w:w="317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可支持本地教学环境中的触发结论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4.3 代表性 SQLi 证据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S009 的受控请求在 Burp Repeater 中仅面向 127.0.0.1:4280。响应区域展示了 3 条教学人员记录，与正常 ids=1 的单条结果形成对照；这一观察用于证明查询结果集合发生扩展，而不是仅凭 HTTP 状态码判断。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26601"/>
            <wp:docPr id="3" name="Picture 3" descr="burp sqli repeater S009 202610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p_sqli_repeater_S009_2026101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26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2  S009 的本地 Burp Repeater 受控请求与三条记录响应（目标为 127.0.0.1:4280）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4.4 代表性二阶 SQLi 模型记录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高级案例 ADV_SECOND_SQLI 采用“先写入受控昵称、再经独立读取路径拼接查询”的二阶数据流。模型会话截图只说明模型对代码的结构化审计与 POC 文本建议；四条 ADV 记录的 poc_execution 均为 not_run。动态对照由独立本地检查脚本完成，并且不把截图本身解释为漏洞已触发。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401182"/>
            <wp:docPr id="4" name="Picture 4" descr="session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_screensh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01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3  ADV_SECOND_SQLI 漏洞版的网页端模型原始回答截图（模型审计证据）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5. 正式实验结果与分析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5.1 整体统计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正式统计来自 results/formal_eval_2026-10-19-v2/summary.md。36 条记录均为 reviewed；三版 Prompt 在 12 个正式样本上得到相同分类与定位结果。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  <w:gridCol w:w="980"/>
      </w:tblGrid>
      <w:tr>
        <w:trPr>
          <w:tblHeader w:val="true"/>
        </w:trPr>
        <w:tc>
          <w:tcPr>
            <w:tcW w:type="dxa" w:w="879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Prompt</w:t>
            </w:r>
          </w:p>
        </w:tc>
        <w:tc>
          <w:tcPr>
            <w:tcW w:type="dxa" w:w="567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N</w:t>
            </w:r>
          </w:p>
        </w:tc>
        <w:tc>
          <w:tcPr>
            <w:tcW w:type="dxa" w:w="482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TP</w:t>
            </w:r>
          </w:p>
        </w:tc>
        <w:tc>
          <w:tcPr>
            <w:tcW w:type="dxa" w:w="482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FP</w:t>
            </w:r>
          </w:p>
        </w:tc>
        <w:tc>
          <w:tcPr>
            <w:tcW w:type="dxa" w:w="482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TN</w:t>
            </w:r>
          </w:p>
        </w:tc>
        <w:tc>
          <w:tcPr>
            <w:tcW w:type="dxa" w:w="482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FN</w:t>
            </w:r>
          </w:p>
        </w:tc>
        <w:tc>
          <w:tcPr>
            <w:tcW w:type="dxa" w:w="680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不确定</w:t>
            </w:r>
          </w:p>
        </w:tc>
        <w:tc>
          <w:tcPr>
            <w:tcW w:type="dxa" w:w="1134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准确率</w:t>
            </w:r>
          </w:p>
        </w:tc>
        <w:tc>
          <w:tcPr>
            <w:tcW w:type="dxa" w:w="1361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定位正确率</w:t>
            </w:r>
          </w:p>
        </w:tc>
        <w:tc>
          <w:tcPr>
            <w:tcW w:type="dxa" w:w="1871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原始 POC 可执行率</w:t>
            </w:r>
          </w:p>
        </w:tc>
      </w:tr>
      <w:tr>
        <w:tc>
          <w:tcPr>
            <w:tcW w:type="dxa" w:w="87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V0</w:t>
            </w:r>
          </w:p>
        </w:tc>
        <w:tc>
          <w:tcPr>
            <w:tcW w:type="dxa" w:w="56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6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113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36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87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0.0%</w:t>
            </w:r>
          </w:p>
        </w:tc>
      </w:tr>
      <w:tr>
        <w:tc>
          <w:tcPr>
            <w:tcW w:type="dxa" w:w="87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56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6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113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36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87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0.0%</w:t>
            </w:r>
          </w:p>
        </w:tc>
      </w:tr>
      <w:tr>
        <w:tc>
          <w:tcPr>
            <w:tcW w:type="dxa" w:w="879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V2</w:t>
            </w:r>
          </w:p>
        </w:tc>
        <w:tc>
          <w:tcPr>
            <w:tcW w:type="dxa" w:w="56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12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6</w:t>
            </w:r>
          </w:p>
        </w:tc>
        <w:tc>
          <w:tcPr>
            <w:tcW w:type="dxa" w:w="482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68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0</w:t>
            </w:r>
          </w:p>
        </w:tc>
        <w:tc>
          <w:tcPr>
            <w:tcW w:type="dxa" w:w="113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36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100.0%</w:t>
            </w:r>
          </w:p>
        </w:tc>
        <w:tc>
          <w:tcPr>
            <w:tcW w:type="dxa" w:w="187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16.7%</w:t>
            </w:r>
          </w:p>
        </w:tc>
      </w:tr>
    </w:tbl>
    <w:p>
      <w:pPr>
        <w:spacing w:after="2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08000" cy="2685150"/>
            <wp:docPr id="5" name="Picture 5" descr="formal metric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l_metr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268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4  V0、V1、V2 的正式分类准确率与定位正确率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5.2 Prompt 迭代的解释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V0→V1、V1→V2、V0→V2 的 12 个配对比较中均无预测变化，准确率变化均为 0.0%。因此不能写成“Prompt 优化提高了检测准确率”。更合适的解释是：本组漏洞版/修复版差异较清晰；V1/V2 的主要增益是要求模型公开证据边界、验证前提和缺失上下文，使输出更便于复核。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5.3 代表性案例对照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757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案例</w:t>
            </w:r>
          </w:p>
        </w:tc>
        <w:tc>
          <w:tcPr>
            <w:tcW w:type="dxa" w:w="2551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漏洞版观察</w:t>
            </w:r>
          </w:p>
        </w:tc>
        <w:tc>
          <w:tcPr>
            <w:tcW w:type="dxa" w:w="2551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修复版观察</w:t>
            </w:r>
          </w:p>
        </w:tc>
        <w:tc>
          <w:tcPr>
            <w:tcW w:type="dxa" w:w="2381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证据含义</w:t>
            </w:r>
          </w:p>
        </w:tc>
      </w:tr>
      <w:tr>
        <w:tc>
          <w:tcPr>
            <w:tcW w:type="dxa" w:w="175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S009 SQLi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ids=1 为 1 行；受控条件为 3 行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不产生相同结果扩展</w:t>
            </w:r>
          </w:p>
        </w:tc>
        <w:tc>
          <w:tcPr>
            <w:tcW w:type="dxa" w:w="238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查询语义发生改变</w:t>
            </w:r>
          </w:p>
        </w:tc>
      </w:tr>
      <w:tr>
        <w:tc>
          <w:tcPr>
            <w:tcW w:type="dxa" w:w="175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S021 / S022 XSS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S021 DOM data-lab-xss=yes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S022 无 marker</w:t>
            </w:r>
          </w:p>
        </w:tc>
        <w:tc>
          <w:tcPr>
            <w:tcW w:type="dxa" w:w="238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区分响应出现脚本与浏览器执行</w:t>
            </w:r>
          </w:p>
        </w:tc>
      </w:tr>
      <w:tr>
        <w:tc>
          <w:tcPr>
            <w:tcW w:type="dxa" w:w="175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S011 SQLi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适配后有排序变化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配对控制无同样行为</w:t>
            </w:r>
          </w:p>
        </w:tc>
        <w:tc>
          <w:tcPr>
            <w:tcW w:type="dxa" w:w="238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原始 POC 与适配结果分层</w:t>
            </w:r>
          </w:p>
        </w:tc>
      </w:tr>
      <w:tr>
        <w:tc>
          <w:tcPr>
            <w:tcW w:type="dxa" w:w="175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ADV_SECOND_SQLI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二次读取路径出现漏洞版/修复版差异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参数化读取不出现同样差异</w:t>
            </w:r>
          </w:p>
        </w:tc>
        <w:tc>
          <w:tcPr>
            <w:tcW w:type="dxa" w:w="238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跨请求数据流</w:t>
            </w:r>
          </w:p>
        </w:tc>
      </w:tr>
      <w:tr>
        <w:tc>
          <w:tcPr>
            <w:tcW w:type="dxa" w:w="1757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ADV_IDOR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用户 101 可读取 owner 202 对象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修复版同请求为空</w:t>
            </w:r>
          </w:p>
        </w:tc>
        <w:tc>
          <w:tcPr>
            <w:tcW w:type="dxa" w:w="238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对象级授权过滤有效</w:t>
            </w:r>
          </w:p>
        </w:tc>
      </w:tr>
    </w:tbl>
    <w:p>
      <w:pPr>
        <w:spacing w:after="2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6. 加分实验与高级案例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加分计划共 26 条，现已完成归档并通过项目内复核。它们与 36 条正式实验分开统计，避免将探索性或对照性记录混入主实验指标。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36000" cy="2378250"/>
            <wp:docPr id="6" name="Picture 6" descr="bonus comple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nus_comple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6000" cy="23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icrosoft YaHei" w:hAnsi="Microsoft YaHei" w:eastAsia="Microsoft YaHei"/>
          <w:b w:val="0"/>
          <w:color w:val="5B6573"/>
          <w:sz w:val="18"/>
        </w:rPr>
        <w:t>图 5  加分实验分项完成度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1701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850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3175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3515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70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Prompt Injection</w:t>
            </w:r>
          </w:p>
        </w:tc>
        <w:tc>
          <w:tcPr>
            <w:tcW w:type="dxa" w:w="8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16</w:t>
            </w:r>
          </w:p>
        </w:tc>
        <w:tc>
          <w:tcPr>
            <w:tcW w:type="dxa" w:w="317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S013 官方四类注释攻击矩阵及 S001 对照</w:t>
            </w:r>
          </w:p>
        </w:tc>
        <w:tc>
          <w:tcPr>
            <w:tcW w:type="dxa" w:w="351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注释攻击不改变 S013 的预测；历史证据缺陷保留，不覆盖原文</w:t>
            </w:r>
          </w:p>
        </w:tc>
      </w:tr>
      <w:tr>
        <w:tc>
          <w:tcPr>
            <w:tcW w:type="dxa" w:w="170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Burp 联动</w:t>
            </w:r>
          </w:p>
        </w:tc>
        <w:tc>
          <w:tcPr>
            <w:tcW w:type="dxa" w:w="8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317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S009 SQLi 与 S021 XSS 的本地请求/响应或 DOM 证据</w:t>
            </w:r>
          </w:p>
        </w:tc>
        <w:tc>
          <w:tcPr>
            <w:tcW w:type="dxa" w:w="351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保留可读请求、截图或 marker</w:t>
            </w:r>
          </w:p>
        </w:tc>
      </w:tr>
      <w:tr>
        <w:tc>
          <w:tcPr>
            <w:tcW w:type="dxa" w:w="170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上下文消融</w:t>
            </w:r>
          </w:p>
        </w:tc>
        <w:tc>
          <w:tcPr>
            <w:tcW w:type="dxa" w:w="8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17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S007、S020 的 entry/full context</w:t>
            </w:r>
          </w:p>
        </w:tc>
        <w:tc>
          <w:tcPr>
            <w:tcW w:type="dxa" w:w="351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独立保存，不纳入 36 条正式统计</w:t>
            </w:r>
          </w:p>
        </w:tc>
      </w:tr>
      <w:tr>
        <w:tc>
          <w:tcPr>
            <w:tcW w:type="dxa" w:w="170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高级案例</w:t>
            </w:r>
          </w:p>
        </w:tc>
        <w:tc>
          <w:tcPr>
            <w:tcW w:type="dxa" w:w="850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317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二阶 SQLi 与 IDOR 漏洞版/修复版</w:t>
            </w:r>
          </w:p>
        </w:tc>
        <w:tc>
          <w:tcPr>
            <w:tcW w:type="dxa" w:w="351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模型会话、哈希和本地对照均归档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6.1 高级案例的价值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高级案例覆盖了单文件直接 sink 之外的两种安全逻辑：二阶 SQLi 需要追踪跨请求、跨存储的污染值；IDOR 则要求区分 SQL 参数化与对象级授权。其目的不是扩大攻击面，而是检验模型是否能将“使用预处理 SQL”与“授权逻辑正确”分开判断。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6.2 S001 默认/快速模式记录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S001 官方 8 条采用 D 操作的八个不同网页默认/快速模式会话。每条保存模型原文、输入、DOM 回答、截图、元数据和 POC 执行结果；A 对输入/原文哈希、JSON、会话截图和 loopback 限制完成项目内自审，并在本机对 8 条模型 POC 逐条复跑。八条均以 exit code 0 结束；同时，普通请求与测试请求在 Alice、Bob、Carol 记录或真假条件响应上出现预期业务差异，因此触发结论不只依据退出码。plan 如实记录 operator=D、reviewer=A_self_review，不声称 C 独立复核通过。该批记录与早期存在绑定缺陷的历史 S001 文件并存，不覆盖历史证据。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7. 限制、反思与改进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2324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限制</w:t>
            </w:r>
          </w:p>
        </w:tc>
        <w:tc>
          <w:tcPr>
            <w:tcW w:type="dxa" w:w="3288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可能影响</w:t>
            </w:r>
          </w:p>
        </w:tc>
        <w:tc>
          <w:tcPr>
            <w:tcW w:type="dxa" w:w="3288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后续改进</w:t>
            </w:r>
          </w:p>
        </w:tc>
      </w:tr>
      <w:tr>
        <w:tc>
          <w:tcPr>
            <w:tcW w:type="dxa" w:w="232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样本规模小且为配对教学样本</w:t>
            </w:r>
          </w:p>
        </w:tc>
        <w:tc>
          <w:tcPr>
            <w:tcW w:type="dxa" w:w="32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100% 结果不能代表真实 Web 项目表现</w:t>
            </w:r>
          </w:p>
        </w:tc>
        <w:tc>
          <w:tcPr>
            <w:tcW w:type="dxa" w:w="32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扩充跨文件、跨请求、边界模糊的盲测集</w:t>
            </w:r>
          </w:p>
        </w:tc>
      </w:tr>
      <w:tr>
        <w:tc>
          <w:tcPr>
            <w:tcW w:type="dxa" w:w="232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模型版本未保留逐请求 API/HAR 字段</w:t>
            </w:r>
          </w:p>
        </w:tc>
        <w:tc>
          <w:tcPr>
            <w:tcW w:type="dxa" w:w="32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版本依据是网页模式证据与官方更新公告</w:t>
            </w:r>
          </w:p>
        </w:tc>
        <w:tc>
          <w:tcPr>
            <w:tcW w:type="dxa" w:w="32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优先使用可导出模型 ID 的 API；保存版本横幅</w:t>
            </w:r>
          </w:p>
        </w:tc>
      </w:tr>
      <w:tr>
        <w:tc>
          <w:tcPr>
            <w:tcW w:type="dxa" w:w="232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训练语料重合风险</w:t>
            </w:r>
          </w:p>
        </w:tc>
        <w:tc>
          <w:tcPr>
            <w:tcW w:type="dxa" w:w="32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常见漏洞模式可能被模型熟悉</w:t>
            </w:r>
          </w:p>
        </w:tc>
        <w:tc>
          <w:tcPr>
            <w:tcW w:type="dxa" w:w="32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引入新编写和隐蔽变体样本</w:t>
            </w:r>
          </w:p>
        </w:tc>
      </w:tr>
      <w:tr>
        <w:tc>
          <w:tcPr>
            <w:tcW w:type="dxa" w:w="232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POC 与环境耦合</w:t>
            </w:r>
          </w:p>
        </w:tc>
        <w:tc>
          <w:tcPr>
            <w:tcW w:type="dxa" w:w="32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路径、Cookie、数据初始化会影响执行</w:t>
            </w:r>
          </w:p>
        </w:tc>
        <w:tc>
          <w:tcPr>
            <w:tcW w:type="dxa" w:w="32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持续区分原始、适配、逻辑修改 POC</w:t>
            </w:r>
          </w:p>
        </w:tc>
      </w:tr>
      <w:tr>
        <w:tc>
          <w:tcPr>
            <w:tcW w:type="dxa" w:w="232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部分收口为 A_self_review</w:t>
            </w:r>
          </w:p>
        </w:tc>
        <w:tc>
          <w:tcPr>
            <w:tcW w:type="dxa" w:w="32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复核独立性较弱</w:t>
            </w:r>
          </w:p>
        </w:tc>
        <w:tc>
          <w:tcPr>
            <w:tcW w:type="dxa" w:w="328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7"/>
              </w:rPr>
              <w:t>引入双盲复核或外部评审</w:t>
            </w:r>
          </w:p>
        </w:tc>
      </w:tr>
    </w:tbl>
    <w:p>
      <w:pPr>
        <w:spacing w:after="20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12355B"/>
          <w:sz w:val="25"/>
        </w:rPr>
        <w:t>7.1 对课堂实验的启示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LLM 适合作为审计助手而不是裁判：它能整理候选路径、暴露遗漏的授权或编码检查、生成受限环境中的验证草案；但真正的结论仍应由固定输入、源码复核、动态对照与清晰的证据边界共同给出。尤其在“预处理 SQL 是否等于安全”“HTTP 200 是否等于利用成功”“模型给出 POC 是否等于漏洞已触发”等问题上，分层记录能够有效减少过度解读。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8. 结论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本项目完成了从样本构造、输入冻结、模型运行、结构化归档、真值复核到本地动态验证的教学闭环。正式实验 36/36、加分实验 26/26 均有可读证据；在本组样本中 SQLi/XSS 的分类与定位均为 100%。同时，三版 Prompt 的预测没有变化，因而本报告不把 V1/V2 描述为提高了准确率。</w:t>
      </w:r>
    </w:p>
    <w:p>
      <w:pPr>
        <w:spacing w:after="120" w:line="324" w:lineRule="auto"/>
        <w:ind w:firstLine="420"/>
      </w:pPr>
      <w:r>
        <w:rPr>
          <w:rFonts w:ascii="Microsoft YaHei" w:hAnsi="Microsoft YaHei" w:eastAsia="Microsoft YaHei"/>
          <w:b w:val="0"/>
          <w:color w:val="1F2937"/>
          <w:sz w:val="21"/>
        </w:rPr>
        <w:t>项目的核心产出是一条“模型输出 - 源码 - 本地环境 - 人工复核”相互约束的证据链：模型负责候选路径发现和验证建议，源码和可复现的本地观察负责安全结论。这一分工使 LLM 的辅助价值可被利用，同时避免将语言模型的表达能力误写成自动化漏洞证明。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附录 A. 复现命令</w:t>
      </w:r>
    </w:p>
    <w:p>
      <w:pPr>
        <w:spacing w:after="160"/>
        <w:ind w:left="227" w:right="227"/>
      </w:pPr>
      <w:r>
        <w:rPr>
          <w:rFonts w:ascii="Consolas" w:hAnsi="Consolas" w:eastAsia="Consolas"/>
          <w:b w:val="0"/>
          <w:color w:val="23364D"/>
          <w:sz w:val="16"/>
        </w:rPr>
        <w:t># 冻结与主实验审计</w:t>
        <w:br/>
        <w:t>python tools/check_freeze.py</w:t>
        <w:br/>
        <w:t>python -m unittest discover -s tests -v</w:t>
        <w:br/>
        <w:t>python tools/evaluate.py --manifest dataset/manifest.json --runs runs/formal.json --root . --out results/formal_eval_recheck</w:t>
        <w:br/>
        <w:t>python tools/audit_submission.py --strict</w:t>
      </w:r>
    </w:p>
    <w:p>
      <w:pPr>
        <w:spacing w:after="160"/>
        <w:ind w:left="227" w:right="227"/>
      </w:pPr>
      <w:r>
        <w:rPr>
          <w:rFonts w:ascii="Consolas" w:hAnsi="Consolas" w:eastAsia="Consolas"/>
          <w:b w:val="0"/>
          <w:color w:val="23364D"/>
          <w:sz w:val="16"/>
        </w:rPr>
        <w:t># 高级案例本地动态对照</w:t>
        <w:br/>
        <w:t>python environment/build_advanced_cases.py --a-ref HEAD --c-ref HEAD --d-ref HEAD</w:t>
        <w:br/>
        <w:t>python environment/init_lab_db.py --reset-advanced</w:t>
        <w:br/>
        <w:t>docker compose --env-file local/lab.env -f third_party/DVWA/compose.yml -f environment/compose.lab.yml up -d</w:t>
        <w:br/>
        <w:t>python environment/check_advanced.py --output results/ADV_runtime_recheck.json --compose docker compose --env-file local/lab.env -f third_party/DVWA/compose.yml -f environment/compose.lab.yml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12355B"/>
          <w:sz w:val="32"/>
        </w:rPr>
        <w:t>附录 B. 核心证据索引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7"/>
        <w:gridCol w:w="3267"/>
        <w:gridCol w:w="3267"/>
      </w:tblGrid>
      <w:tr>
        <w:trPr>
          <w:tblHeader w:val="true"/>
        </w:trPr>
        <w:tc>
          <w:tcPr>
            <w:tcW w:type="dxa" w:w="1814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证据类型</w:t>
            </w:r>
          </w:p>
        </w:tc>
        <w:tc>
          <w:tcPr>
            <w:tcW w:type="dxa" w:w="4535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仓库位置</w:t>
            </w:r>
          </w:p>
        </w:tc>
        <w:tc>
          <w:tcPr>
            <w:tcW w:type="dxa" w:w="2551"/>
            <w:shd w:fill="12355B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数据与真值</w:t>
            </w:r>
          </w:p>
        </w:tc>
        <w:tc>
          <w:tcPr>
            <w:tcW w:type="dxa" w:w="453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dataset/manifest.json；dataset/packets/；docs/C_输入包总清单.md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样本、源码、行号与真值基线</w:t>
            </w:r>
          </w:p>
        </w:tc>
      </w:tr>
      <w:tr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正式结果</w:t>
            </w:r>
          </w:p>
        </w:tc>
        <w:tc>
          <w:tcPr>
            <w:tcW w:type="dxa" w:w="453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runs/formal.json；runs/F_*；results/formal_eval_2026-10-19-v2/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36 条主实验原文、规范化和统计</w:t>
            </w:r>
          </w:p>
        </w:tc>
      </w:tr>
      <w:tr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模型口径</w:t>
            </w:r>
          </w:p>
        </w:tc>
        <w:tc>
          <w:tcPr>
            <w:tcW w:type="dxa" w:w="453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results/A_model_provenance_update_2026-10-26.md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网页默认/快速模式与版本映射说明</w:t>
            </w:r>
          </w:p>
        </w:tc>
      </w:tr>
      <w:tr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环境与动态验证</w:t>
            </w:r>
          </w:p>
        </w:tc>
        <w:tc>
          <w:tcPr>
            <w:tcW w:type="dxa" w:w="453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environment/；results/A_ADV_runtime_recheck_2026-10-26.md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Docker、业务对照、第二台电脑复现</w:t>
            </w:r>
          </w:p>
        </w:tc>
      </w:tr>
      <w:tr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加分实验</w:t>
            </w:r>
          </w:p>
        </w:tc>
        <w:tc>
          <w:tcPr>
            <w:tcW w:type="dxa" w:w="453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experiments/bonus_runs.plan.json；evidence/；runs/ADV_*_R1/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shd w:fill="F5F9FD"/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Prompt Injection、Burp、CTX、ADV 证据</w:t>
            </w:r>
          </w:p>
        </w:tc>
      </w:tr>
      <w:tr>
        <w:tc>
          <w:tcPr>
            <w:tcW w:type="dxa" w:w="1814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最终审计</w:t>
            </w:r>
          </w:p>
        </w:tc>
        <w:tc>
          <w:tcPr>
            <w:tcW w:type="dxa" w:w="4535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python tools/audit_submission.py --strict</w:t>
            </w:r>
          </w:p>
        </w:tc>
        <w:tc>
          <w:tcPr>
            <w:tcW w:type="dxa" w:w="2551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6"/>
              </w:rPr>
              <w:t>基础项与加分证据完整性检查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19" w:bottom="102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B6573"/>
        <w:sz w:val="16"/>
      </w:rPr>
      <w:t xml:space="preserve">llm-web-vuln-lab  ·  2026-10-26  ·  第 </w:t>
    </w:r>
    <w:fldSimple w:instr="PAGE"/>
    <w:r>
      <w:rPr>
        <w:rFonts w:ascii="Microsoft YaHei" w:hAnsi="Microsoft YaHei" w:eastAsia="Microsoft YaHei"/>
        <w:b w:val="0"/>
        <w:color w:val="5B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B6573"/>
        <w:sz w:val="17"/>
      </w:rPr>
      <w:t>网络安全课程大实验  |  LLM 辅助 Web 漏洞挖掘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api-docs.deepseek.com/news/news261017/" TargetMode="External"/><Relationship Id="rId13" Type="http://schemas.openxmlformats.org/officeDocument/2006/relationships/image" Target="media/image2.jp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基于大语言模型辅助的 Web 漏洞挖掘与验证</dc:title>
  <dc:subject>网络安全课程大实验报告</dc:subject>
  <dc:creator>llm-web-vuln-lab</dc:creator>
  <cp:keywords>LLM, Web security, SQLi, XSS,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