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BC" w:rsidRPr="00CA77BC" w:rsidRDefault="00CA77BC" w:rsidP="00CA77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77BC">
        <w:rPr>
          <w:rFonts w:ascii="Times New Roman" w:eastAsia="Times New Roman" w:hAnsi="Times New Roman" w:cs="Times New Roman"/>
          <w:b/>
          <w:bCs/>
          <w:kern w:val="36"/>
          <w:sz w:val="48"/>
          <w:szCs w:val="48"/>
          <w:lang w:eastAsia="en-IN"/>
        </w:rPr>
        <w:t>Customer Churn Prediction Report</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Introduction</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This report details the development of a machine learning model to predict customer churn for a telecommunications company. The dataset contains customer demographic information, service subscriptions, and account details, with the goal of identifying customers likely to churn to enable proactive retention strategies. The analysis is based on the </w:t>
      </w:r>
      <w:proofErr w:type="spellStart"/>
      <w:r w:rsidRPr="00CA77BC">
        <w:rPr>
          <w:rFonts w:ascii="Times New Roman" w:eastAsia="Times New Roman" w:hAnsi="Times New Roman" w:cs="Times New Roman"/>
          <w:sz w:val="24"/>
          <w:szCs w:val="24"/>
          <w:lang w:eastAsia="en-IN"/>
        </w:rPr>
        <w:t>IPython</w:t>
      </w:r>
      <w:proofErr w:type="spellEnd"/>
      <w:r w:rsidRPr="00CA77BC">
        <w:rPr>
          <w:rFonts w:ascii="Times New Roman" w:eastAsia="Times New Roman" w:hAnsi="Times New Roman" w:cs="Times New Roman"/>
          <w:sz w:val="24"/>
          <w:szCs w:val="24"/>
          <w:lang w:eastAsia="en-IN"/>
        </w:rPr>
        <w:t xml:space="preserve"> Notebook "</w:t>
      </w:r>
      <w:proofErr w:type="spellStart"/>
      <w:r w:rsidRPr="00CA77BC">
        <w:rPr>
          <w:rFonts w:ascii="Times New Roman" w:eastAsia="Times New Roman" w:hAnsi="Times New Roman" w:cs="Times New Roman"/>
          <w:sz w:val="24"/>
          <w:szCs w:val="24"/>
          <w:lang w:eastAsia="en-IN"/>
        </w:rPr>
        <w:t>Churn_Predictionipynb.ipynb</w:t>
      </w:r>
      <w:proofErr w:type="spellEnd"/>
      <w:r w:rsidRPr="00CA77BC">
        <w:rPr>
          <w:rFonts w:ascii="Times New Roman" w:eastAsia="Times New Roman" w:hAnsi="Times New Roman" w:cs="Times New Roman"/>
          <w:sz w:val="24"/>
          <w:szCs w:val="24"/>
          <w:lang w:eastAsia="en-IN"/>
        </w:rPr>
        <w:t xml:space="preserve">", which employs a </w:t>
      </w:r>
      <w:proofErr w:type="spellStart"/>
      <w:r w:rsidRPr="00CA77BC">
        <w:rPr>
          <w:rFonts w:ascii="Times New Roman" w:eastAsia="Times New Roman" w:hAnsi="Times New Roman" w:cs="Times New Roman"/>
          <w:sz w:val="24"/>
          <w:szCs w:val="24"/>
          <w:lang w:eastAsia="en-IN"/>
        </w:rPr>
        <w:t>RandomForestClassifier</w:t>
      </w:r>
      <w:proofErr w:type="spellEnd"/>
      <w:r w:rsidRPr="00CA77BC">
        <w:rPr>
          <w:rFonts w:ascii="Times New Roman" w:eastAsia="Times New Roman" w:hAnsi="Times New Roman" w:cs="Times New Roman"/>
          <w:sz w:val="24"/>
          <w:szCs w:val="24"/>
          <w:lang w:eastAsia="en-IN"/>
        </w:rPr>
        <w:t xml:space="preserve"> to predict churn.</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Data Overview</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The dataset is loaded from a CSV file named </w:t>
      </w:r>
      <w:r w:rsidRPr="00CA77BC">
        <w:rPr>
          <w:rFonts w:ascii="Courier New" w:eastAsia="Times New Roman" w:hAnsi="Courier New" w:cs="Courier New"/>
          <w:sz w:val="20"/>
          <w:szCs w:val="20"/>
          <w:lang w:eastAsia="en-IN"/>
        </w:rPr>
        <w:t>Churn_Modelling.csv.csv</w:t>
      </w:r>
      <w:r w:rsidRPr="00CA77BC">
        <w:rPr>
          <w:rFonts w:ascii="Times New Roman" w:eastAsia="Times New Roman" w:hAnsi="Times New Roman" w:cs="Times New Roman"/>
          <w:sz w:val="24"/>
          <w:szCs w:val="24"/>
          <w:lang w:eastAsia="en-IN"/>
        </w:rPr>
        <w:t xml:space="preserve"> into a pandas </w:t>
      </w:r>
      <w:proofErr w:type="spellStart"/>
      <w:r w:rsidRPr="00CA77BC">
        <w:rPr>
          <w:rFonts w:ascii="Times New Roman" w:eastAsia="Times New Roman" w:hAnsi="Times New Roman" w:cs="Times New Roman"/>
          <w:sz w:val="24"/>
          <w:szCs w:val="24"/>
          <w:lang w:eastAsia="en-IN"/>
        </w:rPr>
        <w:t>DataFrame</w:t>
      </w:r>
      <w:proofErr w:type="spellEnd"/>
      <w:r w:rsidRPr="00CA77BC">
        <w:rPr>
          <w:rFonts w:ascii="Times New Roman" w:eastAsia="Times New Roman" w:hAnsi="Times New Roman" w:cs="Times New Roman"/>
          <w:sz w:val="24"/>
          <w:szCs w:val="24"/>
          <w:lang w:eastAsia="en-IN"/>
        </w:rPr>
        <w:t xml:space="preserve">. It consists of 7043 records and 21 features, including the target variable </w:t>
      </w:r>
      <w:r w:rsidRPr="00CA77BC">
        <w:rPr>
          <w:rFonts w:ascii="Courier New" w:eastAsia="Times New Roman" w:hAnsi="Courier New" w:cs="Courier New"/>
          <w:sz w:val="20"/>
          <w:szCs w:val="20"/>
          <w:lang w:eastAsia="en-IN"/>
        </w:rPr>
        <w:t>Churn</w:t>
      </w:r>
      <w:r w:rsidRPr="00CA77BC">
        <w:rPr>
          <w:rFonts w:ascii="Times New Roman" w:eastAsia="Times New Roman" w:hAnsi="Times New Roman" w:cs="Times New Roman"/>
          <w:sz w:val="24"/>
          <w:szCs w:val="24"/>
          <w:lang w:eastAsia="en-IN"/>
        </w:rPr>
        <w:t>. The key features are:</w:t>
      </w:r>
    </w:p>
    <w:p w:rsidR="00CA77BC" w:rsidRPr="00CA77BC" w:rsidRDefault="00CA77BC" w:rsidP="00CA77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Demographic Information</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gender</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SeniorCitizen</w:t>
      </w:r>
      <w:proofErr w:type="spellEnd"/>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Partner</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Dependents</w:t>
      </w:r>
    </w:p>
    <w:p w:rsidR="00CA77BC" w:rsidRPr="00CA77BC" w:rsidRDefault="00CA77BC" w:rsidP="00CA77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Service Subscriptions</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PhoneService</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MultipleLines</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InternetService</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OnlineSecurity</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OnlineBackup</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DeviceProtection</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TechSupport</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StreamingTV</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StreamingMovies</w:t>
      </w:r>
      <w:proofErr w:type="spellEnd"/>
    </w:p>
    <w:p w:rsidR="00CA77BC" w:rsidRPr="00CA77BC" w:rsidRDefault="00CA77BC" w:rsidP="00CA77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Account Information</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tenure</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Contract</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PaperlessBilling</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PaymentMethod</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MonthlyCharges</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TotalCharges</w:t>
      </w:r>
      <w:proofErr w:type="spellEnd"/>
    </w:p>
    <w:p w:rsidR="00CA77BC" w:rsidRPr="00CA77BC" w:rsidRDefault="00CA77BC" w:rsidP="00CA77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Identifier</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customerID</w:t>
      </w:r>
      <w:proofErr w:type="spellEnd"/>
      <w:r w:rsidRPr="00CA77BC">
        <w:rPr>
          <w:rFonts w:ascii="Times New Roman" w:eastAsia="Times New Roman" w:hAnsi="Times New Roman" w:cs="Times New Roman"/>
          <w:sz w:val="24"/>
          <w:szCs w:val="24"/>
          <w:lang w:eastAsia="en-IN"/>
        </w:rPr>
        <w:t xml:space="preserve"> (not used for </w:t>
      </w:r>
      <w:proofErr w:type="spellStart"/>
      <w:r w:rsidRPr="00CA77BC">
        <w:rPr>
          <w:rFonts w:ascii="Times New Roman" w:eastAsia="Times New Roman" w:hAnsi="Times New Roman" w:cs="Times New Roman"/>
          <w:sz w:val="24"/>
          <w:szCs w:val="24"/>
          <w:lang w:eastAsia="en-IN"/>
        </w:rPr>
        <w:t>modeling</w:t>
      </w:r>
      <w:proofErr w:type="spellEnd"/>
      <w:r w:rsidRPr="00CA77BC">
        <w:rPr>
          <w:rFonts w:ascii="Times New Roman" w:eastAsia="Times New Roman" w:hAnsi="Times New Roman" w:cs="Times New Roman"/>
          <w:sz w:val="24"/>
          <w:szCs w:val="24"/>
          <w:lang w:eastAsia="en-IN"/>
        </w:rPr>
        <w:t>)</w:t>
      </w:r>
    </w:p>
    <w:p w:rsidR="00CA77BC" w:rsidRPr="00CA77BC" w:rsidRDefault="00CA77BC" w:rsidP="00CA77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Target Variable</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Churn</w:t>
      </w:r>
      <w:r w:rsidRPr="00CA77BC">
        <w:rPr>
          <w:rFonts w:ascii="Times New Roman" w:eastAsia="Times New Roman" w:hAnsi="Times New Roman" w:cs="Times New Roman"/>
          <w:sz w:val="24"/>
          <w:szCs w:val="24"/>
          <w:lang w:eastAsia="en-IN"/>
        </w:rPr>
        <w:t xml:space="preserve"> (Yes/No)</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The </w:t>
      </w:r>
      <w:proofErr w:type="spellStart"/>
      <w:r w:rsidRPr="00CA77BC">
        <w:rPr>
          <w:rFonts w:ascii="Times New Roman" w:eastAsia="Times New Roman" w:hAnsi="Times New Roman" w:cs="Times New Roman"/>
          <w:sz w:val="24"/>
          <w:szCs w:val="24"/>
          <w:lang w:eastAsia="en-IN"/>
        </w:rPr>
        <w:t>DataFrame's</w:t>
      </w:r>
      <w:proofErr w:type="spellEnd"/>
      <w:r w:rsidRPr="00CA77BC">
        <w:rPr>
          <w:rFonts w:ascii="Times New Roman" w:eastAsia="Times New Roman" w:hAnsi="Times New Roman" w:cs="Times New Roman"/>
          <w:sz w:val="24"/>
          <w:szCs w:val="24"/>
          <w:lang w:eastAsia="en-IN"/>
        </w:rPr>
        <w:t xml:space="preserve"> shape is (7043, 21), and </w:t>
      </w:r>
      <w:proofErr w:type="gramStart"/>
      <w:r w:rsidRPr="00CA77BC">
        <w:rPr>
          <w:rFonts w:ascii="Courier New" w:eastAsia="Times New Roman" w:hAnsi="Courier New" w:cs="Courier New"/>
          <w:sz w:val="20"/>
          <w:szCs w:val="20"/>
          <w:lang w:eastAsia="en-IN"/>
        </w:rPr>
        <w:t>df.info(</w:t>
      </w:r>
      <w:proofErr w:type="gramEnd"/>
      <w:r w:rsidRPr="00CA77BC">
        <w:rPr>
          <w:rFonts w:ascii="Courier New" w:eastAsia="Times New Roman" w:hAnsi="Courier New" w:cs="Courier New"/>
          <w:sz w:val="20"/>
          <w:szCs w:val="20"/>
          <w:lang w:eastAsia="en-IN"/>
        </w:rPr>
        <w:t>)</w:t>
      </w:r>
      <w:r w:rsidRPr="00CA77BC">
        <w:rPr>
          <w:rFonts w:ascii="Times New Roman" w:eastAsia="Times New Roman" w:hAnsi="Times New Roman" w:cs="Times New Roman"/>
          <w:sz w:val="24"/>
          <w:szCs w:val="24"/>
          <w:lang w:eastAsia="en-IN"/>
        </w:rPr>
        <w:t xml:space="preserve"> indicates that all columns have 7043 non-null entries, suggesting no missing values in the raw data.</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 xml:space="preserve">Data </w:t>
      </w:r>
      <w:proofErr w:type="spellStart"/>
      <w:r w:rsidRPr="00CA77BC">
        <w:rPr>
          <w:rFonts w:ascii="Times New Roman" w:eastAsia="Times New Roman" w:hAnsi="Times New Roman" w:cs="Times New Roman"/>
          <w:b/>
          <w:bCs/>
          <w:sz w:val="36"/>
          <w:szCs w:val="36"/>
          <w:lang w:eastAsia="en-IN"/>
        </w:rPr>
        <w:t>Preprocessing</w:t>
      </w:r>
      <w:proofErr w:type="spellEnd"/>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While not all </w:t>
      </w:r>
      <w:proofErr w:type="spellStart"/>
      <w:r w:rsidRPr="00CA77BC">
        <w:rPr>
          <w:rFonts w:ascii="Times New Roman" w:eastAsia="Times New Roman" w:hAnsi="Times New Roman" w:cs="Times New Roman"/>
          <w:sz w:val="24"/>
          <w:szCs w:val="24"/>
          <w:lang w:eastAsia="en-IN"/>
        </w:rPr>
        <w:t>preprocessing</w:t>
      </w:r>
      <w:proofErr w:type="spellEnd"/>
      <w:r w:rsidRPr="00CA77BC">
        <w:rPr>
          <w:rFonts w:ascii="Times New Roman" w:eastAsia="Times New Roman" w:hAnsi="Times New Roman" w:cs="Times New Roman"/>
          <w:sz w:val="24"/>
          <w:szCs w:val="24"/>
          <w:lang w:eastAsia="en-IN"/>
        </w:rPr>
        <w:t xml:space="preserve"> steps are explicitly shown, the following are inferred based on the libraries used and the predictive system:</w:t>
      </w:r>
    </w:p>
    <w:p w:rsidR="00CA77BC" w:rsidRPr="00CA77BC" w:rsidRDefault="00CA77BC" w:rsidP="00CA77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Encoding Categorical Variables</w:t>
      </w:r>
      <w:r w:rsidRPr="00CA77BC">
        <w:rPr>
          <w:rFonts w:ascii="Times New Roman" w:eastAsia="Times New Roman" w:hAnsi="Times New Roman" w:cs="Times New Roman"/>
          <w:sz w:val="24"/>
          <w:szCs w:val="24"/>
          <w:lang w:eastAsia="en-IN"/>
        </w:rPr>
        <w:t xml:space="preserve">: Categorical features such as </w:t>
      </w:r>
      <w:r w:rsidRPr="00CA77BC">
        <w:rPr>
          <w:rFonts w:ascii="Courier New" w:eastAsia="Times New Roman" w:hAnsi="Courier New" w:cs="Courier New"/>
          <w:sz w:val="20"/>
          <w:szCs w:val="20"/>
          <w:lang w:eastAsia="en-IN"/>
        </w:rPr>
        <w:t>gender</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Partner</w:t>
      </w:r>
      <w:r w:rsidRPr="00CA77BC">
        <w:rPr>
          <w:rFonts w:ascii="Times New Roman" w:eastAsia="Times New Roman" w:hAnsi="Times New Roman" w:cs="Times New Roman"/>
          <w:sz w:val="24"/>
          <w:szCs w:val="24"/>
          <w:lang w:eastAsia="en-IN"/>
        </w:rPr>
        <w:t xml:space="preserve">, </w:t>
      </w:r>
      <w:r w:rsidRPr="00CA77BC">
        <w:rPr>
          <w:rFonts w:ascii="Courier New" w:eastAsia="Times New Roman" w:hAnsi="Courier New" w:cs="Courier New"/>
          <w:sz w:val="20"/>
          <w:szCs w:val="20"/>
          <w:lang w:eastAsia="en-IN"/>
        </w:rPr>
        <w:t>Dependents</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InternetService</w:t>
      </w:r>
      <w:proofErr w:type="spellEnd"/>
      <w:r w:rsidRPr="00CA77BC">
        <w:rPr>
          <w:rFonts w:ascii="Times New Roman" w:eastAsia="Times New Roman" w:hAnsi="Times New Roman" w:cs="Times New Roman"/>
          <w:sz w:val="24"/>
          <w:szCs w:val="24"/>
          <w:lang w:eastAsia="en-IN"/>
        </w:rPr>
        <w:t xml:space="preserve">, etc., are encoded into numerical values using </w:t>
      </w:r>
      <w:proofErr w:type="spellStart"/>
      <w:r w:rsidRPr="00CA77BC">
        <w:rPr>
          <w:rFonts w:ascii="Courier New" w:eastAsia="Times New Roman" w:hAnsi="Courier New" w:cs="Courier New"/>
          <w:sz w:val="20"/>
          <w:szCs w:val="20"/>
          <w:lang w:eastAsia="en-IN"/>
        </w:rPr>
        <w:t>LabelEncoder</w:t>
      </w:r>
      <w:proofErr w:type="spellEnd"/>
      <w:r w:rsidRPr="00CA77BC">
        <w:rPr>
          <w:rFonts w:ascii="Times New Roman" w:eastAsia="Times New Roman" w:hAnsi="Times New Roman" w:cs="Times New Roman"/>
          <w:sz w:val="24"/>
          <w:szCs w:val="24"/>
          <w:lang w:eastAsia="en-IN"/>
        </w:rPr>
        <w:t xml:space="preserve">. The encoders are saved in a file named </w:t>
      </w:r>
      <w:proofErr w:type="spellStart"/>
      <w:r w:rsidRPr="00CA77BC">
        <w:rPr>
          <w:rFonts w:ascii="Courier New" w:eastAsia="Times New Roman" w:hAnsi="Courier New" w:cs="Courier New"/>
          <w:sz w:val="20"/>
          <w:szCs w:val="20"/>
          <w:lang w:eastAsia="en-IN"/>
        </w:rPr>
        <w:t>encoders.pkl</w:t>
      </w:r>
      <w:proofErr w:type="spellEnd"/>
      <w:r w:rsidRPr="00CA77BC">
        <w:rPr>
          <w:rFonts w:ascii="Times New Roman" w:eastAsia="Times New Roman" w:hAnsi="Times New Roman" w:cs="Times New Roman"/>
          <w:sz w:val="24"/>
          <w:szCs w:val="24"/>
          <w:lang w:eastAsia="en-IN"/>
        </w:rPr>
        <w:t xml:space="preserve"> for later use in the predictive system.</w:t>
      </w:r>
    </w:p>
    <w:p w:rsidR="00CA77BC" w:rsidRPr="00CA77BC" w:rsidRDefault="00CA77BC" w:rsidP="00CA77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Feature Selection</w:t>
      </w:r>
      <w:r w:rsidRPr="00CA77BC">
        <w:rPr>
          <w:rFonts w:ascii="Times New Roman" w:eastAsia="Times New Roman" w:hAnsi="Times New Roman" w:cs="Times New Roman"/>
          <w:sz w:val="24"/>
          <w:szCs w:val="24"/>
          <w:lang w:eastAsia="en-IN"/>
        </w:rPr>
        <w:t xml:space="preserve">: The </w:t>
      </w:r>
      <w:proofErr w:type="spellStart"/>
      <w:r w:rsidRPr="00CA77BC">
        <w:rPr>
          <w:rFonts w:ascii="Courier New" w:eastAsia="Times New Roman" w:hAnsi="Courier New" w:cs="Courier New"/>
          <w:sz w:val="20"/>
          <w:szCs w:val="20"/>
          <w:lang w:eastAsia="en-IN"/>
        </w:rPr>
        <w:t>customerID</w:t>
      </w:r>
      <w:proofErr w:type="spellEnd"/>
      <w:r w:rsidRPr="00CA77BC">
        <w:rPr>
          <w:rFonts w:ascii="Times New Roman" w:eastAsia="Times New Roman" w:hAnsi="Times New Roman" w:cs="Times New Roman"/>
          <w:sz w:val="24"/>
          <w:szCs w:val="24"/>
          <w:lang w:eastAsia="en-IN"/>
        </w:rPr>
        <w:t xml:space="preserve"> column is excluded from the model, as it is not predictive. The remaining 19 features are used.</w:t>
      </w:r>
    </w:p>
    <w:p w:rsidR="00CA77BC" w:rsidRPr="00CA77BC" w:rsidRDefault="00CA77BC" w:rsidP="00CA77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Handling Missing Values</w:t>
      </w:r>
      <w:r w:rsidRPr="00CA77BC">
        <w:rPr>
          <w:rFonts w:ascii="Times New Roman" w:eastAsia="Times New Roman" w:hAnsi="Times New Roman" w:cs="Times New Roman"/>
          <w:sz w:val="24"/>
          <w:szCs w:val="24"/>
          <w:lang w:eastAsia="en-IN"/>
        </w:rPr>
        <w:t>: No explicit handling is shown, but the non-null counts suggest either no missing values or prior cleaning.</w:t>
      </w:r>
    </w:p>
    <w:p w:rsidR="00CA77BC" w:rsidRPr="00CA77BC" w:rsidRDefault="00CA77BC" w:rsidP="00CA77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Scaling</w:t>
      </w:r>
      <w:r w:rsidRPr="00CA77BC">
        <w:rPr>
          <w:rFonts w:ascii="Times New Roman" w:eastAsia="Times New Roman" w:hAnsi="Times New Roman" w:cs="Times New Roman"/>
          <w:sz w:val="24"/>
          <w:szCs w:val="24"/>
          <w:lang w:eastAsia="en-IN"/>
        </w:rPr>
        <w:t xml:space="preserve">: Although not shown, numerical features like </w:t>
      </w:r>
      <w:r w:rsidRPr="00CA77BC">
        <w:rPr>
          <w:rFonts w:ascii="Courier New" w:eastAsia="Times New Roman" w:hAnsi="Courier New" w:cs="Courier New"/>
          <w:sz w:val="20"/>
          <w:szCs w:val="20"/>
          <w:lang w:eastAsia="en-IN"/>
        </w:rPr>
        <w:t>tenure</w:t>
      </w:r>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MonthlyCharges</w:t>
      </w:r>
      <w:proofErr w:type="spellEnd"/>
      <w:r w:rsidRPr="00CA77BC">
        <w:rPr>
          <w:rFonts w:ascii="Times New Roman" w:eastAsia="Times New Roman" w:hAnsi="Times New Roman" w:cs="Times New Roman"/>
          <w:sz w:val="24"/>
          <w:szCs w:val="24"/>
          <w:lang w:eastAsia="en-IN"/>
        </w:rPr>
        <w:t xml:space="preserve">, and </w:t>
      </w:r>
      <w:proofErr w:type="spellStart"/>
      <w:r w:rsidRPr="00CA77BC">
        <w:rPr>
          <w:rFonts w:ascii="Courier New" w:eastAsia="Times New Roman" w:hAnsi="Courier New" w:cs="Courier New"/>
          <w:sz w:val="20"/>
          <w:szCs w:val="20"/>
          <w:lang w:eastAsia="en-IN"/>
        </w:rPr>
        <w:t>TotalCharges</w:t>
      </w:r>
      <w:proofErr w:type="spellEnd"/>
      <w:r w:rsidRPr="00CA77BC">
        <w:rPr>
          <w:rFonts w:ascii="Times New Roman" w:eastAsia="Times New Roman" w:hAnsi="Times New Roman" w:cs="Times New Roman"/>
          <w:sz w:val="24"/>
          <w:szCs w:val="24"/>
          <w:lang w:eastAsia="en-IN"/>
        </w:rPr>
        <w:t xml:space="preserve"> might be scaled, though this is not evident from the provided code.</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Handling Imbalanced Data</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lastRenderedPageBreak/>
        <w:t xml:space="preserve">The use of </w:t>
      </w:r>
      <w:r w:rsidRPr="00CA77BC">
        <w:rPr>
          <w:rFonts w:ascii="Courier New" w:eastAsia="Times New Roman" w:hAnsi="Courier New" w:cs="Courier New"/>
          <w:sz w:val="20"/>
          <w:szCs w:val="20"/>
          <w:lang w:eastAsia="en-IN"/>
        </w:rPr>
        <w:t>SMOTE</w:t>
      </w:r>
      <w:r w:rsidRPr="00CA77BC">
        <w:rPr>
          <w:rFonts w:ascii="Times New Roman" w:eastAsia="Times New Roman" w:hAnsi="Times New Roman" w:cs="Times New Roman"/>
          <w:sz w:val="24"/>
          <w:szCs w:val="24"/>
          <w:lang w:eastAsia="en-IN"/>
        </w:rPr>
        <w:t xml:space="preserve"> from </w:t>
      </w:r>
      <w:proofErr w:type="spellStart"/>
      <w:r w:rsidRPr="00CA77BC">
        <w:rPr>
          <w:rFonts w:ascii="Courier New" w:eastAsia="Times New Roman" w:hAnsi="Courier New" w:cs="Courier New"/>
          <w:sz w:val="20"/>
          <w:szCs w:val="20"/>
          <w:lang w:eastAsia="en-IN"/>
        </w:rPr>
        <w:t>imblearn.over_sampling</w:t>
      </w:r>
      <w:proofErr w:type="spellEnd"/>
      <w:r w:rsidRPr="00CA77BC">
        <w:rPr>
          <w:rFonts w:ascii="Times New Roman" w:eastAsia="Times New Roman" w:hAnsi="Times New Roman" w:cs="Times New Roman"/>
          <w:sz w:val="24"/>
          <w:szCs w:val="24"/>
          <w:lang w:eastAsia="en-IN"/>
        </w:rPr>
        <w:t xml:space="preserve"> indicates that the </w:t>
      </w:r>
      <w:r w:rsidRPr="00CA77BC">
        <w:rPr>
          <w:rFonts w:ascii="Courier New" w:eastAsia="Times New Roman" w:hAnsi="Courier New" w:cs="Courier New"/>
          <w:sz w:val="20"/>
          <w:szCs w:val="20"/>
          <w:lang w:eastAsia="en-IN"/>
        </w:rPr>
        <w:t>Churn</w:t>
      </w:r>
      <w:r w:rsidRPr="00CA77BC">
        <w:rPr>
          <w:rFonts w:ascii="Times New Roman" w:eastAsia="Times New Roman" w:hAnsi="Times New Roman" w:cs="Times New Roman"/>
          <w:sz w:val="24"/>
          <w:szCs w:val="24"/>
          <w:lang w:eastAsia="en-IN"/>
        </w:rPr>
        <w:t xml:space="preserve"> variable is imbalanced (more non-churners than churners). SMOTE is applied to oversample the minority class (churners) to balance the dataset before training.</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Model Training</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A </w:t>
      </w:r>
      <w:proofErr w:type="spellStart"/>
      <w:r w:rsidRPr="00CA77BC">
        <w:rPr>
          <w:rFonts w:ascii="Courier New" w:eastAsia="Times New Roman" w:hAnsi="Courier New" w:cs="Courier New"/>
          <w:sz w:val="20"/>
          <w:szCs w:val="20"/>
          <w:lang w:eastAsia="en-IN"/>
        </w:rPr>
        <w:t>RandomForestClassifier</w:t>
      </w:r>
      <w:proofErr w:type="spellEnd"/>
      <w:r w:rsidRPr="00CA77BC">
        <w:rPr>
          <w:rFonts w:ascii="Times New Roman" w:eastAsia="Times New Roman" w:hAnsi="Times New Roman" w:cs="Times New Roman"/>
          <w:sz w:val="24"/>
          <w:szCs w:val="24"/>
          <w:lang w:eastAsia="en-IN"/>
        </w:rPr>
        <w:t xml:space="preserve"> is trained on the </w:t>
      </w:r>
      <w:proofErr w:type="spellStart"/>
      <w:r w:rsidRPr="00CA77BC">
        <w:rPr>
          <w:rFonts w:ascii="Times New Roman" w:eastAsia="Times New Roman" w:hAnsi="Times New Roman" w:cs="Times New Roman"/>
          <w:sz w:val="24"/>
          <w:szCs w:val="24"/>
          <w:lang w:eastAsia="en-IN"/>
        </w:rPr>
        <w:t>preprocessed</w:t>
      </w:r>
      <w:proofErr w:type="spellEnd"/>
      <w:r w:rsidRPr="00CA77BC">
        <w:rPr>
          <w:rFonts w:ascii="Times New Roman" w:eastAsia="Times New Roman" w:hAnsi="Times New Roman" w:cs="Times New Roman"/>
          <w:sz w:val="24"/>
          <w:szCs w:val="24"/>
          <w:lang w:eastAsia="en-IN"/>
        </w:rPr>
        <w:t xml:space="preserve"> and balanced dataset with a random state of 42 for reproducibility. The model, referred to as </w:t>
      </w:r>
      <w:proofErr w:type="spellStart"/>
      <w:r w:rsidRPr="00CA77BC">
        <w:rPr>
          <w:rFonts w:ascii="Courier New" w:eastAsia="Times New Roman" w:hAnsi="Courier New" w:cs="Courier New"/>
          <w:sz w:val="20"/>
          <w:szCs w:val="20"/>
          <w:lang w:eastAsia="en-IN"/>
        </w:rPr>
        <w:t>rfc</w:t>
      </w:r>
      <w:proofErr w:type="spellEnd"/>
      <w:r w:rsidRPr="00CA77BC">
        <w:rPr>
          <w:rFonts w:ascii="Times New Roman" w:eastAsia="Times New Roman" w:hAnsi="Times New Roman" w:cs="Times New Roman"/>
          <w:sz w:val="24"/>
          <w:szCs w:val="24"/>
          <w:lang w:eastAsia="en-IN"/>
        </w:rPr>
        <w:t xml:space="preserve">, is used for evaluation and deployment. Although </w:t>
      </w:r>
      <w:proofErr w:type="spellStart"/>
      <w:r w:rsidRPr="00CA77BC">
        <w:rPr>
          <w:rFonts w:ascii="Courier New" w:eastAsia="Times New Roman" w:hAnsi="Courier New" w:cs="Courier New"/>
          <w:sz w:val="20"/>
          <w:szCs w:val="20"/>
          <w:lang w:eastAsia="en-IN"/>
        </w:rPr>
        <w:t>DecisionTreeClassifier</w:t>
      </w:r>
      <w:proofErr w:type="spellEnd"/>
      <w:r w:rsidRPr="00CA77BC">
        <w:rPr>
          <w:rFonts w:ascii="Times New Roman" w:eastAsia="Times New Roman" w:hAnsi="Times New Roman" w:cs="Times New Roman"/>
          <w:sz w:val="24"/>
          <w:szCs w:val="24"/>
          <w:lang w:eastAsia="en-IN"/>
        </w:rPr>
        <w:t xml:space="preserve"> and </w:t>
      </w:r>
      <w:proofErr w:type="spellStart"/>
      <w:r w:rsidRPr="00CA77BC">
        <w:rPr>
          <w:rFonts w:ascii="Courier New" w:eastAsia="Times New Roman" w:hAnsi="Courier New" w:cs="Courier New"/>
          <w:sz w:val="20"/>
          <w:szCs w:val="20"/>
          <w:lang w:eastAsia="en-IN"/>
        </w:rPr>
        <w:t>XGBClassifier</w:t>
      </w:r>
      <w:proofErr w:type="spellEnd"/>
      <w:r w:rsidRPr="00CA77BC">
        <w:rPr>
          <w:rFonts w:ascii="Times New Roman" w:eastAsia="Times New Roman" w:hAnsi="Times New Roman" w:cs="Times New Roman"/>
          <w:sz w:val="24"/>
          <w:szCs w:val="24"/>
          <w:lang w:eastAsia="en-IN"/>
        </w:rPr>
        <w:t xml:space="preserve"> are imported, only the </w:t>
      </w:r>
      <w:proofErr w:type="spellStart"/>
      <w:r w:rsidRPr="00CA77BC">
        <w:rPr>
          <w:rFonts w:ascii="Times New Roman" w:eastAsia="Times New Roman" w:hAnsi="Times New Roman" w:cs="Times New Roman"/>
          <w:sz w:val="24"/>
          <w:szCs w:val="24"/>
          <w:lang w:eastAsia="en-IN"/>
        </w:rPr>
        <w:t>RandomForest</w:t>
      </w:r>
      <w:proofErr w:type="spellEnd"/>
      <w:r w:rsidRPr="00CA77BC">
        <w:rPr>
          <w:rFonts w:ascii="Times New Roman" w:eastAsia="Times New Roman" w:hAnsi="Times New Roman" w:cs="Times New Roman"/>
          <w:sz w:val="24"/>
          <w:szCs w:val="24"/>
          <w:lang w:eastAsia="en-IN"/>
        </w:rPr>
        <w:t xml:space="preserve"> model is utilized in the provided code.</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The data is split into training and test sets using </w:t>
      </w:r>
      <w:proofErr w:type="spellStart"/>
      <w:r w:rsidRPr="00CA77BC">
        <w:rPr>
          <w:rFonts w:ascii="Courier New" w:eastAsia="Times New Roman" w:hAnsi="Courier New" w:cs="Courier New"/>
          <w:sz w:val="20"/>
          <w:szCs w:val="20"/>
          <w:lang w:eastAsia="en-IN"/>
        </w:rPr>
        <w:t>train_test_split</w:t>
      </w:r>
      <w:proofErr w:type="spellEnd"/>
      <w:r w:rsidRPr="00CA77BC">
        <w:rPr>
          <w:rFonts w:ascii="Times New Roman" w:eastAsia="Times New Roman" w:hAnsi="Times New Roman" w:cs="Times New Roman"/>
          <w:sz w:val="24"/>
          <w:szCs w:val="24"/>
          <w:lang w:eastAsia="en-IN"/>
        </w:rPr>
        <w:t>, with the test set predictions evaluated in the next section.</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Model Evaluation</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The model's performance is assessed on the test set (</w:t>
      </w:r>
      <w:proofErr w:type="spellStart"/>
      <w:r w:rsidRPr="00CA77BC">
        <w:rPr>
          <w:rFonts w:ascii="Courier New" w:eastAsia="Times New Roman" w:hAnsi="Courier New" w:cs="Courier New"/>
          <w:sz w:val="20"/>
          <w:szCs w:val="20"/>
          <w:lang w:eastAsia="en-IN"/>
        </w:rPr>
        <w:t>X_test</w:t>
      </w:r>
      <w:proofErr w:type="spellEnd"/>
      <w:r w:rsidRPr="00CA77BC">
        <w:rPr>
          <w:rFonts w:ascii="Times New Roman" w:eastAsia="Times New Roman" w:hAnsi="Times New Roman" w:cs="Times New Roman"/>
          <w:sz w:val="24"/>
          <w:szCs w:val="24"/>
          <w:lang w:eastAsia="en-IN"/>
        </w:rPr>
        <w:t xml:space="preserve">, </w:t>
      </w:r>
      <w:proofErr w:type="spellStart"/>
      <w:r w:rsidRPr="00CA77BC">
        <w:rPr>
          <w:rFonts w:ascii="Courier New" w:eastAsia="Times New Roman" w:hAnsi="Courier New" w:cs="Courier New"/>
          <w:sz w:val="20"/>
          <w:szCs w:val="20"/>
          <w:lang w:eastAsia="en-IN"/>
        </w:rPr>
        <w:t>Y_test</w:t>
      </w:r>
      <w:proofErr w:type="spellEnd"/>
      <w:r w:rsidRPr="00CA77BC">
        <w:rPr>
          <w:rFonts w:ascii="Times New Roman" w:eastAsia="Times New Roman" w:hAnsi="Times New Roman" w:cs="Times New Roman"/>
          <w:sz w:val="24"/>
          <w:szCs w:val="24"/>
          <w:lang w:eastAsia="en-IN"/>
        </w:rPr>
        <w:t>) with the following metrics:</w:t>
      </w:r>
    </w:p>
    <w:p w:rsidR="00CA77BC" w:rsidRPr="00CA77BC" w:rsidRDefault="00CA77BC" w:rsidP="00CA77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Accuracy Score</w:t>
      </w:r>
      <w:r w:rsidRPr="00CA77BC">
        <w:rPr>
          <w:rFonts w:ascii="Times New Roman" w:eastAsia="Times New Roman" w:hAnsi="Times New Roman" w:cs="Times New Roman"/>
          <w:sz w:val="24"/>
          <w:szCs w:val="24"/>
          <w:lang w:eastAsia="en-IN"/>
        </w:rPr>
        <w:t>: 0.7786 (approximately 77.86%)</w:t>
      </w:r>
    </w:p>
    <w:p w:rsidR="00CA77BC" w:rsidRPr="00CA77BC" w:rsidRDefault="00CA77BC" w:rsidP="00CA77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Confusion Matrix</w:t>
      </w:r>
      <w:r w:rsidRPr="00CA77BC">
        <w:rPr>
          <w:rFonts w:ascii="Times New Roman" w:eastAsia="Times New Roman" w:hAnsi="Times New Roman" w:cs="Times New Roman"/>
          <w:sz w:val="24"/>
          <w:szCs w:val="24"/>
          <w:lang w:eastAsia="en-IN"/>
        </w:rPr>
        <w:t>:</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[[878, 158],</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 xml:space="preserve"> [154, 219]]</w:t>
      </w:r>
    </w:p>
    <w:p w:rsidR="00CA77BC" w:rsidRPr="00CA77BC" w:rsidRDefault="00CA77BC" w:rsidP="00CA77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True Negatives (No Churn, predicted No Churn): 878</w:t>
      </w:r>
    </w:p>
    <w:p w:rsidR="00CA77BC" w:rsidRPr="00CA77BC" w:rsidRDefault="00CA77BC" w:rsidP="00CA77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False Positives (No Churn, predicted Churn): 158</w:t>
      </w:r>
    </w:p>
    <w:p w:rsidR="00CA77BC" w:rsidRPr="00CA77BC" w:rsidRDefault="00CA77BC" w:rsidP="00CA77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False Negatives (Churn, predicted No Churn): 154</w:t>
      </w:r>
    </w:p>
    <w:p w:rsidR="00CA77BC" w:rsidRPr="00CA77BC" w:rsidRDefault="00CA77BC" w:rsidP="00CA77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True Positives (Churn, predicted Churn): 219</w:t>
      </w:r>
    </w:p>
    <w:p w:rsidR="00CA77BC" w:rsidRPr="00CA77BC" w:rsidRDefault="00CA77BC" w:rsidP="00CA77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b/>
          <w:bCs/>
          <w:sz w:val="24"/>
          <w:szCs w:val="24"/>
          <w:lang w:eastAsia="en-IN"/>
        </w:rPr>
        <w:t>Classification Report</w:t>
      </w:r>
      <w:r w:rsidRPr="00CA77BC">
        <w:rPr>
          <w:rFonts w:ascii="Times New Roman" w:eastAsia="Times New Roman" w:hAnsi="Times New Roman" w:cs="Times New Roman"/>
          <w:sz w:val="24"/>
          <w:szCs w:val="24"/>
          <w:lang w:eastAsia="en-IN"/>
        </w:rPr>
        <w:t>:</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 xml:space="preserve">            precision  recall  f1-score  support</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0 (No Churn)   0.85    0.85     0.85     1036</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1 (Churn)      0.58    0.59     0.58      373</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accuracy                        0.78     1409</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 xml:space="preserve">macro </w:t>
      </w:r>
      <w:proofErr w:type="spellStart"/>
      <w:r w:rsidRPr="00CA77BC">
        <w:rPr>
          <w:rFonts w:ascii="Courier New" w:eastAsia="Times New Roman" w:hAnsi="Courier New" w:cs="Courier New"/>
          <w:sz w:val="20"/>
          <w:szCs w:val="20"/>
          <w:lang w:eastAsia="en-IN"/>
        </w:rPr>
        <w:t>avg</w:t>
      </w:r>
      <w:proofErr w:type="spellEnd"/>
      <w:r w:rsidRPr="00CA77BC">
        <w:rPr>
          <w:rFonts w:ascii="Courier New" w:eastAsia="Times New Roman" w:hAnsi="Courier New" w:cs="Courier New"/>
          <w:sz w:val="20"/>
          <w:szCs w:val="20"/>
          <w:lang w:eastAsia="en-IN"/>
        </w:rPr>
        <w:t xml:space="preserve">      0.72    0.72     0.72     1409</w:t>
      </w:r>
    </w:p>
    <w:p w:rsidR="00CA77BC" w:rsidRPr="00CA77BC" w:rsidRDefault="00CA77BC" w:rsidP="00CA77B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77BC">
        <w:rPr>
          <w:rFonts w:ascii="Courier New" w:eastAsia="Times New Roman" w:hAnsi="Courier New" w:cs="Courier New"/>
          <w:sz w:val="20"/>
          <w:szCs w:val="20"/>
          <w:lang w:eastAsia="en-IN"/>
        </w:rPr>
        <w:t xml:space="preserve">weighted </w:t>
      </w:r>
      <w:proofErr w:type="spellStart"/>
      <w:r w:rsidRPr="00CA77BC">
        <w:rPr>
          <w:rFonts w:ascii="Courier New" w:eastAsia="Times New Roman" w:hAnsi="Courier New" w:cs="Courier New"/>
          <w:sz w:val="20"/>
          <w:szCs w:val="20"/>
          <w:lang w:eastAsia="en-IN"/>
        </w:rPr>
        <w:t>avg</w:t>
      </w:r>
      <w:proofErr w:type="spellEnd"/>
      <w:r w:rsidRPr="00CA77BC">
        <w:rPr>
          <w:rFonts w:ascii="Courier New" w:eastAsia="Times New Roman" w:hAnsi="Courier New" w:cs="Courier New"/>
          <w:sz w:val="20"/>
          <w:szCs w:val="20"/>
          <w:lang w:eastAsia="en-IN"/>
        </w:rPr>
        <w:t xml:space="preserve">   0.78    0.78     0.78     1409</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The model performs well on predicting non-churners (class 0) with high precision and recall, but its performance on churners (class 1) is lower, despite SMOTE, indicating room for improvement in identifying churners.</w:t>
      </w:r>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Model Deployment</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The trained model and feature names are saved to a pickle file (</w:t>
      </w:r>
      <w:proofErr w:type="spellStart"/>
      <w:r w:rsidRPr="00CA77BC">
        <w:rPr>
          <w:rFonts w:ascii="Courier New" w:eastAsia="Times New Roman" w:hAnsi="Courier New" w:cs="Courier New"/>
          <w:sz w:val="20"/>
          <w:szCs w:val="20"/>
          <w:lang w:eastAsia="en-IN"/>
        </w:rPr>
        <w:t>customer_churn_model.pkl</w:t>
      </w:r>
      <w:proofErr w:type="spellEnd"/>
      <w:r w:rsidRPr="00CA77BC">
        <w:rPr>
          <w:rFonts w:ascii="Times New Roman" w:eastAsia="Times New Roman" w:hAnsi="Times New Roman" w:cs="Times New Roman"/>
          <w:sz w:val="24"/>
          <w:szCs w:val="24"/>
          <w:lang w:eastAsia="en-IN"/>
        </w:rPr>
        <w:t>) for deployment. A predictive system is demonstrated by:</w:t>
      </w:r>
    </w:p>
    <w:p w:rsidR="00CA77BC" w:rsidRPr="00CA77BC" w:rsidRDefault="00CA77BC" w:rsidP="00CA77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Loading the model and feature names from the pickle file.</w:t>
      </w:r>
    </w:p>
    <w:p w:rsidR="00CA77BC" w:rsidRPr="00CA77BC" w:rsidRDefault="00CA77BC" w:rsidP="00CA77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Preparing a sample input as a dictionary with 19 features (excluding </w:t>
      </w:r>
      <w:proofErr w:type="spellStart"/>
      <w:r w:rsidRPr="00CA77BC">
        <w:rPr>
          <w:rFonts w:ascii="Courier New" w:eastAsia="Times New Roman" w:hAnsi="Courier New" w:cs="Courier New"/>
          <w:sz w:val="20"/>
          <w:szCs w:val="20"/>
          <w:lang w:eastAsia="en-IN"/>
        </w:rPr>
        <w:t>customerID</w:t>
      </w:r>
      <w:proofErr w:type="spellEnd"/>
      <w:r w:rsidRPr="00CA77BC">
        <w:rPr>
          <w:rFonts w:ascii="Times New Roman" w:eastAsia="Times New Roman" w:hAnsi="Times New Roman" w:cs="Times New Roman"/>
          <w:sz w:val="24"/>
          <w:szCs w:val="24"/>
          <w:lang w:eastAsia="en-IN"/>
        </w:rPr>
        <w:t>).</w:t>
      </w:r>
    </w:p>
    <w:p w:rsidR="00CA77BC" w:rsidRPr="00CA77BC" w:rsidRDefault="00CA77BC" w:rsidP="00CA77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Converting the input to a </w:t>
      </w:r>
      <w:proofErr w:type="spellStart"/>
      <w:r w:rsidRPr="00CA77BC">
        <w:rPr>
          <w:rFonts w:ascii="Times New Roman" w:eastAsia="Times New Roman" w:hAnsi="Times New Roman" w:cs="Times New Roman"/>
          <w:sz w:val="24"/>
          <w:szCs w:val="24"/>
          <w:lang w:eastAsia="en-IN"/>
        </w:rPr>
        <w:t>DataFrame</w:t>
      </w:r>
      <w:proofErr w:type="spellEnd"/>
      <w:r w:rsidRPr="00CA77BC">
        <w:rPr>
          <w:rFonts w:ascii="Times New Roman" w:eastAsia="Times New Roman" w:hAnsi="Times New Roman" w:cs="Times New Roman"/>
          <w:sz w:val="24"/>
          <w:szCs w:val="24"/>
          <w:lang w:eastAsia="en-IN"/>
        </w:rPr>
        <w:t xml:space="preserve"> and encoding categorical variables using loaded encoders from </w:t>
      </w:r>
      <w:proofErr w:type="spellStart"/>
      <w:r w:rsidRPr="00CA77BC">
        <w:rPr>
          <w:rFonts w:ascii="Courier New" w:eastAsia="Times New Roman" w:hAnsi="Courier New" w:cs="Courier New"/>
          <w:sz w:val="20"/>
          <w:szCs w:val="20"/>
          <w:lang w:eastAsia="en-IN"/>
        </w:rPr>
        <w:t>encoders.pkl</w:t>
      </w:r>
      <w:proofErr w:type="spellEnd"/>
      <w:r w:rsidRPr="00CA77BC">
        <w:rPr>
          <w:rFonts w:ascii="Times New Roman" w:eastAsia="Times New Roman" w:hAnsi="Times New Roman" w:cs="Times New Roman"/>
          <w:sz w:val="24"/>
          <w:szCs w:val="24"/>
          <w:lang w:eastAsia="en-IN"/>
        </w:rPr>
        <w:t>.</w:t>
      </w:r>
    </w:p>
    <w:p w:rsidR="00CA77BC" w:rsidRPr="00CA77BC" w:rsidRDefault="00CA77BC" w:rsidP="00CA77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lastRenderedPageBreak/>
        <w:t xml:space="preserve">Making a prediction: For the sample input, the model predicts </w:t>
      </w:r>
      <w:r w:rsidRPr="00CA77BC">
        <w:rPr>
          <w:rFonts w:ascii="Courier New" w:eastAsia="Times New Roman" w:hAnsi="Courier New" w:cs="Courier New"/>
          <w:sz w:val="20"/>
          <w:szCs w:val="20"/>
          <w:lang w:eastAsia="en-IN"/>
        </w:rPr>
        <w:t>Churn</w:t>
      </w:r>
      <w:r w:rsidRPr="00CA77BC">
        <w:rPr>
          <w:rFonts w:ascii="Times New Roman" w:eastAsia="Times New Roman" w:hAnsi="Times New Roman" w:cs="Times New Roman"/>
          <w:sz w:val="24"/>
          <w:szCs w:val="24"/>
          <w:lang w:eastAsia="en-IN"/>
        </w:rPr>
        <w:t xml:space="preserve"> (1) with a probability of </w:t>
      </w:r>
      <w:r w:rsidRPr="00CA77BC">
        <w:rPr>
          <w:rFonts w:ascii="Courier New" w:eastAsia="Times New Roman" w:hAnsi="Courier New" w:cs="Courier New"/>
          <w:sz w:val="20"/>
          <w:szCs w:val="20"/>
          <w:lang w:eastAsia="en-IN"/>
        </w:rPr>
        <w:t>[0.28, 0.72]</w:t>
      </w:r>
      <w:r w:rsidRPr="00CA77BC">
        <w:rPr>
          <w:rFonts w:ascii="Times New Roman" w:eastAsia="Times New Roman" w:hAnsi="Times New Roman" w:cs="Times New Roman"/>
          <w:sz w:val="24"/>
          <w:szCs w:val="24"/>
          <w:lang w:eastAsia="en-IN"/>
        </w:rPr>
        <w:t xml:space="preserve"> (72% chance of churn).</w:t>
      </w:r>
    </w:p>
    <w:p w:rsidR="003A6664" w:rsidRDefault="003A6664" w:rsidP="003A6664">
      <w:pPr>
        <w:pStyle w:val="Heading1"/>
      </w:pPr>
      <w:r>
        <w:t>Data Visualization and Analysis</w:t>
      </w:r>
    </w:p>
    <w:p w:rsidR="003A6664" w:rsidRDefault="003A6664" w:rsidP="003A6664">
      <w:pPr>
        <w:pStyle w:val="NormalWeb"/>
      </w:pPr>
      <w:r>
        <w:t xml:space="preserve">To gain insights into factors influencing customer churn, we </w:t>
      </w:r>
      <w:proofErr w:type="spellStart"/>
      <w:r>
        <w:t>analyzed</w:t>
      </w:r>
      <w:proofErr w:type="spellEnd"/>
      <w:r>
        <w:t xml:space="preserve"> the distributions of several key variables using histograms and boxplots. These visualizations help us understand the spread, central tendency, and variability of the data, as well as identify patterns or anomalies relevant to predicting churn.</w:t>
      </w:r>
    </w:p>
    <w:p w:rsidR="003A6664" w:rsidRDefault="003A6664" w:rsidP="003A6664">
      <w:pPr>
        <w:pStyle w:val="Heading2"/>
      </w:pPr>
      <w:r>
        <w:t>Numerical Distributions</w:t>
      </w:r>
    </w:p>
    <w:p w:rsidR="003A6664" w:rsidRDefault="003A6664" w:rsidP="003A6664">
      <w:pPr>
        <w:pStyle w:val="Heading3"/>
      </w:pPr>
      <w:r>
        <w:t>Tenure Distribution</w:t>
      </w:r>
    </w:p>
    <w:p w:rsidR="003A6664" w:rsidRDefault="003A6664" w:rsidP="003A6664">
      <w:pPr>
        <w:pStyle w:val="NormalWeb"/>
      </w:pPr>
      <w:r>
        <w:t>The histogram titled "Distribution of tenure" (Figure 1) visualizes the frequency distribution of tenure data, likely representing the duration of service time for customers in months or years.</w:t>
      </w:r>
    </w:p>
    <w:p w:rsidR="003A6664" w:rsidRDefault="003A6664" w:rsidP="003A6664">
      <w:pPr>
        <w:numPr>
          <w:ilvl w:val="0"/>
          <w:numId w:val="6"/>
        </w:numPr>
        <w:spacing w:before="100" w:beforeAutospacing="1" w:after="100" w:afterAutospacing="1" w:line="240" w:lineRule="auto"/>
      </w:pPr>
      <w:r>
        <w:rPr>
          <w:rStyle w:val="Strong"/>
        </w:rPr>
        <w:t>Axes</w:t>
      </w:r>
      <w:r>
        <w:t>: The x-axis represents tenure (0 to 70 units), and the y-axis shows the count (0 to 1200).</w:t>
      </w:r>
    </w:p>
    <w:p w:rsidR="003A6664" w:rsidRDefault="003A6664" w:rsidP="003A6664">
      <w:pPr>
        <w:numPr>
          <w:ilvl w:val="0"/>
          <w:numId w:val="6"/>
        </w:numPr>
        <w:spacing w:before="100" w:beforeAutospacing="1" w:after="100" w:afterAutospacing="1" w:line="240" w:lineRule="auto"/>
      </w:pPr>
      <w:r>
        <w:rPr>
          <w:rStyle w:val="Strong"/>
        </w:rPr>
        <w:t>Shape</w:t>
      </w:r>
      <w:r>
        <w:t>: The distribution is bimodal, with peaks at 0-5 units (count &gt; 1000) and 65-70 units (count &lt; 900), indicating two distinct customer groups: new customers and long-term customers.</w:t>
      </w:r>
    </w:p>
    <w:p w:rsidR="003A6664" w:rsidRDefault="003A6664" w:rsidP="003A6664">
      <w:pPr>
        <w:numPr>
          <w:ilvl w:val="0"/>
          <w:numId w:val="6"/>
        </w:numPr>
        <w:spacing w:before="100" w:beforeAutospacing="1" w:after="100" w:afterAutospacing="1" w:line="240" w:lineRule="auto"/>
      </w:pPr>
      <w:r>
        <w:rPr>
          <w:rStyle w:val="Strong"/>
        </w:rPr>
        <w:t>Central Tendency</w:t>
      </w:r>
      <w:r>
        <w:t>: The median is approximately 30 units, and the mean is around 35 units, suggesting a slight right skew (mean &gt; median).</w:t>
      </w:r>
    </w:p>
    <w:p w:rsidR="003A6664" w:rsidRDefault="003A6664" w:rsidP="003A6664">
      <w:pPr>
        <w:numPr>
          <w:ilvl w:val="0"/>
          <w:numId w:val="6"/>
        </w:numPr>
        <w:spacing w:before="100" w:beforeAutospacing="1" w:after="100" w:afterAutospacing="1" w:line="240" w:lineRule="auto"/>
      </w:pPr>
      <w:r>
        <w:rPr>
          <w:rStyle w:val="Strong"/>
        </w:rPr>
        <w:t>KDE Curve</w:t>
      </w:r>
      <w:r>
        <w:t>: A kernel density estimation curve overlays the histogram, reinforcing the bimodal shape with a dip around 30-40 units.</w:t>
      </w:r>
    </w:p>
    <w:p w:rsidR="003A6664" w:rsidRDefault="003A6664" w:rsidP="003A6664">
      <w:pPr>
        <w:numPr>
          <w:ilvl w:val="0"/>
          <w:numId w:val="6"/>
        </w:numPr>
        <w:spacing w:before="100" w:beforeAutospacing="1" w:after="100" w:afterAutospacing="1" w:line="240" w:lineRule="auto"/>
      </w:pPr>
      <w:r>
        <w:rPr>
          <w:rStyle w:val="Strong"/>
        </w:rPr>
        <w:t>Insights</w:t>
      </w:r>
      <w:r>
        <w:t>: The bimodal pattern suggests diverse customer retention patterns, with potential churn risks for new customers and loyalty among long-term customers.</w:t>
      </w:r>
    </w:p>
    <w:p w:rsidR="003A6664" w:rsidRDefault="003A6664" w:rsidP="003A6664">
      <w:pPr>
        <w:spacing w:before="100" w:beforeAutospacing="1" w:after="100" w:afterAutospacing="1" w:line="240" w:lineRule="auto"/>
        <w:ind w:left="360"/>
      </w:pPr>
      <w:r w:rsidRPr="003A6664">
        <w:lastRenderedPageBreak/>
        <w:drawing>
          <wp:inline distT="0" distB="0" distL="0" distR="0" wp14:anchorId="756EA4C1" wp14:editId="6DDEDCBE">
            <wp:extent cx="5353797" cy="38391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53797" cy="3839111"/>
                    </a:xfrm>
                    <a:prstGeom prst="rect">
                      <a:avLst/>
                    </a:prstGeom>
                  </pic:spPr>
                </pic:pic>
              </a:graphicData>
            </a:graphic>
          </wp:inline>
        </w:drawing>
      </w:r>
    </w:p>
    <w:p w:rsidR="003A6664" w:rsidRDefault="003A6664" w:rsidP="003A6664">
      <w:pPr>
        <w:pStyle w:val="NormalWeb"/>
      </w:pPr>
      <w:r>
        <w:rPr>
          <w:noProof/>
        </w:rPr>
        <mc:AlternateContent>
          <mc:Choice Requires="wps">
            <w:drawing>
              <wp:inline distT="0" distB="0" distL="0" distR="0">
                <wp:extent cx="301625" cy="301625"/>
                <wp:effectExtent l="0" t="0" r="0" b="0"/>
                <wp:docPr id="12" name="Rectangle 12" descr="Distribution of ten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Distribution of ten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I9VUNMYCAADY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3A6664" w:rsidRDefault="003A6664" w:rsidP="003A6664">
      <w:pPr>
        <w:pStyle w:val="Heading3"/>
      </w:pPr>
      <w:r>
        <w:t>Monthly Charges Distribution</w:t>
      </w:r>
    </w:p>
    <w:p w:rsidR="003A6664" w:rsidRDefault="003A6664" w:rsidP="003A6664">
      <w:pPr>
        <w:pStyle w:val="NormalWeb"/>
      </w:pPr>
      <w:r>
        <w:t xml:space="preserve">The histogram titled "Distribution of </w:t>
      </w:r>
      <w:proofErr w:type="spellStart"/>
      <w:r>
        <w:t>MonthlyCharges</w:t>
      </w:r>
      <w:proofErr w:type="spellEnd"/>
      <w:r>
        <w:t>" (Figure 2) shows the frequency distribution of monthly charges, likely in a monetary unit (e.g., dollars).</w:t>
      </w:r>
    </w:p>
    <w:p w:rsidR="003A6664" w:rsidRDefault="003A6664" w:rsidP="003A6664">
      <w:pPr>
        <w:numPr>
          <w:ilvl w:val="0"/>
          <w:numId w:val="7"/>
        </w:numPr>
        <w:spacing w:before="100" w:beforeAutospacing="1" w:after="100" w:afterAutospacing="1" w:line="240" w:lineRule="auto"/>
      </w:pPr>
      <w:r>
        <w:rPr>
          <w:rStyle w:val="Strong"/>
        </w:rPr>
        <w:t>Axes</w:t>
      </w:r>
      <w:r>
        <w:t>: The x-axis spans 0 to 120, and the y-axis ranges from 0 to 1200.</w:t>
      </w:r>
    </w:p>
    <w:p w:rsidR="003A6664" w:rsidRDefault="003A6664" w:rsidP="003A6664">
      <w:pPr>
        <w:numPr>
          <w:ilvl w:val="0"/>
          <w:numId w:val="7"/>
        </w:numPr>
        <w:spacing w:before="100" w:beforeAutospacing="1" w:after="100" w:afterAutospacing="1" w:line="240" w:lineRule="auto"/>
      </w:pPr>
      <w:r>
        <w:rPr>
          <w:rStyle w:val="Strong"/>
        </w:rPr>
        <w:t>Shape</w:t>
      </w:r>
      <w:r>
        <w:t>: The distribution is bimodal, with peaks at 20-25 (count ~1000-1200) and 75-80 (count ~600), suggesting two customer segments (e.g., basic vs. premium plans).</w:t>
      </w:r>
    </w:p>
    <w:p w:rsidR="003A6664" w:rsidRDefault="003A6664" w:rsidP="003A6664">
      <w:pPr>
        <w:numPr>
          <w:ilvl w:val="0"/>
          <w:numId w:val="7"/>
        </w:numPr>
        <w:spacing w:before="100" w:beforeAutospacing="1" w:after="100" w:afterAutospacing="1" w:line="240" w:lineRule="auto"/>
      </w:pPr>
      <w:r>
        <w:rPr>
          <w:rStyle w:val="Strong"/>
        </w:rPr>
        <w:t>Central Tendency</w:t>
      </w:r>
      <w:r>
        <w:t>: The mean is approximately 65, and the median is around 60, indicating a slight right skew.</w:t>
      </w:r>
    </w:p>
    <w:p w:rsidR="003A6664" w:rsidRDefault="003A6664" w:rsidP="003A6664">
      <w:pPr>
        <w:numPr>
          <w:ilvl w:val="0"/>
          <w:numId w:val="7"/>
        </w:numPr>
        <w:spacing w:before="100" w:beforeAutospacing="1" w:after="100" w:afterAutospacing="1" w:line="240" w:lineRule="auto"/>
      </w:pPr>
      <w:r>
        <w:rPr>
          <w:rStyle w:val="Strong"/>
        </w:rPr>
        <w:t>KDE Curve</w:t>
      </w:r>
      <w:r>
        <w:t>: The overlaid KDE curve highlights the two peaks and a dip around 40-50.</w:t>
      </w:r>
    </w:p>
    <w:p w:rsidR="003A6664" w:rsidRDefault="003A6664" w:rsidP="003A6664">
      <w:pPr>
        <w:numPr>
          <w:ilvl w:val="0"/>
          <w:numId w:val="7"/>
        </w:numPr>
        <w:spacing w:before="100" w:beforeAutospacing="1" w:after="100" w:afterAutospacing="1" w:line="240" w:lineRule="auto"/>
      </w:pPr>
      <w:r>
        <w:rPr>
          <w:rStyle w:val="Strong"/>
        </w:rPr>
        <w:t>Boxplot (Figure 3)</w:t>
      </w:r>
      <w:r>
        <w:t>: The interquartile range (IQR) spans 40 to 90, with a median of 70. Whiskers extend from 20 to 110, showing no outliers and a slight left skew (median closer to Q3).</w:t>
      </w:r>
    </w:p>
    <w:p w:rsidR="003A6664" w:rsidRDefault="003A6664" w:rsidP="003A6664">
      <w:pPr>
        <w:numPr>
          <w:ilvl w:val="0"/>
          <w:numId w:val="7"/>
        </w:numPr>
        <w:spacing w:before="100" w:beforeAutospacing="1" w:after="100" w:afterAutospacing="1" w:line="240" w:lineRule="auto"/>
      </w:pPr>
      <w:r>
        <w:rPr>
          <w:rStyle w:val="Strong"/>
        </w:rPr>
        <w:t>Insights</w:t>
      </w:r>
      <w:r>
        <w:t>: The bimodal histogram and boxplot suggest varied pricing tiers, which could influence churn based on customer spending levels.</w:t>
      </w:r>
    </w:p>
    <w:p w:rsidR="003A6664" w:rsidRDefault="003A6664" w:rsidP="003A6664">
      <w:pPr>
        <w:pStyle w:val="NormalWeb"/>
      </w:pPr>
      <w:r>
        <w:rPr>
          <w:noProof/>
        </w:rPr>
        <w:lastRenderedPageBreak/>
        <mc:AlternateContent>
          <mc:Choice Requires="wps">
            <w:drawing>
              <wp:inline distT="0" distB="0" distL="0" distR="0">
                <wp:extent cx="301625" cy="301625"/>
                <wp:effectExtent l="0" t="0" r="0" b="0"/>
                <wp:docPr id="11" name="Rectangle 11" descr="Distribution of MonthlyCharges (Hist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Distribution of MonthlyCharges (Histo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63Tvm1wIAAOwFAAAOAAAAAAAAAAAAAAAAAC4CAABkcnMvZTJv&#10;RG9jLnhtbFBLAQItABQABgAIAAAAIQBoNpdo2gAAAAMBAAAPAAAAAAAAAAAAAAAAADEFAABkcnMv&#10;ZG93bnJldi54bWxQSwUGAAAAAAQABADzAAAAOAYAAAAA&#10;" filled="f" stroked="f">
                <o:lock v:ext="edit" aspectratio="t"/>
                <w10:anchorlock/>
              </v:rect>
            </w:pict>
          </mc:Fallback>
        </mc:AlternateContent>
      </w:r>
      <w:r w:rsidRPr="003A6664">
        <w:drawing>
          <wp:inline distT="0" distB="0" distL="0" distR="0" wp14:anchorId="0A3819FF" wp14:editId="211DA09C">
            <wp:extent cx="5410955" cy="3762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5" cy="3762900"/>
                    </a:xfrm>
                    <a:prstGeom prst="rect">
                      <a:avLst/>
                    </a:prstGeom>
                  </pic:spPr>
                </pic:pic>
              </a:graphicData>
            </a:graphic>
          </wp:inline>
        </w:drawing>
      </w:r>
      <w:r>
        <w:br/>
      </w:r>
      <w:r>
        <w:rPr>
          <w:noProof/>
        </w:rPr>
        <mc:AlternateContent>
          <mc:Choice Requires="wps">
            <w:drawing>
              <wp:inline distT="0" distB="0" distL="0" distR="0">
                <wp:extent cx="301625" cy="301625"/>
                <wp:effectExtent l="0" t="0" r="0" b="0"/>
                <wp:docPr id="10" name="Rectangle 10" descr="Distribution of MonthlyCharges (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istribution of MonthlyCharges (Boxpl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Gj4A2jWAgAA6g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3A6664" w:rsidRDefault="003A6664" w:rsidP="003A6664">
      <w:pPr>
        <w:pStyle w:val="Heading3"/>
      </w:pPr>
      <w:r>
        <w:t>Total Charges Distribution</w:t>
      </w:r>
    </w:p>
    <w:p w:rsidR="003A6664" w:rsidRDefault="003A6664" w:rsidP="003A6664">
      <w:pPr>
        <w:pStyle w:val="NormalWeb"/>
      </w:pPr>
      <w:r>
        <w:t xml:space="preserve">The histogram titled "Distribution of </w:t>
      </w:r>
      <w:proofErr w:type="spellStart"/>
      <w:r>
        <w:t>TotalCharges</w:t>
      </w:r>
      <w:proofErr w:type="spellEnd"/>
      <w:r>
        <w:t>" (Figure 4) represents the frequency distribution of total charges accumulated by customers.</w:t>
      </w:r>
    </w:p>
    <w:p w:rsidR="003A6664" w:rsidRDefault="003A6664" w:rsidP="003A6664">
      <w:pPr>
        <w:numPr>
          <w:ilvl w:val="0"/>
          <w:numId w:val="8"/>
        </w:numPr>
        <w:spacing w:before="100" w:beforeAutospacing="1" w:after="100" w:afterAutospacing="1" w:line="240" w:lineRule="auto"/>
      </w:pPr>
      <w:r>
        <w:rPr>
          <w:rStyle w:val="Strong"/>
        </w:rPr>
        <w:t>Axes</w:t>
      </w:r>
      <w:r>
        <w:t>: The x-axis ranges from 0 to 9000, and the y-axis from 0 to 1500.</w:t>
      </w:r>
    </w:p>
    <w:p w:rsidR="003A6664" w:rsidRDefault="003A6664" w:rsidP="003A6664">
      <w:pPr>
        <w:numPr>
          <w:ilvl w:val="0"/>
          <w:numId w:val="8"/>
        </w:numPr>
        <w:spacing w:before="100" w:beforeAutospacing="1" w:after="100" w:afterAutospacing="1" w:line="240" w:lineRule="auto"/>
      </w:pPr>
      <w:r>
        <w:rPr>
          <w:rStyle w:val="Strong"/>
        </w:rPr>
        <w:t>Shape</w:t>
      </w:r>
      <w:r>
        <w:t>: The distribution is heavily right-skewed, with a peak near 0-500 (count &gt; 1500) and a long tail toward higher values.</w:t>
      </w:r>
    </w:p>
    <w:p w:rsidR="003A6664" w:rsidRDefault="003A6664" w:rsidP="003A6664">
      <w:pPr>
        <w:numPr>
          <w:ilvl w:val="0"/>
          <w:numId w:val="8"/>
        </w:numPr>
        <w:spacing w:before="100" w:beforeAutospacing="1" w:after="100" w:afterAutospacing="1" w:line="240" w:lineRule="auto"/>
      </w:pPr>
      <w:r>
        <w:rPr>
          <w:rStyle w:val="Strong"/>
        </w:rPr>
        <w:t>Central Tendency</w:t>
      </w:r>
      <w:r>
        <w:t>: The median is around 1500-1600, and the mean is 2200-2300, reflecting the right skew.</w:t>
      </w:r>
    </w:p>
    <w:p w:rsidR="003A6664" w:rsidRDefault="003A6664" w:rsidP="003A6664">
      <w:pPr>
        <w:numPr>
          <w:ilvl w:val="0"/>
          <w:numId w:val="8"/>
        </w:numPr>
        <w:spacing w:before="100" w:beforeAutospacing="1" w:after="100" w:afterAutospacing="1" w:line="240" w:lineRule="auto"/>
      </w:pPr>
      <w:r>
        <w:rPr>
          <w:rStyle w:val="Strong"/>
        </w:rPr>
        <w:t>KDE Curve</w:t>
      </w:r>
      <w:r>
        <w:t xml:space="preserve">: The KDE curve confirms the </w:t>
      </w:r>
      <w:proofErr w:type="spellStart"/>
      <w:r>
        <w:t>skewness</w:t>
      </w:r>
      <w:proofErr w:type="spellEnd"/>
      <w:r>
        <w:t>, with a steep decline after the initial peak.</w:t>
      </w:r>
    </w:p>
    <w:p w:rsidR="003A6664" w:rsidRDefault="003A6664" w:rsidP="003A6664">
      <w:pPr>
        <w:numPr>
          <w:ilvl w:val="0"/>
          <w:numId w:val="8"/>
        </w:numPr>
        <w:spacing w:before="100" w:beforeAutospacing="1" w:after="100" w:afterAutospacing="1" w:line="240" w:lineRule="auto"/>
      </w:pPr>
      <w:r>
        <w:rPr>
          <w:rStyle w:val="Strong"/>
        </w:rPr>
        <w:t>Boxplot (Figure 5)</w:t>
      </w:r>
      <w:r>
        <w:t>: The IQR spans 1000 to 4000, with a median of 2000. Whiskers extend from nearly 0 to 8500, showing no outliers and pronounced right skew.</w:t>
      </w:r>
    </w:p>
    <w:p w:rsidR="003A6664" w:rsidRDefault="003A6664" w:rsidP="003A6664">
      <w:pPr>
        <w:numPr>
          <w:ilvl w:val="0"/>
          <w:numId w:val="8"/>
        </w:numPr>
        <w:spacing w:before="100" w:beforeAutospacing="1" w:after="100" w:afterAutospacing="1" w:line="240" w:lineRule="auto"/>
      </w:pPr>
      <w:r>
        <w:rPr>
          <w:rStyle w:val="Strong"/>
        </w:rPr>
        <w:t>Insights</w:t>
      </w:r>
      <w:r>
        <w:t xml:space="preserve">: The </w:t>
      </w:r>
      <w:proofErr w:type="spellStart"/>
      <w:r>
        <w:t>skewness</w:t>
      </w:r>
      <w:proofErr w:type="spellEnd"/>
      <w:r>
        <w:t xml:space="preserve"> indicates most customers have low total charges, with a few high-charge customers possibly linked to long tenure or high usage, affecting churn likelihood.</w:t>
      </w:r>
    </w:p>
    <w:p w:rsidR="003A6664" w:rsidRDefault="003A6664" w:rsidP="003A6664">
      <w:pPr>
        <w:pStyle w:val="NormalWeb"/>
      </w:pPr>
      <w:r>
        <w:rPr>
          <w:noProof/>
        </w:rPr>
        <w:lastRenderedPageBreak/>
        <mc:AlternateContent>
          <mc:Choice Requires="wps">
            <w:drawing>
              <wp:inline distT="0" distB="0" distL="0" distR="0">
                <wp:extent cx="301625" cy="301625"/>
                <wp:effectExtent l="0" t="0" r="0" b="0"/>
                <wp:docPr id="9" name="Rectangle 9" descr="Distribution of TotalCharges (Hist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Distribution of TotalCharges (Histo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6mZDudUCAADoBQAADgAAAAAAAAAAAAAAAAAuAgAAZHJzL2Uyb0Rv&#10;Yy54bWxQSwECLQAUAAYACAAAACEAaDaXaNoAAAADAQAADwAAAAAAAAAAAAAAAAAvBQAAZHJzL2Rv&#10;d25yZXYueG1sUEsFBgAAAAAEAAQA8wAAADYGAAAAAA==&#10;" filled="f" stroked="f">
                <o:lock v:ext="edit" aspectratio="t"/>
                <w10:anchorlock/>
              </v:rect>
            </w:pict>
          </mc:Fallback>
        </mc:AlternateContent>
      </w:r>
      <w:r w:rsidRPr="003A6664">
        <w:drawing>
          <wp:inline distT="0" distB="0" distL="0" distR="0" wp14:anchorId="11013AE4" wp14:editId="773CEAE8">
            <wp:extent cx="5391902" cy="3791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1902" cy="3791479"/>
                    </a:xfrm>
                    <a:prstGeom prst="rect">
                      <a:avLst/>
                    </a:prstGeom>
                  </pic:spPr>
                </pic:pic>
              </a:graphicData>
            </a:graphic>
          </wp:inline>
        </w:drawing>
      </w:r>
      <w:r>
        <w:br/>
      </w:r>
      <w:r>
        <w:rPr>
          <w:noProof/>
        </w:rPr>
        <mc:AlternateContent>
          <mc:Choice Requires="wps">
            <w:drawing>
              <wp:inline distT="0" distB="0" distL="0" distR="0">
                <wp:extent cx="301625" cy="301625"/>
                <wp:effectExtent l="0" t="0" r="0" b="0"/>
                <wp:docPr id="8" name="Rectangle 8" descr="Distribution of TotalCharges (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istribution of TotalCharges (Boxpl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APnrce1AIAAOY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3A6664" w:rsidRDefault="003A6664" w:rsidP="003A6664">
      <w:pPr>
        <w:pStyle w:val="Heading2"/>
      </w:pPr>
      <w:r>
        <w:t>Categorical Distributions</w:t>
      </w:r>
    </w:p>
    <w:p w:rsidR="003A6664" w:rsidRDefault="003A6664" w:rsidP="003A6664">
      <w:pPr>
        <w:pStyle w:val="Heading3"/>
      </w:pPr>
      <w:r>
        <w:t>Gender Distribution</w:t>
      </w:r>
    </w:p>
    <w:p w:rsidR="003A6664" w:rsidRDefault="003A6664" w:rsidP="003A6664">
      <w:pPr>
        <w:pStyle w:val="NormalWeb"/>
      </w:pPr>
      <w:r>
        <w:t>The histogram titled "Distribution of gender" (Figure 6) shows the frequency of two gender categories: "Female" and "Male."</w:t>
      </w:r>
    </w:p>
    <w:p w:rsidR="003A6664" w:rsidRDefault="003A6664" w:rsidP="003A6664">
      <w:pPr>
        <w:numPr>
          <w:ilvl w:val="0"/>
          <w:numId w:val="9"/>
        </w:numPr>
        <w:spacing w:before="100" w:beforeAutospacing="1" w:after="100" w:afterAutospacing="1" w:line="240" w:lineRule="auto"/>
      </w:pPr>
      <w:r>
        <w:rPr>
          <w:rStyle w:val="Strong"/>
        </w:rPr>
        <w:t>Axes</w:t>
      </w:r>
      <w:r>
        <w:t>: The x-axis lists "Female" and "Male," and the y-axis ranges from 0 to 3500.</w:t>
      </w:r>
    </w:p>
    <w:p w:rsidR="003A6664" w:rsidRDefault="003A6664" w:rsidP="003A6664">
      <w:pPr>
        <w:numPr>
          <w:ilvl w:val="0"/>
          <w:numId w:val="9"/>
        </w:numPr>
        <w:spacing w:before="100" w:beforeAutospacing="1" w:after="100" w:afterAutospacing="1" w:line="240" w:lineRule="auto"/>
      </w:pPr>
      <w:r>
        <w:rPr>
          <w:rStyle w:val="Strong"/>
        </w:rPr>
        <w:t>Counts</w:t>
      </w:r>
      <w:r>
        <w:t>: Both categories have counts slightly above 3000, indicating a nearly balanced distribution.</w:t>
      </w:r>
    </w:p>
    <w:p w:rsidR="003A6664" w:rsidRDefault="003A6664" w:rsidP="003A6664">
      <w:pPr>
        <w:numPr>
          <w:ilvl w:val="0"/>
          <w:numId w:val="9"/>
        </w:numPr>
        <w:spacing w:before="100" w:beforeAutospacing="1" w:after="100" w:afterAutospacing="1" w:line="240" w:lineRule="auto"/>
      </w:pPr>
      <w:r>
        <w:rPr>
          <w:rStyle w:val="Strong"/>
        </w:rPr>
        <w:t>Insights</w:t>
      </w:r>
      <w:r>
        <w:t>: The balanced gender representation ensures no gender bias in churn prediction models.</w:t>
      </w:r>
    </w:p>
    <w:p w:rsidR="003A6664" w:rsidRDefault="003A6664" w:rsidP="003A6664">
      <w:pPr>
        <w:pStyle w:val="NormalWeb"/>
      </w:pPr>
      <w:r>
        <w:rPr>
          <w:noProof/>
        </w:rPr>
        <w:lastRenderedPageBreak/>
        <mc:AlternateContent>
          <mc:Choice Requires="wps">
            <w:drawing>
              <wp:inline distT="0" distB="0" distL="0" distR="0">
                <wp:extent cx="301625" cy="301625"/>
                <wp:effectExtent l="0" t="0" r="0" b="0"/>
                <wp:docPr id="7" name="Rectangle 7" descr="Distribution of gen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Distribution of gend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Io2hvxQIAANYFAAAOAAAAAAAAAAAAAAAAAC4CAABkcnMvZTJvRG9jLnhtbFBLAQItABQABgAI&#10;AAAAIQBoNpdo2gAAAAMBAAAPAAAAAAAAAAAAAAAAAB8FAABkcnMvZG93bnJldi54bWxQSwUGAAAA&#10;AAQABADzAAAAJgYAAAAA&#10;" filled="f" stroked="f">
                <o:lock v:ext="edit" aspectratio="t"/>
                <w10:anchorlock/>
              </v:rect>
            </w:pict>
          </mc:Fallback>
        </mc:AlternateContent>
      </w:r>
      <w:r w:rsidRPr="003A6664">
        <w:drawing>
          <wp:inline distT="0" distB="0" distL="0" distR="0" wp14:anchorId="7DD70175" wp14:editId="4743D3C2">
            <wp:extent cx="5306165" cy="440116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6165" cy="4401164"/>
                    </a:xfrm>
                    <a:prstGeom prst="rect">
                      <a:avLst/>
                    </a:prstGeom>
                  </pic:spPr>
                </pic:pic>
              </a:graphicData>
            </a:graphic>
          </wp:inline>
        </w:drawing>
      </w:r>
    </w:p>
    <w:p w:rsidR="003A6664" w:rsidRDefault="003A6664" w:rsidP="003A6664">
      <w:pPr>
        <w:pStyle w:val="Heading3"/>
      </w:pPr>
      <w:r>
        <w:t>Partner Distribution</w:t>
      </w:r>
    </w:p>
    <w:p w:rsidR="003A6664" w:rsidRDefault="003A6664" w:rsidP="003A6664">
      <w:pPr>
        <w:pStyle w:val="NormalWeb"/>
      </w:pPr>
      <w:proofErr w:type="gramStart"/>
      <w:r>
        <w:t>The histogram titled "Distribution of Partner" (Figure 7) visualizes the frequency of partner status: "Yes" (has a partner) and "No" (no partner).</w:t>
      </w:r>
      <w:proofErr w:type="gramEnd"/>
    </w:p>
    <w:p w:rsidR="003A6664" w:rsidRDefault="003A6664" w:rsidP="003A6664">
      <w:pPr>
        <w:numPr>
          <w:ilvl w:val="0"/>
          <w:numId w:val="10"/>
        </w:numPr>
        <w:spacing w:before="100" w:beforeAutospacing="1" w:after="100" w:afterAutospacing="1" w:line="240" w:lineRule="auto"/>
      </w:pPr>
      <w:r>
        <w:rPr>
          <w:rStyle w:val="Strong"/>
        </w:rPr>
        <w:t>Axes</w:t>
      </w:r>
      <w:r>
        <w:t>: The x-axis shows "Yes" and "No," and the y-axis ranges from 0 to 3500.</w:t>
      </w:r>
    </w:p>
    <w:p w:rsidR="003A6664" w:rsidRDefault="003A6664" w:rsidP="003A6664">
      <w:pPr>
        <w:numPr>
          <w:ilvl w:val="0"/>
          <w:numId w:val="10"/>
        </w:numPr>
        <w:spacing w:before="100" w:beforeAutospacing="1" w:after="100" w:afterAutospacing="1" w:line="240" w:lineRule="auto"/>
      </w:pPr>
      <w:r>
        <w:rPr>
          <w:rStyle w:val="Strong"/>
        </w:rPr>
        <w:t>Counts</w:t>
      </w:r>
      <w:r>
        <w:t>: "No" has a count slightly above 3000, and "Yes" is slightly below 3000, showing a slight imbalance.</w:t>
      </w:r>
    </w:p>
    <w:p w:rsidR="003A6664" w:rsidRDefault="003A6664" w:rsidP="003A6664">
      <w:pPr>
        <w:numPr>
          <w:ilvl w:val="0"/>
          <w:numId w:val="10"/>
        </w:numPr>
        <w:spacing w:before="100" w:beforeAutospacing="1" w:after="100" w:afterAutospacing="1" w:line="240" w:lineRule="auto"/>
      </w:pPr>
      <w:r>
        <w:rPr>
          <w:rStyle w:val="Strong"/>
        </w:rPr>
        <w:t>Insights</w:t>
      </w:r>
      <w:r>
        <w:t xml:space="preserve">: The slight imbalance may suggest different churn </w:t>
      </w:r>
      <w:proofErr w:type="spellStart"/>
      <w:r>
        <w:t>behaviors</w:t>
      </w:r>
      <w:proofErr w:type="spellEnd"/>
      <w:r>
        <w:t xml:space="preserve"> based on partner status.</w:t>
      </w:r>
    </w:p>
    <w:p w:rsidR="003A6664" w:rsidRDefault="003A6664" w:rsidP="003A6664">
      <w:pPr>
        <w:pStyle w:val="NormalWeb"/>
      </w:pPr>
      <w:r>
        <w:rPr>
          <w:noProof/>
        </w:rPr>
        <w:lastRenderedPageBreak/>
        <mc:AlternateContent>
          <mc:Choice Requires="wps">
            <w:drawing>
              <wp:inline distT="0" distB="0" distL="0" distR="0">
                <wp:extent cx="301625" cy="301625"/>
                <wp:effectExtent l="0" t="0" r="0" b="0"/>
                <wp:docPr id="6" name="Rectangle 6" descr="Distribution of Part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istribution of Partn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Ccu/eXHAgAA1wUAAA4AAAAAAAAAAAAAAAAALgIAAGRycy9lMm9Eb2MueG1sUEsBAi0AFAAG&#10;AAgAAAAhAGg2l2jaAAAAAwEAAA8AAAAAAAAAAAAAAAAAIQUAAGRycy9kb3ducmV2LnhtbFBLBQYA&#10;AAAABAAEAPMAAAAoBgAAAAA=&#10;" filled="f" stroked="f">
                <o:lock v:ext="edit" aspectratio="t"/>
                <w10:anchorlock/>
              </v:rect>
            </w:pict>
          </mc:Fallback>
        </mc:AlternateContent>
      </w:r>
      <w:r w:rsidRPr="003A6664">
        <w:drawing>
          <wp:inline distT="0" distB="0" distL="0" distR="0" wp14:anchorId="09052C47" wp14:editId="2540AF4D">
            <wp:extent cx="4887007" cy="320084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7007" cy="3200847"/>
                    </a:xfrm>
                    <a:prstGeom prst="rect">
                      <a:avLst/>
                    </a:prstGeom>
                  </pic:spPr>
                </pic:pic>
              </a:graphicData>
            </a:graphic>
          </wp:inline>
        </w:drawing>
      </w:r>
    </w:p>
    <w:p w:rsidR="003A6664" w:rsidRDefault="003A6664" w:rsidP="003A6664">
      <w:pPr>
        <w:pStyle w:val="Heading3"/>
      </w:pPr>
      <w:r>
        <w:t>Dependents Distribution</w:t>
      </w:r>
    </w:p>
    <w:p w:rsidR="003A6664" w:rsidRDefault="003A6664" w:rsidP="003A6664">
      <w:pPr>
        <w:pStyle w:val="NormalWeb"/>
      </w:pPr>
      <w:r>
        <w:t>The histogram titled "Distribution of Dependents" (Figure 8) displays the frequency of having dependents: "Yes" or "No."</w:t>
      </w:r>
    </w:p>
    <w:p w:rsidR="003A6664" w:rsidRDefault="003A6664" w:rsidP="003A6664">
      <w:pPr>
        <w:numPr>
          <w:ilvl w:val="0"/>
          <w:numId w:val="11"/>
        </w:numPr>
        <w:spacing w:before="100" w:beforeAutospacing="1" w:after="100" w:afterAutospacing="1" w:line="240" w:lineRule="auto"/>
      </w:pPr>
      <w:r>
        <w:rPr>
          <w:rStyle w:val="Strong"/>
        </w:rPr>
        <w:t>Axes</w:t>
      </w:r>
      <w:r>
        <w:t>: The x-axis lists "No" and "Yes," and the y-axis ranges from 0 to 5000.</w:t>
      </w:r>
    </w:p>
    <w:p w:rsidR="003A6664" w:rsidRDefault="003A6664" w:rsidP="003A6664">
      <w:pPr>
        <w:numPr>
          <w:ilvl w:val="0"/>
          <w:numId w:val="11"/>
        </w:numPr>
        <w:spacing w:before="100" w:beforeAutospacing="1" w:after="100" w:afterAutospacing="1" w:line="240" w:lineRule="auto"/>
      </w:pPr>
      <w:r>
        <w:rPr>
          <w:rStyle w:val="Strong"/>
        </w:rPr>
        <w:t>Counts</w:t>
      </w:r>
      <w:r>
        <w:t>: "No" has a count of ~4500, and "Yes" is ~2000, indicating a significant imbalance.</w:t>
      </w:r>
    </w:p>
    <w:p w:rsidR="003A6664" w:rsidRDefault="003A6664" w:rsidP="003A6664">
      <w:pPr>
        <w:numPr>
          <w:ilvl w:val="0"/>
          <w:numId w:val="11"/>
        </w:numPr>
        <w:spacing w:before="100" w:beforeAutospacing="1" w:after="100" w:afterAutospacing="1" w:line="240" w:lineRule="auto"/>
      </w:pPr>
      <w:r>
        <w:rPr>
          <w:rStyle w:val="Strong"/>
        </w:rPr>
        <w:t>Insights</w:t>
      </w:r>
      <w:r>
        <w:t>: The majority lacking dependents may influence churn, as family needs could affect service retention.</w:t>
      </w:r>
    </w:p>
    <w:p w:rsidR="003A6664" w:rsidRDefault="003A6664" w:rsidP="003A6664">
      <w:pPr>
        <w:pStyle w:val="NormalWeb"/>
      </w:pPr>
      <w:r>
        <w:rPr>
          <w:noProof/>
        </w:rPr>
        <mc:AlternateContent>
          <mc:Choice Requires="wps">
            <w:drawing>
              <wp:inline distT="0" distB="0" distL="0" distR="0">
                <wp:extent cx="301625" cy="301625"/>
                <wp:effectExtent l="0" t="0" r="0" b="0"/>
                <wp:docPr id="5" name="Rectangle 5" descr="Distribution of Depend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Distribution of Depend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SbJ4DyAIAANo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3A6664">
        <w:drawing>
          <wp:inline distT="0" distB="0" distL="0" distR="0" wp14:anchorId="07EE73A3" wp14:editId="0EC2291C">
            <wp:extent cx="4829849" cy="309605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849" cy="3096057"/>
                    </a:xfrm>
                    <a:prstGeom prst="rect">
                      <a:avLst/>
                    </a:prstGeom>
                  </pic:spPr>
                </pic:pic>
              </a:graphicData>
            </a:graphic>
          </wp:inline>
        </w:drawing>
      </w:r>
    </w:p>
    <w:p w:rsidR="003A6664" w:rsidRDefault="003A6664" w:rsidP="003A6664">
      <w:pPr>
        <w:pStyle w:val="Heading3"/>
      </w:pPr>
      <w:r>
        <w:lastRenderedPageBreak/>
        <w:t>Phone Service Distribution</w:t>
      </w:r>
    </w:p>
    <w:p w:rsidR="003A6664" w:rsidRDefault="003A6664" w:rsidP="003A6664">
      <w:pPr>
        <w:pStyle w:val="NormalWeb"/>
      </w:pPr>
      <w:r>
        <w:t xml:space="preserve">The histogram titled "Distribution of </w:t>
      </w:r>
      <w:proofErr w:type="spellStart"/>
      <w:r>
        <w:t>PhoneService</w:t>
      </w:r>
      <w:proofErr w:type="spellEnd"/>
      <w:r>
        <w:t>" (Figure 9) shows the frequency of phone service adoption: "Yes" or "No."</w:t>
      </w:r>
    </w:p>
    <w:p w:rsidR="003A6664" w:rsidRDefault="003A6664" w:rsidP="003A6664">
      <w:pPr>
        <w:numPr>
          <w:ilvl w:val="0"/>
          <w:numId w:val="12"/>
        </w:numPr>
        <w:spacing w:before="100" w:beforeAutospacing="1" w:after="100" w:afterAutospacing="1" w:line="240" w:lineRule="auto"/>
      </w:pPr>
      <w:r>
        <w:rPr>
          <w:rStyle w:val="Strong"/>
        </w:rPr>
        <w:t>Axes</w:t>
      </w:r>
      <w:r>
        <w:t>: The x-axis lists "No" and "Yes," and the y-axis ranges from 0 to 6000.</w:t>
      </w:r>
    </w:p>
    <w:p w:rsidR="003A6664" w:rsidRDefault="003A6664" w:rsidP="003A6664">
      <w:pPr>
        <w:numPr>
          <w:ilvl w:val="0"/>
          <w:numId w:val="12"/>
        </w:numPr>
        <w:spacing w:before="100" w:beforeAutospacing="1" w:after="100" w:afterAutospacing="1" w:line="240" w:lineRule="auto"/>
      </w:pPr>
      <w:r>
        <w:rPr>
          <w:rStyle w:val="Strong"/>
        </w:rPr>
        <w:t>Counts</w:t>
      </w:r>
      <w:r>
        <w:t>: "Yes" has a count of ~5500, and "No" is ~500, showing near-universal adoption.</w:t>
      </w:r>
    </w:p>
    <w:p w:rsidR="00CA77BC" w:rsidRDefault="003A6664" w:rsidP="003A6664">
      <w:pPr>
        <w:numPr>
          <w:ilvl w:val="0"/>
          <w:numId w:val="12"/>
        </w:numPr>
        <w:spacing w:before="100" w:beforeAutospacing="1" w:after="100" w:afterAutospacing="1" w:line="240" w:lineRule="auto"/>
      </w:pPr>
      <w:r>
        <w:rPr>
          <w:rStyle w:val="Strong"/>
        </w:rPr>
        <w:t>Insights</w:t>
      </w:r>
      <w:r>
        <w:t>: The dominance of phone service suggests it’s a standard offering, with its absence unlikely to drive churn significantly.</w:t>
      </w:r>
      <w:r w:rsidR="00CA77BC">
        <w:rPr>
          <w:rFonts w:ascii="Times New Roman" w:eastAsia="Times New Roman" w:hAnsi="Times New Roman" w:cs="Times New Roman"/>
          <w:noProof/>
          <w:sz w:val="24"/>
          <w:szCs w:val="24"/>
          <w:lang w:eastAsia="en-IN"/>
        </w:rPr>
        <mc:AlternateContent>
          <mc:Choice Requires="wps">
            <w:drawing>
              <wp:inline distT="0" distB="0" distL="0" distR="0" wp14:anchorId="7F02E20D" wp14:editId="2CA70EA6">
                <wp:extent cx="304800" cy="304800"/>
                <wp:effectExtent l="0" t="0" r="0" b="0"/>
                <wp:docPr id="1" name="Rectangle 1" descr="Feature Impor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Feature Impor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yN&#10;pJb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3A6664" w:rsidRPr="003A6664" w:rsidRDefault="003A6664" w:rsidP="003A6664">
      <w:pPr>
        <w:spacing w:before="100" w:beforeAutospacing="1" w:after="100" w:afterAutospacing="1" w:line="240" w:lineRule="auto"/>
        <w:ind w:left="720"/>
      </w:pPr>
      <w:r w:rsidRPr="003A6664">
        <w:drawing>
          <wp:inline distT="0" distB="0" distL="0" distR="0" wp14:anchorId="7616506F" wp14:editId="3A52248E">
            <wp:extent cx="4896533" cy="311511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6533" cy="3115110"/>
                    </a:xfrm>
                    <a:prstGeom prst="rect">
                      <a:avLst/>
                    </a:prstGeom>
                  </pic:spPr>
                </pic:pic>
              </a:graphicData>
            </a:graphic>
          </wp:inline>
        </w:drawing>
      </w:r>
      <w:bookmarkStart w:id="0" w:name="_GoBack"/>
      <w:bookmarkEnd w:id="0"/>
    </w:p>
    <w:p w:rsidR="00CA77BC" w:rsidRPr="00CA77BC" w:rsidRDefault="00CA77BC" w:rsidP="00CA7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77BC">
        <w:rPr>
          <w:rFonts w:ascii="Times New Roman" w:eastAsia="Times New Roman" w:hAnsi="Times New Roman" w:cs="Times New Roman"/>
          <w:b/>
          <w:bCs/>
          <w:sz w:val="36"/>
          <w:szCs w:val="36"/>
          <w:lang w:eastAsia="en-IN"/>
        </w:rPr>
        <w:t>Conclusion</w:t>
      </w:r>
    </w:p>
    <w:p w:rsidR="00CA77BC" w:rsidRPr="00CA77BC" w:rsidRDefault="00CA77BC" w:rsidP="00CA77BC">
      <w:pPr>
        <w:spacing w:before="100" w:beforeAutospacing="1" w:after="100" w:afterAutospacing="1" w:line="240" w:lineRule="auto"/>
        <w:rPr>
          <w:rFonts w:ascii="Times New Roman" w:eastAsia="Times New Roman" w:hAnsi="Times New Roman" w:cs="Times New Roman"/>
          <w:sz w:val="24"/>
          <w:szCs w:val="24"/>
          <w:lang w:eastAsia="en-IN"/>
        </w:rPr>
      </w:pPr>
      <w:r w:rsidRPr="00CA77BC">
        <w:rPr>
          <w:rFonts w:ascii="Times New Roman" w:eastAsia="Times New Roman" w:hAnsi="Times New Roman" w:cs="Times New Roman"/>
          <w:sz w:val="24"/>
          <w:szCs w:val="24"/>
          <w:lang w:eastAsia="en-IN"/>
        </w:rPr>
        <w:t xml:space="preserve">This analysis demonstrates a machine learning approach to predict customer churn using a </w:t>
      </w:r>
      <w:proofErr w:type="spellStart"/>
      <w:r w:rsidRPr="00CA77BC">
        <w:rPr>
          <w:rFonts w:ascii="Times New Roman" w:eastAsia="Times New Roman" w:hAnsi="Times New Roman" w:cs="Times New Roman"/>
          <w:sz w:val="24"/>
          <w:szCs w:val="24"/>
          <w:lang w:eastAsia="en-IN"/>
        </w:rPr>
        <w:t>RandomForestClassifier</w:t>
      </w:r>
      <w:proofErr w:type="spellEnd"/>
      <w:r w:rsidRPr="00CA77BC">
        <w:rPr>
          <w:rFonts w:ascii="Times New Roman" w:eastAsia="Times New Roman" w:hAnsi="Times New Roman" w:cs="Times New Roman"/>
          <w:sz w:val="24"/>
          <w:szCs w:val="24"/>
          <w:lang w:eastAsia="en-IN"/>
        </w:rPr>
        <w:t xml:space="preserve">. The model achieves an accuracy of approximately 77.86%, with better performance on non-churners than churners. The use of SMOTE addresses class imbalance, and the </w:t>
      </w:r>
      <w:proofErr w:type="spellStart"/>
      <w:r w:rsidRPr="00CA77BC">
        <w:rPr>
          <w:rFonts w:ascii="Times New Roman" w:eastAsia="Times New Roman" w:hAnsi="Times New Roman" w:cs="Times New Roman"/>
          <w:sz w:val="24"/>
          <w:szCs w:val="24"/>
          <w:lang w:eastAsia="en-IN"/>
        </w:rPr>
        <w:t>model’is</w:t>
      </w:r>
      <w:proofErr w:type="spellEnd"/>
      <w:r w:rsidRPr="00CA77BC">
        <w:rPr>
          <w:rFonts w:ascii="Times New Roman" w:eastAsia="Times New Roman" w:hAnsi="Times New Roman" w:cs="Times New Roman"/>
          <w:sz w:val="24"/>
          <w:szCs w:val="24"/>
          <w:lang w:eastAsia="en-IN"/>
        </w:rPr>
        <w:t xml:space="preserve"> deployed as a predictive system. Future improvements could include exploring other models (e.g., </w:t>
      </w:r>
      <w:proofErr w:type="spellStart"/>
      <w:r w:rsidRPr="00CA77BC">
        <w:rPr>
          <w:rFonts w:ascii="Times New Roman" w:eastAsia="Times New Roman" w:hAnsi="Times New Roman" w:cs="Times New Roman"/>
          <w:sz w:val="24"/>
          <w:szCs w:val="24"/>
          <w:lang w:eastAsia="en-IN"/>
        </w:rPr>
        <w:t>XGBoost</w:t>
      </w:r>
      <w:proofErr w:type="spellEnd"/>
      <w:r w:rsidRPr="00CA77BC">
        <w:rPr>
          <w:rFonts w:ascii="Times New Roman" w:eastAsia="Times New Roman" w:hAnsi="Times New Roman" w:cs="Times New Roman"/>
          <w:sz w:val="24"/>
          <w:szCs w:val="24"/>
          <w:lang w:eastAsia="en-IN"/>
        </w:rPr>
        <w:t xml:space="preserve">), advanced feature engineering, or </w:t>
      </w:r>
      <w:proofErr w:type="spellStart"/>
      <w:r w:rsidRPr="00CA77BC">
        <w:rPr>
          <w:rFonts w:ascii="Times New Roman" w:eastAsia="Times New Roman" w:hAnsi="Times New Roman" w:cs="Times New Roman"/>
          <w:sz w:val="24"/>
          <w:szCs w:val="24"/>
          <w:lang w:eastAsia="en-IN"/>
        </w:rPr>
        <w:t>hyperparameter</w:t>
      </w:r>
      <w:proofErr w:type="spellEnd"/>
      <w:r w:rsidRPr="00CA77BC">
        <w:rPr>
          <w:rFonts w:ascii="Times New Roman" w:eastAsia="Times New Roman" w:hAnsi="Times New Roman" w:cs="Times New Roman"/>
          <w:sz w:val="24"/>
          <w:szCs w:val="24"/>
          <w:lang w:eastAsia="en-IN"/>
        </w:rPr>
        <w:t xml:space="preserve"> tuning to enhance churn prediction accuracy.</w:t>
      </w:r>
    </w:p>
    <w:p w:rsidR="0034716C" w:rsidRDefault="0034716C"/>
    <w:sectPr w:rsidR="0034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011EB"/>
    <w:multiLevelType w:val="multilevel"/>
    <w:tmpl w:val="559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42B8D"/>
    <w:multiLevelType w:val="multilevel"/>
    <w:tmpl w:val="0BD6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65A8C"/>
    <w:multiLevelType w:val="multilevel"/>
    <w:tmpl w:val="053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F6E1D"/>
    <w:multiLevelType w:val="multilevel"/>
    <w:tmpl w:val="2EE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F17C9"/>
    <w:multiLevelType w:val="multilevel"/>
    <w:tmpl w:val="6C2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736F5"/>
    <w:multiLevelType w:val="multilevel"/>
    <w:tmpl w:val="2A6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80E40"/>
    <w:multiLevelType w:val="multilevel"/>
    <w:tmpl w:val="E378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71F79"/>
    <w:multiLevelType w:val="multilevel"/>
    <w:tmpl w:val="2AF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F73CA"/>
    <w:multiLevelType w:val="multilevel"/>
    <w:tmpl w:val="BCC6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01050"/>
    <w:multiLevelType w:val="multilevel"/>
    <w:tmpl w:val="1AE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3E1A61"/>
    <w:multiLevelType w:val="multilevel"/>
    <w:tmpl w:val="64E62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C255FA"/>
    <w:multiLevelType w:val="multilevel"/>
    <w:tmpl w:val="1D2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4E1DEB"/>
    <w:multiLevelType w:val="multilevel"/>
    <w:tmpl w:val="E10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1"/>
  </w:num>
  <w:num w:numId="5">
    <w:abstractNumId w:val="10"/>
  </w:num>
  <w:num w:numId="6">
    <w:abstractNumId w:val="5"/>
  </w:num>
  <w:num w:numId="7">
    <w:abstractNumId w:val="12"/>
  </w:num>
  <w:num w:numId="8">
    <w:abstractNumId w:val="4"/>
  </w:num>
  <w:num w:numId="9">
    <w:abstractNumId w:val="3"/>
  </w:num>
  <w:num w:numId="10">
    <w:abstractNumId w:val="7"/>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BC"/>
    <w:rsid w:val="0034716C"/>
    <w:rsid w:val="003A6664"/>
    <w:rsid w:val="00CA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7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7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77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A7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77BC"/>
    <w:rPr>
      <w:rFonts w:ascii="Courier New" w:eastAsia="Times New Roman" w:hAnsi="Courier New" w:cs="Courier New"/>
      <w:sz w:val="20"/>
      <w:szCs w:val="20"/>
    </w:rPr>
  </w:style>
  <w:style w:type="character" w:styleId="Strong">
    <w:name w:val="Strong"/>
    <w:basedOn w:val="DefaultParagraphFont"/>
    <w:uiPriority w:val="22"/>
    <w:qFormat/>
    <w:rsid w:val="00CA77BC"/>
    <w:rPr>
      <w:b/>
      <w:bCs/>
    </w:rPr>
  </w:style>
  <w:style w:type="paragraph" w:styleId="HTMLPreformatted">
    <w:name w:val="HTML Preformatted"/>
    <w:basedOn w:val="Normal"/>
    <w:link w:val="HTMLPreformattedChar"/>
    <w:uiPriority w:val="99"/>
    <w:semiHidden/>
    <w:unhideWhenUsed/>
    <w:rsid w:val="00CA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77B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3A66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7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7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77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A7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77BC"/>
    <w:rPr>
      <w:rFonts w:ascii="Courier New" w:eastAsia="Times New Roman" w:hAnsi="Courier New" w:cs="Courier New"/>
      <w:sz w:val="20"/>
      <w:szCs w:val="20"/>
    </w:rPr>
  </w:style>
  <w:style w:type="character" w:styleId="Strong">
    <w:name w:val="Strong"/>
    <w:basedOn w:val="DefaultParagraphFont"/>
    <w:uiPriority w:val="22"/>
    <w:qFormat/>
    <w:rsid w:val="00CA77BC"/>
    <w:rPr>
      <w:b/>
      <w:bCs/>
    </w:rPr>
  </w:style>
  <w:style w:type="paragraph" w:styleId="HTMLPreformatted">
    <w:name w:val="HTML Preformatted"/>
    <w:basedOn w:val="Normal"/>
    <w:link w:val="HTMLPreformattedChar"/>
    <w:uiPriority w:val="99"/>
    <w:semiHidden/>
    <w:unhideWhenUsed/>
    <w:rsid w:val="00CA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77B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3A66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165795">
      <w:bodyDiv w:val="1"/>
      <w:marLeft w:val="0"/>
      <w:marRight w:val="0"/>
      <w:marTop w:val="0"/>
      <w:marBottom w:val="0"/>
      <w:divBdr>
        <w:top w:val="none" w:sz="0" w:space="0" w:color="auto"/>
        <w:left w:val="none" w:sz="0" w:space="0" w:color="auto"/>
        <w:bottom w:val="none" w:sz="0" w:space="0" w:color="auto"/>
        <w:right w:val="none" w:sz="0" w:space="0" w:color="auto"/>
      </w:divBdr>
    </w:div>
    <w:div w:id="11006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KrrishYaduka</dc:creator>
  <cp:lastModifiedBy>KrrishYaduka</cp:lastModifiedBy>
  <cp:revision>1</cp:revision>
  <dcterms:created xsi:type="dcterms:W3CDTF">2025-07-08T13:37:00Z</dcterms:created>
  <dcterms:modified xsi:type="dcterms:W3CDTF">2025-07-08T13:59:00Z</dcterms:modified>
</cp:coreProperties>
</file>