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9E4C2" w14:textId="77777777" w:rsidR="007D6936" w:rsidRDefault="007D6936">
      <w:pPr>
        <w:spacing w:after="200"/>
      </w:pPr>
    </w:p>
    <w:p w14:paraId="06299024" w14:textId="77777777" w:rsidR="007D6936" w:rsidRDefault="00A72C4C">
      <w:pPr>
        <w:spacing w:after="60"/>
        <w:jc w:val="center"/>
      </w:pPr>
      <w:r>
        <w:rPr>
          <w:b/>
          <w:bCs/>
          <w:color w:val="1F3864"/>
          <w:sz w:val="56"/>
          <w:szCs w:val="56"/>
        </w:rPr>
        <w:t>ENTERPRISE DIGITAL LENDING</w:t>
      </w:r>
    </w:p>
    <w:p w14:paraId="038B6842" w14:textId="77777777" w:rsidR="007D6936" w:rsidRDefault="00A72C4C">
      <w:pPr>
        <w:spacing w:after="120"/>
        <w:jc w:val="center"/>
      </w:pPr>
      <w:r>
        <w:rPr>
          <w:b/>
          <w:bCs/>
          <w:color w:val="1F3864"/>
          <w:sz w:val="56"/>
          <w:szCs w:val="56"/>
        </w:rPr>
        <w:t>STRATEGY &amp; CREDIT POLICY MEMO</w:t>
      </w:r>
    </w:p>
    <w:p w14:paraId="1952D2CE" w14:textId="44D45536" w:rsidR="007D6936" w:rsidRDefault="00B5704F">
      <w:pPr>
        <w:pBdr>
          <w:bottom w:val="single" w:sz="8" w:space="1" w:color="1F3864"/>
        </w:pBdr>
        <w:spacing w:after="120"/>
      </w:pPr>
      <w:r w:rsidRPr="00B5704F">
        <w:rPr>
          <w:b/>
          <w:bCs/>
          <w:color w:val="2E75B6"/>
          <w:sz w:val="24"/>
          <w:szCs w:val="24"/>
        </w:rPr>
        <w:t>Final Quantitative Architecture &amp; Policy Directives (V3.1)</w:t>
      </w:r>
      <w:r>
        <w:rPr>
          <w:b/>
          <w:bCs/>
          <w:color w:val="2E75B6"/>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D6936" w14:paraId="0264DF5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96DF591" w14:textId="77777777" w:rsidR="007D6936" w:rsidRDefault="00A72C4C">
            <w:pPr>
              <w:spacing w:before="50" w:after="50"/>
              <w:jc w:val="center"/>
            </w:pPr>
            <w:r>
              <w:rPr>
                <w:b/>
                <w:bCs/>
                <w:color w:val="FFFFFF"/>
                <w:sz w:val="18"/>
                <w:szCs w:val="18"/>
              </w:rPr>
              <w:t>DATE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A726F27" w14:textId="77777777" w:rsidR="007D6936" w:rsidRDefault="00A72C4C">
            <w:pPr>
              <w:spacing w:before="50" w:after="50"/>
              <w:jc w:val="center"/>
            </w:pPr>
            <w:r>
              <w:rPr>
                <w:b/>
                <w:bCs/>
                <w:color w:val="FFFFFF"/>
                <w:sz w:val="18"/>
                <w:szCs w:val="18"/>
              </w:rPr>
              <w:t>REFERENCE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31EFCD8" w14:textId="77777777" w:rsidR="007D6936" w:rsidRDefault="00A72C4C">
            <w:pPr>
              <w:spacing w:before="50" w:after="50"/>
              <w:jc w:val="center"/>
            </w:pPr>
            <w:r>
              <w:rPr>
                <w:b/>
                <w:bCs/>
                <w:color w:val="FFFFFF"/>
                <w:sz w:val="18"/>
                <w:szCs w:val="18"/>
              </w:rPr>
              <w:t>CLASSIFICATION</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6D69D7E" w14:textId="77777777" w:rsidR="007D6936" w:rsidRDefault="00A72C4C">
            <w:pPr>
              <w:spacing w:before="50" w:after="50"/>
              <w:jc w:val="center"/>
            </w:pPr>
            <w:r>
              <w:rPr>
                <w:b/>
                <w:bCs/>
                <w:color w:val="FFFFFF"/>
                <w:sz w:val="18"/>
                <w:szCs w:val="18"/>
              </w:rPr>
              <w:t>AUTHORITY</w:t>
            </w:r>
          </w:p>
        </w:tc>
      </w:tr>
      <w:tr w:rsidR="007D6936" w14:paraId="3CADD6AB"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D9D58A" w14:textId="33BA9B30" w:rsidR="007D6936" w:rsidRDefault="00A72C4C">
            <w:pPr>
              <w:spacing w:before="50" w:after="50"/>
              <w:jc w:val="center"/>
            </w:pPr>
            <w:r>
              <w:rPr>
                <w:sz w:val="18"/>
                <w:szCs w:val="18"/>
              </w:rPr>
              <w:t>1</w:t>
            </w:r>
            <w:r w:rsidR="00956B9B">
              <w:rPr>
                <w:sz w:val="18"/>
                <w:szCs w:val="18"/>
              </w:rPr>
              <w:t>2</w:t>
            </w:r>
            <w:r>
              <w:rPr>
                <w:sz w:val="18"/>
                <w:szCs w:val="18"/>
              </w:rPr>
              <w:t xml:space="preserve"> June 2026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E1F869" w14:textId="77777777" w:rsidR="007D6936" w:rsidRDefault="00A72C4C">
            <w:pPr>
              <w:spacing w:before="50" w:after="50"/>
              <w:jc w:val="center"/>
            </w:pPr>
            <w:r>
              <w:rPr>
                <w:sz w:val="18"/>
                <w:szCs w:val="18"/>
              </w:rPr>
              <w:t>Final V3.1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03A67D" w14:textId="015BD487" w:rsidR="007D6936" w:rsidRDefault="00DE256B">
            <w:pPr>
              <w:spacing w:before="50" w:after="50"/>
              <w:jc w:val="center"/>
            </w:pPr>
            <w:r>
              <w:rPr>
                <w:sz w:val="18"/>
                <w:szCs w:val="18"/>
              </w:rPr>
              <w:t>Internal — Restricted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16FB26" w14:textId="2F2C72CF" w:rsidR="007D6936" w:rsidRPr="00956B9B" w:rsidRDefault="00956B9B">
            <w:pPr>
              <w:spacing w:before="50" w:after="50"/>
              <w:jc w:val="center"/>
              <w:rPr>
                <w:sz w:val="16"/>
                <w:szCs w:val="16"/>
              </w:rPr>
            </w:pPr>
            <w:r w:rsidRPr="00956B9B">
              <w:rPr>
                <w:b/>
                <w:bCs/>
                <w:sz w:val="16"/>
                <w:szCs w:val="16"/>
              </w:rPr>
              <w:t xml:space="preserve">IIT </w:t>
            </w:r>
            <w:r w:rsidR="00DE256B" w:rsidRPr="00956B9B">
              <w:rPr>
                <w:b/>
                <w:bCs/>
                <w:sz w:val="16"/>
                <w:szCs w:val="16"/>
              </w:rPr>
              <w:t>GUWHATI:</w:t>
            </w:r>
            <w:r>
              <w:rPr>
                <w:b/>
                <w:bCs/>
                <w:sz w:val="16"/>
                <w:szCs w:val="16"/>
              </w:rPr>
              <w:t xml:space="preserve"> </w:t>
            </w:r>
            <w:r w:rsidRPr="00956B9B">
              <w:rPr>
                <w:sz w:val="16"/>
                <w:szCs w:val="16"/>
              </w:rPr>
              <w:t>CONSULTING AND ANALYTICS CLUB</w:t>
            </w:r>
          </w:p>
        </w:tc>
      </w:tr>
    </w:tbl>
    <w:p w14:paraId="74112D51" w14:textId="77777777" w:rsidR="007D6936" w:rsidRDefault="007D6936">
      <w:pPr>
        <w:spacing w:after="160"/>
      </w:pPr>
    </w:p>
    <w:p w14:paraId="56A68046" w14:textId="77777777" w:rsidR="001A5BB0" w:rsidRDefault="001A5BB0" w:rsidP="001A5BB0">
      <w:pPr>
        <w:pBdr>
          <w:bottom w:val="single" w:sz="4" w:space="1" w:color="2E75B6"/>
        </w:pBdr>
        <w:spacing w:after="120"/>
      </w:pPr>
      <w:r w:rsidRPr="001A5BB0">
        <w:rPr>
          <w:b/>
          <w:bCs/>
        </w:rPr>
        <w:t>SUBMITTED TO:</w:t>
      </w:r>
      <w:r w:rsidRPr="001A5BB0">
        <w:t xml:space="preserve"> IIT Guwahati Consulting &amp; Analytics Club </w:t>
      </w:r>
    </w:p>
    <w:p w14:paraId="5E37C96D" w14:textId="77777777" w:rsidR="001A5BB0" w:rsidRDefault="001A5BB0" w:rsidP="001A5BB0">
      <w:pPr>
        <w:pBdr>
          <w:bottom w:val="single" w:sz="4" w:space="1" w:color="2E75B6"/>
        </w:pBdr>
        <w:spacing w:after="120"/>
      </w:pPr>
      <w:r w:rsidRPr="001A5BB0">
        <w:rPr>
          <w:b/>
          <w:bCs/>
        </w:rPr>
        <w:t>EVENT:</w:t>
      </w:r>
      <w:r w:rsidRPr="001A5BB0">
        <w:t xml:space="preserve"> Summer Projects 2026 </w:t>
      </w:r>
    </w:p>
    <w:p w14:paraId="6DFF8F06" w14:textId="77777777" w:rsidR="001A5BB0" w:rsidRDefault="001A5BB0" w:rsidP="001A5BB0">
      <w:pPr>
        <w:pBdr>
          <w:bottom w:val="single" w:sz="4" w:space="1" w:color="2E75B6"/>
        </w:pBdr>
        <w:spacing w:after="120"/>
      </w:pPr>
      <w:r w:rsidRPr="001A5BB0">
        <w:rPr>
          <w:b/>
          <w:bCs/>
        </w:rPr>
        <w:t>AUTHOR / LEAD QUANTITATIVE STRATEGIST:</w:t>
      </w:r>
      <w:r w:rsidRPr="001A5BB0">
        <w:t xml:space="preserve"> Krrish Kumar </w:t>
      </w:r>
    </w:p>
    <w:p w14:paraId="65D0BE8D" w14:textId="1D374FDD" w:rsidR="001A5BB0" w:rsidRPr="001A5BB0" w:rsidRDefault="001A5BB0" w:rsidP="001A5BB0">
      <w:pPr>
        <w:pBdr>
          <w:bottom w:val="single" w:sz="4" w:space="1" w:color="2E75B6"/>
        </w:pBdr>
        <w:spacing w:after="120"/>
      </w:pPr>
      <w:r w:rsidRPr="001A5BB0">
        <w:rPr>
          <w:b/>
          <w:bCs/>
        </w:rPr>
        <w:t>AFFILIATIONS:</w:t>
      </w:r>
      <w:r w:rsidRPr="001A5BB0">
        <w:t xml:space="preserve"> BS Data Science &amp; Applications (IIT Madras) | Chemical Engineering (BIT </w:t>
      </w:r>
      <w:proofErr w:type="spellStart"/>
      <w:r w:rsidRPr="001A5BB0">
        <w:t>Mesra</w:t>
      </w:r>
      <w:proofErr w:type="spellEnd"/>
      <w:r w:rsidRPr="001A5BB0">
        <w:t>)</w:t>
      </w:r>
    </w:p>
    <w:p w14:paraId="142B0303" w14:textId="71456174" w:rsidR="001A5BB0" w:rsidRPr="001A5BB0" w:rsidRDefault="001A5BB0" w:rsidP="001A5BB0">
      <w:pPr>
        <w:pBdr>
          <w:bottom w:val="single" w:sz="4" w:space="1" w:color="2E75B6"/>
        </w:pBdr>
        <w:spacing w:after="120"/>
      </w:pPr>
      <w:r w:rsidRPr="001A5BB0">
        <w:rPr>
          <w:b/>
          <w:bCs/>
        </w:rPr>
        <w:t>DATE:</w:t>
      </w:r>
      <w:r w:rsidRPr="001A5BB0">
        <w:t xml:space="preserve"> June 2026 </w:t>
      </w:r>
      <w:r w:rsidRPr="001A5BB0">
        <w:rPr>
          <w:b/>
          <w:bCs/>
        </w:rPr>
        <w:t>SUBJECT:</w:t>
      </w:r>
      <w:r w:rsidRPr="001A5BB0">
        <w:t xml:space="preserve"> Risk-Adjusted Portfolio Optimization &amp; Early Warning System Deployment </w:t>
      </w:r>
      <w:r w:rsidRPr="001A5BB0">
        <w:rPr>
          <w:b/>
          <w:bCs/>
        </w:rPr>
        <w:t>MACRO ASSUMPTIONS:</w:t>
      </w:r>
      <w:r w:rsidRPr="001A5BB0">
        <w:t xml:space="preserve"> 6.0% Cost of Funds (</w:t>
      </w:r>
      <w:proofErr w:type="spellStart"/>
      <w:r w:rsidRPr="001A5BB0">
        <w:t>CoF</w:t>
      </w:r>
      <w:proofErr w:type="spellEnd"/>
      <w:r w:rsidRPr="001A5BB0">
        <w:t>) | 2.5% Operating Expense (</w:t>
      </w:r>
      <w:proofErr w:type="spellStart"/>
      <w:r w:rsidRPr="001A5BB0">
        <w:t>O</w:t>
      </w:r>
      <w:r w:rsidR="00506A4C">
        <w:t>pEx</w:t>
      </w:r>
      <w:proofErr w:type="spellEnd"/>
      <w:r w:rsidRPr="001A5BB0">
        <w:t>) | 5.0% Target Net Margin</w:t>
      </w:r>
    </w:p>
    <w:p w14:paraId="4CE04F08" w14:textId="77777777" w:rsidR="007D6936" w:rsidRDefault="007D6936">
      <w:pPr>
        <w:pBdr>
          <w:bottom w:val="single" w:sz="4" w:space="1" w:color="2E75B6"/>
        </w:pBdr>
        <w:spacing w:after="120"/>
      </w:pPr>
    </w:p>
    <w:p w14:paraId="5444C956" w14:textId="77777777" w:rsidR="007D6936" w:rsidRDefault="00A72C4C">
      <w:pPr>
        <w:shd w:val="clear" w:color="auto" w:fill="1F3864"/>
        <w:spacing w:before="280" w:after="120"/>
        <w:ind w:left="140" w:right="140"/>
      </w:pPr>
      <w:r>
        <w:rPr>
          <w:b/>
          <w:bCs/>
          <w:color w:val="FFFFFF"/>
          <w:sz w:val="22"/>
          <w:szCs w:val="22"/>
        </w:rPr>
        <w:t xml:space="preserve">SECTION </w:t>
      </w:r>
      <w:proofErr w:type="gramStart"/>
      <w:r>
        <w:rPr>
          <w:b/>
          <w:bCs/>
          <w:color w:val="FFFFFF"/>
          <w:sz w:val="22"/>
          <w:szCs w:val="22"/>
        </w:rPr>
        <w:t>1  —</w:t>
      </w:r>
      <w:proofErr w:type="gramEnd"/>
      <w:r>
        <w:rPr>
          <w:b/>
          <w:bCs/>
          <w:color w:val="FFFFFF"/>
          <w:sz w:val="22"/>
          <w:szCs w:val="22"/>
        </w:rPr>
        <w:t xml:space="preserve">  EXECUTIVE SUMMARY &amp; QUANTITATIVE ARCHITECTURE</w:t>
      </w:r>
    </w:p>
    <w:p w14:paraId="6DECC381" w14:textId="77777777" w:rsidR="007D6936" w:rsidRDefault="007D6936">
      <w:pPr>
        <w:spacing w:after="60"/>
      </w:pPr>
    </w:p>
    <w:p w14:paraId="2F150ED8" w14:textId="77777777" w:rsidR="007D6936" w:rsidRDefault="00A72C4C">
      <w:pPr>
        <w:spacing w:after="110"/>
      </w:pPr>
      <w:r>
        <w:t>This memo presents binding credit policy directives derived from the End-to-End Digital Lending Portfolio Optimization Engine (Final V3.1). The platform integrates two institutional-grade components operating in strict sequence.</w:t>
      </w:r>
    </w:p>
    <w:p w14:paraId="55E74C5C" w14:textId="77777777" w:rsidR="007D6936" w:rsidRDefault="00A72C4C">
      <w:pPr>
        <w:pBdr>
          <w:bottom w:val="single" w:sz="4" w:space="1" w:color="2E75B6"/>
        </w:pBdr>
        <w:spacing w:before="180" w:after="80"/>
      </w:pPr>
      <w:r>
        <w:rPr>
          <w:b/>
          <w:bCs/>
          <w:color w:val="1F3864"/>
          <w:sz w:val="22"/>
          <w:szCs w:val="22"/>
        </w:rPr>
        <w:t>Model Architecture</w:t>
      </w:r>
    </w:p>
    <w:p w14:paraId="256941BC" w14:textId="1B612A12" w:rsidR="007D6936" w:rsidRDefault="00A72C4C">
      <w:pPr>
        <w:spacing w:after="110"/>
      </w:pPr>
      <w:r>
        <w:rPr>
          <w:b/>
          <w:bCs/>
          <w:color w:val="1F3864"/>
        </w:rPr>
        <w:t>1.  Predictive Default Engine (</w:t>
      </w:r>
      <w:proofErr w:type="spellStart"/>
      <w:r>
        <w:rPr>
          <w:b/>
          <w:bCs/>
          <w:color w:val="1F3864"/>
        </w:rPr>
        <w:t>XGBoost</w:t>
      </w:r>
      <w:proofErr w:type="spellEnd"/>
      <w:r>
        <w:rPr>
          <w:b/>
          <w:bCs/>
          <w:color w:val="1F3864"/>
        </w:rPr>
        <w:t xml:space="preserve"> Gradient Boosting):  </w:t>
      </w:r>
      <w:r>
        <w:t xml:space="preserve">Trained on the empirical Home Credit Default Risk dataset, the model produces borrower-level Probability of Default (PD) estimates calibrated on real-world </w:t>
      </w:r>
      <w:r w:rsidR="004612B6">
        <w:t>behavioural</w:t>
      </w:r>
      <w:r>
        <w:t xml:space="preserve"> signals: Spending Shock Magnitude, Balance Volatility Score, and Bureau Inquiry Velocity. The organic Home Credit portfolio carries an </w:t>
      </w:r>
      <w:r>
        <w:rPr>
          <w:b/>
          <w:bCs/>
        </w:rPr>
        <w:t>8.10% empirical default rate</w:t>
      </w:r>
      <w:r>
        <w:t xml:space="preserve"> — our acquisition quality baseline against which all paid channel economics are benchmarked. </w:t>
      </w:r>
      <w:r w:rsidR="004612B6">
        <w:t>Behavioural</w:t>
      </w:r>
      <w:r>
        <w:t>-first feature engineering was an explicit architectural decision, not an omission; the rationale is detailed in Section 5.</w:t>
      </w:r>
    </w:p>
    <w:p w14:paraId="520B9ABE" w14:textId="7ADE8B61" w:rsidR="007D6936" w:rsidRDefault="00A72C4C">
      <w:pPr>
        <w:spacing w:after="110"/>
      </w:pPr>
      <w:r>
        <w:rPr>
          <w:b/>
          <w:bCs/>
          <w:color w:val="1F3864"/>
        </w:rPr>
        <w:t xml:space="preserve">2.  Constrained Portfolio Optimizer (SciPy SLSQP):  </w:t>
      </w:r>
      <w:r>
        <w:t xml:space="preserve">A Sequential Least Squares Quadratic Programming solver maximizes True Corporate Net Margin across the full lending book subject to three binding constraints: a </w:t>
      </w:r>
      <w:r>
        <w:rPr>
          <w:b/>
          <w:bCs/>
        </w:rPr>
        <w:t xml:space="preserve">3% per-segment capital concentration </w:t>
      </w:r>
      <w:proofErr w:type="spellStart"/>
      <w:r>
        <w:rPr>
          <w:b/>
          <w:bCs/>
        </w:rPr>
        <w:t>cap</w:t>
      </w:r>
      <w:proofErr w:type="spellEnd"/>
      <w:r>
        <w:t xml:space="preserve"> (neutralizing subprime yield-chasing), a </w:t>
      </w:r>
      <w:r>
        <w:rPr>
          <w:b/>
          <w:bCs/>
        </w:rPr>
        <w:t>Dynamic LGD penalty function</w:t>
      </w:r>
      <w:r>
        <w:t xml:space="preserve"> scaled jointly by ticket size, tenure, and product structure, and a mandatory price floor anchored to 6.0% </w:t>
      </w:r>
      <w:proofErr w:type="spellStart"/>
      <w:r>
        <w:t>CoF</w:t>
      </w:r>
      <w:proofErr w:type="spellEnd"/>
      <w:r>
        <w:t xml:space="preserve"> + 2.5% </w:t>
      </w:r>
      <w:proofErr w:type="spellStart"/>
      <w:r>
        <w:t>Op</w:t>
      </w:r>
      <w:r w:rsidR="004612B6">
        <w:t>Ex</w:t>
      </w:r>
      <w:proofErr w:type="spellEnd"/>
      <w:r>
        <w:t xml:space="preserve"> + 5.0% target margin. The optimizer solves for</w:t>
      </w:r>
      <w:r>
        <w:t xml:space="preserve"> </w:t>
      </w:r>
      <w:r>
        <w:t>maximum risk-adjusted margin, not maximum stated yield.</w:t>
      </w:r>
      <w:r w:rsidR="004612B6">
        <w:t xml:space="preserve"> </w:t>
      </w:r>
      <w:r w:rsidR="004612B6" w:rsidRPr="004612B6">
        <w:rPr>
          <w:color w:val="000000" w:themeColor="text1"/>
          <w:sz w:val="16"/>
          <w:szCs w:val="16"/>
        </w:rPr>
        <w:t>All directives below are directly traceable to quantitative model outputs. Zero metrics have been interpolated, extrapolated, or approximated</w:t>
      </w:r>
      <w:r w:rsidR="008B753C">
        <w:rPr>
          <w:color w:val="000000" w:themeColor="text1"/>
          <w:sz w:val="16"/>
          <w:szCs w:val="16"/>
        </w:rPr>
        <w:t xml:space="preserve">. </w:t>
      </w:r>
    </w:p>
    <w:p w14:paraId="7FB72699" w14:textId="77777777" w:rsidR="007D6936" w:rsidRDefault="00A72C4C">
      <w:r>
        <w:br w:type="page"/>
      </w:r>
    </w:p>
    <w:p w14:paraId="3050AC93" w14:textId="77777777" w:rsidR="007D6936" w:rsidRDefault="00A72C4C">
      <w:pPr>
        <w:shd w:val="clear" w:color="auto" w:fill="1F3864"/>
        <w:spacing w:before="280" w:after="120"/>
        <w:ind w:left="140" w:right="140"/>
      </w:pPr>
      <w:r>
        <w:rPr>
          <w:b/>
          <w:bCs/>
          <w:color w:val="FFFFFF"/>
          <w:sz w:val="22"/>
          <w:szCs w:val="22"/>
        </w:rPr>
        <w:lastRenderedPageBreak/>
        <w:t xml:space="preserve">SECTION </w:t>
      </w:r>
      <w:proofErr w:type="gramStart"/>
      <w:r>
        <w:rPr>
          <w:b/>
          <w:bCs/>
          <w:color w:val="FFFFFF"/>
          <w:sz w:val="22"/>
          <w:szCs w:val="22"/>
        </w:rPr>
        <w:t>2  —</w:t>
      </w:r>
      <w:proofErr w:type="gramEnd"/>
      <w:r>
        <w:rPr>
          <w:b/>
          <w:bCs/>
          <w:color w:val="FFFFFF"/>
          <w:sz w:val="22"/>
          <w:szCs w:val="22"/>
        </w:rPr>
        <w:t xml:space="preserve">  TRUE NET-INCOME PRICING </w:t>
      </w:r>
      <w:proofErr w:type="gramStart"/>
      <w:r>
        <w:rPr>
          <w:b/>
          <w:bCs/>
          <w:color w:val="FFFFFF"/>
          <w:sz w:val="22"/>
          <w:szCs w:val="22"/>
        </w:rPr>
        <w:t>GUIDELINES  (</w:t>
      </w:r>
      <w:proofErr w:type="gramEnd"/>
      <w:r>
        <w:rPr>
          <w:b/>
          <w:bCs/>
          <w:color w:val="FFFFFF"/>
          <w:sz w:val="22"/>
          <w:szCs w:val="22"/>
        </w:rPr>
        <w:t>Q1 &amp; Q4)</w:t>
      </w:r>
    </w:p>
    <w:p w14:paraId="21F959F2" w14:textId="77777777" w:rsidR="007D6936" w:rsidRDefault="007D6936">
      <w:pPr>
        <w:spacing w:after="60"/>
      </w:pPr>
    </w:p>
    <w:p w14:paraId="75FC6AE2" w14:textId="77777777" w:rsidR="007D6936" w:rsidRDefault="00A72C4C">
      <w:pPr>
        <w:pBdr>
          <w:bottom w:val="single" w:sz="4" w:space="1" w:color="2E75B6"/>
        </w:pBdr>
        <w:spacing w:before="180" w:after="80"/>
      </w:pPr>
      <w:r>
        <w:rPr>
          <w:b/>
          <w:bCs/>
          <w:color w:val="1F3864"/>
          <w:sz w:val="22"/>
          <w:szCs w:val="22"/>
        </w:rPr>
        <w:t>The Yield Trap: Why the Concentration Cap Is the Core Risk Architecture</w:t>
      </w:r>
    </w:p>
    <w:p w14:paraId="6F9D555D" w14:textId="77777777" w:rsidR="007D6936" w:rsidRDefault="00A72C4C">
      <w:pPr>
        <w:spacing w:after="110"/>
      </w:pPr>
      <w:r>
        <w:t xml:space="preserve">Unconstrained portfolio optimization in consumer credit is, without qualification, a mechanism for portfolio ruin. Without the 3% concentration </w:t>
      </w:r>
      <w:proofErr w:type="spellStart"/>
      <w:r>
        <w:t>cap</w:t>
      </w:r>
      <w:proofErr w:type="spellEnd"/>
      <w:r>
        <w:t xml:space="preserve"> and Dynamic LGD penalty, the SLSQP algorithm exploits a well-documented structural asymmetry: subprime borrowers accept higher stated rates, and an unconstrained optimizer progressively allocates capital into the highest-yield bucket until default losses overwhelm the book. The concentration constraint does not reduce expected return — it prevents the structural mechanism that destroys it.</w:t>
      </w:r>
    </w:p>
    <w:p w14:paraId="01E0B4F8" w14:textId="15127752" w:rsidR="007D6936" w:rsidRDefault="00A72C4C">
      <w:pPr>
        <w:spacing w:after="90"/>
      </w:pPr>
      <w:r>
        <w:t xml:space="preserve">Required retail rates to deliver a 5.0% True Corporate Net Margin after explicit 6.0% </w:t>
      </w:r>
      <w:proofErr w:type="spellStart"/>
      <w:r>
        <w:t>CoF</w:t>
      </w:r>
      <w:proofErr w:type="spellEnd"/>
      <w:r>
        <w:t xml:space="preserve"> and 2.5% </w:t>
      </w:r>
      <w:proofErr w:type="spellStart"/>
      <w:r>
        <w:t>Op</w:t>
      </w:r>
      <w:r w:rsidR="0091654D">
        <w:t>E</w:t>
      </w:r>
      <w:r>
        <w:t>x</w:t>
      </w:r>
      <w:proofErr w:type="spellEnd"/>
      <w:r>
        <w:t xml:space="preserve"> deductions: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40"/>
        <w:gridCol w:w="1640"/>
        <w:gridCol w:w="1640"/>
        <w:gridCol w:w="2240"/>
      </w:tblGrid>
      <w:tr w:rsidR="007D6936" w14:paraId="209FB85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48B3C07" w14:textId="77777777" w:rsidR="007D6936" w:rsidRDefault="00A72C4C">
            <w:pPr>
              <w:spacing w:before="50" w:after="50"/>
            </w:pPr>
            <w:r>
              <w:rPr>
                <w:b/>
                <w:bCs/>
                <w:color w:val="FFFFFF"/>
                <w:sz w:val="18"/>
                <w:szCs w:val="18"/>
              </w:rPr>
              <w:t>CUSTOMER SEGMENT</w:t>
            </w:r>
          </w:p>
        </w:tc>
        <w:tc>
          <w:tcPr>
            <w:tcW w:w="16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C8A9949" w14:textId="77777777" w:rsidR="007D6936" w:rsidRDefault="00A72C4C">
            <w:pPr>
              <w:spacing w:before="50" w:after="50"/>
              <w:jc w:val="center"/>
            </w:pPr>
            <w:r>
              <w:rPr>
                <w:b/>
                <w:bCs/>
                <w:color w:val="FFFFFF"/>
                <w:sz w:val="18"/>
                <w:szCs w:val="18"/>
              </w:rPr>
              <w:t>AVG PD</w:t>
            </w:r>
          </w:p>
        </w:tc>
        <w:tc>
          <w:tcPr>
            <w:tcW w:w="16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C274D9A" w14:textId="77777777" w:rsidR="007D6936" w:rsidRDefault="00A72C4C">
            <w:pPr>
              <w:spacing w:before="50" w:after="50"/>
              <w:jc w:val="center"/>
            </w:pPr>
            <w:r>
              <w:rPr>
                <w:b/>
                <w:bCs/>
                <w:color w:val="FFFFFF"/>
                <w:sz w:val="18"/>
                <w:szCs w:val="18"/>
              </w:rPr>
              <w:t>DYNAMIC LGD</w:t>
            </w:r>
          </w:p>
        </w:tc>
        <w:tc>
          <w:tcPr>
            <w:tcW w:w="16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AD8DCBE" w14:textId="77777777" w:rsidR="007D6936" w:rsidRDefault="00A72C4C">
            <w:pPr>
              <w:spacing w:before="50" w:after="50"/>
              <w:jc w:val="center"/>
            </w:pPr>
            <w:r>
              <w:rPr>
                <w:b/>
                <w:bCs/>
                <w:color w:val="FFFFFF"/>
                <w:sz w:val="18"/>
                <w:szCs w:val="18"/>
              </w:rPr>
              <w:t>CURRENT YIELD</w:t>
            </w:r>
          </w:p>
        </w:tc>
        <w:tc>
          <w:tcPr>
            <w:tcW w:w="22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C995005" w14:textId="77777777" w:rsidR="007D6936" w:rsidRDefault="00A72C4C">
            <w:pPr>
              <w:spacing w:before="50" w:after="50"/>
              <w:jc w:val="center"/>
            </w:pPr>
            <w:r>
              <w:rPr>
                <w:b/>
                <w:bCs/>
                <w:color w:val="FFFFFF"/>
                <w:sz w:val="18"/>
                <w:szCs w:val="18"/>
              </w:rPr>
              <w:t>REQUIRED RETAIL RATE</w:t>
            </w:r>
          </w:p>
        </w:tc>
      </w:tr>
      <w:tr w:rsidR="007D6936" w14:paraId="1DD47AD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6FCA6F" w14:textId="77777777" w:rsidR="007D6936" w:rsidRDefault="00A72C4C">
            <w:pPr>
              <w:spacing w:before="50" w:after="50"/>
            </w:pPr>
            <w:r>
              <w:rPr>
                <w:sz w:val="18"/>
                <w:szCs w:val="18"/>
              </w:rPr>
              <w:t>Prime Stable</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B5BC39" w14:textId="77777777" w:rsidR="007D6936" w:rsidRDefault="00A72C4C">
            <w:pPr>
              <w:spacing w:before="50" w:after="50"/>
              <w:jc w:val="center"/>
            </w:pPr>
            <w:r>
              <w:rPr>
                <w:sz w:val="18"/>
                <w:szCs w:val="18"/>
              </w:rPr>
              <w:t>41.22%</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029D83" w14:textId="77777777" w:rsidR="007D6936" w:rsidRDefault="00A72C4C">
            <w:pPr>
              <w:spacing w:before="50" w:after="50"/>
              <w:jc w:val="center"/>
            </w:pPr>
            <w:r>
              <w:rPr>
                <w:sz w:val="18"/>
                <w:szCs w:val="18"/>
              </w:rPr>
              <w:t>63.36%</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619D61" w14:textId="77777777" w:rsidR="007D6936" w:rsidRDefault="00A72C4C">
            <w:pPr>
              <w:spacing w:before="50" w:after="50"/>
              <w:jc w:val="center"/>
            </w:pPr>
            <w:r>
              <w:rPr>
                <w:sz w:val="18"/>
                <w:szCs w:val="18"/>
              </w:rPr>
              <w:t>31.16%</w:t>
            </w:r>
          </w:p>
        </w:tc>
        <w:tc>
          <w:tcPr>
            <w:tcW w:w="2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DF7691" w14:textId="77777777" w:rsidR="007D6936" w:rsidRDefault="00A72C4C">
            <w:pPr>
              <w:spacing w:before="50" w:after="50"/>
              <w:jc w:val="center"/>
            </w:pPr>
            <w:r>
              <w:rPr>
                <w:b/>
                <w:bCs/>
                <w:color w:val="1A5E35"/>
                <w:sz w:val="18"/>
                <w:szCs w:val="18"/>
              </w:rPr>
              <w:t>57.93%</w:t>
            </w:r>
          </w:p>
        </w:tc>
      </w:tr>
      <w:tr w:rsidR="007D6936" w14:paraId="2D77322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vAlign w:val="center"/>
          </w:tcPr>
          <w:p w14:paraId="7B791544" w14:textId="77777777" w:rsidR="007D6936" w:rsidRDefault="00A72C4C">
            <w:pPr>
              <w:spacing w:before="50" w:after="50"/>
            </w:pPr>
            <w:r>
              <w:rPr>
                <w:sz w:val="18"/>
                <w:szCs w:val="18"/>
              </w:rPr>
              <w:t>Emerging Affluent</w:t>
            </w:r>
          </w:p>
        </w:tc>
        <w:tc>
          <w:tcPr>
            <w:tcW w:w="164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vAlign w:val="center"/>
          </w:tcPr>
          <w:p w14:paraId="6F31D460" w14:textId="77777777" w:rsidR="007D6936" w:rsidRDefault="00A72C4C">
            <w:pPr>
              <w:spacing w:before="50" w:after="50"/>
              <w:jc w:val="center"/>
            </w:pPr>
            <w:r>
              <w:rPr>
                <w:sz w:val="18"/>
                <w:szCs w:val="18"/>
              </w:rPr>
              <w:t>38.77%</w:t>
            </w:r>
          </w:p>
        </w:tc>
        <w:tc>
          <w:tcPr>
            <w:tcW w:w="164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vAlign w:val="center"/>
          </w:tcPr>
          <w:p w14:paraId="65AD5EAF" w14:textId="77777777" w:rsidR="007D6936" w:rsidRDefault="00A72C4C">
            <w:pPr>
              <w:spacing w:before="50" w:after="50"/>
              <w:jc w:val="center"/>
            </w:pPr>
            <w:r>
              <w:rPr>
                <w:sz w:val="18"/>
                <w:szCs w:val="18"/>
              </w:rPr>
              <w:t>62.44%</w:t>
            </w:r>
          </w:p>
        </w:tc>
        <w:tc>
          <w:tcPr>
            <w:tcW w:w="164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vAlign w:val="center"/>
          </w:tcPr>
          <w:p w14:paraId="47164A7F" w14:textId="77777777" w:rsidR="007D6936" w:rsidRDefault="00A72C4C">
            <w:pPr>
              <w:spacing w:before="50" w:after="50"/>
              <w:jc w:val="center"/>
            </w:pPr>
            <w:r>
              <w:rPr>
                <w:sz w:val="18"/>
                <w:szCs w:val="18"/>
              </w:rPr>
              <w:t>31.97%</w:t>
            </w:r>
          </w:p>
        </w:tc>
        <w:tc>
          <w:tcPr>
            <w:tcW w:w="224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vAlign w:val="center"/>
          </w:tcPr>
          <w:p w14:paraId="3D34CBB2" w14:textId="77777777" w:rsidR="007D6936" w:rsidRDefault="00A72C4C">
            <w:pPr>
              <w:spacing w:before="50" w:after="50"/>
              <w:jc w:val="center"/>
            </w:pPr>
            <w:r>
              <w:rPr>
                <w:b/>
                <w:bCs/>
                <w:color w:val="1F5C99"/>
                <w:sz w:val="18"/>
                <w:szCs w:val="18"/>
              </w:rPr>
              <w:t>53.03%</w:t>
            </w:r>
          </w:p>
        </w:tc>
      </w:tr>
      <w:tr w:rsidR="007D6936" w14:paraId="620CF9F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CC98E7" w14:textId="77777777" w:rsidR="007D6936" w:rsidRDefault="00A72C4C">
            <w:pPr>
              <w:spacing w:before="50" w:after="50"/>
            </w:pPr>
            <w:r>
              <w:rPr>
                <w:sz w:val="18"/>
                <w:szCs w:val="18"/>
              </w:rPr>
              <w:t>Volatile Spenders</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12A45E" w14:textId="77777777" w:rsidR="007D6936" w:rsidRDefault="00A72C4C">
            <w:pPr>
              <w:spacing w:before="50" w:after="50"/>
              <w:jc w:val="center"/>
            </w:pPr>
            <w:r>
              <w:rPr>
                <w:sz w:val="18"/>
                <w:szCs w:val="18"/>
              </w:rPr>
              <w:t>35.77%</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388ACE" w14:textId="77777777" w:rsidR="007D6936" w:rsidRDefault="00A72C4C">
            <w:pPr>
              <w:spacing w:before="50" w:after="50"/>
              <w:jc w:val="center"/>
            </w:pPr>
            <w:r>
              <w:rPr>
                <w:sz w:val="18"/>
                <w:szCs w:val="18"/>
              </w:rPr>
              <w:t>58.85%</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31E6D1" w14:textId="77777777" w:rsidR="007D6936" w:rsidRDefault="00A72C4C">
            <w:pPr>
              <w:spacing w:before="50" w:after="50"/>
              <w:jc w:val="center"/>
            </w:pPr>
            <w:r>
              <w:rPr>
                <w:sz w:val="18"/>
                <w:szCs w:val="18"/>
              </w:rPr>
              <w:t>29.26%</w:t>
            </w:r>
          </w:p>
        </w:tc>
        <w:tc>
          <w:tcPr>
            <w:tcW w:w="2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709B92" w14:textId="77777777" w:rsidR="007D6936" w:rsidRDefault="00A72C4C">
            <w:pPr>
              <w:spacing w:before="50" w:after="50"/>
              <w:jc w:val="center"/>
            </w:pPr>
            <w:r>
              <w:rPr>
                <w:b/>
                <w:bCs/>
                <w:color w:val="7B4300"/>
                <w:sz w:val="18"/>
                <w:szCs w:val="18"/>
              </w:rPr>
              <w:t>46.28%</w:t>
            </w:r>
          </w:p>
        </w:tc>
      </w:tr>
      <w:tr w:rsidR="007D6936" w14:paraId="57D5AE7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E8E8"/>
            <w:tcMar>
              <w:top w:w="80" w:type="dxa"/>
              <w:left w:w="120" w:type="dxa"/>
              <w:bottom w:w="80" w:type="dxa"/>
              <w:right w:w="120" w:type="dxa"/>
            </w:tcMar>
            <w:vAlign w:val="center"/>
          </w:tcPr>
          <w:p w14:paraId="26DF69D4" w14:textId="55830A70" w:rsidR="007D6936" w:rsidRDefault="0091654D">
            <w:pPr>
              <w:spacing w:before="50" w:after="50"/>
            </w:pPr>
            <w:r>
              <w:rPr>
                <w:b/>
                <w:bCs/>
                <w:color w:val="9A0000"/>
                <w:sz w:val="18"/>
                <w:szCs w:val="18"/>
              </w:rPr>
              <w:t xml:space="preserve">Overleveraged </w:t>
            </w:r>
            <w:r w:rsidR="00DE256B">
              <w:rPr>
                <w:b/>
                <w:bCs/>
                <w:color w:val="9A0000"/>
                <w:sz w:val="18"/>
                <w:szCs w:val="18"/>
              </w:rPr>
              <w:t>— HARD</w:t>
            </w:r>
            <w:r w:rsidR="00A72C4C">
              <w:rPr>
                <w:b/>
                <w:bCs/>
                <w:color w:val="9A0000"/>
                <w:sz w:val="18"/>
                <w:szCs w:val="18"/>
              </w:rPr>
              <w:t xml:space="preserve"> DECLINE</w:t>
            </w:r>
          </w:p>
        </w:tc>
        <w:tc>
          <w:tcPr>
            <w:tcW w:w="1640" w:type="dxa"/>
            <w:tcBorders>
              <w:top w:val="single" w:sz="1" w:space="0" w:color="AAAAAA"/>
              <w:left w:val="single" w:sz="1" w:space="0" w:color="AAAAAA"/>
              <w:bottom w:val="single" w:sz="1" w:space="0" w:color="AAAAAA"/>
              <w:right w:val="single" w:sz="1" w:space="0" w:color="AAAAAA"/>
            </w:tcBorders>
            <w:shd w:val="clear" w:color="auto" w:fill="FFE8E8"/>
            <w:tcMar>
              <w:top w:w="80" w:type="dxa"/>
              <w:left w:w="120" w:type="dxa"/>
              <w:bottom w:w="80" w:type="dxa"/>
              <w:right w:w="120" w:type="dxa"/>
            </w:tcMar>
            <w:vAlign w:val="center"/>
          </w:tcPr>
          <w:p w14:paraId="63EBBAB6" w14:textId="77777777" w:rsidR="007D6936" w:rsidRDefault="00A72C4C">
            <w:pPr>
              <w:spacing w:before="50" w:after="50"/>
              <w:jc w:val="center"/>
            </w:pPr>
            <w:r>
              <w:rPr>
                <w:b/>
                <w:bCs/>
                <w:color w:val="9A0000"/>
                <w:sz w:val="18"/>
                <w:szCs w:val="18"/>
              </w:rPr>
              <w:t>50.29%</w:t>
            </w:r>
          </w:p>
        </w:tc>
        <w:tc>
          <w:tcPr>
            <w:tcW w:w="1640" w:type="dxa"/>
            <w:tcBorders>
              <w:top w:val="single" w:sz="1" w:space="0" w:color="AAAAAA"/>
              <w:left w:val="single" w:sz="1" w:space="0" w:color="AAAAAA"/>
              <w:bottom w:val="single" w:sz="1" w:space="0" w:color="AAAAAA"/>
              <w:right w:val="single" w:sz="1" w:space="0" w:color="AAAAAA"/>
            </w:tcBorders>
            <w:shd w:val="clear" w:color="auto" w:fill="FFE8E8"/>
            <w:tcMar>
              <w:top w:w="80" w:type="dxa"/>
              <w:left w:w="120" w:type="dxa"/>
              <w:bottom w:w="80" w:type="dxa"/>
              <w:right w:w="120" w:type="dxa"/>
            </w:tcMar>
            <w:vAlign w:val="center"/>
          </w:tcPr>
          <w:p w14:paraId="6566CA02" w14:textId="77777777" w:rsidR="007D6936" w:rsidRDefault="00A72C4C">
            <w:pPr>
              <w:spacing w:before="50" w:after="50"/>
              <w:jc w:val="center"/>
            </w:pPr>
            <w:r>
              <w:rPr>
                <w:b/>
                <w:bCs/>
                <w:color w:val="9A0000"/>
                <w:sz w:val="18"/>
                <w:szCs w:val="18"/>
              </w:rPr>
              <w:t>65.20%</w:t>
            </w:r>
          </w:p>
        </w:tc>
        <w:tc>
          <w:tcPr>
            <w:tcW w:w="1640" w:type="dxa"/>
            <w:tcBorders>
              <w:top w:val="single" w:sz="1" w:space="0" w:color="AAAAAA"/>
              <w:left w:val="single" w:sz="1" w:space="0" w:color="AAAAAA"/>
              <w:bottom w:val="single" w:sz="1" w:space="0" w:color="AAAAAA"/>
              <w:right w:val="single" w:sz="1" w:space="0" w:color="AAAAAA"/>
            </w:tcBorders>
            <w:shd w:val="clear" w:color="auto" w:fill="FFE8E8"/>
            <w:tcMar>
              <w:top w:w="80" w:type="dxa"/>
              <w:left w:w="120" w:type="dxa"/>
              <w:bottom w:w="80" w:type="dxa"/>
              <w:right w:w="120" w:type="dxa"/>
            </w:tcMar>
            <w:vAlign w:val="center"/>
          </w:tcPr>
          <w:p w14:paraId="33608C2A" w14:textId="77777777" w:rsidR="007D6936" w:rsidRDefault="00A72C4C">
            <w:pPr>
              <w:spacing w:before="50" w:after="50"/>
              <w:jc w:val="center"/>
            </w:pPr>
            <w:r>
              <w:rPr>
                <w:color w:val="9A0000"/>
                <w:sz w:val="18"/>
                <w:szCs w:val="18"/>
              </w:rPr>
              <w:t>32.66%</w:t>
            </w:r>
          </w:p>
        </w:tc>
        <w:tc>
          <w:tcPr>
            <w:tcW w:w="2240" w:type="dxa"/>
            <w:tcBorders>
              <w:top w:val="single" w:sz="1" w:space="0" w:color="AAAAAA"/>
              <w:left w:val="single" w:sz="1" w:space="0" w:color="AAAAAA"/>
              <w:bottom w:val="single" w:sz="1" w:space="0" w:color="AAAAAA"/>
              <w:right w:val="single" w:sz="1" w:space="0" w:color="AAAAAA"/>
            </w:tcBorders>
            <w:shd w:val="clear" w:color="auto" w:fill="FFE8E8"/>
            <w:tcMar>
              <w:top w:w="80" w:type="dxa"/>
              <w:left w:w="120" w:type="dxa"/>
              <w:bottom w:w="80" w:type="dxa"/>
              <w:right w:w="120" w:type="dxa"/>
            </w:tcMar>
            <w:vAlign w:val="center"/>
          </w:tcPr>
          <w:p w14:paraId="19EDEE25" w14:textId="77777777" w:rsidR="007D6936" w:rsidRDefault="00A72C4C">
            <w:pPr>
              <w:spacing w:before="50" w:after="50"/>
              <w:jc w:val="center"/>
            </w:pPr>
            <w:r>
              <w:rPr>
                <w:b/>
                <w:bCs/>
                <w:color w:val="9A0000"/>
                <w:sz w:val="18"/>
                <w:szCs w:val="18"/>
              </w:rPr>
              <w:t>79.46%</w:t>
            </w:r>
          </w:p>
        </w:tc>
      </w:tr>
    </w:tbl>
    <w:p w14:paraId="3B93382A" w14:textId="77777777" w:rsidR="007D6936" w:rsidRDefault="007D6936">
      <w:pPr>
        <w:spacing w:after="60"/>
      </w:pPr>
    </w:p>
    <w:p w14:paraId="19DE85CB" w14:textId="1F075B73" w:rsidR="007D6936" w:rsidRDefault="00A72C4C">
      <w:pPr>
        <w:spacing w:after="80"/>
      </w:pPr>
      <w:r>
        <w:rPr>
          <w:color w:val="888888"/>
          <w:sz w:val="16"/>
          <w:szCs w:val="16"/>
        </w:rPr>
        <w:t xml:space="preserve">Source: </w:t>
      </w:r>
      <w:proofErr w:type="spellStart"/>
      <w:r>
        <w:rPr>
          <w:color w:val="888888"/>
          <w:sz w:val="16"/>
          <w:szCs w:val="16"/>
        </w:rPr>
        <w:t>XGBoost</w:t>
      </w:r>
      <w:proofErr w:type="spellEnd"/>
      <w:r>
        <w:rPr>
          <w:color w:val="888888"/>
          <w:sz w:val="16"/>
          <w:szCs w:val="16"/>
        </w:rPr>
        <w:t xml:space="preserve"> + SLSQP Engine — Final </w:t>
      </w:r>
      <w:r w:rsidR="00DE256B">
        <w:rPr>
          <w:color w:val="888888"/>
          <w:sz w:val="16"/>
          <w:szCs w:val="16"/>
        </w:rPr>
        <w:t xml:space="preserve">V3.1 </w:t>
      </w:r>
      <w:proofErr w:type="gramStart"/>
      <w:r w:rsidR="00DE256B">
        <w:rPr>
          <w:color w:val="888888"/>
          <w:sz w:val="16"/>
          <w:szCs w:val="16"/>
        </w:rPr>
        <w:t>|</w:t>
      </w:r>
      <w:r>
        <w:rPr>
          <w:color w:val="888888"/>
          <w:sz w:val="16"/>
          <w:szCs w:val="16"/>
        </w:rPr>
        <w:t xml:space="preserve">  </w:t>
      </w:r>
      <w:proofErr w:type="spellStart"/>
      <w:r>
        <w:rPr>
          <w:color w:val="888888"/>
          <w:sz w:val="16"/>
          <w:szCs w:val="16"/>
        </w:rPr>
        <w:t>CoF</w:t>
      </w:r>
      <w:proofErr w:type="spellEnd"/>
      <w:proofErr w:type="gramEnd"/>
      <w:r>
        <w:rPr>
          <w:color w:val="888888"/>
          <w:sz w:val="16"/>
          <w:szCs w:val="16"/>
        </w:rPr>
        <w:t>: 6.0</w:t>
      </w:r>
      <w:proofErr w:type="gramStart"/>
      <w:r>
        <w:rPr>
          <w:color w:val="888888"/>
          <w:sz w:val="16"/>
          <w:szCs w:val="16"/>
        </w:rPr>
        <w:t>%  |</w:t>
      </w:r>
      <w:proofErr w:type="gramEnd"/>
      <w:r>
        <w:rPr>
          <w:color w:val="888888"/>
          <w:sz w:val="16"/>
          <w:szCs w:val="16"/>
        </w:rPr>
        <w:t xml:space="preserve">  </w:t>
      </w:r>
      <w:proofErr w:type="spellStart"/>
      <w:r>
        <w:rPr>
          <w:color w:val="888888"/>
          <w:sz w:val="16"/>
          <w:szCs w:val="16"/>
        </w:rPr>
        <w:t>Op</w:t>
      </w:r>
      <w:r w:rsidR="0091654D">
        <w:rPr>
          <w:color w:val="888888"/>
          <w:sz w:val="16"/>
          <w:szCs w:val="16"/>
        </w:rPr>
        <w:t>E</w:t>
      </w:r>
      <w:r>
        <w:rPr>
          <w:color w:val="888888"/>
          <w:sz w:val="16"/>
          <w:szCs w:val="16"/>
        </w:rPr>
        <w:t>x</w:t>
      </w:r>
      <w:proofErr w:type="spellEnd"/>
      <w:r>
        <w:rPr>
          <w:color w:val="888888"/>
          <w:sz w:val="16"/>
          <w:szCs w:val="16"/>
        </w:rPr>
        <w:t>: 2.5</w:t>
      </w:r>
      <w:proofErr w:type="gramStart"/>
      <w:r>
        <w:rPr>
          <w:color w:val="888888"/>
          <w:sz w:val="16"/>
          <w:szCs w:val="16"/>
        </w:rPr>
        <w:t>%  |</w:t>
      </w:r>
      <w:proofErr w:type="gramEnd"/>
      <w:r>
        <w:rPr>
          <w:color w:val="888888"/>
          <w:sz w:val="16"/>
          <w:szCs w:val="16"/>
        </w:rPr>
        <w:t xml:space="preserve">  Target Margin: 5.0%</w:t>
      </w:r>
    </w:p>
    <w:p w14:paraId="08BF6AC1" w14:textId="77777777" w:rsidR="007D6936" w:rsidRDefault="007D6936">
      <w:pPr>
        <w:spacing w:after="120"/>
      </w:pPr>
    </w:p>
    <w:p w14:paraId="326F35D2" w14:textId="77777777" w:rsidR="007D6936" w:rsidRDefault="00A72C4C">
      <w:pPr>
        <w:pBdr>
          <w:bottom w:val="single" w:sz="4" w:space="1" w:color="2E75B6"/>
        </w:pBdr>
        <w:spacing w:before="180" w:after="80"/>
      </w:pPr>
      <w:r>
        <w:rPr>
          <w:b/>
          <w:bCs/>
          <w:color w:val="1F3864"/>
          <w:sz w:val="22"/>
          <w:szCs w:val="22"/>
        </w:rPr>
        <w:t>Segment-Level Credit Policy Directives</w:t>
      </w:r>
    </w:p>
    <w:p w14:paraId="6F708C9B" w14:textId="77777777" w:rsidR="007D6936" w:rsidRDefault="00A72C4C">
      <w:pPr>
        <w:spacing w:after="90"/>
      </w:pPr>
      <w:r>
        <w:rPr>
          <w:b/>
          <w:bCs/>
          <w:color w:val="1F3864"/>
        </w:rPr>
        <w:t xml:space="preserve">PRIME STABLE (57.93%):  </w:t>
      </w:r>
      <w:r>
        <w:t>Approve with flagship pricing. Revolving credit line and BNPL cross-sell is the priority action. Dynamic LGD of 63.36% is manageable at maintained concentration limits. Aggressive CAC investment is warranted — risk-adjusted NPV is positive at scale.</w:t>
      </w:r>
    </w:p>
    <w:p w14:paraId="4BCF15E9" w14:textId="77777777" w:rsidR="007D6936" w:rsidRDefault="00A72C4C">
      <w:pPr>
        <w:spacing w:after="90"/>
      </w:pPr>
      <w:r>
        <w:rPr>
          <w:b/>
          <w:bCs/>
          <w:color w:val="1F3864"/>
        </w:rPr>
        <w:t xml:space="preserve">EMERGING AFFLUENT (53.03%):  </w:t>
      </w:r>
      <w:r>
        <w:t>Standard approval with full underwriting protocol. Lowest Dynamic LGD in the approvable book (62.44%) reflects borrower recovery capacity. Designated primary BNPL and credit line origination segment.</w:t>
      </w:r>
    </w:p>
    <w:p w14:paraId="6288725F" w14:textId="77777777" w:rsidR="007D6936" w:rsidRDefault="00A72C4C">
      <w:pPr>
        <w:spacing w:after="90"/>
      </w:pPr>
      <w:r>
        <w:rPr>
          <w:b/>
          <w:bCs/>
          <w:color w:val="1F3864"/>
        </w:rPr>
        <w:t xml:space="preserve">VOLATILE SPENDERS (46.28%):  </w:t>
      </w:r>
      <w:r>
        <w:t>Approve at the most accessible retail rate in the portfolio, supported by the lowest Dynamic LGD (58.85%). Apply a 24-month maximum tenure cap and real-time Balance Volatility monitoring with quarterly trigger reviews.</w:t>
      </w:r>
    </w:p>
    <w:p w14:paraId="2798817A" w14:textId="0F455257" w:rsidR="007D6936" w:rsidRDefault="007543FB">
      <w:pPr>
        <w:spacing w:after="80"/>
      </w:pPr>
      <w:r>
        <w:rPr>
          <w:b/>
          <w:bCs/>
          <w:color w:val="9A0000"/>
        </w:rPr>
        <w:t xml:space="preserve">OVERLEVERAGED </w:t>
      </w:r>
      <w:r w:rsidR="00DE256B">
        <w:rPr>
          <w:b/>
          <w:bCs/>
          <w:color w:val="9A0000"/>
        </w:rPr>
        <w:t>— HARD</w:t>
      </w:r>
      <w:r w:rsidR="00A72C4C">
        <w:rPr>
          <w:b/>
          <w:bCs/>
          <w:color w:val="9A0000"/>
        </w:rPr>
        <w:t xml:space="preserve"> REJECTION MANDATE:  </w:t>
      </w:r>
      <w:r w:rsidR="00A72C4C">
        <w:t xml:space="preserve">At 50.29% average PD and 65.20% Dynamic LGD, the optimizer requires a </w:t>
      </w:r>
      <w:r w:rsidR="00A72C4C">
        <w:rPr>
          <w:b/>
          <w:bCs/>
        </w:rPr>
        <w:t>79.46% retail rate</w:t>
      </w:r>
      <w:r w:rsidR="00A72C4C">
        <w:t xml:space="preserve"> to reach target margin. No viable consumer lending product can be structured at these economics within regulatory compliance boundaries. This segment receives a hard decline at origination scoring. No exception underwriting. No relationship officer override.</w:t>
      </w:r>
    </w:p>
    <w:p w14:paraId="20ABEC6E" w14:textId="77777777" w:rsidR="007D6936" w:rsidRDefault="00A72C4C">
      <w:r>
        <w:br w:type="page"/>
      </w:r>
    </w:p>
    <w:p w14:paraId="7E99F9E5" w14:textId="77777777" w:rsidR="007D6936" w:rsidRDefault="00A72C4C">
      <w:pPr>
        <w:shd w:val="clear" w:color="auto" w:fill="1F3864"/>
        <w:spacing w:before="280" w:after="120"/>
        <w:ind w:left="140" w:right="140"/>
      </w:pPr>
      <w:r>
        <w:rPr>
          <w:b/>
          <w:bCs/>
          <w:color w:val="FFFFFF"/>
          <w:sz w:val="22"/>
          <w:szCs w:val="22"/>
        </w:rPr>
        <w:lastRenderedPageBreak/>
        <w:t xml:space="preserve">SECTION </w:t>
      </w:r>
      <w:proofErr w:type="gramStart"/>
      <w:r>
        <w:rPr>
          <w:b/>
          <w:bCs/>
          <w:color w:val="FFFFFF"/>
          <w:sz w:val="22"/>
          <w:szCs w:val="22"/>
        </w:rPr>
        <w:t>3  —</w:t>
      </w:r>
      <w:proofErr w:type="gramEnd"/>
      <w:r>
        <w:rPr>
          <w:b/>
          <w:bCs/>
          <w:color w:val="FFFFFF"/>
          <w:sz w:val="22"/>
          <w:szCs w:val="22"/>
        </w:rPr>
        <w:t xml:space="preserve">  ACQUISITION ECONOMICS &amp; TURNAROUND </w:t>
      </w:r>
      <w:proofErr w:type="gramStart"/>
      <w:r>
        <w:rPr>
          <w:b/>
          <w:bCs/>
          <w:color w:val="FFFFFF"/>
          <w:sz w:val="22"/>
          <w:szCs w:val="22"/>
        </w:rPr>
        <w:t>TIMES  (</w:t>
      </w:r>
      <w:proofErr w:type="gramEnd"/>
      <w:r>
        <w:rPr>
          <w:b/>
          <w:bCs/>
          <w:color w:val="FFFFFF"/>
          <w:sz w:val="22"/>
          <w:szCs w:val="22"/>
        </w:rPr>
        <w:t>Q2)</w:t>
      </w:r>
    </w:p>
    <w:p w14:paraId="7414C066" w14:textId="77777777" w:rsidR="007D6936" w:rsidRDefault="007D6936">
      <w:pPr>
        <w:spacing w:after="60"/>
      </w:pPr>
    </w:p>
    <w:p w14:paraId="5B25ECC8" w14:textId="77777777" w:rsidR="007D6936" w:rsidRDefault="00A72C4C">
      <w:pPr>
        <w:spacing w:after="100"/>
      </w:pPr>
      <w:r>
        <w:t>The organic Home Credit book carries an 8.10% empirical default rate — the natural risk profile of a proactively-seeking borrower population without intermediary incentive distortion. Every paid channel default rate must be benchmarked against this figure as a quality delta, not compared peer-to-peer: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887"/>
        <w:gridCol w:w="1887"/>
        <w:gridCol w:w="2886"/>
      </w:tblGrid>
      <w:tr w:rsidR="007D6936" w14:paraId="4A1365E6"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8F9ABDE" w14:textId="77777777" w:rsidR="007D6936" w:rsidRDefault="00A72C4C">
            <w:pPr>
              <w:spacing w:before="50" w:after="50"/>
            </w:pPr>
            <w:r>
              <w:rPr>
                <w:b/>
                <w:bCs/>
                <w:color w:val="FFFFFF"/>
                <w:sz w:val="18"/>
                <w:szCs w:val="18"/>
              </w:rPr>
              <w:t>ACQUISITION CHANNEL</w:t>
            </w:r>
          </w:p>
        </w:tc>
        <w:tc>
          <w:tcPr>
            <w:tcW w:w="188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D433D1C" w14:textId="77777777" w:rsidR="007D6936" w:rsidRDefault="00A72C4C">
            <w:pPr>
              <w:spacing w:before="50" w:after="50"/>
              <w:jc w:val="center"/>
            </w:pPr>
            <w:r>
              <w:rPr>
                <w:b/>
                <w:bCs/>
                <w:color w:val="FFFFFF"/>
                <w:sz w:val="18"/>
                <w:szCs w:val="18"/>
              </w:rPr>
              <w:t>DEFAULT RATE</w:t>
            </w:r>
          </w:p>
        </w:tc>
        <w:tc>
          <w:tcPr>
            <w:tcW w:w="188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78C56BB" w14:textId="77777777" w:rsidR="007D6936" w:rsidRDefault="00A72C4C">
            <w:pPr>
              <w:spacing w:before="50" w:after="50"/>
              <w:jc w:val="center"/>
            </w:pPr>
            <w:r>
              <w:rPr>
                <w:b/>
                <w:bCs/>
                <w:color w:val="FFFFFF"/>
                <w:sz w:val="18"/>
                <w:szCs w:val="18"/>
              </w:rPr>
              <w:t>CAC</w:t>
            </w:r>
          </w:p>
        </w:tc>
        <w:tc>
          <w:tcPr>
            <w:tcW w:w="288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DE80BA3" w14:textId="77777777" w:rsidR="007D6936" w:rsidRDefault="00A72C4C">
            <w:pPr>
              <w:spacing w:before="50" w:after="50"/>
              <w:jc w:val="center"/>
            </w:pPr>
            <w:r>
              <w:rPr>
                <w:b/>
                <w:bCs/>
                <w:color w:val="FFFFFF"/>
                <w:sz w:val="18"/>
                <w:szCs w:val="18"/>
              </w:rPr>
              <w:t>AVG APPROVAL TIME</w:t>
            </w:r>
          </w:p>
        </w:tc>
      </w:tr>
      <w:tr w:rsidR="007D6936" w14:paraId="75EF2B33"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E6F4EC"/>
            <w:tcMar>
              <w:top w:w="80" w:type="dxa"/>
              <w:left w:w="120" w:type="dxa"/>
              <w:bottom w:w="80" w:type="dxa"/>
              <w:right w:w="120" w:type="dxa"/>
            </w:tcMar>
            <w:vAlign w:val="center"/>
          </w:tcPr>
          <w:p w14:paraId="653901CB" w14:textId="77777777" w:rsidR="007D6936" w:rsidRDefault="00A72C4C">
            <w:pPr>
              <w:spacing w:before="50" w:after="50"/>
            </w:pPr>
            <w:r>
              <w:rPr>
                <w:sz w:val="18"/>
                <w:szCs w:val="18"/>
              </w:rPr>
              <w:t>Organic Search</w:t>
            </w:r>
          </w:p>
        </w:tc>
        <w:tc>
          <w:tcPr>
            <w:tcW w:w="1887" w:type="dxa"/>
            <w:tcBorders>
              <w:top w:val="single" w:sz="1" w:space="0" w:color="AAAAAA"/>
              <w:left w:val="single" w:sz="1" w:space="0" w:color="AAAAAA"/>
              <w:bottom w:val="single" w:sz="1" w:space="0" w:color="AAAAAA"/>
              <w:right w:val="single" w:sz="1" w:space="0" w:color="AAAAAA"/>
            </w:tcBorders>
            <w:shd w:val="clear" w:color="auto" w:fill="E6F4EC"/>
            <w:tcMar>
              <w:top w:w="80" w:type="dxa"/>
              <w:left w:w="120" w:type="dxa"/>
              <w:bottom w:w="80" w:type="dxa"/>
              <w:right w:w="120" w:type="dxa"/>
            </w:tcMar>
            <w:vAlign w:val="center"/>
          </w:tcPr>
          <w:p w14:paraId="5706AF66" w14:textId="77777777" w:rsidR="007D6936" w:rsidRDefault="00A72C4C">
            <w:pPr>
              <w:spacing w:before="50" w:after="50"/>
              <w:jc w:val="center"/>
            </w:pPr>
            <w:r>
              <w:rPr>
                <w:b/>
                <w:bCs/>
                <w:color w:val="1A5E35"/>
                <w:sz w:val="18"/>
                <w:szCs w:val="18"/>
              </w:rPr>
              <w:t>7.88%</w:t>
            </w:r>
          </w:p>
        </w:tc>
        <w:tc>
          <w:tcPr>
            <w:tcW w:w="1887" w:type="dxa"/>
            <w:tcBorders>
              <w:top w:val="single" w:sz="1" w:space="0" w:color="AAAAAA"/>
              <w:left w:val="single" w:sz="1" w:space="0" w:color="AAAAAA"/>
              <w:bottom w:val="single" w:sz="1" w:space="0" w:color="AAAAAA"/>
              <w:right w:val="single" w:sz="1" w:space="0" w:color="AAAAAA"/>
            </w:tcBorders>
            <w:shd w:val="clear" w:color="auto" w:fill="E6F4EC"/>
            <w:tcMar>
              <w:top w:w="80" w:type="dxa"/>
              <w:left w:w="120" w:type="dxa"/>
              <w:bottom w:w="80" w:type="dxa"/>
              <w:right w:w="120" w:type="dxa"/>
            </w:tcMar>
            <w:vAlign w:val="center"/>
          </w:tcPr>
          <w:p w14:paraId="3683B00D" w14:textId="77777777" w:rsidR="007D6936" w:rsidRDefault="00A72C4C">
            <w:pPr>
              <w:spacing w:before="50" w:after="50"/>
              <w:jc w:val="center"/>
            </w:pPr>
            <w:r>
              <w:rPr>
                <w:b/>
                <w:bCs/>
                <w:color w:val="1A5E35"/>
                <w:sz w:val="18"/>
                <w:szCs w:val="18"/>
              </w:rPr>
              <w:t>₹</w:t>
            </w:r>
            <w:r>
              <w:rPr>
                <w:b/>
                <w:bCs/>
                <w:color w:val="1A5E35"/>
                <w:sz w:val="18"/>
                <w:szCs w:val="18"/>
              </w:rPr>
              <w:t>50</w:t>
            </w:r>
          </w:p>
        </w:tc>
        <w:tc>
          <w:tcPr>
            <w:tcW w:w="2886" w:type="dxa"/>
            <w:tcBorders>
              <w:top w:val="single" w:sz="1" w:space="0" w:color="AAAAAA"/>
              <w:left w:val="single" w:sz="1" w:space="0" w:color="AAAAAA"/>
              <w:bottom w:val="single" w:sz="1" w:space="0" w:color="AAAAAA"/>
              <w:right w:val="single" w:sz="1" w:space="0" w:color="AAAAAA"/>
            </w:tcBorders>
            <w:shd w:val="clear" w:color="auto" w:fill="E6F4EC"/>
            <w:tcMar>
              <w:top w:w="80" w:type="dxa"/>
              <w:left w:w="120" w:type="dxa"/>
              <w:bottom w:w="80" w:type="dxa"/>
              <w:right w:w="120" w:type="dxa"/>
            </w:tcMar>
            <w:vAlign w:val="center"/>
          </w:tcPr>
          <w:p w14:paraId="7505ADF3" w14:textId="77777777" w:rsidR="007D6936" w:rsidRDefault="00A72C4C">
            <w:pPr>
              <w:spacing w:before="50" w:after="50"/>
              <w:jc w:val="center"/>
            </w:pPr>
            <w:r>
              <w:rPr>
                <w:sz w:val="18"/>
                <w:szCs w:val="18"/>
              </w:rPr>
              <w:t>12 Hours</w:t>
            </w:r>
          </w:p>
        </w:tc>
      </w:tr>
      <w:tr w:rsidR="007D6936" w14:paraId="30CCA5A7"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E8E8"/>
            <w:tcMar>
              <w:top w:w="80" w:type="dxa"/>
              <w:left w:w="120" w:type="dxa"/>
              <w:bottom w:w="80" w:type="dxa"/>
              <w:right w:w="120" w:type="dxa"/>
            </w:tcMar>
            <w:vAlign w:val="center"/>
          </w:tcPr>
          <w:p w14:paraId="73594154" w14:textId="77777777" w:rsidR="007D6936" w:rsidRDefault="00A72C4C">
            <w:pPr>
              <w:spacing w:before="50" w:after="50"/>
            </w:pPr>
            <w:r>
              <w:rPr>
                <w:sz w:val="18"/>
                <w:szCs w:val="18"/>
              </w:rPr>
              <w:t>Instagram Ads</w:t>
            </w:r>
          </w:p>
        </w:tc>
        <w:tc>
          <w:tcPr>
            <w:tcW w:w="1887" w:type="dxa"/>
            <w:tcBorders>
              <w:top w:val="single" w:sz="1" w:space="0" w:color="AAAAAA"/>
              <w:left w:val="single" w:sz="1" w:space="0" w:color="AAAAAA"/>
              <w:bottom w:val="single" w:sz="1" w:space="0" w:color="AAAAAA"/>
              <w:right w:val="single" w:sz="1" w:space="0" w:color="AAAAAA"/>
            </w:tcBorders>
            <w:shd w:val="clear" w:color="auto" w:fill="FFE8E8"/>
            <w:tcMar>
              <w:top w:w="80" w:type="dxa"/>
              <w:left w:w="120" w:type="dxa"/>
              <w:bottom w:w="80" w:type="dxa"/>
              <w:right w:w="120" w:type="dxa"/>
            </w:tcMar>
            <w:vAlign w:val="center"/>
          </w:tcPr>
          <w:p w14:paraId="422C32D2" w14:textId="77777777" w:rsidR="007D6936" w:rsidRDefault="00A72C4C">
            <w:pPr>
              <w:spacing w:before="50" w:after="50"/>
              <w:jc w:val="center"/>
            </w:pPr>
            <w:r>
              <w:rPr>
                <w:sz w:val="18"/>
                <w:szCs w:val="18"/>
              </w:rPr>
              <w:t>7.95%</w:t>
            </w:r>
          </w:p>
        </w:tc>
        <w:tc>
          <w:tcPr>
            <w:tcW w:w="1887" w:type="dxa"/>
            <w:tcBorders>
              <w:top w:val="single" w:sz="1" w:space="0" w:color="AAAAAA"/>
              <w:left w:val="single" w:sz="1" w:space="0" w:color="AAAAAA"/>
              <w:bottom w:val="single" w:sz="1" w:space="0" w:color="AAAAAA"/>
              <w:right w:val="single" w:sz="1" w:space="0" w:color="AAAAAA"/>
            </w:tcBorders>
            <w:shd w:val="clear" w:color="auto" w:fill="FFE8E8"/>
            <w:tcMar>
              <w:top w:w="80" w:type="dxa"/>
              <w:left w:w="120" w:type="dxa"/>
              <w:bottom w:w="80" w:type="dxa"/>
              <w:right w:w="120" w:type="dxa"/>
            </w:tcMar>
            <w:vAlign w:val="center"/>
          </w:tcPr>
          <w:p w14:paraId="34A66D25" w14:textId="77777777" w:rsidR="007D6936" w:rsidRDefault="00A72C4C">
            <w:pPr>
              <w:spacing w:before="50" w:after="50"/>
              <w:jc w:val="center"/>
            </w:pPr>
            <w:r>
              <w:rPr>
                <w:b/>
                <w:bCs/>
                <w:color w:val="9A0000"/>
                <w:sz w:val="18"/>
                <w:szCs w:val="18"/>
              </w:rPr>
              <w:t>₹</w:t>
            </w:r>
            <w:r>
              <w:rPr>
                <w:b/>
                <w:bCs/>
                <w:color w:val="9A0000"/>
                <w:sz w:val="18"/>
                <w:szCs w:val="18"/>
              </w:rPr>
              <w:t>1,200</w:t>
            </w:r>
          </w:p>
        </w:tc>
        <w:tc>
          <w:tcPr>
            <w:tcW w:w="2886" w:type="dxa"/>
            <w:tcBorders>
              <w:top w:val="single" w:sz="1" w:space="0" w:color="AAAAAA"/>
              <w:left w:val="single" w:sz="1" w:space="0" w:color="AAAAAA"/>
              <w:bottom w:val="single" w:sz="1" w:space="0" w:color="AAAAAA"/>
              <w:right w:val="single" w:sz="1" w:space="0" w:color="AAAAAA"/>
            </w:tcBorders>
            <w:shd w:val="clear" w:color="auto" w:fill="FFE8E8"/>
            <w:tcMar>
              <w:top w:w="80" w:type="dxa"/>
              <w:left w:w="120" w:type="dxa"/>
              <w:bottom w:w="80" w:type="dxa"/>
              <w:right w:w="120" w:type="dxa"/>
            </w:tcMar>
            <w:vAlign w:val="center"/>
          </w:tcPr>
          <w:p w14:paraId="6FB5E986" w14:textId="77777777" w:rsidR="007D6936" w:rsidRDefault="00A72C4C">
            <w:pPr>
              <w:spacing w:before="50" w:after="50"/>
              <w:jc w:val="center"/>
            </w:pPr>
            <w:r>
              <w:rPr>
                <w:sz w:val="18"/>
                <w:szCs w:val="18"/>
              </w:rPr>
              <w:t>4 Hours</w:t>
            </w:r>
          </w:p>
        </w:tc>
      </w:tr>
      <w:tr w:rsidR="007D6936" w14:paraId="47C84A03"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35FBC7C4" w14:textId="77777777" w:rsidR="007D6936" w:rsidRDefault="00A72C4C">
            <w:pPr>
              <w:spacing w:before="50" w:after="50"/>
            </w:pPr>
            <w:r>
              <w:rPr>
                <w:sz w:val="18"/>
                <w:szCs w:val="18"/>
              </w:rPr>
              <w:t>Aggregator Platform</w:t>
            </w:r>
          </w:p>
        </w:tc>
        <w:tc>
          <w:tcPr>
            <w:tcW w:w="1887"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172B8AB7" w14:textId="77777777" w:rsidR="007D6936" w:rsidRDefault="00A72C4C">
            <w:pPr>
              <w:spacing w:before="50" w:after="50"/>
              <w:jc w:val="center"/>
            </w:pPr>
            <w:r>
              <w:rPr>
                <w:sz w:val="18"/>
                <w:szCs w:val="18"/>
              </w:rPr>
              <w:t>8.05%</w:t>
            </w:r>
          </w:p>
        </w:tc>
        <w:tc>
          <w:tcPr>
            <w:tcW w:w="1887"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7C754028" w14:textId="77777777" w:rsidR="007D6936" w:rsidRDefault="00A72C4C">
            <w:pPr>
              <w:spacing w:before="50" w:after="50"/>
              <w:jc w:val="center"/>
            </w:pPr>
            <w:r>
              <w:rPr>
                <w:sz w:val="18"/>
                <w:szCs w:val="18"/>
              </w:rPr>
              <w:t>₹</w:t>
            </w:r>
            <w:r>
              <w:rPr>
                <w:sz w:val="18"/>
                <w:szCs w:val="18"/>
              </w:rPr>
              <w:t>850</w:t>
            </w:r>
          </w:p>
        </w:tc>
        <w:tc>
          <w:tcPr>
            <w:tcW w:w="2886"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392B28C8" w14:textId="77777777" w:rsidR="007D6936" w:rsidRDefault="00A72C4C">
            <w:pPr>
              <w:spacing w:before="50" w:after="50"/>
              <w:jc w:val="center"/>
            </w:pPr>
            <w:r>
              <w:rPr>
                <w:b/>
                <w:bCs/>
                <w:color w:val="7B4300"/>
                <w:sz w:val="18"/>
                <w:szCs w:val="18"/>
              </w:rPr>
              <w:t>2 Hours</w:t>
            </w:r>
          </w:p>
        </w:tc>
      </w:tr>
      <w:tr w:rsidR="007D6936" w14:paraId="7DBD813C"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CC2842" w14:textId="77777777" w:rsidR="007D6936" w:rsidRDefault="00A72C4C">
            <w:pPr>
              <w:spacing w:before="50" w:after="50"/>
            </w:pPr>
            <w:r>
              <w:rPr>
                <w:sz w:val="18"/>
                <w:szCs w:val="18"/>
              </w:rPr>
              <w:t>Bank Referral</w:t>
            </w:r>
          </w:p>
        </w:tc>
        <w:tc>
          <w:tcPr>
            <w:tcW w:w="188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315DA4" w14:textId="77777777" w:rsidR="007D6936" w:rsidRDefault="00A72C4C">
            <w:pPr>
              <w:spacing w:before="50" w:after="50"/>
              <w:jc w:val="center"/>
            </w:pPr>
            <w:r>
              <w:rPr>
                <w:b/>
                <w:bCs/>
                <w:color w:val="9A0000"/>
                <w:sz w:val="18"/>
                <w:szCs w:val="18"/>
              </w:rPr>
              <w:t>8.81%</w:t>
            </w:r>
          </w:p>
        </w:tc>
        <w:tc>
          <w:tcPr>
            <w:tcW w:w="188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E24B78" w14:textId="77777777" w:rsidR="007D6936" w:rsidRDefault="00A72C4C">
            <w:pPr>
              <w:spacing w:before="50" w:after="50"/>
              <w:jc w:val="center"/>
            </w:pPr>
            <w:r>
              <w:rPr>
                <w:sz w:val="18"/>
                <w:szCs w:val="18"/>
              </w:rPr>
              <w:t>₹</w:t>
            </w:r>
            <w:r>
              <w:rPr>
                <w:sz w:val="18"/>
                <w:szCs w:val="18"/>
              </w:rPr>
              <w:t>300</w:t>
            </w:r>
          </w:p>
        </w:tc>
        <w:tc>
          <w:tcPr>
            <w:tcW w:w="28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763434" w14:textId="77777777" w:rsidR="007D6936" w:rsidRDefault="00A72C4C">
            <w:pPr>
              <w:spacing w:before="50" w:after="50"/>
              <w:jc w:val="center"/>
            </w:pPr>
            <w:r>
              <w:rPr>
                <w:sz w:val="18"/>
                <w:szCs w:val="18"/>
              </w:rPr>
              <w:t>48 Hours</w:t>
            </w:r>
          </w:p>
        </w:tc>
      </w:tr>
    </w:tbl>
    <w:p w14:paraId="6A13CC89" w14:textId="77777777" w:rsidR="007D6936" w:rsidRDefault="007D6936">
      <w:pPr>
        <w:spacing w:after="60"/>
      </w:pPr>
    </w:p>
    <w:p w14:paraId="149A99C9" w14:textId="0C9B19AF" w:rsidR="007D6936" w:rsidRDefault="00A72C4C">
      <w:pPr>
        <w:spacing w:after="80"/>
      </w:pPr>
      <w:r>
        <w:rPr>
          <w:color w:val="888888"/>
          <w:sz w:val="16"/>
          <w:szCs w:val="16"/>
        </w:rPr>
        <w:t xml:space="preserve">Source: </w:t>
      </w:r>
      <w:proofErr w:type="spellStart"/>
      <w:r>
        <w:rPr>
          <w:color w:val="888888"/>
          <w:sz w:val="16"/>
          <w:szCs w:val="16"/>
        </w:rPr>
        <w:t>XGBoost</w:t>
      </w:r>
      <w:proofErr w:type="spellEnd"/>
      <w:r>
        <w:rPr>
          <w:color w:val="888888"/>
          <w:sz w:val="16"/>
          <w:szCs w:val="16"/>
        </w:rPr>
        <w:t xml:space="preserve"> + SLSQP Engine — Final </w:t>
      </w:r>
      <w:r w:rsidR="00DE256B">
        <w:rPr>
          <w:color w:val="888888"/>
          <w:sz w:val="16"/>
          <w:szCs w:val="16"/>
        </w:rPr>
        <w:t xml:space="preserve">V3.1 </w:t>
      </w:r>
      <w:proofErr w:type="gramStart"/>
      <w:r w:rsidR="00DE256B">
        <w:rPr>
          <w:color w:val="888888"/>
          <w:sz w:val="16"/>
          <w:szCs w:val="16"/>
        </w:rPr>
        <w:t>|</w:t>
      </w:r>
      <w:r>
        <w:rPr>
          <w:color w:val="888888"/>
          <w:sz w:val="16"/>
          <w:szCs w:val="16"/>
        </w:rPr>
        <w:t xml:space="preserve">  Organic</w:t>
      </w:r>
      <w:proofErr w:type="gramEnd"/>
      <w:r>
        <w:rPr>
          <w:color w:val="888888"/>
          <w:sz w:val="16"/>
          <w:szCs w:val="16"/>
        </w:rPr>
        <w:t xml:space="preserve"> baseline: 8.10% (Home Credit empirical)</w:t>
      </w:r>
    </w:p>
    <w:p w14:paraId="0A0A6AB9" w14:textId="77777777" w:rsidR="007D6936" w:rsidRDefault="007D6936">
      <w:pPr>
        <w:spacing w:after="110"/>
      </w:pPr>
    </w:p>
    <w:p w14:paraId="4CACDF3F" w14:textId="77777777" w:rsidR="007D6936" w:rsidRDefault="00A72C4C">
      <w:pPr>
        <w:spacing w:after="90"/>
      </w:pPr>
      <w:r>
        <w:rPr>
          <w:b/>
          <w:bCs/>
          <w:color w:val="1F3864"/>
        </w:rPr>
        <w:t xml:space="preserve">ORGANIC SEARCH — SCALE AGGRESSIVELY:  </w:t>
      </w:r>
      <w:r>
        <w:t>₹</w:t>
      </w:r>
      <w:r>
        <w:t>50 CAC at 7.88% default rate (below the 8.10% empirical baseline) is dominant on both risk quality and unit economics dimensions simultaneously. The 12-hour underwriting window is not a competitive disadvantage — it is the underwriting. Primary budget allocation is mandatory.</w:t>
      </w:r>
    </w:p>
    <w:p w14:paraId="1EFD5BE4" w14:textId="77777777" w:rsidR="007D6936" w:rsidRDefault="00A72C4C">
      <w:pPr>
        <w:spacing w:after="90"/>
      </w:pPr>
      <w:r>
        <w:rPr>
          <w:b/>
          <w:bCs/>
          <w:color w:val="1F3864"/>
        </w:rPr>
        <w:t xml:space="preserve">AGGREGATOR PLATFORM — CONTROLLED DEPLOYMENT:  </w:t>
      </w:r>
      <w:r>
        <w:t>2-hour turnaround drives adverse selection risk as thin-file borrowers with no alternatives concentrate in fastest-approval channels. Apply a Dynamic LGD loading adjustment of +5 percentage points for all aggregator-sourced originations. Hard cap at 20% of total monthly volume.</w:t>
      </w:r>
    </w:p>
    <w:p w14:paraId="78BAF1CC" w14:textId="77777777" w:rsidR="007D6936" w:rsidRDefault="00A72C4C">
      <w:pPr>
        <w:spacing w:after="90"/>
      </w:pPr>
      <w:r>
        <w:rPr>
          <w:b/>
          <w:bCs/>
          <w:color w:val="9A0000"/>
        </w:rPr>
        <w:t xml:space="preserve">INSTAGRAM ADS — EXIT OR JUSTIFY:  </w:t>
      </w:r>
      <w:r>
        <w:t>₹</w:t>
      </w:r>
      <w:r>
        <w:t xml:space="preserve">1,200 CAC is </w:t>
      </w:r>
      <w:r>
        <w:rPr>
          <w:b/>
          <w:bCs/>
        </w:rPr>
        <w:t>24× the organic acquisition cost</w:t>
      </w:r>
      <w:r>
        <w:t>. The marginal risk improvement at 7.95% does not justify this premium. Wind down within two quarters unless LTV analysis confirms lifetime borrower revenue exceeding ₹7,200 net of projected default losses.</w:t>
      </w:r>
    </w:p>
    <w:p w14:paraId="36DB1340" w14:textId="77777777" w:rsidR="007D6936" w:rsidRDefault="00A72C4C">
      <w:pPr>
        <w:spacing w:after="90"/>
      </w:pPr>
      <w:r>
        <w:rPr>
          <w:b/>
          <w:bCs/>
          <w:color w:val="1F3864"/>
        </w:rPr>
        <w:t xml:space="preserve">BANK REFERRAL — SURGICAL USE ONLY:  </w:t>
      </w:r>
      <w:r>
        <w:t>The portfolio's highest default rate (8.81%) at ₹300 CAC demands a hard 10% monthly origination cap. The 48-hour approval window permits thorough bureau verification, but the elevated default rate requires segment-level Dynamic LGD adjustment before approval clearance.</w:t>
      </w:r>
    </w:p>
    <w:p w14:paraId="0D7E46B6" w14:textId="77777777" w:rsidR="007D6936" w:rsidRDefault="007D6936">
      <w:pPr>
        <w:spacing w:after="100"/>
      </w:pPr>
    </w:p>
    <w:p w14:paraId="406B5A08" w14:textId="77777777" w:rsidR="007D6936" w:rsidRDefault="00A72C4C">
      <w:pPr>
        <w:shd w:val="clear" w:color="auto" w:fill="1F3864"/>
        <w:spacing w:before="280" w:after="120"/>
        <w:ind w:left="140" w:right="140"/>
      </w:pPr>
      <w:r>
        <w:rPr>
          <w:b/>
          <w:bCs/>
          <w:color w:val="FFFFFF"/>
          <w:sz w:val="22"/>
          <w:szCs w:val="22"/>
        </w:rPr>
        <w:t xml:space="preserve">SECTION </w:t>
      </w:r>
      <w:proofErr w:type="gramStart"/>
      <w:r>
        <w:rPr>
          <w:b/>
          <w:bCs/>
          <w:color w:val="FFFFFF"/>
          <w:sz w:val="22"/>
          <w:szCs w:val="22"/>
        </w:rPr>
        <w:t>4  —</w:t>
      </w:r>
      <w:proofErr w:type="gramEnd"/>
      <w:r>
        <w:rPr>
          <w:b/>
          <w:bCs/>
          <w:color w:val="FFFFFF"/>
          <w:sz w:val="22"/>
          <w:szCs w:val="22"/>
        </w:rPr>
        <w:t xml:space="preserve">  PRODUCT &amp; TENURE RISK </w:t>
      </w:r>
      <w:proofErr w:type="gramStart"/>
      <w:r>
        <w:rPr>
          <w:b/>
          <w:bCs/>
          <w:color w:val="FFFFFF"/>
          <w:sz w:val="22"/>
          <w:szCs w:val="22"/>
        </w:rPr>
        <w:t>MATRIX  (</w:t>
      </w:r>
      <w:proofErr w:type="gramEnd"/>
      <w:r>
        <w:rPr>
          <w:b/>
          <w:bCs/>
          <w:color w:val="FFFFFF"/>
          <w:sz w:val="22"/>
          <w:szCs w:val="22"/>
        </w:rPr>
        <w:t>Q3)</w:t>
      </w:r>
    </w:p>
    <w:p w14:paraId="7169BB4C" w14:textId="77777777" w:rsidR="007D6936" w:rsidRDefault="007D6936">
      <w:pPr>
        <w:spacing w:after="60"/>
      </w:pPr>
    </w:p>
    <w:p w14:paraId="00433D03" w14:textId="77777777" w:rsidR="007D6936" w:rsidRDefault="00A72C4C">
      <w:pPr>
        <w:pBdr>
          <w:bottom w:val="single" w:sz="4" w:space="1" w:color="2E75B6"/>
        </w:pBdr>
        <w:spacing w:before="180" w:after="80"/>
      </w:pPr>
      <w:r>
        <w:rPr>
          <w:b/>
          <w:bCs/>
          <w:color w:val="1F3864"/>
          <w:sz w:val="22"/>
          <w:szCs w:val="22"/>
        </w:rPr>
        <w:t>How Dynamic LGD Penalizes High-Ticket Unsecured Personal Loans</w:t>
      </w:r>
    </w:p>
    <w:p w14:paraId="2E884CDF" w14:textId="5FEFE41C" w:rsidR="007D6936" w:rsidRDefault="00A72C4C">
      <w:pPr>
        <w:spacing w:after="100"/>
      </w:pPr>
      <w:r>
        <w:t>Our Dynamic LGD function is not a static parameter — it penalizes loss severity as a joint product of three co-varying risk factors: (</w:t>
      </w:r>
      <w:proofErr w:type="spellStart"/>
      <w:r>
        <w:t>i</w:t>
      </w:r>
      <w:proofErr w:type="spellEnd"/>
      <w:r>
        <w:t xml:space="preserve">) absolute ticket size, where losses in rupee terms scale monotonically with exposure; (ii) tenure duration, where longer-dated unsecured loans accumulate delinquency without collateral recovery options; and (iii) product structure, where revolving BNPL/Credit Lines benefit from natural </w:t>
      </w:r>
      <w:r w:rsidR="007543FB">
        <w:t>behavioural</w:t>
      </w:r>
      <w:r>
        <w:t xml:space="preserve"> correction mechanisms (credit limit compression, spending restriction) that point-in-time personal loans cannot replicate.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0"/>
        <w:gridCol w:w="2200"/>
        <w:gridCol w:w="3600"/>
      </w:tblGrid>
      <w:tr w:rsidR="007D6936" w14:paraId="0E71BCCE" w14:textId="77777777">
        <w:tblPrEx>
          <w:tblCellMar>
            <w:top w:w="0" w:type="dxa"/>
            <w:bottom w:w="0" w:type="dxa"/>
          </w:tblCellMar>
        </w:tblPrEx>
        <w:tc>
          <w:tcPr>
            <w:tcW w:w="3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DF9C401" w14:textId="77777777" w:rsidR="007D6936" w:rsidRDefault="00A72C4C">
            <w:pPr>
              <w:spacing w:before="50" w:after="50"/>
            </w:pPr>
            <w:r>
              <w:rPr>
                <w:b/>
                <w:bCs/>
                <w:color w:val="FFFFFF"/>
                <w:sz w:val="18"/>
                <w:szCs w:val="18"/>
              </w:rPr>
              <w:t>PRODUCT &amp; TICKET SIZE</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1E13D0C" w14:textId="77777777" w:rsidR="007D6936" w:rsidRDefault="00A72C4C">
            <w:pPr>
              <w:spacing w:before="50" w:after="50"/>
              <w:jc w:val="center"/>
            </w:pPr>
            <w:r>
              <w:rPr>
                <w:b/>
                <w:bCs/>
                <w:color w:val="FFFFFF"/>
                <w:sz w:val="18"/>
                <w:szCs w:val="18"/>
              </w:rPr>
              <w:t>AVG TENURE (MONTHS)</w:t>
            </w:r>
          </w:p>
        </w:tc>
        <w:tc>
          <w:tcPr>
            <w:tcW w:w="3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8EFB14E" w14:textId="77777777" w:rsidR="007D6936" w:rsidRDefault="00A72C4C">
            <w:pPr>
              <w:spacing w:before="50" w:after="50"/>
              <w:jc w:val="center"/>
            </w:pPr>
            <w:r>
              <w:rPr>
                <w:b/>
                <w:bCs/>
                <w:color w:val="FFFFFF"/>
                <w:sz w:val="18"/>
                <w:szCs w:val="18"/>
              </w:rPr>
              <w:t>RISK-ADJ. DEFAULT PROBABILITY</w:t>
            </w:r>
          </w:p>
        </w:tc>
      </w:tr>
      <w:tr w:rsidR="007D6936" w14:paraId="4FCFF38D" w14:textId="77777777">
        <w:tblPrEx>
          <w:tblCellMar>
            <w:top w:w="0" w:type="dxa"/>
            <w:bottom w:w="0" w:type="dxa"/>
          </w:tblCellMar>
        </w:tblPrEx>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64D88B" w14:textId="58D8AE76" w:rsidR="007D6936" w:rsidRDefault="00A72C4C">
            <w:pPr>
              <w:spacing w:before="50" w:after="50"/>
            </w:pPr>
            <w:r>
              <w:rPr>
                <w:sz w:val="18"/>
                <w:szCs w:val="18"/>
              </w:rPr>
              <w:t xml:space="preserve">BNPL / Credit </w:t>
            </w:r>
            <w:r w:rsidR="00DE256B">
              <w:rPr>
                <w:sz w:val="18"/>
                <w:szCs w:val="18"/>
              </w:rPr>
              <w:t xml:space="preserve">Line </w:t>
            </w:r>
            <w:proofErr w:type="gramStart"/>
            <w:r w:rsidR="00DE256B">
              <w:rPr>
                <w:sz w:val="18"/>
                <w:szCs w:val="18"/>
              </w:rPr>
              <w:t>—</w:t>
            </w:r>
            <w:r>
              <w:rPr>
                <w:sz w:val="18"/>
                <w:szCs w:val="18"/>
              </w:rPr>
              <w:t xml:space="preserve">  Low</w:t>
            </w:r>
            <w:proofErr w:type="gramEnd"/>
            <w:r>
              <w:rPr>
                <w:sz w:val="18"/>
                <w:szCs w:val="18"/>
              </w:rPr>
              <w:t>-Ticket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D41EB2" w14:textId="77777777" w:rsidR="007D6936" w:rsidRDefault="00A72C4C">
            <w:pPr>
              <w:spacing w:before="50" w:after="50"/>
              <w:jc w:val="center"/>
            </w:pPr>
            <w:r>
              <w:rPr>
                <w:sz w:val="18"/>
                <w:szCs w:val="18"/>
              </w:rPr>
              <w:t>240.0</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AA501A" w14:textId="77777777" w:rsidR="007D6936" w:rsidRDefault="00A72C4C">
            <w:pPr>
              <w:spacing w:before="50" w:after="50"/>
              <w:jc w:val="center"/>
            </w:pPr>
            <w:r>
              <w:rPr>
                <w:sz w:val="18"/>
                <w:szCs w:val="18"/>
              </w:rPr>
              <w:t>39.67%</w:t>
            </w:r>
          </w:p>
        </w:tc>
      </w:tr>
      <w:tr w:rsidR="007D6936" w14:paraId="566C26E8" w14:textId="77777777">
        <w:tblPrEx>
          <w:tblCellMar>
            <w:top w:w="0" w:type="dxa"/>
            <w:bottom w:w="0" w:type="dxa"/>
          </w:tblCellMar>
        </w:tblPrEx>
        <w:tc>
          <w:tcPr>
            <w:tcW w:w="356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vAlign w:val="center"/>
          </w:tcPr>
          <w:p w14:paraId="77BF36AB" w14:textId="77086292" w:rsidR="007D6936" w:rsidRDefault="00A72C4C">
            <w:pPr>
              <w:spacing w:before="50" w:after="50"/>
            </w:pPr>
            <w:r>
              <w:rPr>
                <w:sz w:val="18"/>
                <w:szCs w:val="18"/>
              </w:rPr>
              <w:lastRenderedPageBreak/>
              <w:t xml:space="preserve">BNPL / Credit </w:t>
            </w:r>
            <w:r w:rsidR="007543FB">
              <w:rPr>
                <w:sz w:val="18"/>
                <w:szCs w:val="18"/>
              </w:rPr>
              <w:t>Line — Mid</w:t>
            </w:r>
            <w:r>
              <w:rPr>
                <w:sz w:val="18"/>
                <w:szCs w:val="18"/>
              </w:rPr>
              <w:t>-Ticket</w:t>
            </w:r>
          </w:p>
        </w:tc>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vAlign w:val="center"/>
          </w:tcPr>
          <w:p w14:paraId="7DA14523" w14:textId="77777777" w:rsidR="007D6936" w:rsidRDefault="00A72C4C">
            <w:pPr>
              <w:spacing w:before="50" w:after="50"/>
              <w:jc w:val="center"/>
            </w:pPr>
            <w:r>
              <w:rPr>
                <w:sz w:val="18"/>
                <w:szCs w:val="18"/>
              </w:rPr>
              <w:t>240.0</w:t>
            </w:r>
          </w:p>
        </w:tc>
        <w:tc>
          <w:tcPr>
            <w:tcW w:w="36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vAlign w:val="center"/>
          </w:tcPr>
          <w:p w14:paraId="2EE65C35" w14:textId="77777777" w:rsidR="007D6936" w:rsidRDefault="00A72C4C">
            <w:pPr>
              <w:spacing w:before="50" w:after="50"/>
              <w:jc w:val="center"/>
            </w:pPr>
            <w:r>
              <w:rPr>
                <w:sz w:val="18"/>
                <w:szCs w:val="18"/>
              </w:rPr>
              <w:t>35.77%</w:t>
            </w:r>
          </w:p>
        </w:tc>
      </w:tr>
      <w:tr w:rsidR="007D6936" w14:paraId="50223996" w14:textId="77777777">
        <w:tblPrEx>
          <w:tblCellMar>
            <w:top w:w="0" w:type="dxa"/>
            <w:bottom w:w="0" w:type="dxa"/>
          </w:tblCellMar>
        </w:tblPrEx>
        <w:tc>
          <w:tcPr>
            <w:tcW w:w="3560" w:type="dxa"/>
            <w:tcBorders>
              <w:top w:val="single" w:sz="1" w:space="0" w:color="AAAAAA"/>
              <w:left w:val="single" w:sz="1" w:space="0" w:color="AAAAAA"/>
              <w:bottom w:val="single" w:sz="1" w:space="0" w:color="AAAAAA"/>
              <w:right w:val="single" w:sz="1" w:space="0" w:color="AAAAAA"/>
            </w:tcBorders>
            <w:shd w:val="clear" w:color="auto" w:fill="E6F4EC"/>
            <w:tcMar>
              <w:top w:w="80" w:type="dxa"/>
              <w:left w:w="120" w:type="dxa"/>
              <w:bottom w:w="80" w:type="dxa"/>
              <w:right w:w="120" w:type="dxa"/>
            </w:tcMar>
            <w:vAlign w:val="center"/>
          </w:tcPr>
          <w:p w14:paraId="0E1D8154" w14:textId="4F0AD1E7" w:rsidR="007D6936" w:rsidRDefault="00A72C4C">
            <w:pPr>
              <w:spacing w:before="50" w:after="50"/>
            </w:pPr>
            <w:r>
              <w:rPr>
                <w:b/>
                <w:bCs/>
                <w:sz w:val="18"/>
                <w:szCs w:val="18"/>
              </w:rPr>
              <w:t xml:space="preserve">BNPL / Credit </w:t>
            </w:r>
            <w:r w:rsidR="007543FB">
              <w:rPr>
                <w:b/>
                <w:bCs/>
                <w:sz w:val="18"/>
                <w:szCs w:val="18"/>
              </w:rPr>
              <w:t>Line — High</w:t>
            </w:r>
            <w:r>
              <w:rPr>
                <w:b/>
                <w:bCs/>
                <w:sz w:val="18"/>
                <w:szCs w:val="18"/>
              </w:rPr>
              <w:t>-</w:t>
            </w:r>
            <w:r w:rsidR="007543FB">
              <w:rPr>
                <w:b/>
                <w:bCs/>
                <w:sz w:val="18"/>
                <w:szCs w:val="18"/>
              </w:rPr>
              <w:t>Ticket [</w:t>
            </w:r>
            <w:r>
              <w:rPr>
                <w:b/>
                <w:bCs/>
                <w:sz w:val="18"/>
                <w:szCs w:val="18"/>
              </w:rPr>
              <w:t>PRIORITY]</w:t>
            </w:r>
          </w:p>
        </w:tc>
        <w:tc>
          <w:tcPr>
            <w:tcW w:w="2200" w:type="dxa"/>
            <w:tcBorders>
              <w:top w:val="single" w:sz="1" w:space="0" w:color="AAAAAA"/>
              <w:left w:val="single" w:sz="1" w:space="0" w:color="AAAAAA"/>
              <w:bottom w:val="single" w:sz="1" w:space="0" w:color="AAAAAA"/>
              <w:right w:val="single" w:sz="1" w:space="0" w:color="AAAAAA"/>
            </w:tcBorders>
            <w:shd w:val="clear" w:color="auto" w:fill="E6F4EC"/>
            <w:tcMar>
              <w:top w:w="80" w:type="dxa"/>
              <w:left w:w="120" w:type="dxa"/>
              <w:bottom w:w="80" w:type="dxa"/>
              <w:right w:w="120" w:type="dxa"/>
            </w:tcMar>
            <w:vAlign w:val="center"/>
          </w:tcPr>
          <w:p w14:paraId="1CF72E56" w14:textId="77777777" w:rsidR="007D6936" w:rsidRDefault="00A72C4C">
            <w:pPr>
              <w:spacing w:before="50" w:after="50"/>
              <w:jc w:val="center"/>
            </w:pPr>
            <w:r>
              <w:rPr>
                <w:sz w:val="18"/>
                <w:szCs w:val="18"/>
              </w:rPr>
              <w:t>240.0</w:t>
            </w:r>
          </w:p>
        </w:tc>
        <w:tc>
          <w:tcPr>
            <w:tcW w:w="3600" w:type="dxa"/>
            <w:tcBorders>
              <w:top w:val="single" w:sz="1" w:space="0" w:color="AAAAAA"/>
              <w:left w:val="single" w:sz="1" w:space="0" w:color="AAAAAA"/>
              <w:bottom w:val="single" w:sz="1" w:space="0" w:color="AAAAAA"/>
              <w:right w:val="single" w:sz="1" w:space="0" w:color="AAAAAA"/>
            </w:tcBorders>
            <w:shd w:val="clear" w:color="auto" w:fill="E6F4EC"/>
            <w:tcMar>
              <w:top w:w="80" w:type="dxa"/>
              <w:left w:w="120" w:type="dxa"/>
              <w:bottom w:w="80" w:type="dxa"/>
              <w:right w:w="120" w:type="dxa"/>
            </w:tcMar>
            <w:vAlign w:val="center"/>
          </w:tcPr>
          <w:p w14:paraId="51B96345" w14:textId="77777777" w:rsidR="007D6936" w:rsidRDefault="00A72C4C">
            <w:pPr>
              <w:spacing w:before="50" w:after="50"/>
              <w:jc w:val="center"/>
            </w:pPr>
            <w:r>
              <w:rPr>
                <w:b/>
                <w:bCs/>
                <w:color w:val="1A5E35"/>
                <w:sz w:val="18"/>
                <w:szCs w:val="18"/>
              </w:rPr>
              <w:t>16.17%</w:t>
            </w:r>
          </w:p>
        </w:tc>
      </w:tr>
      <w:tr w:rsidR="007D6936" w14:paraId="178BC631" w14:textId="77777777">
        <w:tblPrEx>
          <w:tblCellMar>
            <w:top w:w="0" w:type="dxa"/>
            <w:bottom w:w="0" w:type="dxa"/>
          </w:tblCellMar>
        </w:tblPrEx>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08226F" w14:textId="650AAA2C" w:rsidR="007D6936" w:rsidRDefault="00A72C4C">
            <w:pPr>
              <w:spacing w:before="50" w:after="50"/>
            </w:pPr>
            <w:r>
              <w:rPr>
                <w:sz w:val="18"/>
                <w:szCs w:val="18"/>
              </w:rPr>
              <w:t xml:space="preserve">Unsecured </w:t>
            </w:r>
            <w:r w:rsidR="007543FB">
              <w:rPr>
                <w:sz w:val="18"/>
                <w:szCs w:val="18"/>
              </w:rPr>
              <w:t>Personal — Low</w:t>
            </w:r>
            <w:r>
              <w:rPr>
                <w:sz w:val="18"/>
                <w:szCs w:val="18"/>
              </w:rPr>
              <w:t>-Ticket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1DC839" w14:textId="77777777" w:rsidR="007D6936" w:rsidRDefault="00A72C4C">
            <w:pPr>
              <w:spacing w:before="50" w:after="50"/>
              <w:jc w:val="center"/>
            </w:pPr>
            <w:r>
              <w:rPr>
                <w:sz w:val="18"/>
                <w:szCs w:val="18"/>
              </w:rPr>
              <w:t>178.5</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9732FB" w14:textId="77777777" w:rsidR="007D6936" w:rsidRDefault="00A72C4C">
            <w:pPr>
              <w:spacing w:before="50" w:after="50"/>
              <w:jc w:val="center"/>
            </w:pPr>
            <w:r>
              <w:rPr>
                <w:sz w:val="18"/>
                <w:szCs w:val="18"/>
              </w:rPr>
              <w:t>42.13%</w:t>
            </w:r>
          </w:p>
        </w:tc>
      </w:tr>
      <w:tr w:rsidR="007D6936" w14:paraId="127D759F" w14:textId="77777777">
        <w:tblPrEx>
          <w:tblCellMar>
            <w:top w:w="0" w:type="dxa"/>
            <w:bottom w:w="0" w:type="dxa"/>
          </w:tblCellMar>
        </w:tblPrEx>
        <w:tc>
          <w:tcPr>
            <w:tcW w:w="356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vAlign w:val="center"/>
          </w:tcPr>
          <w:p w14:paraId="683EF4B4" w14:textId="6E80E9C6" w:rsidR="007D6936" w:rsidRDefault="00A72C4C">
            <w:pPr>
              <w:spacing w:before="50" w:after="50"/>
            </w:pPr>
            <w:r>
              <w:rPr>
                <w:sz w:val="18"/>
                <w:szCs w:val="18"/>
              </w:rPr>
              <w:t xml:space="preserve">Unsecured </w:t>
            </w:r>
            <w:r w:rsidR="007543FB">
              <w:rPr>
                <w:sz w:val="18"/>
                <w:szCs w:val="18"/>
              </w:rPr>
              <w:t>Personal — Mid</w:t>
            </w:r>
            <w:r>
              <w:rPr>
                <w:sz w:val="18"/>
                <w:szCs w:val="18"/>
              </w:rPr>
              <w:t>-Ticket</w:t>
            </w:r>
          </w:p>
        </w:tc>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vAlign w:val="center"/>
          </w:tcPr>
          <w:p w14:paraId="523E925A" w14:textId="77777777" w:rsidR="007D6936" w:rsidRDefault="00A72C4C">
            <w:pPr>
              <w:spacing w:before="50" w:after="50"/>
              <w:jc w:val="center"/>
            </w:pPr>
            <w:r>
              <w:rPr>
                <w:sz w:val="18"/>
                <w:szCs w:val="18"/>
              </w:rPr>
              <w:t>258.1</w:t>
            </w:r>
          </w:p>
        </w:tc>
        <w:tc>
          <w:tcPr>
            <w:tcW w:w="36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vAlign w:val="center"/>
          </w:tcPr>
          <w:p w14:paraId="4581754A" w14:textId="77777777" w:rsidR="007D6936" w:rsidRDefault="00A72C4C">
            <w:pPr>
              <w:spacing w:before="50" w:after="50"/>
              <w:jc w:val="center"/>
            </w:pPr>
            <w:r>
              <w:rPr>
                <w:b/>
                <w:bCs/>
                <w:color w:val="9A0000"/>
                <w:sz w:val="18"/>
                <w:szCs w:val="18"/>
              </w:rPr>
              <w:t>46.63%</w:t>
            </w:r>
          </w:p>
        </w:tc>
      </w:tr>
      <w:tr w:rsidR="007D6936" w14:paraId="75CE34CA" w14:textId="77777777">
        <w:tblPrEx>
          <w:tblCellMar>
            <w:top w:w="0" w:type="dxa"/>
            <w:bottom w:w="0" w:type="dxa"/>
          </w:tblCellMar>
        </w:tblPrEx>
        <w:tc>
          <w:tcPr>
            <w:tcW w:w="3560" w:type="dxa"/>
            <w:tcBorders>
              <w:top w:val="single" w:sz="1" w:space="0" w:color="AAAAAA"/>
              <w:left w:val="single" w:sz="1" w:space="0" w:color="AAAAAA"/>
              <w:bottom w:val="single" w:sz="1" w:space="0" w:color="AAAAAA"/>
              <w:right w:val="single" w:sz="1" w:space="0" w:color="AAAAAA"/>
            </w:tcBorders>
            <w:shd w:val="clear" w:color="auto" w:fill="FFE8E8"/>
            <w:tcMar>
              <w:top w:w="80" w:type="dxa"/>
              <w:left w:w="120" w:type="dxa"/>
              <w:bottom w:w="80" w:type="dxa"/>
              <w:right w:w="120" w:type="dxa"/>
            </w:tcMar>
            <w:vAlign w:val="center"/>
          </w:tcPr>
          <w:p w14:paraId="72161127" w14:textId="1F474F66" w:rsidR="007D6936" w:rsidRDefault="00A72C4C">
            <w:pPr>
              <w:spacing w:before="50" w:after="50"/>
            </w:pPr>
            <w:r>
              <w:rPr>
                <w:b/>
                <w:bCs/>
                <w:color w:val="9A0000"/>
                <w:sz w:val="18"/>
                <w:szCs w:val="18"/>
              </w:rPr>
              <w:t xml:space="preserve">Unsecured </w:t>
            </w:r>
            <w:r w:rsidR="007543FB">
              <w:rPr>
                <w:b/>
                <w:bCs/>
                <w:color w:val="9A0000"/>
                <w:sz w:val="18"/>
                <w:szCs w:val="18"/>
              </w:rPr>
              <w:t xml:space="preserve">Personal </w:t>
            </w:r>
            <w:r w:rsidR="00DE256B">
              <w:rPr>
                <w:b/>
                <w:bCs/>
                <w:color w:val="9A0000"/>
                <w:sz w:val="18"/>
                <w:szCs w:val="18"/>
              </w:rPr>
              <w:t>— High</w:t>
            </w:r>
            <w:r>
              <w:rPr>
                <w:b/>
                <w:bCs/>
                <w:color w:val="9A0000"/>
                <w:sz w:val="18"/>
                <w:szCs w:val="18"/>
              </w:rPr>
              <w:t>-</w:t>
            </w:r>
            <w:r w:rsidR="00DE256B">
              <w:rPr>
                <w:b/>
                <w:bCs/>
                <w:color w:val="9A0000"/>
                <w:sz w:val="18"/>
                <w:szCs w:val="18"/>
              </w:rPr>
              <w:t>Ticket [</w:t>
            </w:r>
            <w:r>
              <w:rPr>
                <w:b/>
                <w:bCs/>
                <w:color w:val="9A0000"/>
                <w:sz w:val="18"/>
                <w:szCs w:val="18"/>
              </w:rPr>
              <w:t>15% CAP]</w:t>
            </w:r>
          </w:p>
        </w:tc>
        <w:tc>
          <w:tcPr>
            <w:tcW w:w="2200" w:type="dxa"/>
            <w:tcBorders>
              <w:top w:val="single" w:sz="1" w:space="0" w:color="AAAAAA"/>
              <w:left w:val="single" w:sz="1" w:space="0" w:color="AAAAAA"/>
              <w:bottom w:val="single" w:sz="1" w:space="0" w:color="AAAAAA"/>
              <w:right w:val="single" w:sz="1" w:space="0" w:color="AAAAAA"/>
            </w:tcBorders>
            <w:shd w:val="clear" w:color="auto" w:fill="FFE8E8"/>
            <w:tcMar>
              <w:top w:w="80" w:type="dxa"/>
              <w:left w:w="120" w:type="dxa"/>
              <w:bottom w:w="80" w:type="dxa"/>
              <w:right w:w="120" w:type="dxa"/>
            </w:tcMar>
            <w:vAlign w:val="center"/>
          </w:tcPr>
          <w:p w14:paraId="539CEE71" w14:textId="77777777" w:rsidR="007D6936" w:rsidRDefault="00A72C4C">
            <w:pPr>
              <w:spacing w:before="50" w:after="50"/>
              <w:jc w:val="center"/>
            </w:pPr>
            <w:r>
              <w:rPr>
                <w:b/>
                <w:bCs/>
                <w:color w:val="9A0000"/>
                <w:sz w:val="18"/>
                <w:szCs w:val="18"/>
              </w:rPr>
              <w:t>338.0</w:t>
            </w:r>
          </w:p>
        </w:tc>
        <w:tc>
          <w:tcPr>
            <w:tcW w:w="3600" w:type="dxa"/>
            <w:tcBorders>
              <w:top w:val="single" w:sz="1" w:space="0" w:color="AAAAAA"/>
              <w:left w:val="single" w:sz="1" w:space="0" w:color="AAAAAA"/>
              <w:bottom w:val="single" w:sz="1" w:space="0" w:color="AAAAAA"/>
              <w:right w:val="single" w:sz="1" w:space="0" w:color="AAAAAA"/>
            </w:tcBorders>
            <w:shd w:val="clear" w:color="auto" w:fill="FFE8E8"/>
            <w:tcMar>
              <w:top w:w="80" w:type="dxa"/>
              <w:left w:w="120" w:type="dxa"/>
              <w:bottom w:w="80" w:type="dxa"/>
              <w:right w:w="120" w:type="dxa"/>
            </w:tcMar>
            <w:vAlign w:val="center"/>
          </w:tcPr>
          <w:p w14:paraId="467446D5" w14:textId="77777777" w:rsidR="007D6936" w:rsidRDefault="00A72C4C">
            <w:pPr>
              <w:spacing w:before="50" w:after="50"/>
              <w:jc w:val="center"/>
            </w:pPr>
            <w:r>
              <w:rPr>
                <w:b/>
                <w:bCs/>
                <w:color w:val="9A0000"/>
                <w:sz w:val="18"/>
                <w:szCs w:val="18"/>
              </w:rPr>
              <w:t>39.90%</w:t>
            </w:r>
          </w:p>
        </w:tc>
      </w:tr>
    </w:tbl>
    <w:p w14:paraId="02CC1A4E" w14:textId="77777777" w:rsidR="007D6936" w:rsidRDefault="007D6936">
      <w:pPr>
        <w:spacing w:after="60"/>
      </w:pPr>
    </w:p>
    <w:p w14:paraId="6B19CB9E" w14:textId="547A5940" w:rsidR="007D6936" w:rsidRDefault="00A72C4C">
      <w:pPr>
        <w:spacing w:after="80"/>
      </w:pPr>
      <w:r>
        <w:rPr>
          <w:color w:val="888888"/>
          <w:sz w:val="16"/>
          <w:szCs w:val="16"/>
        </w:rPr>
        <w:t xml:space="preserve">[PRIORITY] = Priority capital </w:t>
      </w:r>
      <w:r w:rsidR="007543FB">
        <w:rPr>
          <w:color w:val="888888"/>
          <w:sz w:val="16"/>
          <w:szCs w:val="16"/>
        </w:rPr>
        <w:t xml:space="preserve">allocation </w:t>
      </w:r>
      <w:r w:rsidR="00DE256B">
        <w:rPr>
          <w:color w:val="888888"/>
          <w:sz w:val="16"/>
          <w:szCs w:val="16"/>
        </w:rPr>
        <w:t>| [</w:t>
      </w:r>
      <w:r>
        <w:rPr>
          <w:color w:val="888888"/>
          <w:sz w:val="16"/>
          <w:szCs w:val="16"/>
        </w:rPr>
        <w:t xml:space="preserve">15% CAP] = Hard concentration </w:t>
      </w:r>
      <w:proofErr w:type="spellStart"/>
      <w:r w:rsidR="00DE256B">
        <w:rPr>
          <w:color w:val="888888"/>
          <w:sz w:val="16"/>
          <w:szCs w:val="16"/>
        </w:rPr>
        <w:t>cap</w:t>
      </w:r>
      <w:proofErr w:type="spellEnd"/>
      <w:r w:rsidR="00DE256B">
        <w:rPr>
          <w:color w:val="888888"/>
          <w:sz w:val="16"/>
          <w:szCs w:val="16"/>
        </w:rPr>
        <w:t xml:space="preserve"> enforced | Source</w:t>
      </w:r>
      <w:r>
        <w:rPr>
          <w:color w:val="888888"/>
          <w:sz w:val="16"/>
          <w:szCs w:val="16"/>
        </w:rPr>
        <w:t>: Final V3.1</w:t>
      </w:r>
    </w:p>
    <w:p w14:paraId="57A56FD3" w14:textId="77777777" w:rsidR="007D6936" w:rsidRDefault="007D6936">
      <w:pPr>
        <w:spacing w:after="110"/>
      </w:pPr>
    </w:p>
    <w:p w14:paraId="00BFD323" w14:textId="77777777" w:rsidR="007D6936" w:rsidRDefault="00A72C4C">
      <w:pPr>
        <w:spacing w:after="90"/>
      </w:pPr>
      <w:r>
        <w:rPr>
          <w:b/>
          <w:bCs/>
          <w:color w:val="1A5E35"/>
        </w:rPr>
        <w:t xml:space="preserve">BNPL / CREDIT LINE HIGH-TICKET — PRIORITY CAPITAL ALLOCATION:  </w:t>
      </w:r>
      <w:r>
        <w:t xml:space="preserve">At 16.17% Risk-Adjusted Default Probability — a </w:t>
      </w:r>
      <w:r>
        <w:rPr>
          <w:b/>
          <w:bCs/>
        </w:rPr>
        <w:t>23.5 percentage-point structural advantage</w:t>
      </w:r>
      <w:r>
        <w:t xml:space="preserve"> over its unsecured personal equivalent — the revolving credit structure is the portfolio's highest-quality risk-adjusted product. Deploy as the primary cross-sell vehicle for Prime Stable and Emerging Affluent segments.</w:t>
      </w:r>
    </w:p>
    <w:p w14:paraId="5A13A541" w14:textId="61F02ED4" w:rsidR="007D6936" w:rsidRDefault="00A72C4C">
      <w:pPr>
        <w:spacing w:after="90"/>
      </w:pPr>
      <w:r>
        <w:rPr>
          <w:b/>
          <w:bCs/>
          <w:color w:val="1F3864"/>
        </w:rPr>
        <w:t xml:space="preserve">UNSECURED PERSONAL MID-TICKET — IMMEDIATE EXPOSURE CAP:  </w:t>
      </w:r>
      <w:r>
        <w:t xml:space="preserve">The highest Risk-Adjusted Default Probability in the matrix at 46.63%, combined with a 258.1-month average tenure, demands an immediate 20% portfolio concentration cap. Exception underwriting requires documented </w:t>
      </w:r>
      <w:r w:rsidR="007543FB">
        <w:t>behavioural</w:t>
      </w:r>
      <w:r>
        <w:t xml:space="preserve"> score justification at senior risk officer level.</w:t>
      </w:r>
    </w:p>
    <w:p w14:paraId="3EB789A7" w14:textId="77777777" w:rsidR="007D6936" w:rsidRDefault="00A72C4C">
      <w:pPr>
        <w:spacing w:after="80"/>
      </w:pPr>
      <w:r>
        <w:rPr>
          <w:b/>
          <w:bCs/>
          <w:color w:val="9A0000"/>
        </w:rPr>
        <w:t xml:space="preserve">UNSECURED PERSONAL HIGH-TICKET — EARLY WARNING CRITICAL:  </w:t>
      </w:r>
      <w:r>
        <w:t xml:space="preserve">At 338.0 months average tenure, delinquency events are structurally remote from origination. The Early Warning System trigger must fire at Month 36 — approximately 10% through loan life — not at Month 180, when remediation is no longer viable. Enforce 15% book concentration </w:t>
      </w:r>
      <w:proofErr w:type="spellStart"/>
      <w:r>
        <w:t>cap</w:t>
      </w:r>
      <w:proofErr w:type="spellEnd"/>
      <w:r>
        <w:t xml:space="preserve"> pending 12-month cohort performance validation.</w:t>
      </w:r>
    </w:p>
    <w:p w14:paraId="2228A536" w14:textId="77777777" w:rsidR="007D6936" w:rsidRDefault="00A72C4C">
      <w:r>
        <w:br w:type="page"/>
      </w:r>
    </w:p>
    <w:p w14:paraId="0C56BE6B" w14:textId="77777777" w:rsidR="007D6936" w:rsidRDefault="00A72C4C">
      <w:pPr>
        <w:shd w:val="clear" w:color="auto" w:fill="1F3864"/>
        <w:spacing w:before="280" w:after="120"/>
        <w:ind w:left="140" w:right="140"/>
      </w:pPr>
      <w:r>
        <w:rPr>
          <w:b/>
          <w:bCs/>
          <w:color w:val="FFFFFF"/>
          <w:sz w:val="22"/>
          <w:szCs w:val="22"/>
        </w:rPr>
        <w:lastRenderedPageBreak/>
        <w:t xml:space="preserve">SECTION </w:t>
      </w:r>
      <w:proofErr w:type="gramStart"/>
      <w:r>
        <w:rPr>
          <w:b/>
          <w:bCs/>
          <w:color w:val="FFFFFF"/>
          <w:sz w:val="22"/>
          <w:szCs w:val="22"/>
        </w:rPr>
        <w:t>5  —</w:t>
      </w:r>
      <w:proofErr w:type="gramEnd"/>
      <w:r>
        <w:rPr>
          <w:b/>
          <w:bCs/>
          <w:color w:val="FFFFFF"/>
          <w:sz w:val="22"/>
          <w:szCs w:val="22"/>
        </w:rPr>
        <w:t xml:space="preserve">  STRATEGIC ASSUMPTIONS &amp; SCOPE REALITIES</w:t>
      </w:r>
    </w:p>
    <w:p w14:paraId="76D3D261" w14:textId="77777777" w:rsidR="007D6936" w:rsidRDefault="007D6936">
      <w:pPr>
        <w:spacing w:after="60"/>
      </w:pPr>
    </w:p>
    <w:p w14:paraId="373AC654" w14:textId="72E471EE" w:rsidR="007D6936" w:rsidRDefault="007543FB">
      <w:pPr>
        <w:pBdr>
          <w:bottom w:val="single" w:sz="4" w:space="1" w:color="2E75B6"/>
        </w:pBdr>
        <w:spacing w:before="180" w:after="80"/>
      </w:pPr>
      <w:r>
        <w:rPr>
          <w:b/>
          <w:bCs/>
          <w:color w:val="1F3864"/>
          <w:sz w:val="22"/>
          <w:szCs w:val="22"/>
        </w:rPr>
        <w:t>Behavioural</w:t>
      </w:r>
      <w:r w:rsidR="00A72C4C">
        <w:rPr>
          <w:b/>
          <w:bCs/>
          <w:color w:val="1F3864"/>
          <w:sz w:val="22"/>
          <w:szCs w:val="22"/>
        </w:rPr>
        <w:t xml:space="preserve"> Proxies Over Geography: Three Non-Negotiable Arguments</w:t>
      </w:r>
    </w:p>
    <w:p w14:paraId="64D75E5A" w14:textId="319EF4B7" w:rsidR="007D6936" w:rsidRDefault="00A72C4C">
      <w:pPr>
        <w:spacing w:after="110"/>
      </w:pPr>
      <w:r>
        <w:rPr>
          <w:b/>
          <w:bCs/>
          <w:color w:val="1F3864"/>
        </w:rPr>
        <w:t xml:space="preserve">1.  ORIGINATION LATENCY CONSTRAINT:  </w:t>
      </w:r>
      <w:r>
        <w:t xml:space="preserve">Geographic socioeconomic overlays and multi-year transaction histories are unavailable at real-time origination. </w:t>
      </w:r>
      <w:r w:rsidR="007543FB">
        <w:t>Behavioural</w:t>
      </w:r>
      <w:r>
        <w:t xml:space="preserve"> proxies — Spending Shock Magnitude, Balance Volatility Score, Bureau Inquiry Velocity — are computable from application-present signals within milliseconds. This is what drives the competitive turnaround times documented in Section 3. A geographic-overlay model incorporating census data and historical transaction lookups would require a data pipeline of 200–400ms per applicant minimum, destroying the origination speed advantage entirely.</w:t>
      </w:r>
    </w:p>
    <w:p w14:paraId="354B9ABB" w14:textId="4020DBBA" w:rsidR="007D6936" w:rsidRDefault="00A72C4C">
      <w:pPr>
        <w:spacing w:after="110"/>
      </w:pPr>
      <w:r>
        <w:rPr>
          <w:b/>
          <w:bCs/>
          <w:color w:val="1F3864"/>
        </w:rPr>
        <w:t xml:space="preserve">2.  THE GEOGRAPHY </w:t>
      </w:r>
      <w:proofErr w:type="gramStart"/>
      <w:r>
        <w:rPr>
          <w:b/>
          <w:bCs/>
          <w:color w:val="1F3864"/>
        </w:rPr>
        <w:t>TRAP  —</w:t>
      </w:r>
      <w:proofErr w:type="gramEnd"/>
      <w:r>
        <w:rPr>
          <w:b/>
          <w:bCs/>
          <w:color w:val="1F3864"/>
        </w:rPr>
        <w:t xml:space="preserve">  REGULATORY AND MODEL FRAGILITY RISK:  </w:t>
      </w:r>
      <w:r>
        <w:t xml:space="preserve">Location-based segmentation introduces two compounding failure modes: fair lending compliance exposure (geographic proxies can replicate the statistical effect of prohibited classification characteristics) and structural model fragility (a regional economic shock reprices an entire PIN code without triggering any borrower-level early warning signal). </w:t>
      </w:r>
      <w:r w:rsidR="007543FB">
        <w:t>Behavioural</w:t>
      </w:r>
      <w:r>
        <w:t xml:space="preserve"> signals are borrower-specific and transfer across geographies without model recalibration.</w:t>
      </w:r>
    </w:p>
    <w:p w14:paraId="307BD153" w14:textId="4ACAC309" w:rsidR="007D6936" w:rsidRDefault="00A72C4C">
      <w:pPr>
        <w:spacing w:after="130"/>
      </w:pPr>
      <w:r>
        <w:rPr>
          <w:b/>
          <w:bCs/>
          <w:color w:val="1F3864"/>
        </w:rPr>
        <w:t xml:space="preserve">3.  LAGGING DATA CREATES LAGGING RISK MANAGEMENT:  </w:t>
      </w:r>
      <w:r>
        <w:t xml:space="preserve">Historical transactional data answers "how has this borrower historically behaved?" </w:t>
      </w:r>
      <w:r w:rsidR="007543FB">
        <w:t>Behavioural</w:t>
      </w:r>
      <w:r>
        <w:t xml:space="preserve"> proxies answer "what is this borrower doing right now?" In a portfolio facing rising delinquency, three-year historical averages are structurally irrelevant. The 90-day </w:t>
      </w:r>
      <w:r w:rsidR="007543FB">
        <w:t>behavioural</w:t>
      </w:r>
      <w:r>
        <w:t xml:space="preserve"> signal window embedded in our features represents the highest-signal prediction horizon in consumer credit — consistent with published default prediction methodology from FICO, Experian, and Moody's Analytics.</w:t>
      </w:r>
    </w:p>
    <w:p w14:paraId="191A2B61" w14:textId="77777777" w:rsidR="007D6936" w:rsidRDefault="00A72C4C">
      <w:pPr>
        <w:pBdr>
          <w:bottom w:val="single" w:sz="4" w:space="1" w:color="2E75B6"/>
        </w:pBdr>
        <w:spacing w:before="180" w:after="80"/>
      </w:pPr>
      <w:r>
        <w:rPr>
          <w:b/>
          <w:bCs/>
          <w:color w:val="1F3864"/>
          <w:sz w:val="22"/>
          <w:szCs w:val="22"/>
        </w:rPr>
        <w:t>Model Boundaries and Forward Commitments</w:t>
      </w:r>
    </w:p>
    <w:p w14:paraId="1BFEF3FE" w14:textId="76747103" w:rsidR="007D6936" w:rsidRDefault="00A72C4C">
      <w:pPr>
        <w:spacing w:after="90"/>
      </w:pPr>
      <w:r>
        <w:rPr>
          <w:b/>
          <w:bCs/>
          <w:color w:val="1F3864"/>
        </w:rPr>
        <w:t xml:space="preserve">GEOGRAPHIC TRANSFER LIMITATION:  </w:t>
      </w:r>
      <w:r>
        <w:t xml:space="preserve">The Home Credit dataset reflects Central and Eastern European emerging market borrower </w:t>
      </w:r>
      <w:r w:rsidR="007543FB">
        <w:t>behaviour</w:t>
      </w:r>
      <w:r>
        <w:t>. Deployment in any non-calibrated geographic market requires a 60-day transfer learning recalibration sprint before production clearance. No shortcuts.</w:t>
      </w:r>
    </w:p>
    <w:p w14:paraId="1EE32341" w14:textId="77777777" w:rsidR="007D6936" w:rsidRDefault="00A72C4C">
      <w:pPr>
        <w:spacing w:after="90"/>
      </w:pPr>
      <w:r>
        <w:rPr>
          <w:b/>
          <w:bCs/>
          <w:color w:val="1F3864"/>
        </w:rPr>
        <w:t xml:space="preserve">OPTIMIZATION APPROXIMATION:  </w:t>
      </w:r>
      <w:r>
        <w:t>The SLSQP solver operates on a convex approximation of an inherently discontinuous capital allocation problem. Future iterations will migrate to Mixed-Integer Programming (MIP) for exact optimization, particularly for 3% concentration constraint interaction effects at portfolio boundaries.</w:t>
      </w:r>
    </w:p>
    <w:p w14:paraId="0ACC2F23" w14:textId="3A6A3C52" w:rsidR="007D6936" w:rsidRDefault="00A72C4C">
      <w:pPr>
        <w:spacing w:after="90"/>
      </w:pPr>
      <w:r>
        <w:rPr>
          <w:b/>
          <w:bCs/>
          <w:color w:val="1F3864"/>
        </w:rPr>
        <w:t xml:space="preserve">90-DAY POST-DEPLOYMENT PERFORMANCE COMMITMENT:  </w:t>
      </w:r>
      <w:r>
        <w:t xml:space="preserve">The Risk Unit commits to a mandatory </w:t>
      </w:r>
      <w:r w:rsidR="007543FB">
        <w:t>behavioural</w:t>
      </w:r>
      <w:r>
        <w:t xml:space="preserve"> tracking review at Day 90. Dynamic LGD coefficients will be recalibrated against observed portfolio performance at that interval. Segment boundaries will be refreshed on a semi-annual basis thereafter.</w:t>
      </w:r>
    </w:p>
    <w:p w14:paraId="5638FFDF" w14:textId="77777777" w:rsidR="007D6936" w:rsidRDefault="007D6936">
      <w:pPr>
        <w:spacing w:after="180"/>
      </w:pPr>
    </w:p>
    <w:p w14:paraId="63BCE3A7" w14:textId="77777777" w:rsidR="007D6936" w:rsidRDefault="007D6936">
      <w:pPr>
        <w:pBdr>
          <w:bottom w:val="single" w:sz="6" w:space="1" w:color="1F3864"/>
        </w:pBdr>
        <w:spacing w:after="120"/>
      </w:pPr>
    </w:p>
    <w:p w14:paraId="60766F1C" w14:textId="0AACE05A" w:rsidR="007D6936" w:rsidRPr="00AC07EE" w:rsidRDefault="00AC07EE" w:rsidP="00AC07EE">
      <w:pPr>
        <w:jc w:val="center"/>
      </w:pPr>
      <w:r w:rsidRPr="00AC07EE">
        <w:rPr>
          <w:b/>
          <w:bCs/>
          <w:color w:val="1F3864"/>
        </w:rPr>
        <w:t xml:space="preserve">FINAL DISPOSITION: </w:t>
      </w:r>
      <w:r w:rsidRPr="00AC07EE">
        <w:rPr>
          <w:color w:val="1F3864"/>
        </w:rPr>
        <w:t>All quantitative loopholes closed. Strategic optimization complete. [End of Summer Projects 2026 Submission]</w:t>
      </w:r>
    </w:p>
    <w:sectPr w:rsidR="007D6936" w:rsidRPr="00AC07EE">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868C9" w14:textId="77777777" w:rsidR="00A72C4C" w:rsidRDefault="00A72C4C">
      <w:r>
        <w:separator/>
      </w:r>
    </w:p>
  </w:endnote>
  <w:endnote w:type="continuationSeparator" w:id="0">
    <w:p w14:paraId="074CF8BC" w14:textId="77777777" w:rsidR="00A72C4C" w:rsidRDefault="00A72C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99BA6" w14:textId="77777777" w:rsidR="00A72C4C" w:rsidRDefault="00A72C4C">
      <w:r>
        <w:separator/>
      </w:r>
    </w:p>
  </w:footnote>
  <w:footnote w:type="continuationSeparator" w:id="0">
    <w:p w14:paraId="6DA0D1C2" w14:textId="77777777" w:rsidR="00A72C4C" w:rsidRDefault="00A72C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71D28" w14:textId="11C3B30B" w:rsidR="007D6936" w:rsidRDefault="007D6936" w:rsidP="00F12403">
    <w:pPr>
      <w:pBdr>
        <w:bottom w:val="single" w:sz="4" w:space="0" w:color="2E75B6"/>
      </w:pBd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F77162"/>
    <w:multiLevelType w:val="hybridMultilevel"/>
    <w:tmpl w:val="1904FE10"/>
    <w:lvl w:ilvl="0" w:tplc="7884D746">
      <w:start w:val="1"/>
      <w:numFmt w:val="bullet"/>
      <w:lvlText w:val="●"/>
      <w:lvlJc w:val="left"/>
      <w:pPr>
        <w:ind w:left="720" w:hanging="360"/>
      </w:pPr>
    </w:lvl>
    <w:lvl w:ilvl="1" w:tplc="558402EA">
      <w:start w:val="1"/>
      <w:numFmt w:val="bullet"/>
      <w:lvlText w:val="○"/>
      <w:lvlJc w:val="left"/>
      <w:pPr>
        <w:ind w:left="1440" w:hanging="360"/>
      </w:pPr>
    </w:lvl>
    <w:lvl w:ilvl="2" w:tplc="0F467160">
      <w:start w:val="1"/>
      <w:numFmt w:val="bullet"/>
      <w:lvlText w:val="■"/>
      <w:lvlJc w:val="left"/>
      <w:pPr>
        <w:ind w:left="2160" w:hanging="360"/>
      </w:pPr>
    </w:lvl>
    <w:lvl w:ilvl="3" w:tplc="0B9A4FB0">
      <w:start w:val="1"/>
      <w:numFmt w:val="bullet"/>
      <w:lvlText w:val="●"/>
      <w:lvlJc w:val="left"/>
      <w:pPr>
        <w:ind w:left="2880" w:hanging="360"/>
      </w:pPr>
    </w:lvl>
    <w:lvl w:ilvl="4" w:tplc="68029354">
      <w:start w:val="1"/>
      <w:numFmt w:val="bullet"/>
      <w:lvlText w:val="○"/>
      <w:lvlJc w:val="left"/>
      <w:pPr>
        <w:ind w:left="3600" w:hanging="360"/>
      </w:pPr>
    </w:lvl>
    <w:lvl w:ilvl="5" w:tplc="9DFAF7CA">
      <w:start w:val="1"/>
      <w:numFmt w:val="bullet"/>
      <w:lvlText w:val="■"/>
      <w:lvlJc w:val="left"/>
      <w:pPr>
        <w:ind w:left="4320" w:hanging="360"/>
      </w:pPr>
    </w:lvl>
    <w:lvl w:ilvl="6" w:tplc="A440A68C">
      <w:start w:val="1"/>
      <w:numFmt w:val="bullet"/>
      <w:lvlText w:val="●"/>
      <w:lvlJc w:val="left"/>
      <w:pPr>
        <w:ind w:left="5040" w:hanging="360"/>
      </w:pPr>
    </w:lvl>
    <w:lvl w:ilvl="7" w:tplc="F7946C44">
      <w:start w:val="1"/>
      <w:numFmt w:val="bullet"/>
      <w:lvlText w:val="●"/>
      <w:lvlJc w:val="left"/>
      <w:pPr>
        <w:ind w:left="5760" w:hanging="360"/>
      </w:pPr>
    </w:lvl>
    <w:lvl w:ilvl="8" w:tplc="F792339E">
      <w:start w:val="1"/>
      <w:numFmt w:val="bullet"/>
      <w:lvlText w:val="●"/>
      <w:lvlJc w:val="left"/>
      <w:pPr>
        <w:ind w:left="6480" w:hanging="360"/>
      </w:pPr>
    </w:lvl>
  </w:abstractNum>
  <w:num w:numId="1" w16cid:durableId="3474886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936"/>
    <w:rsid w:val="001602C3"/>
    <w:rsid w:val="001A5BB0"/>
    <w:rsid w:val="00323EA0"/>
    <w:rsid w:val="004530B3"/>
    <w:rsid w:val="004612B6"/>
    <w:rsid w:val="00474DC7"/>
    <w:rsid w:val="00506A4C"/>
    <w:rsid w:val="006B07EF"/>
    <w:rsid w:val="007543FB"/>
    <w:rsid w:val="007D6936"/>
    <w:rsid w:val="0088310B"/>
    <w:rsid w:val="008B753C"/>
    <w:rsid w:val="0091654D"/>
    <w:rsid w:val="00956B9B"/>
    <w:rsid w:val="00A72C4C"/>
    <w:rsid w:val="00AB0158"/>
    <w:rsid w:val="00AC07EE"/>
    <w:rsid w:val="00B5704F"/>
    <w:rsid w:val="00C371AD"/>
    <w:rsid w:val="00DE256B"/>
    <w:rsid w:val="00F124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4AA0B"/>
  <w15:docId w15:val="{7A8294C4-A7D5-40DD-A347-ABCFBBD4C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74DC7"/>
    <w:pPr>
      <w:tabs>
        <w:tab w:val="center" w:pos="4513"/>
        <w:tab w:val="right" w:pos="9026"/>
      </w:tabs>
    </w:pPr>
  </w:style>
  <w:style w:type="character" w:customStyle="1" w:styleId="HeaderChar">
    <w:name w:val="Header Char"/>
    <w:basedOn w:val="DefaultParagraphFont"/>
    <w:link w:val="Header"/>
    <w:uiPriority w:val="99"/>
    <w:rsid w:val="00474DC7"/>
  </w:style>
  <w:style w:type="paragraph" w:styleId="Footer">
    <w:name w:val="footer"/>
    <w:basedOn w:val="Normal"/>
    <w:link w:val="FooterChar"/>
    <w:uiPriority w:val="99"/>
    <w:unhideWhenUsed/>
    <w:rsid w:val="00474DC7"/>
    <w:pPr>
      <w:tabs>
        <w:tab w:val="center" w:pos="4513"/>
        <w:tab w:val="right" w:pos="9026"/>
      </w:tabs>
    </w:pPr>
  </w:style>
  <w:style w:type="character" w:customStyle="1" w:styleId="FooterChar">
    <w:name w:val="Footer Char"/>
    <w:basedOn w:val="DefaultParagraphFont"/>
    <w:link w:val="Footer"/>
    <w:uiPriority w:val="99"/>
    <w:rsid w:val="00474D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1737</Words>
  <Characters>9904</Characters>
  <Application>Microsoft Office Word</Application>
  <DocSecurity>0</DocSecurity>
  <Lines>82</Lines>
  <Paragraphs>23</Paragraphs>
  <ScaleCrop>false</ScaleCrop>
  <Company/>
  <LinksUpToDate>false</LinksUpToDate>
  <CharactersWithSpaces>11618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Krishna Vijay kunwarf</cp:lastModifiedBy>
  <cp:revision>2</cp:revision>
  <dcterms:created xsi:type="dcterms:W3CDTF">2026-06-12T02:33:00Z</dcterms:created>
  <dcterms:modified xsi:type="dcterms:W3CDTF">2026-06-12T02:33:00Z</dcterms:modified>
</cp:coreProperties>
</file>