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rPr/>
      </w:pPr>
      <w:bookmarkStart w:colFirst="0" w:colLast="0" w:name="_hdpqroa8xzwg" w:id="0"/>
      <w:bookmarkEnd w:id="0"/>
      <w:r w:rsidDel="00000000" w:rsidR="00000000" w:rsidRPr="00000000">
        <w:rPr>
          <w:rtl w:val="0"/>
        </w:rPr>
        <w:t xml:space="preserve">AI in Advertising &amp; Content: 2025 Strategy Guide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rPr>
          <w:rFonts w:ascii="Google Sans" w:cs="Google Sans" w:eastAsia="Google Sans" w:hAnsi="Google Sans"/>
          <w:color w:val="1b1c1d"/>
        </w:rPr>
      </w:pPr>
      <w:bookmarkStart w:colFirst="0" w:colLast="0" w:name="_8n32ahem8jjc" w:id="1"/>
      <w:bookmarkEnd w:id="1"/>
      <w:r w:rsidDel="00000000" w:rsidR="00000000" w:rsidRPr="00000000">
        <w:rPr>
          <w:rtl w:val="0"/>
        </w:rPr>
        <w:t xml:space="preserve">The AI Revolution: Why It Matters Now</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Artificial Intelligence is no longer just a trend, it’s the new backbone of digital media. For brands to stay competitive, switching to AI-driven models is essential to lower costs and boost revenue.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8">
      <w:pPr>
        <w:pStyle w:val="Heading3"/>
        <w:rPr>
          <w:rFonts w:ascii="Google Sans" w:cs="Google Sans" w:eastAsia="Google Sans" w:hAnsi="Google Sans"/>
          <w:color w:val="1b1c1d"/>
        </w:rPr>
      </w:pPr>
      <w:bookmarkStart w:colFirst="0" w:colLast="0" w:name="_se1ilxsvomdh" w:id="2"/>
      <w:bookmarkEnd w:id="2"/>
      <w:r w:rsidDel="00000000" w:rsidR="00000000" w:rsidRPr="00000000">
        <w:rPr>
          <w:rtl w:val="0"/>
        </w:rPr>
        <w:t xml:space="preserve">The Massive Scale of AI Growth</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AI market is set to reach $391 billion, with 83% of companies making it a top priority. Marketing technology alone is expected to hit nearly $297 billion by 2030 as brands move toward automated customer engagement.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Synthesis of Key Quantified AI Advantages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strategic benefit of integrating AI is its ability to lower the operational cost floor while simultaneously lifting the revenue ceiling through performance optimization. This dual advantage is quantified across several key performance indicators (KPIs) that define marketing success.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2"/>
        <w:rPr>
          <w:rFonts w:ascii="Google Sans" w:cs="Google Sans" w:eastAsia="Google Sans" w:hAnsi="Google Sans"/>
          <w:color w:val="1b1c1d"/>
        </w:rPr>
      </w:pPr>
      <w:bookmarkStart w:colFirst="0" w:colLast="0" w:name="_4ae771lfy94g" w:id="3"/>
      <w:bookmarkEnd w:id="3"/>
      <w:r w:rsidDel="00000000" w:rsidR="00000000" w:rsidRPr="00000000">
        <w:rPr>
          <w:rtl w:val="0"/>
        </w:rPr>
        <w:t xml:space="preserve">Winning with AI: Faster Content at Lower Costs</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Generative AI is profoundly transforming the cost structure of marketing organizations by increasing the speed and volume of content output while simultaneously reducing the financial and temporal resources required for its creation. This economic shift enables businesses to pursue hyper-personalization strategies that demonstrably drive measurable business outcomes.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1">
      <w:pPr>
        <w:pStyle w:val="Heading3"/>
        <w:rPr/>
      </w:pPr>
      <w:bookmarkStart w:colFirst="0" w:colLast="0" w:name="_542rbqcab1hn" w:id="4"/>
      <w:bookmarkEnd w:id="4"/>
      <w:r w:rsidDel="00000000" w:rsidR="00000000" w:rsidRPr="00000000">
        <w:rPr>
          <w:rtl w:val="0"/>
        </w:rPr>
        <w:t xml:space="preserve">Key Benefits: Efficiency and Personalization</w:t>
      </w:r>
    </w:p>
    <w:p w:rsidR="00000000" w:rsidDel="00000000" w:rsidP="00000000" w:rsidRDefault="00000000" w:rsidRPr="00000000" w14:paraId="00000012">
      <w:pPr>
        <w:rPr/>
      </w:pPr>
      <w:r w:rsidDel="00000000" w:rsidR="00000000" w:rsidRPr="00000000">
        <w:rPr>
          <w:rtl w:val="0"/>
        </w:rPr>
        <w:t xml:space="preserve">AI automates the "busy work," allowing teams to focus on strategy. By using AI for tasks like customer care and technical writing, companies are seeing productivity jumps of up to 45%.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4. Quantifiable Operational Benefits of Generative AI in Content and Marketing</w:t>
      </w:r>
    </w:p>
    <w:p w:rsidR="00000000" w:rsidDel="00000000" w:rsidP="00000000" w:rsidRDefault="00000000" w:rsidRPr="00000000" w14:paraId="00000014">
      <w:pP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pPr w:leftFromText="180" w:rightFromText="180" w:topFromText="180" w:bottomFromText="180" w:vertAnchor="text" w:horzAnchor="text" w:tblpX="105" w:tblpY="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5">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6">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Quantified Improvement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7">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Strategic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8">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9">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Marketing ROI Increase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A">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 Average Increase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B">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Driven by AI-integrated content strategies.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C">
            <w:pP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D">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CPA Reduction (Campaign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E">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Up to 37%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F">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Achieved through AI-enhanced marketing campaigns.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0">
            <w:pP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1">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Customer Lifetime Value (CLV)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2">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Up to 20% Increase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3">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Result of hyper-personalized experiences.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4">
            <w:pP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5">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Localization Cost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6">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Up to 60-70% Savings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7">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High-volume translation and localization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8">
            <w:pP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9">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Content Production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A">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40% Acceleration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B">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Specific to AI-based content localization adaptation.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C">
            <w:pP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D">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Engagement Rates (Content)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E">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83% Higher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F">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Content optimized through AI methods.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0">
            <w:pP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c>
      </w:tr>
    </w:tbl>
    <w:p w:rsidR="00000000" w:rsidDel="00000000" w:rsidP="00000000" w:rsidRDefault="00000000" w:rsidRPr="00000000" w14:paraId="00000031">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Hyper-Personalization and Revenue Acceleration</w:t>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Increased Sales: </w:t>
      </w:r>
      <w:r w:rsidDel="00000000" w:rsidR="00000000" w:rsidRPr="00000000">
        <w:rPr>
          <w:rtl w:val="0"/>
        </w:rPr>
        <w:t xml:space="preserve">Personalization can boost conversion rates by 25%.</w:t>
      </w:r>
    </w:p>
    <w:p w:rsidR="00000000" w:rsidDel="00000000" w:rsidP="00000000" w:rsidRDefault="00000000" w:rsidRPr="00000000" w14:paraId="00000037">
      <w:pPr>
        <w:numPr>
          <w:ilvl w:val="0"/>
          <w:numId w:val="3"/>
        </w:numPr>
        <w:ind w:left="720" w:hanging="360"/>
      </w:pPr>
      <w:r w:rsidDel="00000000" w:rsidR="00000000" w:rsidRPr="00000000">
        <w:rPr>
          <w:b w:val="1"/>
          <w:bCs w:val="1"/>
          <w:rtl w:val="0"/>
        </w:rPr>
        <w:t xml:space="preserve">Better Ad Performance: </w:t>
      </w:r>
      <w:r w:rsidDel="00000000" w:rsidR="00000000" w:rsidRPr="00000000">
        <w:rPr>
          <w:rtl w:val="0"/>
        </w:rPr>
        <w:t xml:space="preserve">AI tools have cut acquisition costs by 32% while increasing ad returns by 17%.</w:t>
      </w:r>
    </w:p>
    <w:p w:rsidR="00000000" w:rsidDel="00000000" w:rsidP="00000000" w:rsidRDefault="00000000" w:rsidRPr="00000000" w14:paraId="00000038">
      <w:pPr>
        <w:numPr>
          <w:ilvl w:val="0"/>
          <w:numId w:val="3"/>
        </w:numPr>
        <w:ind w:left="720" w:hanging="360"/>
      </w:pPr>
      <w:r w:rsidDel="00000000" w:rsidR="00000000" w:rsidRPr="00000000">
        <w:rPr>
          <w:b w:val="1"/>
          <w:bCs w:val="1"/>
          <w:rtl w:val="0"/>
        </w:rPr>
        <w:t xml:space="preserve">Global Reach: </w:t>
      </w:r>
      <w:r w:rsidDel="00000000" w:rsidR="00000000" w:rsidRPr="00000000">
        <w:rPr>
          <w:rtl w:val="0"/>
        </w:rPr>
        <w:t xml:space="preserve">AI translation saves up to 70% on localization costs.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A">
      <w:pPr>
        <w:pStyle w:val="Heading2"/>
        <w:rPr/>
      </w:pPr>
      <w:bookmarkStart w:colFirst="0" w:colLast="0" w:name="_7kpnhaxxkj4" w:id="5"/>
      <w:bookmarkEnd w:id="5"/>
      <w:r w:rsidDel="00000000" w:rsidR="00000000" w:rsidRPr="00000000">
        <w:rPr>
          <w:rtl w:val="0"/>
        </w:rPr>
        <w:t xml:space="preserve">The Future of Ads: Privacy and Precision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With 75% of users opting out of tracking, traditional cookies are dying. AI helps brands pivot to "contextual advertising" placing ads based on the content a user is viewing right now, rather than their personal history. This market is growing at 10.5% annually.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E">
      <w:pPr>
        <w:pStyle w:val="Heading3"/>
        <w:rPr/>
      </w:pPr>
      <w:bookmarkStart w:colFirst="0" w:colLast="0" w:name="_e062dpwf3lg5" w:id="6"/>
      <w:bookmarkEnd w:id="6"/>
      <w:r w:rsidDel="00000000" w:rsidR="00000000" w:rsidRPr="00000000">
        <w:rPr>
          <w:rtl w:val="0"/>
        </w:rPr>
        <w:t xml:space="preserve">Navigating a Cookieless World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The Strategic Pivot to Probabilistic and Contextual AI</w:t>
      </w:r>
    </w:p>
    <w:p w:rsidR="00000000" w:rsidDel="00000000" w:rsidP="00000000" w:rsidRDefault="00000000" w:rsidRPr="00000000" w14:paraId="00000041">
      <w:pPr>
        <w:spacing w:after="240" w:line="276" w:lineRule="auto"/>
        <w:rPr/>
      </w:pPr>
      <w:r w:rsidDel="00000000" w:rsidR="00000000" w:rsidRPr="00000000">
        <w:rPr>
          <w:rFonts w:ascii="Google Sans Text" w:cs="Google Sans Text" w:eastAsia="Google Sans Text" w:hAnsi="Google Sans Text"/>
          <w:color w:val="1b1c1d"/>
          <w:rtl w:val="0"/>
        </w:rPr>
        <w:t xml:space="preserve">In response to data scarcity, AI serves as the architect of privacy-compliant personalization. It is driving the industry away from tracking individuals and toward understanding moments of intent. This pivot is quantitatively visible in the dramatic growth of alternative targeting methods.</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5. AI's Transformation of Ad Measurement and Efficiency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AI-Driven 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Pre-AI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Strategic Shift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CPA (Cost Per 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32% Average Drop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CPC Tolerance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Optimization to Final 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ROAS (Return On Ad Spend)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 Increase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Varies widely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High-confidence performance delivery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Programmatic Transparency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7.9% Increase (Funds reaching consumers)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Wasteful media supply 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AI cleaning up ad fraud/MFA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MFA Publisher Spend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Reduced from 15% to 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Unoptimized budget allocation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Quality indexing and blacklisting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Attribution Model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Probabilistic / Contextual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Deterministic (Cookies/IDFA)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Privacy compliance at 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Outcome-Based Optimization (CPO/ROAS/LTV)</w:t>
      </w:r>
    </w:p>
    <w:p w:rsidR="00000000" w:rsidDel="00000000" w:rsidP="00000000" w:rsidRDefault="00000000" w:rsidRPr="00000000" w14:paraId="00000064">
      <w:pPr>
        <w:spacing w:after="240" w:line="276" w:lineRule="auto"/>
        <w:rPr/>
      </w:pPr>
      <w:r w:rsidDel="00000000" w:rsidR="00000000" w:rsidRPr="00000000">
        <w:rPr>
          <w:rFonts w:ascii="Google Sans Text" w:cs="Google Sans Text" w:eastAsia="Google Sans Text" w:hAnsi="Google Sans Text"/>
          <w:color w:val="1b1c1d"/>
          <w:rtl w:val="0"/>
        </w:rPr>
        <w:t xml:space="preserve">The transition to AI-driven targeting is fundamentally redefining the measurement of success. The industry is moving away from the historical focus on Cost Per Click (CPC) and shifting toward Cost Per Outcome (CPO), a metric that quantifies measurable business impact, whether a purchase, a qualified lead, or sustained customer value.</w:t>
      </w:r>
      <w:r w:rsidDel="00000000" w:rsidR="00000000" w:rsidRPr="00000000">
        <w:rPr>
          <w:rtl w:val="0"/>
        </w:rPr>
      </w:r>
    </w:p>
    <w:p w:rsidR="00000000" w:rsidDel="00000000" w:rsidP="00000000" w:rsidRDefault="00000000" w:rsidRPr="00000000" w14:paraId="00000065">
      <w:pPr>
        <w:spacing w:after="240" w:line="276" w:lineRule="auto"/>
        <w:rPr/>
      </w:pPr>
      <w:r w:rsidDel="00000000" w:rsidR="00000000" w:rsidRPr="00000000">
        <w:rPr>
          <w:rFonts w:ascii="Google Sans Text" w:cs="Google Sans Text" w:eastAsia="Google Sans Text" w:hAnsi="Google Sans Text"/>
          <w:color w:val="1b1c1d"/>
          <w:rtl w:val="0"/>
        </w:rPr>
        <w:t xml:space="preserve">The prioritized outcome metrics now include Cost Per Acquisition (CPA), Return on Ad Spend (ROAS), Cost Per Lead (CPL), and Customer Lifetime Value (LTV). This shift is justified by substantial performance gains achieved through algorithmic optimization. Advertisers using AI-based campaign adjustments have reported 33% higher conversion rates for campaigns, a 50% reduction in lead-to-close times, and a 22% decrease in CPL. As noted, a major platform study confirmed that AI campaign tools delivered a 32% drop in CPA and a 17% increase in ROAS.</w:t>
      </w:r>
      <w:r w:rsidDel="00000000" w:rsidR="00000000" w:rsidRPr="00000000">
        <w:rPr>
          <w:rtl w:val="0"/>
        </w:rPr>
      </w:r>
    </w:p>
    <w:p w:rsidR="00000000" w:rsidDel="00000000" w:rsidP="00000000" w:rsidRDefault="00000000" w:rsidRPr="00000000" w14:paraId="00000066">
      <w:pPr>
        <w:spacing w:after="240" w:line="276" w:lineRule="auto"/>
        <w:rPr/>
      </w:pPr>
      <w:r w:rsidDel="00000000" w:rsidR="00000000" w:rsidRPr="00000000">
        <w:rPr>
          <w:rFonts w:ascii="Google Sans Text" w:cs="Google Sans Text" w:eastAsia="Google Sans Text" w:hAnsi="Google Sans Text"/>
          <w:color w:val="1b1c1d"/>
          <w:rtl w:val="0"/>
        </w:rPr>
        <w:t xml:space="preserve">These quantitative improvements demonstrate that algorithmic systems possess the capacity to optimize campaigns for high-value outcomes at a speed and scale that exceeds human capability. The ability of AI to assess conversion quality and forecast long-term value demands a strategic overhaul for marketing teams, transitioning their focus from tactical bidding based on CPC to high-level LTV modeling and outcome forecasting, trusting AI to handle the tactical allocation.</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8">
      <w:pPr>
        <w:pStyle w:val="Heading2"/>
        <w:rPr/>
      </w:pPr>
      <w:bookmarkStart w:colFirst="0" w:colLast="0" w:name="_bmyzzcpdq1e3" w:id="7"/>
      <w:bookmarkEnd w:id="7"/>
      <w:r w:rsidDel="00000000" w:rsidR="00000000" w:rsidRPr="00000000">
        <w:rPr>
          <w:rtl w:val="0"/>
        </w:rPr>
        <w:t xml:space="preserve">Trust and Security: Managing AI Risks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AI offers speed, but it also brings risks like "deepfakes" and copyright issues. 74% of consumers find it harder to trust online content because of AI. To protect your brand, transparency, like labeling AI-generated ads, is key.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The Crisis of Trust: Authenticity and Deepfakes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E">
      <w:pPr>
        <w:spacing w:after="240" w:line="276" w:lineRule="auto"/>
        <w:rPr/>
      </w:pPr>
      <w:r w:rsidDel="00000000" w:rsidR="00000000" w:rsidRPr="00000000">
        <w:rPr>
          <w:rFonts w:ascii="Google Sans Text" w:cs="Google Sans Text" w:eastAsia="Google Sans Text" w:hAnsi="Google Sans Text"/>
          <w:color w:val="1b1c1d"/>
          <w:rtl w:val="0"/>
        </w:rPr>
        <w:t xml:space="preserve">The proliferation of generative AI has led to widespread “Impostor Bias”, a growing skepticism regarding the authenticity of digital content. Nearly three-quarters (74%) of consumers familiar with generative AI, and 62% of regular users, report that the popularity of the technology makes it harder for them to trust online content.</w:t>
      </w:r>
      <w:r w:rsidDel="00000000" w:rsidR="00000000" w:rsidRPr="00000000">
        <w:rPr>
          <w:rtl w:val="0"/>
        </w:rPr>
      </w:r>
    </w:p>
    <w:p w:rsidR="00000000" w:rsidDel="00000000" w:rsidP="00000000" w:rsidRDefault="00000000" w:rsidRPr="00000000" w14:paraId="0000006F">
      <w:pPr>
        <w:spacing w:after="240" w:line="276" w:lineRule="auto"/>
        <w:rPr/>
      </w:pPr>
      <w:r w:rsidDel="00000000" w:rsidR="00000000" w:rsidRPr="00000000">
        <w:rPr>
          <w:rFonts w:ascii="Google Sans Text" w:cs="Google Sans Text" w:eastAsia="Google Sans Text" w:hAnsi="Google Sans Text"/>
          <w:color w:val="1b1c1d"/>
          <w:rtl w:val="0"/>
        </w:rPr>
        <w:t xml:space="preserve">Paradoxically, consumer preference for the quality of AI-generated content remains high, provided its source is undisclosed. Studies indicate that participants often prefer AI-generated content over human-generated content in blind comparisons. However, this preference significantly diminishes when the AI origin is revealed. This contradiction creates a substantial "Trust Tax" on brands: to protect long-term reputation, resources must be invested in transparency and disclosure, even if that disclosure temporarily sacrifices some immediate, frictionless engagement.</w:t>
      </w:r>
      <w:r w:rsidDel="00000000" w:rsidR="00000000" w:rsidRPr="00000000">
        <w:rPr>
          <w:rtl w:val="0"/>
        </w:rPr>
      </w:r>
    </w:p>
    <w:p w:rsidR="00000000" w:rsidDel="00000000" w:rsidP="00000000" w:rsidRDefault="00000000" w:rsidRPr="00000000" w14:paraId="00000070">
      <w:pPr>
        <w:spacing w:after="240" w:line="276" w:lineRule="auto"/>
        <w:rPr/>
      </w:pPr>
      <w:r w:rsidDel="00000000" w:rsidR="00000000" w:rsidRPr="00000000">
        <w:rPr>
          <w:rFonts w:ascii="Google Sans Text" w:cs="Google Sans Text" w:eastAsia="Google Sans Text" w:hAnsi="Google Sans Text"/>
          <w:color w:val="1b1c1d"/>
          <w:rtl w:val="0"/>
        </w:rPr>
        <w:t xml:space="preserve">Marketers are acutely aware of this risk, with 37% expressing fear that audiences will actively distrust ads created by AI. Consequently, over 60% of marketers support mandated labeling for AI-generated ads to ensure transparency and manage brand integrity. This consensus reflects the industry’s recognition that current safeguards are insufficient; only 6% of marketers believe existing measures are adequate.</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Further compounding the authenticity crisis is the rise of highly realistic synthetic media, or deepfakes, created using advanced frameworks like Generative Adversarial Networks (GANs) and Diffusion Models. These deepfakes pose severe ethical and security risks, particularly when misused in brand communication or political messaging. Countering this threat requires coordinated, multistakeholder efforts to develop technical solutions for detection and authentication, ensuring media integrity in a synthetic landscape.</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6. Consumer Perception and Governance Challenges in AI Content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Indicator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Quantified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Strategic Implication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Consumer Distrust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74% report finding it harder to trust online content due to Gen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Significant brand risk and media integrity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Marketer Concern on Audience Distrust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37% of marketers fear audience distrust of AI 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Necessity of transparency and ethical guidelines.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Marketer Support for AI Labeling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60%+ support labeling AI-generated 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Industry consensus on mitigation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Consumer Preference (Undisclosed)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Preference often shifts </w:t>
            </w:r>
            <w:r w:rsidDel="00000000" w:rsidR="00000000" w:rsidRPr="00000000">
              <w:rPr>
                <w:rFonts w:ascii="Google Sans Text" w:cs="Google Sans Text" w:eastAsia="Google Sans Text" w:hAnsi="Google Sans Text"/>
                <w:i w:val="1"/>
                <w:iCs w:val="1"/>
                <w:color w:val="1b1c1d"/>
                <w:shd w:fill="auto" w:val="clear"/>
                <w:rtl w:val="0"/>
              </w:rPr>
              <w:t xml:space="preserve">to</w:t>
            </w:r>
            <w:r w:rsidDel="00000000" w:rsidR="00000000" w:rsidRPr="00000000">
              <w:rPr>
                <w:rFonts w:ascii="Google Sans Text" w:cs="Google Sans Text" w:eastAsia="Google Sans Text" w:hAnsi="Google Sans Text"/>
                <w:color w:val="1b1c1d"/>
                <w:shd w:fill="auto" w:val="clear"/>
                <w:rtl w:val="0"/>
              </w:rPr>
              <w:t xml:space="preserve"> AI-generated content when source is unknown.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Performance gains can be significant, but disclosure is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Governance Need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Regular AI audits for bias and integrity (Top Priority).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Current safeguards (only 6% believe they are enough) are insufficient.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Navigating Intellectual Property (IP) and Copyright Liability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line="276" w:lineRule="auto"/>
        <w:rPr/>
      </w:pPr>
      <w:r w:rsidDel="00000000" w:rsidR="00000000" w:rsidRPr="00000000">
        <w:rPr>
          <w:rFonts w:ascii="Google Sans Text" w:cs="Google Sans Text" w:eastAsia="Google Sans Text" w:hAnsi="Google Sans Text"/>
          <w:color w:val="1b1c1d"/>
          <w:rtl w:val="0"/>
        </w:rPr>
        <w:t xml:space="preserve">The process of training generative AI models exposes organizations to significant legal jeopardy. AI systems require exposure to vast quantities of data, often including copyrighted text, images, and other media scraped from the internet, which necessitates making digital copies of existing works. Copyright owners have initiated numerous lawsuits arguing that creating these digital copies without permission constitutes an infringement of their exclusive right to reproduction.</w:t>
      </w:r>
      <w:r w:rsidDel="00000000" w:rsidR="00000000" w:rsidRPr="00000000">
        <w:rPr>
          <w:rtl w:val="0"/>
        </w:rPr>
      </w:r>
    </w:p>
    <w:p w:rsidR="00000000" w:rsidDel="00000000" w:rsidP="00000000" w:rsidRDefault="00000000" w:rsidRPr="00000000" w14:paraId="00000091">
      <w:pPr>
        <w:spacing w:after="240" w:line="276" w:lineRule="auto"/>
        <w:rPr/>
      </w:pPr>
      <w:r w:rsidDel="00000000" w:rsidR="00000000" w:rsidRPr="00000000">
        <w:rPr>
          <w:rFonts w:ascii="Google Sans Text" w:cs="Google Sans Text" w:eastAsia="Google Sans Text" w:hAnsi="Google Sans Text"/>
          <w:color w:val="1b1c1d"/>
          <w:rtl w:val="0"/>
        </w:rPr>
        <w:t xml:space="preserve">Furthermore, the output generated by AI systems carries its own liability risk. An AI-generated work may infringe on existing copyrights if it is deemed "substantially similar" to a copyrighted work that was used in its training data. This risk is heightened when the AI is prompted to generate content "in the style of" a particular creator or when the training set is limited.</w:t>
      </w:r>
      <w:r w:rsidDel="00000000" w:rsidR="00000000" w:rsidRPr="00000000">
        <w:rPr>
          <w:rtl w:val="0"/>
        </w:rPr>
      </w:r>
    </w:p>
    <w:p w:rsidR="00000000" w:rsidDel="00000000" w:rsidP="00000000" w:rsidRDefault="00000000" w:rsidRPr="00000000" w14:paraId="00000092">
      <w:pPr>
        <w:spacing w:after="240" w:line="276" w:lineRule="auto"/>
        <w:rPr/>
      </w:pPr>
      <w:r w:rsidDel="00000000" w:rsidR="00000000" w:rsidRPr="00000000">
        <w:rPr>
          <w:rFonts w:ascii="Google Sans Text" w:cs="Google Sans Text" w:eastAsia="Google Sans Text" w:hAnsi="Google Sans Text"/>
          <w:color w:val="1b1c1d"/>
          <w:rtl w:val="0"/>
        </w:rPr>
        <w:t xml:space="preserve">The current regulatory landscape requires explicit accountability. US copyright guidance stipulates that authors may claim protection only for </w:t>
      </w:r>
      <w:r w:rsidDel="00000000" w:rsidR="00000000" w:rsidRPr="00000000">
        <w:rPr>
          <w:rFonts w:ascii="Google Sans Text" w:cs="Google Sans Text" w:eastAsia="Google Sans Text" w:hAnsi="Google Sans Text"/>
          <w:i w:val="1"/>
          <w:iCs w:val="1"/>
          <w:color w:val="1b1c1d"/>
          <w:rtl w:val="0"/>
        </w:rPr>
        <w:t xml:space="preserve">their own contributions</w:t>
      </w:r>
      <w:r w:rsidDel="00000000" w:rsidR="00000000" w:rsidRPr="00000000">
        <w:rPr>
          <w:rFonts w:ascii="Google Sans Text" w:cs="Google Sans Text" w:eastAsia="Google Sans Text" w:hAnsi="Google Sans Text"/>
          <w:color w:val="1b1c1d"/>
          <w:rtl w:val="0"/>
        </w:rPr>
        <w:t xml:space="preserve"> to AI-assisted works, necessitating that they identify and disclaim the AI-generated parts during copyright registration.</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IP risk is a matter of horizontal governance, distributed across the AI ecosystem:</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Providers</w:t>
      </w:r>
      <w:r w:rsidDel="00000000" w:rsidR="00000000" w:rsidRPr="00000000">
        <w:rPr>
          <w:rFonts w:ascii="Google Sans Text" w:cs="Google Sans Text" w:eastAsia="Google Sans Text" w:hAnsi="Google Sans Text"/>
          <w:color w:val="1b1c1d"/>
          <w:rtl w:val="0"/>
        </w:rPr>
        <w:t xml:space="preserve"> must fine-tune systems to minimize the risk of identical copies being delivered as output.</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Deployers</w:t>
      </w:r>
      <w:r w:rsidDel="00000000" w:rsidR="00000000" w:rsidRPr="00000000">
        <w:rPr>
          <w:rFonts w:ascii="Google Sans Text" w:cs="Google Sans Text" w:eastAsia="Google Sans Text" w:hAnsi="Google Sans Text"/>
          <w:color w:val="1b1c1d"/>
          <w:rtl w:val="0"/>
        </w:rPr>
        <w:t xml:space="preserve"> must ensure internal mandates for human-in-the-loop review are established.</w:t>
      </w:r>
    </w:p>
    <w:p w:rsidR="00000000" w:rsidDel="00000000" w:rsidP="00000000" w:rsidRDefault="00000000" w:rsidRPr="00000000" w14:paraId="00000096">
      <w:pPr>
        <w:numPr>
          <w:ilvl w:val="0"/>
          <w:numId w:val="1"/>
        </w:numPr>
        <w:spacing w:after="120" w:before="0" w:beforeAutospacing="0" w:line="276" w:lineRule="auto"/>
        <w:ind w:left="480" w:hanging="360"/>
      </w:pPr>
      <w:r w:rsidDel="00000000" w:rsidR="00000000" w:rsidRPr="00000000">
        <w:rPr>
          <w:rFonts w:ascii="Google Sans Text" w:cs="Google Sans Text" w:eastAsia="Google Sans Text" w:hAnsi="Google Sans Text"/>
          <w:b w:val="1"/>
          <w:bCs w:val="1"/>
          <w:color w:val="1b1c1d"/>
          <w:rtl w:val="0"/>
        </w:rPr>
        <w:t xml:space="preserve">Users</w:t>
      </w:r>
      <w:r w:rsidDel="00000000" w:rsidR="00000000" w:rsidRPr="00000000">
        <w:rPr>
          <w:rFonts w:ascii="Google Sans Text" w:cs="Google Sans Text" w:eastAsia="Google Sans Text" w:hAnsi="Google Sans Text"/>
          <w:color w:val="1b1c1d"/>
          <w:rtl w:val="0"/>
        </w:rPr>
        <w:t xml:space="preserve"> must actively employ plagiarism-checking software and avoid high-risk practices, such as prompting the AI to copy competitor marketing material.</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situation demands a holistic governance framework, including legal due diligence on model training data sources and internal policies that enforce content review and adherence to regulatory guidance on copyright disclaimers.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Strategic Roadmap and Recommendations for the C-Suite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confirms that AI intervention is not merely a technological trend but a structural change demanding a comprehensive organizational response. The strategic roadmap for CMOs must focus on prioritizing infrastructure investment, retooling measurement systems, and institutionalizing responsible AI governance.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Defining the Hybrid Model: The Augmented Human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line="276" w:lineRule="auto"/>
        <w:rPr/>
      </w:pPr>
      <w:r w:rsidDel="00000000" w:rsidR="00000000" w:rsidRPr="00000000">
        <w:rPr>
          <w:rFonts w:ascii="Google Sans Text" w:cs="Google Sans Text" w:eastAsia="Google Sans Text" w:hAnsi="Google Sans Text"/>
          <w:color w:val="1b1c1d"/>
          <w:rtl w:val="0"/>
        </w:rPr>
        <w:t xml:space="preserve">AI adoption necessitates a fundamental rethinking of roles, moving away from a model of outright job replacement toward one of human augmentation. While broad estimates predict the automation of 85 million jobs globally by 2025 across various sectors, for creative and marketing functions, the requirement is less displacement and more functional transformation.</w:t>
      </w:r>
      <w:r w:rsidDel="00000000" w:rsidR="00000000" w:rsidRPr="00000000">
        <w:rPr>
          <w:rtl w:val="0"/>
        </w:rPr>
      </w:r>
    </w:p>
    <w:p w:rsidR="00000000" w:rsidDel="00000000" w:rsidP="00000000" w:rsidRDefault="00000000" w:rsidRPr="00000000" w14:paraId="0000009F">
      <w:pPr>
        <w:spacing w:after="240" w:line="276" w:lineRule="auto"/>
        <w:rPr/>
      </w:pPr>
      <w:r w:rsidDel="00000000" w:rsidR="00000000" w:rsidRPr="00000000">
        <w:rPr>
          <w:rFonts w:ascii="Google Sans Text" w:cs="Google Sans Text" w:eastAsia="Google Sans Text" w:hAnsi="Google Sans Text"/>
          <w:color w:val="1b1c1d"/>
          <w:rtl w:val="0"/>
        </w:rPr>
        <w:t xml:space="preserve">Creative roles must transition their focus from high-volume execution to strategic oversight, validation, and advanced prompt engineering. The human role becomes critical for culturally validating content and ensuring the maintenance of brand authenticity against the flood of scalable, automated content. The ROI derived from AI must be calculated beyond simple labor cost reductions (productivity gains) to encompass strategic value creation, including the acceleration of innovation, the establishment of competitive advantage through faster market response, and improved customer satisfaction leading to retention. The strategic imperative is to integrate AI into existing workflows in a way that maximizes productivity while maintaining the human touch required for brand differentiation.</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Investment Prioritization in the AI Ecosystem</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strategic allocation of capital must align with the foundational requirements for maximizing AI utility and mitigating associated risks.</w:t>
      </w:r>
    </w:p>
    <w:p w:rsidR="00000000" w:rsidDel="00000000" w:rsidP="00000000" w:rsidRDefault="00000000" w:rsidRPr="00000000" w14:paraId="000000A3">
      <w:pPr>
        <w:spacing w:after="240" w:line="276" w:lineRule="auto"/>
        <w:rPr/>
      </w:pPr>
      <w:r w:rsidDel="00000000" w:rsidR="00000000" w:rsidRPr="00000000">
        <w:rPr>
          <w:rFonts w:ascii="Google Sans Text" w:cs="Google Sans Text" w:eastAsia="Google Sans Text" w:hAnsi="Google Sans Text"/>
          <w:b w:val="1"/>
          <w:bCs w:val="1"/>
          <w:color w:val="1b1c1d"/>
          <w:rtl w:val="0"/>
        </w:rPr>
        <w:t xml:space="preserve">A. Infrastructure Investment (CDPs/CRM):</w:t>
      </w:r>
      <w:r w:rsidDel="00000000" w:rsidR="00000000" w:rsidRPr="00000000">
        <w:rPr>
          <w:rFonts w:ascii="Google Sans Text" w:cs="Google Sans Text" w:eastAsia="Google Sans Text" w:hAnsi="Google Sans Text"/>
          <w:color w:val="1b1c1d"/>
          <w:rtl w:val="0"/>
        </w:rPr>
        <w:t xml:space="preserve"> Priority investment must be directed toward systems capable of unifying fragmented customer data, such as Customer Data Platforms (CDPs) or Agentic CRMs. Revenue acceleration is directly correlated with improvements in data coherence, which enables faster sales cycles and improved customer response times, multiplying the financial impact of AI deployment.</w:t>
      </w:r>
      <w:r w:rsidDel="00000000" w:rsidR="00000000" w:rsidRPr="00000000">
        <w:rPr>
          <w:rtl w:val="0"/>
        </w:rPr>
      </w:r>
    </w:p>
    <w:p w:rsidR="00000000" w:rsidDel="00000000" w:rsidP="00000000" w:rsidRDefault="00000000" w:rsidRPr="00000000" w14:paraId="000000A4">
      <w:pPr>
        <w:spacing w:after="240" w:line="276" w:lineRule="auto"/>
        <w:rPr/>
      </w:pPr>
      <w:r w:rsidDel="00000000" w:rsidR="00000000" w:rsidRPr="00000000">
        <w:rPr>
          <w:rFonts w:ascii="Google Sans Text" w:cs="Google Sans Text" w:eastAsia="Google Sans Text" w:hAnsi="Google Sans Text"/>
          <w:b w:val="1"/>
          <w:bCs w:val="1"/>
          <w:color w:val="1b1c1d"/>
          <w:rtl w:val="0"/>
        </w:rPr>
        <w:t xml:space="preserve">B. Measurement and Attribution Systems:</w:t>
      </w:r>
      <w:r w:rsidDel="00000000" w:rsidR="00000000" w:rsidRPr="00000000">
        <w:rPr>
          <w:rFonts w:ascii="Google Sans Text" w:cs="Google Sans Text" w:eastAsia="Google Sans Text" w:hAnsi="Google Sans Text"/>
          <w:color w:val="1b1c1d"/>
          <w:rtl w:val="0"/>
        </w:rPr>
        <w:t xml:space="preserve"> Immediate investment is required in modern, privacy-compliant measurement frameworks. This includes probabilistic attribution modeling, contextual targeting solutions, and advanced Marketing Mix Modeling (MMM) to replace unreliable deterministic methods. The organization must shift all campaign measurement to focus on long-term outcome metrics, specifically ROAS, CPA, and LTV, rather than prioritizing the optimization of low-value metrics like CPC.</w:t>
      </w:r>
      <w:r w:rsidDel="00000000" w:rsidR="00000000" w:rsidRPr="00000000">
        <w:rPr>
          <w:rtl w:val="0"/>
        </w:rPr>
      </w:r>
    </w:p>
    <w:p w:rsidR="00000000" w:rsidDel="00000000" w:rsidP="00000000" w:rsidRDefault="00000000" w:rsidRPr="00000000" w14:paraId="000000A5">
      <w:pPr>
        <w:spacing w:after="240" w:line="276" w:lineRule="auto"/>
        <w:rPr/>
      </w:pPr>
      <w:r w:rsidDel="00000000" w:rsidR="00000000" w:rsidRPr="00000000">
        <w:rPr>
          <w:rFonts w:ascii="Google Sans Text" w:cs="Google Sans Text" w:eastAsia="Google Sans Text" w:hAnsi="Google Sans Text"/>
          <w:b w:val="1"/>
          <w:bCs w:val="1"/>
          <w:color w:val="1b1c1d"/>
          <w:rtl w:val="0"/>
        </w:rPr>
        <w:t xml:space="preserve">C. Governance and Compliance Tools:</w:t>
      </w:r>
      <w:r w:rsidDel="00000000" w:rsidR="00000000" w:rsidRPr="00000000">
        <w:rPr>
          <w:rFonts w:ascii="Google Sans Text" w:cs="Google Sans Text" w:eastAsia="Google Sans Text" w:hAnsi="Google Sans Text"/>
          <w:color w:val="1b1c1d"/>
          <w:rtl w:val="0"/>
        </w:rPr>
        <w:t xml:space="preserve"> Dedicated budget allocation must be committed to risk mitigation. This includes IP safeguards (plagiarism checkers and proprietary model fine-tuning), regular AI audits to check for bias and integrity, and technical systems for content authentication (deepfake detection). These investments are necessary to close the significant governance gaps identified by industry leaders, where only 6% believe current safeguards are sufficient.</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Future Outlook: Competitive Differentiation Through Ethical AI</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demonstrates that the immediate strategic battlefield for marketing and content lies in managing the dichotomy between efficiency and trust. Competitive advantage will not be defined solely by the speed of AI adoption, but by the intelligence and responsibility of its governance.</w:t>
      </w:r>
    </w:p>
    <w:p w:rsidR="00000000" w:rsidDel="00000000" w:rsidP="00000000" w:rsidRDefault="00000000" w:rsidRPr="00000000" w14:paraId="000000AA">
      <w:pPr>
        <w:spacing w:after="240" w:line="276" w:lineRule="auto"/>
        <w:rPr/>
      </w:pPr>
      <w:r w:rsidDel="00000000" w:rsidR="00000000" w:rsidRPr="00000000">
        <w:rPr>
          <w:rFonts w:ascii="Google Sans Text" w:cs="Google Sans Text" w:eastAsia="Google Sans Text" w:hAnsi="Google Sans Text"/>
          <w:color w:val="1b1c1d"/>
          <w:rtl w:val="0"/>
        </w:rPr>
        <w:t xml:space="preserve">Brands that successfully implement transparency measures, such as clear AI content labeling and robust auditing processes, will effectively manage the "Trust Tax" and solidify long-term customer loyalty. Conversely, organizations that prioritize efficiency and scale above ethical and legal compliance risk irreparable reputational damage from IP conflicts, algorithmic bias, or media integrity scandals.</w:t>
      </w:r>
      <w:r w:rsidDel="00000000" w:rsidR="00000000" w:rsidRPr="00000000">
        <w:rPr>
          <w:rtl w:val="0"/>
        </w:rPr>
      </w:r>
    </w:p>
    <w:p w:rsidR="00000000" w:rsidDel="00000000" w:rsidP="00000000" w:rsidRDefault="00000000" w:rsidRPr="00000000" w14:paraId="000000AB">
      <w:pPr>
        <w:spacing w:after="240" w:line="276" w:lineRule="auto"/>
        <w:rPr/>
      </w:pPr>
      <w:r w:rsidDel="00000000" w:rsidR="00000000" w:rsidRPr="00000000">
        <w:rPr>
          <w:rFonts w:ascii="Google Sans Text" w:cs="Google Sans Text" w:eastAsia="Google Sans Text" w:hAnsi="Google Sans Text"/>
          <w:color w:val="1b1c1d"/>
          <w:rtl w:val="0"/>
        </w:rPr>
        <w:t xml:space="preserve">Ultimately, the transformation is less about deploying technology and more about shaping organizational vision. Success requires integrating AI into the company's core strategy to achieve cumulative, incremental value at scale, which can generate sustained 20% to 30% gains in productivity, speed-to-market, and revenue across the entire organization. This necessitates moving beyond pilot projects to full integration, embedding AI principles into daily operations and establishing clear governance structures commensurate with the power of the deployed technology.</w:t>
      </w:r>
      <w:r w:rsidDel="00000000" w:rsidR="00000000" w:rsidRPr="00000000">
        <w:rPr>
          <w:rtl w:val="0"/>
        </w:rPr>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NEW Artificial Intelligence Statistics (July 2025) - Exploding Topics, accessed on October 9, 2025, </w:t>
      </w:r>
      <w:hyperlink r:id="rId6">
        <w:r w:rsidDel="00000000" w:rsidR="00000000" w:rsidRPr="00000000">
          <w:rPr>
            <w:rFonts w:ascii="Google Sans" w:cs="Google Sans" w:eastAsia="Google Sans" w:hAnsi="Google Sans"/>
            <w:color w:val="1155cc"/>
            <w:sz w:val="24"/>
            <w:szCs w:val="24"/>
            <w:u w:val="single"/>
            <w:rtl w:val="0"/>
          </w:rPr>
          <w:t xml:space="preserve">45+ NEW Artificial Intelligence Statistics (Jan 2026)</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MarTech Market worth $296.88 billion by 2030 - MarketsandMarkets, accessed on October 9, 2025, </w:t>
      </w:r>
      <w:hyperlink r:id="rId7">
        <w:r w:rsidDel="00000000" w:rsidR="00000000" w:rsidRPr="00000000">
          <w:rPr>
            <w:rFonts w:ascii="Google Sans" w:cs="Google Sans" w:eastAsia="Google Sans" w:hAnsi="Google Sans"/>
            <w:color w:val="1155cc"/>
            <w:sz w:val="24"/>
            <w:szCs w:val="24"/>
            <w:u w:val="single"/>
            <w:rtl w:val="0"/>
          </w:rPr>
          <w:t xml:space="preserve">MarTech Market worth $296.88 billion by 2030</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MarTech Market to Hit $296.88B by 2030, Driven by AI and Digital Transformation, accessed on October 9, 2025, </w:t>
      </w:r>
      <w:hyperlink r:id="rId8">
        <w:r w:rsidDel="00000000" w:rsidR="00000000" w:rsidRPr="00000000">
          <w:rPr>
            <w:rFonts w:ascii="Google Sans" w:cs="Google Sans" w:eastAsia="Google Sans" w:hAnsi="Google Sans"/>
            <w:color w:val="1155cc"/>
            <w:sz w:val="24"/>
            <w:szCs w:val="24"/>
            <w:u w:val="single"/>
            <w:rtl w:val="0"/>
          </w:rPr>
          <w:t xml:space="preserve">MarTech Market to Hit $296.88B by 2030, Driven by AI and Digital Transformation</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Text-To-Video AI Market 2025 - Statistics &amp; Future Outlook, accessed on October 9, 2025, </w:t>
      </w:r>
      <w:hyperlink r:id="rId9">
        <w:r w:rsidDel="00000000" w:rsidR="00000000" w:rsidRPr="00000000">
          <w:rPr>
            <w:rFonts w:ascii="Google Sans" w:cs="Google Sans" w:eastAsia="Google Sans" w:hAnsi="Google Sans"/>
            <w:color w:val="1155cc"/>
            <w:sz w:val="24"/>
            <w:szCs w:val="24"/>
            <w:u w:val="single"/>
            <w:rtl w:val="0"/>
          </w:rPr>
          <w:t xml:space="preserve">Text-To-Video AI Market Size, Growth, Outlook Report 2026</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Personalization at Scale: How AI is Enhancing Customer Experiences in 2025 - SuperAGI, accessed on October 9, 2025, </w:t>
      </w:r>
      <w:hyperlink r:id="rId10">
        <w:r w:rsidDel="00000000" w:rsidR="00000000" w:rsidRPr="00000000">
          <w:rPr>
            <w:rFonts w:ascii="Google Sans" w:cs="Google Sans" w:eastAsia="Google Sans" w:hAnsi="Google Sans"/>
            <w:color w:val="1155cc"/>
            <w:sz w:val="24"/>
            <w:szCs w:val="24"/>
            <w:u w:val="single"/>
            <w:rtl w:val="0"/>
          </w:rPr>
          <w:t xml:space="preserve">Personalization at Scale: How AI is Enhancing Customer Experiences in 2025 - SuperAGI</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AI to Improve ROAS (Return on Ad Spend) for Paid Campaigns? - Markteer, accessed on October 9, 2025, </w:t>
      </w:r>
      <w:hyperlink r:id="rId11">
        <w:r w:rsidDel="00000000" w:rsidR="00000000" w:rsidRPr="00000000">
          <w:rPr>
            <w:rFonts w:ascii="Google Sans" w:cs="Google Sans" w:eastAsia="Google Sans" w:hAnsi="Google Sans"/>
            <w:color w:val="1155cc"/>
            <w:sz w:val="24"/>
            <w:szCs w:val="24"/>
            <w:u w:val="single"/>
            <w:rtl w:val="0"/>
          </w:rPr>
          <w:t xml:space="preserve">How to Use AI to Improve ROAS (Return on Ad Spend) for Paid Campaigns?</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Content Marketing: Key Statistics &amp; Trends, accessed on October 9, 2025, </w:t>
      </w:r>
      <w:hyperlink r:id="rId12">
        <w:r w:rsidDel="00000000" w:rsidR="00000000" w:rsidRPr="00000000">
          <w:rPr>
            <w:rFonts w:ascii="Google Sans" w:cs="Google Sans" w:eastAsia="Google Sans" w:hAnsi="Google Sans"/>
            <w:color w:val="0000ee"/>
            <w:sz w:val="24"/>
            <w:szCs w:val="24"/>
            <w:u w:val="single"/>
            <w:rtl w:val="0"/>
          </w:rPr>
          <w:t xml:space="preserve">https://colorwhistle.com/statistics-ai-content/</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Localization Accelerates Global Market Expansion - Single Grain, accessed on October 9, 2025, </w:t>
      </w:r>
      <w:hyperlink r:id="rId13">
        <w:r w:rsidDel="00000000" w:rsidR="00000000" w:rsidRPr="00000000">
          <w:rPr>
            <w:rFonts w:ascii="Google Sans" w:cs="Google Sans" w:eastAsia="Google Sans" w:hAnsi="Google Sans"/>
            <w:color w:val="0000ee"/>
            <w:sz w:val="24"/>
            <w:szCs w:val="24"/>
            <w:u w:val="single"/>
            <w:rtl w:val="0"/>
          </w:rPr>
          <w:t xml:space="preserve">https://www.singlegrain.com/artificial-intelligence/how-ai-localization-accelerates-global-market-expansion/</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Localization Rate: What Affects Costs for Content and Websites - Lokalise, accessed on October 9, 2025, </w:t>
      </w:r>
      <w:hyperlink r:id="rId14">
        <w:r w:rsidDel="00000000" w:rsidR="00000000" w:rsidRPr="00000000">
          <w:rPr>
            <w:rFonts w:ascii="Google Sans" w:cs="Google Sans" w:eastAsia="Google Sans" w:hAnsi="Google Sans"/>
            <w:color w:val="0000ee"/>
            <w:sz w:val="24"/>
            <w:szCs w:val="24"/>
            <w:u w:val="single"/>
            <w:rtl w:val="0"/>
          </w:rPr>
          <w:t xml:space="preserve">https://lokalise.com/blog/lower-localization-costs/</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(AI) Marketing Benchmark Report: 2025 - Influencer Marketing Hub, accessed on October 9, 2025, </w:t>
      </w:r>
      <w:hyperlink r:id="rId15">
        <w:r w:rsidDel="00000000" w:rsidR="00000000" w:rsidRPr="00000000">
          <w:rPr>
            <w:rFonts w:ascii="Google Sans" w:cs="Google Sans" w:eastAsia="Google Sans" w:hAnsi="Google Sans"/>
            <w:color w:val="0000ee"/>
            <w:sz w:val="24"/>
            <w:szCs w:val="24"/>
            <w:u w:val="single"/>
            <w:rtl w:val="0"/>
          </w:rPr>
          <w:t xml:space="preserve">https://influencermarketinghub.com/ai-marketing-benchmark-report/</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Economic potential of generative AI - McKinsey, accessed on October 9, 2025, </w:t>
      </w:r>
      <w:hyperlink r:id="rId16">
        <w:r w:rsidDel="00000000" w:rsidR="00000000" w:rsidRPr="00000000">
          <w:rPr>
            <w:rFonts w:ascii="Google Sans" w:cs="Google Sans" w:eastAsia="Google Sans" w:hAnsi="Google Sans"/>
            <w:color w:val="0000ee"/>
            <w:sz w:val="24"/>
            <w:szCs w:val="24"/>
            <w:u w:val="single"/>
            <w:rtl w:val="0"/>
          </w:rPr>
          <w:t xml:space="preserve">https://www.mckinsey.com/capabilities/mckinsey-digital/our-insights/the-economic-potential-of-generative-ai-the-next-productivity-frontier</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Maximising ROI with Generative AI: Strategies for Measuring Impact and Value - Medium, accessed on October 9, 2025, </w:t>
      </w:r>
      <w:hyperlink r:id="rId17">
        <w:r w:rsidDel="00000000" w:rsidR="00000000" w:rsidRPr="00000000">
          <w:rPr>
            <w:rFonts w:ascii="Google Sans" w:cs="Google Sans" w:eastAsia="Google Sans" w:hAnsi="Google Sans"/>
            <w:color w:val="0000ee"/>
            <w:sz w:val="24"/>
            <w:szCs w:val="24"/>
            <w:u w:val="single"/>
            <w:rtl w:val="0"/>
          </w:rPr>
          <w:t xml:space="preserve">https://medium.com/@1993Tikku/maximising-roi-with-generative-ai-strategies-for-measuring-impact-and-value-8ce0cdccbd00</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Four Companies Capitalize on AI to Deliver Cost Transformations, accessed on October 9, 2025, </w:t>
      </w:r>
      <w:hyperlink r:id="rId18">
        <w:r w:rsidDel="00000000" w:rsidR="00000000" w:rsidRPr="00000000">
          <w:rPr>
            <w:rFonts w:ascii="Google Sans" w:cs="Google Sans" w:eastAsia="Google Sans" w:hAnsi="Google Sans"/>
            <w:color w:val="0000ee"/>
            <w:sz w:val="24"/>
            <w:szCs w:val="24"/>
            <w:u w:val="single"/>
            <w:rtl w:val="0"/>
          </w:rPr>
          <w:t xml:space="preserve">https://www.bcg.com/publications/2025/how-four-companies-use-ai-for-cost-transformation</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Content Is 4.7x Cheaper Than Human Content [+ New Research Report] - Ahrefs, accessed on October 9, 2025, </w:t>
      </w:r>
      <w:hyperlink r:id="rId19">
        <w:r w:rsidDel="00000000" w:rsidR="00000000" w:rsidRPr="00000000">
          <w:rPr>
            <w:rFonts w:ascii="Google Sans" w:cs="Google Sans" w:eastAsia="Google Sans" w:hAnsi="Google Sans"/>
            <w:color w:val="0000ee"/>
            <w:sz w:val="24"/>
            <w:szCs w:val="24"/>
            <w:u w:val="single"/>
            <w:rtl w:val="0"/>
          </w:rPr>
          <w:t xml:space="preserve">https://ahrefs.com/blog/ai-content-is-5x-cheaper-than-human-content/</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Content Creation: Market Growth and Adoption Trends - PatentPC, accessed on October 9, 2025, </w:t>
      </w:r>
      <w:hyperlink r:id="rId20">
        <w:r w:rsidDel="00000000" w:rsidR="00000000" w:rsidRPr="00000000">
          <w:rPr>
            <w:rFonts w:ascii="Google Sans" w:cs="Google Sans" w:eastAsia="Google Sans" w:hAnsi="Google Sans"/>
            <w:color w:val="0000ee"/>
            <w:sz w:val="24"/>
            <w:szCs w:val="24"/>
            <w:u w:val="single"/>
            <w:rtl w:val="0"/>
          </w:rPr>
          <w:t xml:space="preserve">https://patentpc.com/blog/ai-in-content-creation-market-growth-and-adoption-trends</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How AI-Enhanced Marketing Campaigns Reduced CPA by 37% - Lessons for 2025 and Beyond - SuperAGI, accessed on October 9, 2025, </w:t>
      </w:r>
      <w:hyperlink r:id="rId21">
        <w:r w:rsidDel="00000000" w:rsidR="00000000" w:rsidRPr="00000000">
          <w:rPr>
            <w:rFonts w:ascii="Google Sans" w:cs="Google Sans" w:eastAsia="Google Sans" w:hAnsi="Google Sans"/>
            <w:color w:val="0000ee"/>
            <w:sz w:val="24"/>
            <w:szCs w:val="24"/>
            <w:u w:val="single"/>
            <w:rtl w:val="0"/>
          </w:rPr>
          <w:t xml:space="preserve">https://superagi.com/case-study-how-ai-enhanced-marketing-campaigns-reduced-cpa-by-37-lessons-for-2025-and-beyond/</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Shift from Deterministic to Probabilistic Attribution Models in Marketing - Future Demand, accessed on October 9, 2025, </w:t>
      </w:r>
      <w:hyperlink r:id="rId22">
        <w:r w:rsidDel="00000000" w:rsidR="00000000" w:rsidRPr="00000000">
          <w:rPr>
            <w:rFonts w:ascii="Google Sans" w:cs="Google Sans" w:eastAsia="Google Sans" w:hAnsi="Google Sans"/>
            <w:color w:val="0000ee"/>
            <w:sz w:val="24"/>
            <w:szCs w:val="24"/>
            <w:u w:val="single"/>
            <w:rtl w:val="0"/>
          </w:rPr>
          <w:t xml:space="preserve">https://www.future-demand.com/insights/the-shift-from-deterministic-to-probabilistic-attribution-models-in-marketing</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iOS Privacy Changes: Impact on Meta Ad Targeting - AdAmigo.ai Blog, accessed on October 9, 2025, </w:t>
      </w:r>
      <w:hyperlink r:id="rId23">
        <w:r w:rsidDel="00000000" w:rsidR="00000000" w:rsidRPr="00000000">
          <w:rPr>
            <w:rFonts w:ascii="Google Sans" w:cs="Google Sans" w:eastAsia="Google Sans" w:hAnsi="Google Sans"/>
            <w:color w:val="0000ee"/>
            <w:sz w:val="24"/>
            <w:szCs w:val="24"/>
            <w:u w:val="single"/>
            <w:rtl w:val="0"/>
          </w:rPr>
          <w:t xml:space="preserve">https://www.adamigo.ai/blog/ios-privacy-changes-impact-on-meta-ad-targeting</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How IDFA Will Impact the Future of Digital Advertising - Sensor Tower, accessed on October 9, 2025, </w:t>
      </w:r>
      <w:hyperlink r:id="rId24">
        <w:r w:rsidDel="00000000" w:rsidR="00000000" w:rsidRPr="00000000">
          <w:rPr>
            <w:rFonts w:ascii="Google Sans" w:cs="Google Sans" w:eastAsia="Google Sans" w:hAnsi="Google Sans"/>
            <w:color w:val="0000ee"/>
            <w:sz w:val="24"/>
            <w:szCs w:val="24"/>
            <w:u w:val="single"/>
            <w:rtl w:val="0"/>
          </w:rPr>
          <w:t xml:space="preserve">https://sensortower.com/blog/how-will-idfa-impact-advertising</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vs Third-Party Cookies: Promise or Illusion? - NÜ Programmatique, accessed on October 9, 2025, </w:t>
      </w:r>
      <w:hyperlink r:id="rId25">
        <w:r w:rsidDel="00000000" w:rsidR="00000000" w:rsidRPr="00000000">
          <w:rPr>
            <w:rFonts w:ascii="Google Sans" w:cs="Google Sans" w:eastAsia="Google Sans" w:hAnsi="Google Sans"/>
            <w:color w:val="0000ee"/>
            <w:sz w:val="24"/>
            <w:szCs w:val="24"/>
            <w:u w:val="single"/>
            <w:rtl w:val="0"/>
          </w:rPr>
          <w:t xml:space="preserve">https://nuprogrammatique.com/en/blogue/ai-as-an-alternative-to-third-party-cookies-promise-or-illusion/</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October 9, 2025, </w:t>
      </w:r>
      <w:hyperlink r:id="rId26">
        <w:r w:rsidDel="00000000" w:rsidR="00000000" w:rsidRPr="00000000">
          <w:rPr>
            <w:rFonts w:ascii="Google Sans" w:cs="Google Sans" w:eastAsia="Google Sans" w:hAnsi="Google Sans"/>
            <w:color w:val="0000ee"/>
            <w:sz w:val="24"/>
            <w:szCs w:val="24"/>
            <w:u w:val="single"/>
            <w:rtl w:val="0"/>
          </w:rPr>
          <w:t xml:space="preserve">https://www.silverpush.co/blogs/contextual-advertising-guide/#:~:text=The%20Contextual%20Advertising%20market%20has,(CAGR)%20of%2010.5%25.</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Contextual Advertising Market Size, Share 2025-2034 - CMI, accessed on October 9, 2025, </w:t>
      </w:r>
      <w:hyperlink r:id="rId27">
        <w:r w:rsidDel="00000000" w:rsidR="00000000" w:rsidRPr="00000000">
          <w:rPr>
            <w:rFonts w:ascii="Google Sans" w:cs="Google Sans" w:eastAsia="Google Sans" w:hAnsi="Google Sans"/>
            <w:color w:val="0000ee"/>
            <w:sz w:val="24"/>
            <w:szCs w:val="24"/>
            <w:u w:val="single"/>
            <w:rtl w:val="0"/>
          </w:rPr>
          <w:t xml:space="preserve">https://www.custommarketinsights.com/report/us-contextual-advertising-market/</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demise of third-party cookies and identifiers | McKinsey, accessed on October 9, 2025, </w:t>
      </w:r>
      <w:hyperlink r:id="rId28">
        <w:r w:rsidDel="00000000" w:rsidR="00000000" w:rsidRPr="00000000">
          <w:rPr>
            <w:rFonts w:ascii="Google Sans" w:cs="Google Sans" w:eastAsia="Google Sans" w:hAnsi="Google Sans"/>
            <w:color w:val="0000ee"/>
            <w:sz w:val="24"/>
            <w:szCs w:val="24"/>
            <w:u w:val="single"/>
            <w:rtl w:val="0"/>
          </w:rPr>
          <w:t xml:space="preserve">https://www.mckinsey.com/capabilities/growth-marketing-and-sales/our-insights/the-demise-of-third-party-cookies-and-identifiers</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ad spend grows alongside efficiency gains: ANA | Marketing Dive, accessed on October 9, 2025, </w:t>
      </w:r>
      <w:hyperlink r:id="rId29">
        <w:r w:rsidDel="00000000" w:rsidR="00000000" w:rsidRPr="00000000">
          <w:rPr>
            <w:rFonts w:ascii="Google Sans" w:cs="Google Sans" w:eastAsia="Google Sans" w:hAnsi="Google Sans"/>
            <w:color w:val="0000ee"/>
            <w:sz w:val="24"/>
            <w:szCs w:val="24"/>
            <w:u w:val="single"/>
            <w:rtl w:val="0"/>
          </w:rPr>
          <w:t xml:space="preserve">https://www.marketingdive.com/news/programmatic-efficient-transparent-ctv-marketing-ana/735645/</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the Click: How AI is Shifting Campaign Optimization from CPC to Cost Per Outcome, accessed on October 9, 2025, </w:t>
      </w:r>
      <w:hyperlink r:id="rId30">
        <w:r w:rsidDel="00000000" w:rsidR="00000000" w:rsidRPr="00000000">
          <w:rPr>
            <w:rFonts w:ascii="Google Sans" w:cs="Google Sans" w:eastAsia="Google Sans" w:hAnsi="Google Sans"/>
            <w:color w:val="0000ee"/>
            <w:sz w:val="24"/>
            <w:szCs w:val="24"/>
            <w:u w:val="single"/>
            <w:rtl w:val="0"/>
          </w:rPr>
          <w:t xml:space="preserve">https://www.mgid.com/blog/beyond-click-how-ai-shifting-campaign-optimization-cpc-cost-outcome</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Connected Consumer: Innovation with trust | Deloitte Insights, accessed on October 9, 2025, </w:t>
      </w:r>
      <w:hyperlink r:id="rId31">
        <w:r w:rsidDel="00000000" w:rsidR="00000000" w:rsidRPr="00000000">
          <w:rPr>
            <w:rFonts w:ascii="Google Sans" w:cs="Google Sans" w:eastAsia="Google Sans" w:hAnsi="Google Sans"/>
            <w:color w:val="0000ee"/>
            <w:sz w:val="24"/>
            <w:szCs w:val="24"/>
            <w:u w:val="single"/>
            <w:rtl w:val="0"/>
          </w:rPr>
          <w:t xml:space="preserve">https://www.deloitte.com/us/en/insights/industry/telecommunications/connectivity-mobile-trends-survey.html</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Users Favor LLM-Generated Content—Until They Know It's AI - arXiv, accessed on October 9, 2025, </w:t>
      </w:r>
      <w:hyperlink r:id="rId32">
        <w:r w:rsidDel="00000000" w:rsidR="00000000" w:rsidRPr="00000000">
          <w:rPr>
            <w:rFonts w:ascii="Google Sans" w:cs="Google Sans" w:eastAsia="Google Sans" w:hAnsi="Google Sans"/>
            <w:color w:val="0000ee"/>
            <w:sz w:val="24"/>
            <w:szCs w:val="24"/>
            <w:u w:val="single"/>
            <w:rtl w:val="0"/>
          </w:rPr>
          <w:t xml:space="preserve">https://arxiv.org/html/2503.16458v1</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Adoption Is Surging in Advertising, but is the Industry Prepared for Responsible AI? - IAB, accessed on October 9, 2025, </w:t>
      </w:r>
      <w:hyperlink r:id="rId33">
        <w:r w:rsidDel="00000000" w:rsidR="00000000" w:rsidRPr="00000000">
          <w:rPr>
            <w:rFonts w:ascii="Google Sans" w:cs="Google Sans" w:eastAsia="Google Sans" w:hAnsi="Google Sans"/>
            <w:color w:val="0000ee"/>
            <w:sz w:val="24"/>
            <w:szCs w:val="24"/>
            <w:u w:val="single"/>
            <w:rtl w:val="0"/>
          </w:rPr>
          <w:t xml:space="preserve">https://www.iab.com/insights/ai-adoption-is-surging-in-advertising-but-is-the-industry-prepared-for-responsible-ai/</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Artificial Intelligence–Generated Content Labels On Perceived Accuracy, Message Credibility, and Sharing Intentions for Misinformation: Web-Based, Randomized, Controlled Experiment - PMC - PubMed Central, accessed on October 9, 2025,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https://pmc.ncbi.nlm.nih.gov/articles/PMC11892328/</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Deepfake Media Forensics: Status and Future Challenges - PMC - PubMed Central, accessed on October 9, 2025,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https://pmc.ncbi.nlm.nih.gov/articles/PMC11943306/</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AI &amp; Media Integrity: Insights from the Deepfake Detection Challenge - Partnership on AI, accessed on October 9, 2025, </w:t>
      </w:r>
      <w:hyperlink r:id="rId36">
        <w:r w:rsidDel="00000000" w:rsidR="00000000" w:rsidRPr="00000000">
          <w:rPr>
            <w:rFonts w:ascii="Google Sans" w:cs="Google Sans" w:eastAsia="Google Sans" w:hAnsi="Google Sans"/>
            <w:color w:val="0000ee"/>
            <w:sz w:val="24"/>
            <w:szCs w:val="24"/>
            <w:u w:val="single"/>
            <w:rtl w:val="0"/>
          </w:rPr>
          <w:t xml:space="preserve">https://partnershiponai.org/on-ai-media-integrity-insights-from-the-deepfake-detection-challenge/</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Artificial Intelligence and Copyright Law - Congress.gov, accessed on October 9, 2025, </w:t>
      </w:r>
      <w:hyperlink r:id="rId37">
        <w:r w:rsidDel="00000000" w:rsidR="00000000" w:rsidRPr="00000000">
          <w:rPr>
            <w:rFonts w:ascii="Google Sans" w:cs="Google Sans" w:eastAsia="Google Sans" w:hAnsi="Google Sans"/>
            <w:color w:val="0000ee"/>
            <w:sz w:val="24"/>
            <w:szCs w:val="24"/>
            <w:u w:val="single"/>
            <w:rtl w:val="0"/>
          </w:rPr>
          <w:t xml:space="preserve">https://www.congress.gov/crs-product/LSB10922</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interaction between intellectual property laws and AI: Opportunities and challenges, accessed on October 9, 2025, </w:t>
      </w:r>
      <w:hyperlink r:id="rId38">
        <w:r w:rsidDel="00000000" w:rsidR="00000000" w:rsidRPr="00000000">
          <w:rPr>
            <w:rFonts w:ascii="Google Sans" w:cs="Google Sans" w:eastAsia="Google Sans" w:hAnsi="Google Sans"/>
            <w:color w:val="0000ee"/>
            <w:sz w:val="24"/>
            <w:szCs w:val="24"/>
            <w:u w:val="single"/>
            <w:rtl w:val="0"/>
          </w:rPr>
          <w:t xml:space="preserve">https://www.nortonrosefulbright.com/en/knowledge/publications/c6d47e6f/the-interaction-between-intellectual-property-laws-and-ai-opportunities-and-challenges</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will Artificial Intelligence Affect Jobs 2025-2030 | Nexford University, accessed on October 9, 2025, </w:t>
      </w:r>
      <w:hyperlink r:id="rId39">
        <w:r w:rsidDel="00000000" w:rsidR="00000000" w:rsidRPr="00000000">
          <w:rPr>
            <w:rFonts w:ascii="Google Sans" w:cs="Google Sans" w:eastAsia="Google Sans" w:hAnsi="Google Sans"/>
            <w:color w:val="0000ee"/>
            <w:sz w:val="24"/>
            <w:szCs w:val="24"/>
            <w:u w:val="single"/>
            <w:rtl w:val="0"/>
          </w:rPr>
          <w:t xml:space="preserve">https://www.nexford.edu/insights/how-will-ai-affect-jobs</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Calculating the ROI of Generative-AI Tools: A Practical Framework Leveraging Worklytics Metrics, accessed on October 9, 2025, </w:t>
      </w:r>
      <w:hyperlink r:id="rId40">
        <w:r w:rsidDel="00000000" w:rsidR="00000000" w:rsidRPr="00000000">
          <w:rPr>
            <w:rFonts w:ascii="Google Sans" w:cs="Google Sans" w:eastAsia="Google Sans" w:hAnsi="Google Sans"/>
            <w:color w:val="0000ee"/>
            <w:sz w:val="24"/>
            <w:szCs w:val="24"/>
            <w:u w:val="single"/>
            <w:rtl w:val="0"/>
          </w:rPr>
          <w:t xml:space="preserve">https://www.worklytics.co/resources/calculating-roi-generative-ai-tools-worklytics-framework</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AI Business Predictions - PwC, accessed on October 9, 2025, </w:t>
      </w:r>
      <w:hyperlink r:id="rId41">
        <w:r w:rsidDel="00000000" w:rsidR="00000000" w:rsidRPr="00000000">
          <w:rPr>
            <w:rFonts w:ascii="Google Sans" w:cs="Google Sans" w:eastAsia="Google Sans" w:hAnsi="Google Sans"/>
            <w:color w:val="0000ee"/>
            <w:sz w:val="24"/>
            <w:szCs w:val="24"/>
            <w:u w:val="single"/>
            <w:rtl w:val="0"/>
          </w:rPr>
          <w:t xml:space="preserve">https://www.pwc.com/us/en/tech-effect/ai-analytics/ai-predictions.html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orklytics.co/resources/calculating-roi-generative-ai-tools-worklytics-framework" TargetMode="External"/><Relationship Id="rId20" Type="http://schemas.openxmlformats.org/officeDocument/2006/relationships/hyperlink" Target="https://patentpc.com/blog/ai-in-content-creation-market-growth-and-adoption-trends" TargetMode="External"/><Relationship Id="rId41" Type="http://schemas.openxmlformats.org/officeDocument/2006/relationships/hyperlink" Target="https://www.pwc.com/us/en/tech-effect/ai-analytics/ai-predictions.html" TargetMode="External"/><Relationship Id="rId22" Type="http://schemas.openxmlformats.org/officeDocument/2006/relationships/hyperlink" Target="https://www.future-demand.com/insights/the-shift-from-deterministic-to-probabilistic-attribution-models-in-marketing" TargetMode="External"/><Relationship Id="rId21" Type="http://schemas.openxmlformats.org/officeDocument/2006/relationships/hyperlink" Target="https://superagi.com/case-study-how-ai-enhanced-marketing-campaigns-reduced-cpa-by-37-lessons-for-2025-and-beyond/" TargetMode="External"/><Relationship Id="rId24" Type="http://schemas.openxmlformats.org/officeDocument/2006/relationships/hyperlink" Target="https://sensortower.com/blog/how-will-idfa-impact-advertising" TargetMode="External"/><Relationship Id="rId23" Type="http://schemas.openxmlformats.org/officeDocument/2006/relationships/hyperlink" Target="https://www.adamigo.ai/blog/ios-privacy-changes-impact-on-meta-ad-targe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businessresearchcompany.com/report/text-to-video-ai-global-market-report" TargetMode="External"/><Relationship Id="rId26" Type="http://schemas.openxmlformats.org/officeDocument/2006/relationships/hyperlink" Target="https://www.silverpush.co/blogs/contextual-advertising-guide/#:~:text=The%20Contextual%20Advertising%20market%20has,(CAGR)%20of%2010.5%25." TargetMode="External"/><Relationship Id="rId25" Type="http://schemas.openxmlformats.org/officeDocument/2006/relationships/hyperlink" Target="https://nuprogrammatique.com/en/blogue/ai-as-an-alternative-to-third-party-cookies-promise-or-illusion/" TargetMode="External"/><Relationship Id="rId28" Type="http://schemas.openxmlformats.org/officeDocument/2006/relationships/hyperlink" Target="https://www.mckinsey.com/capabilities/growth-marketing-and-sales/our-insights/the-demise-of-third-party-cookies-and-identifiers" TargetMode="External"/><Relationship Id="rId27" Type="http://schemas.openxmlformats.org/officeDocument/2006/relationships/hyperlink" Target="https://www.custommarketinsights.com/report/us-contextual-advertising-market/" TargetMode="External"/><Relationship Id="rId5" Type="http://schemas.openxmlformats.org/officeDocument/2006/relationships/styles" Target="styles.xml"/><Relationship Id="rId6" Type="http://schemas.openxmlformats.org/officeDocument/2006/relationships/hyperlink" Target="https://explodingtopics.com/blog/ai-statistics" TargetMode="External"/><Relationship Id="rId29" Type="http://schemas.openxmlformats.org/officeDocument/2006/relationships/hyperlink" Target="https://www.marketingdive.com/news/programmatic-efficient-transparent-ctv-marketing-ana/735645/" TargetMode="External"/><Relationship Id="rId7" Type="http://schemas.openxmlformats.org/officeDocument/2006/relationships/hyperlink" Target="https://www.marketsandmarkets.com/PressReleases/martech.asp" TargetMode="External"/><Relationship Id="rId8" Type="http://schemas.openxmlformats.org/officeDocument/2006/relationships/hyperlink" Target="https://martechedge.com/news/martech-market-to-hit-29688b-by-2030-driven-by-ai-and-digital-transformation" TargetMode="External"/><Relationship Id="rId31" Type="http://schemas.openxmlformats.org/officeDocument/2006/relationships/hyperlink" Target="https://www.deloitte.com/us/en/insights/industry/telecommunications/connectivity-mobile-trends-survey.html" TargetMode="External"/><Relationship Id="rId30" Type="http://schemas.openxmlformats.org/officeDocument/2006/relationships/hyperlink" Target="https://www.mgid.com/blog/beyond-click-how-ai-shifting-campaign-optimization-cpc-cost-outcome" TargetMode="External"/><Relationship Id="rId11" Type="http://schemas.openxmlformats.org/officeDocument/2006/relationships/hyperlink" Target="https://www.markteer.com/blog/using-ai-to-improve-roas-for-paid-campaigns/" TargetMode="External"/><Relationship Id="rId33" Type="http://schemas.openxmlformats.org/officeDocument/2006/relationships/hyperlink" Target="https://www.iab.com/insights/ai-adoption-is-surging-in-advertising-but-is-the-industry-prepared-for-responsible-ai/" TargetMode="External"/><Relationship Id="rId10" Type="http://schemas.openxmlformats.org/officeDocument/2006/relationships/hyperlink" Target="https://superagi.com/personalization-at-scale-how-ai-is-enhancing-customer-experiences-in-2025/" TargetMode="External"/><Relationship Id="rId32" Type="http://schemas.openxmlformats.org/officeDocument/2006/relationships/hyperlink" Target="https://arxiv.org/html/2503.16458v1" TargetMode="External"/><Relationship Id="rId13" Type="http://schemas.openxmlformats.org/officeDocument/2006/relationships/hyperlink" Target="https://www.singlegrain.com/artificial-intelligence/how-ai-localization-accelerates-global-market-expansion/" TargetMode="External"/><Relationship Id="rId35" Type="http://schemas.openxmlformats.org/officeDocument/2006/relationships/hyperlink" Target="https://pmc.ncbi.nlm.nih.gov/articles/PMC11943306/" TargetMode="External"/><Relationship Id="rId12" Type="http://schemas.openxmlformats.org/officeDocument/2006/relationships/hyperlink" Target="https://colorwhistle.com/statistics-ai-content/" TargetMode="External"/><Relationship Id="rId34" Type="http://schemas.openxmlformats.org/officeDocument/2006/relationships/hyperlink" Target="https://pmc.ncbi.nlm.nih.gov/articles/PMC11892328/" TargetMode="External"/><Relationship Id="rId15" Type="http://schemas.openxmlformats.org/officeDocument/2006/relationships/hyperlink" Target="https://influencermarketinghub.com/ai-marketing-benchmark-report/" TargetMode="External"/><Relationship Id="rId37" Type="http://schemas.openxmlformats.org/officeDocument/2006/relationships/hyperlink" Target="https://www.congress.gov/crs-product/LSB10922" TargetMode="External"/><Relationship Id="rId14" Type="http://schemas.openxmlformats.org/officeDocument/2006/relationships/hyperlink" Target="https://lokalise.com/blog/lower-localization-costs/" TargetMode="External"/><Relationship Id="rId36" Type="http://schemas.openxmlformats.org/officeDocument/2006/relationships/hyperlink" Target="https://partnershiponai.org/on-ai-media-integrity-insights-from-the-deepfake-detection-challenge/" TargetMode="External"/><Relationship Id="rId17" Type="http://schemas.openxmlformats.org/officeDocument/2006/relationships/hyperlink" Target="https://medium.com/@1993Tikku/maximising-roi-with-generative-ai-strategies-for-measuring-impact-and-value-8ce0cdccbd00" TargetMode="External"/><Relationship Id="rId39" Type="http://schemas.openxmlformats.org/officeDocument/2006/relationships/hyperlink" Target="https://www.nexford.edu/insights/how-will-ai-affect-jobs" TargetMode="External"/><Relationship Id="rId16" Type="http://schemas.openxmlformats.org/officeDocument/2006/relationships/hyperlink" Target="https://www.mckinsey.com/capabilities/mckinsey-digital/our-insights/the-economic-potential-of-generative-ai-the-next-productivity-frontier" TargetMode="External"/><Relationship Id="rId38" Type="http://schemas.openxmlformats.org/officeDocument/2006/relationships/hyperlink" Target="https://www.nortonrosefulbright.com/en/knowledge/publications/c6d47e6f/the-interaction-between-intellectual-property-laws-and-ai-opportunities-and-challenges" TargetMode="External"/><Relationship Id="rId19" Type="http://schemas.openxmlformats.org/officeDocument/2006/relationships/hyperlink" Target="https://ahrefs.com/blog/ai-content-is-5x-cheaper-than-human-content/" TargetMode="External"/><Relationship Id="rId18" Type="http://schemas.openxmlformats.org/officeDocument/2006/relationships/hyperlink" Target="https://www.bcg.com/publications/2025/how-four-companies-use-ai-for-cost-transform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