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2BE" w:rsidRDefault="008962BE" w:rsidP="008962BE">
      <w:pPr>
        <w:spacing w:after="240"/>
        <w:jc w:val="both"/>
        <w:rPr>
          <w:b/>
          <w:bCs/>
        </w:rPr>
      </w:pPr>
      <w:r>
        <w:rPr>
          <w:b/>
          <w:bCs/>
        </w:rPr>
        <w:t>Daniel Jericho Estaris</w:t>
      </w:r>
      <w:r>
        <w:rPr>
          <w:b/>
          <w:bCs/>
        </w:rPr>
        <w:tab/>
        <w:t>BSIT-3B</w:t>
      </w:r>
      <w:r>
        <w:rPr>
          <w:b/>
          <w:bCs/>
        </w:rPr>
        <w:tab/>
      </w:r>
      <w:r>
        <w:rPr>
          <w:b/>
          <w:bCs/>
        </w:rPr>
        <w:tab/>
        <w:t>LAB 9</w:t>
      </w:r>
      <w:bookmarkStart w:id="0" w:name="_GoBack"/>
      <w:bookmarkEnd w:id="0"/>
    </w:p>
    <w:p w:rsidR="00CF6813" w:rsidRDefault="008962BE">
      <w:pPr>
        <w:spacing w:after="240"/>
        <w:jc w:val="center"/>
      </w:pPr>
      <w:r>
        <w:rPr>
          <w:b/>
          <w:bCs/>
        </w:rPr>
        <w:t>Lab 9 – Tasks (Answers)</w:t>
      </w:r>
    </w:p>
    <w:p w:rsidR="00CF6813" w:rsidRDefault="008962BE">
      <w:pPr>
        <w:spacing w:before="200" w:after="80"/>
      </w:pPr>
      <w:r>
        <w:rPr>
          <w:b/>
          <w:bCs/>
        </w:rPr>
        <w:t>1. Did you notice a delay between clicking “Publish” and seeing the message in the “Subscriber” window? Why is low latency important for a warehouse fire sensor?</w:t>
      </w:r>
    </w:p>
    <w:p w:rsidR="00CF6813" w:rsidRDefault="008962BE">
      <w:pPr>
        <w:spacing w:after="160"/>
        <w:jc w:val="both"/>
      </w:pPr>
      <w:r>
        <w:t>In practice the message appears almost instantly. MQTT keeps a single persistent TCP connection open, so there is no new handshake for each message, and the JSON payload is very small — both of which keep latency low (typically only tens to a couple hundre</w:t>
      </w:r>
      <w:r>
        <w:t xml:space="preserve">d milliseconds over the public broker, and effectively no delay on a local one). For a warehouse fire sensor this matters enormously because detection time is the entire point. A temperature spike that reaches the monitoring system even a few seconds late </w:t>
      </w:r>
      <w:r>
        <w:t>means the fire has more time to spread before alarms, sprinklers, or evacuation are triggered. In that setting the gap between a small, contained incident and a major loss can come down to those seconds, so low and predictable latency is what makes the dat</w:t>
      </w:r>
      <w:r>
        <w:t>a actionable rather than just a record of what already burned.</w:t>
      </w:r>
    </w:p>
    <w:p w:rsidR="00CF6813" w:rsidRDefault="008962BE">
      <w:pPr>
        <w:spacing w:before="200" w:after="80"/>
      </w:pPr>
      <w:r>
        <w:rPr>
          <w:b/>
          <w:bCs/>
        </w:rPr>
        <w:t>2. Did the “Device” need to know anything about the “Subscriber” (IP address, OS, etc.) to send the data? Explain how the Broker facilitates this “anonymity.”</w:t>
      </w:r>
    </w:p>
    <w:p w:rsidR="00CF6813" w:rsidRDefault="008962BE">
      <w:pPr>
        <w:spacing w:after="160"/>
        <w:jc w:val="both"/>
      </w:pPr>
      <w:r>
        <w:t>No. The publishing device only eve</w:t>
      </w:r>
      <w:r>
        <w:t>r needs to know two things: the broker’s address and the topic string. It has no knowledge of whether anyone is subscribed, how many subscribers there are, or what their IP address, operating system, or hardware might be. This is the decoupling at the hear</w:t>
      </w:r>
      <w:r>
        <w:t xml:space="preserve">t of the publish/subscribe model. The broker sits in the middle and acts as a router: publishers send messages addressed only by topic, subscribers register their interest in topics with the broker, and the broker then matches each incoming message to the </w:t>
      </w:r>
      <w:r>
        <w:t>relevant subscribers and delivers it. This decouples the two sides in space (neither needs the other’s address), in time (a subscriber can connect later and still receive data through retained messages or quality-of-service settings), and in flow (the devi</w:t>
      </w:r>
      <w:r>
        <w:t xml:space="preserve">ce simply fires and forgets). The practical benefit is loose coupling and </w:t>
      </w:r>
      <w:proofErr w:type="gramStart"/>
      <w:r>
        <w:t xml:space="preserve">scalability </w:t>
      </w:r>
      <w:r>
        <w:t xml:space="preserve"> dozens</w:t>
      </w:r>
      <w:proofErr w:type="gramEnd"/>
      <w:r>
        <w:t xml:space="preserve"> of new monitoring dashboards can be added without changing or even notifying the sensor.</w:t>
      </w:r>
    </w:p>
    <w:p w:rsidR="00CF6813" w:rsidRDefault="008962BE">
      <w:pPr>
        <w:spacing w:before="200" w:after="80"/>
      </w:pPr>
      <w:r>
        <w:rPr>
          <w:b/>
          <w:bCs/>
        </w:rPr>
        <w:t>3. What happens to the “System” if the “Device” sends a message to the w</w:t>
      </w:r>
      <w:r>
        <w:rPr>
          <w:b/>
          <w:bCs/>
        </w:rPr>
        <w:t>rong topic (e.g., warehouse/sensor/temp instead of your specific name)?</w:t>
      </w:r>
    </w:p>
    <w:p w:rsidR="00CF6813" w:rsidRDefault="008962BE">
      <w:pPr>
        <w:spacing w:after="160"/>
        <w:jc w:val="both"/>
      </w:pPr>
      <w:r>
        <w:t xml:space="preserve">The message effectively goes nowhere useful, </w:t>
      </w:r>
      <w:proofErr w:type="gramStart"/>
      <w:r>
        <w:t>and  importantly</w:t>
      </w:r>
      <w:proofErr w:type="gramEnd"/>
      <w:r>
        <w:t xml:space="preserve"> </w:t>
      </w:r>
      <w:r>
        <w:t xml:space="preserve"> no error is raised. The broker happily accepts </w:t>
      </w:r>
      <w:proofErr w:type="gramStart"/>
      <w:r>
        <w:t>the publish</w:t>
      </w:r>
      <w:proofErr w:type="gramEnd"/>
      <w:r>
        <w:t xml:space="preserve">, but it only delivers messages to subscribers whose subscription matches </w:t>
      </w:r>
      <w:r>
        <w:t>the topic. Because the monitoring system is subscribed to warehouse/sensor</w:t>
      </w:r>
      <w:proofErr w:type="gramStart"/>
      <w:r>
        <w:t>/[</w:t>
      </w:r>
      <w:proofErr w:type="spellStart"/>
      <w:proofErr w:type="gramEnd"/>
      <w:r>
        <w:t>YourName</w:t>
      </w:r>
      <w:proofErr w:type="spellEnd"/>
      <w:r>
        <w:t>]/temp, a message published to warehouse/sensor/temp does not match, so the system never receives it. From the system’s point of view the data is silently drop</w:t>
      </w:r>
      <w:r>
        <w:t>ped; it would only reach a client that happened to subscribe to that exact wrong topic. This is why correct and consistent topic naming is so important in MQTT: a typo does not crash anything, it just makes data quietly vanish, which is harder to notice th</w:t>
      </w:r>
      <w:r>
        <w:t>an a loud failure. (Subscribers can also use wildcards — the plus sign for a single level and the hash for everything below it — so subscribing to warehouse/sensor/# would catch messages regardless of the name level, which is one common way to guard agains</w:t>
      </w:r>
      <w:r>
        <w:t>t exactly this problem.)</w:t>
      </w:r>
    </w:p>
    <w:sectPr w:rsidR="00CF68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B37E66"/>
    <w:multiLevelType w:val="hybridMultilevel"/>
    <w:tmpl w:val="CD6403CA"/>
    <w:lvl w:ilvl="0" w:tplc="A2C034F8">
      <w:start w:val="1"/>
      <w:numFmt w:val="bullet"/>
      <w:lvlText w:val="●"/>
      <w:lvlJc w:val="left"/>
      <w:pPr>
        <w:ind w:left="720" w:hanging="360"/>
      </w:pPr>
    </w:lvl>
    <w:lvl w:ilvl="1" w:tplc="70606CB6">
      <w:start w:val="1"/>
      <w:numFmt w:val="bullet"/>
      <w:lvlText w:val="○"/>
      <w:lvlJc w:val="left"/>
      <w:pPr>
        <w:ind w:left="1440" w:hanging="360"/>
      </w:pPr>
    </w:lvl>
    <w:lvl w:ilvl="2" w:tplc="1C5E8DE8">
      <w:start w:val="1"/>
      <w:numFmt w:val="bullet"/>
      <w:lvlText w:val="■"/>
      <w:lvlJc w:val="left"/>
      <w:pPr>
        <w:ind w:left="2160" w:hanging="360"/>
      </w:pPr>
    </w:lvl>
    <w:lvl w:ilvl="3" w:tplc="9A4E3588">
      <w:start w:val="1"/>
      <w:numFmt w:val="bullet"/>
      <w:lvlText w:val="●"/>
      <w:lvlJc w:val="left"/>
      <w:pPr>
        <w:ind w:left="2880" w:hanging="360"/>
      </w:pPr>
    </w:lvl>
    <w:lvl w:ilvl="4" w:tplc="128845BE">
      <w:start w:val="1"/>
      <w:numFmt w:val="bullet"/>
      <w:lvlText w:val="○"/>
      <w:lvlJc w:val="left"/>
      <w:pPr>
        <w:ind w:left="3600" w:hanging="360"/>
      </w:pPr>
    </w:lvl>
    <w:lvl w:ilvl="5" w:tplc="1304D99A">
      <w:start w:val="1"/>
      <w:numFmt w:val="bullet"/>
      <w:lvlText w:val="■"/>
      <w:lvlJc w:val="left"/>
      <w:pPr>
        <w:ind w:left="4320" w:hanging="360"/>
      </w:pPr>
    </w:lvl>
    <w:lvl w:ilvl="6" w:tplc="6CD8042E">
      <w:start w:val="1"/>
      <w:numFmt w:val="bullet"/>
      <w:lvlText w:val="●"/>
      <w:lvlJc w:val="left"/>
      <w:pPr>
        <w:ind w:left="5040" w:hanging="360"/>
      </w:pPr>
    </w:lvl>
    <w:lvl w:ilvl="7" w:tplc="C7A24744">
      <w:start w:val="1"/>
      <w:numFmt w:val="bullet"/>
      <w:lvlText w:val="●"/>
      <w:lvlJc w:val="left"/>
      <w:pPr>
        <w:ind w:left="5760" w:hanging="360"/>
      </w:pPr>
    </w:lvl>
    <w:lvl w:ilvl="8" w:tplc="5516B6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813"/>
    <w:rsid w:val="008962BE"/>
    <w:rsid w:val="00CF68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38F4EE-0CBD-433D-9161-5DC90D44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2026-06-27T12:18:00Z</dcterms:created>
  <dcterms:modified xsi:type="dcterms:W3CDTF">2026-06-27T12:33:00Z</dcterms:modified>
</cp:coreProperties>
</file>