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88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APEX CONSULTING GROUP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Enterprise Solutions Division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GSTIN: 27AABCA1234D1Z5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PAN: AABCA1234D  |  State: 27-Maharashtra</w:t>
            </w:r>
          </w:p>
          <w:p>
            <w:pPr>
              <w:spacing w:before="25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12th Floor, One World Centre, Senapati Bapat Marg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Lower Parel, Mumbai, Maharashtra 400013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Tel: +91 22 6123 4500  |  billing@apexconsulting.in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TAX INVOICE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Tax Scheme: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3"/>
                <w:szCs w:val="13"/>
              </w:rPr>
              <w:t xml:space="preserve">Regular Taxation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Invoice No: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3"/>
                <w:szCs w:val="13"/>
              </w:rPr>
              <w:t xml:space="preserve">INV-2026-0918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Invoice Date: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18-Sep-2026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Due Date: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18-Oct-2026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PO / Reference: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PO-88421-A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Place of Supply: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33-Tamil Nadu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Supply Type: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Inter-State</w:t>
            </w:r>
          </w:p>
          <w:p>
            <w:pPr>
              <w:spacing w:before="18"/>
              <w:jc w:val="right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Reverse Charge:  </w:t>
            </w:r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No</w:t>
            </w:r>
          </w:p>
        </w:tc>
      </w:tr>
    </w:tbl>
    <w:p>
      <w:pPr>
        <w:spacing w:before="80"/>
      </w:pP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0"/>
      </w:tblGrid>
      <w:tr>
        <w:tc>
          <w:tcPr>
            <w:tcW w:type="dxa" w:w="1128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</w:tcPr>
          <w:p/>
        </w:tc>
      </w:tr>
    </w:tbl>
    <w:p>
      <w:pPr>
        <w:spacing w:before="100"/>
      </w:pP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5640"/>
      </w:tblGrid>
      <w:tr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3"/>
                <w:szCs w:val="13"/>
              </w:rPr>
              <w:t xml:space="preserve">BILL TO / RECIPIENT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Meridian Technologies Pvt. Ltd.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3"/>
                <w:szCs w:val="13"/>
              </w:rPr>
              <w:t xml:space="preserve">GSTIN: 33AADCM9876K1Z2</w:t>
            </w:r>
          </w:p>
          <w:p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PAN: AADCM9876K  |  State: 33-Tamil Nadu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Attn: Accounts Payable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No. 42, Rajiv Gandhi Salai (OMR)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Thoraipakkam, Chennai, Tamil Nadu 600097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3"/>
                <w:szCs w:val="13"/>
              </w:rPr>
              <w:t xml:space="preserve">BANK / REMITTANCE DETAILS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Bank: HDFC Bank Ltd.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Account Name: Apex Consulting Group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Account No: 502000********21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IFSC: HDFC0000123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Branch: Lower Parel, Mumbai</w:t>
            </w:r>
          </w:p>
          <w:p>
            <w:r>
              <w:rPr>
                <w:rFonts w:ascii="Arial" w:cs="Arial" w:eastAsia="Arial" w:hAnsi="Arial"/>
                <w:color w:val="555555"/>
                <w:sz w:val="13"/>
                <w:szCs w:val="13"/>
              </w:rPr>
              <w:t xml:space="preserve">UPI: apex.billing@hdfcbank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4"/>
          <w:szCs w:val="14"/>
        </w:rPr>
        <w:t xml:space="preserve">PARTICULARS OF SUPPLY (Services)</w:t>
      </w: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20"/>
        <w:gridCol w:w="980"/>
        <w:gridCol w:w="880"/>
        <w:gridCol w:w="980"/>
        <w:gridCol w:w="1380"/>
        <w:gridCol w:w="2660"/>
      </w:tblGrid>
      <w:tr>
        <w:tc>
          <w:tcPr>
            <w:tcW w:type="dxa" w:w="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39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Description of Services</w:t>
            </w:r>
          </w:p>
        </w:tc>
        <w:tc>
          <w:tcPr>
            <w:tcW w:type="dxa" w:w="9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SAC</w:t>
            </w:r>
          </w:p>
        </w:tc>
        <w:tc>
          <w:tcPr>
            <w:tcW w:type="dxa" w:w="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Qty</w:t>
            </w:r>
          </w:p>
        </w:tc>
        <w:tc>
          <w:tcPr>
            <w:tcW w:type="dxa" w:w="9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Unit</w:t>
            </w:r>
          </w:p>
        </w:tc>
        <w:tc>
          <w:tcPr>
            <w:tcW w:type="dxa" w:w="13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Rate (₹)</w:t>
            </w:r>
          </w:p>
        </w:tc>
        <w:tc>
          <w:tcPr>
            <w:tcW w:type="dxa" w:w="2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Amount (₹)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Enterprise Cloud Migration Assessment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66666"/>
                <w:sz w:val="11"/>
                <w:szCs w:val="11"/>
              </w:rPr>
              <w:t xml:space="preserve">Full infrastructure audit, dependency mapping, and migration roadmap for hybrid cloud environment.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998311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Project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18,500.00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18,500.00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2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Security &amp; Compliance Review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66666"/>
                <w:sz w:val="11"/>
                <w:szCs w:val="11"/>
              </w:rPr>
              <w:t xml:space="preserve">SOC 2 Type II readiness assessment and policy gap analysis for regulated workloads.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998311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80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Hours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180.00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14,400.00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3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Data Architecture Design Workshop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66666"/>
                <w:sz w:val="11"/>
                <w:szCs w:val="11"/>
              </w:rPr>
              <w:t xml:space="preserve">Three-day on-site workshop covering data lake design, governance model, and ETL strategy.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998311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3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Days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3,250.00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9,750.00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4</w:t>
            </w:r>
          </w:p>
        </w:tc>
        <w:tc>
          <w:tcPr>
            <w:tcW w:type="dxa" w:w="3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3"/>
                <w:szCs w:val="13"/>
              </w:rPr>
              <w:t xml:space="preserve">Implementation Support Retainer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66666"/>
                <w:sz w:val="11"/>
                <w:szCs w:val="11"/>
              </w:rPr>
              <w:t xml:space="preserve">Monthly advisory support for Q4 2026 (October–December) including architecture reviews.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998314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3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2"/>
                <w:szCs w:val="12"/>
              </w:rPr>
              <w:t xml:space="preserve">Months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4,000.00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12,000.00</w:t>
            </w:r>
          </w:p>
        </w:tc>
      </w:tr>
    </w:tbl>
    <w:p>
      <w:pPr>
        <w:spacing w:before="90"/>
      </w:pP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640"/>
        <w:gridCol w:w="244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Taxable Value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₹  54,650.00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CGST @ 9%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₹  0.00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SGST @ 9%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₹  0.00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IGST @ 18%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₹  9,837.00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Total Tax (charged)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₹  9,837.00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40"/>
            <w:tcBorders>
              <w:top w:val="single" w:color="1F4E79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Grand Total</w:t>
            </w:r>
          </w:p>
        </w:tc>
        <w:tc>
          <w:tcPr>
            <w:tcW w:type="dxa" w:w="2440"/>
            <w:tcBorders>
              <w:top w:val="single" w:color="1F4E79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₹  64,487.00</w:t>
            </w:r>
          </w:p>
        </w:tc>
      </w:tr>
    </w:tbl>
    <w:p>
      <w:pPr>
        <w:spacing w:before="70"/>
      </w:pPr>
      <w:r>
        <w:rPr>
          <w:rFonts w:ascii="Arial" w:cs="Arial" w:eastAsia="Arial" w:hAnsi="Arial"/>
          <w:b/>
          <w:bCs/>
          <w:color w:val="555555"/>
          <w:sz w:val="13"/>
          <w:szCs w:val="13"/>
        </w:rPr>
        <w:t xml:space="preserve">Amount in Words:  </w:t>
      </w:r>
      <w:r>
        <w:rPr>
          <w:rFonts w:ascii="Arial" w:cs="Arial" w:eastAsia="Arial" w:hAnsi="Arial"/>
          <w:color w:val="333333"/>
          <w:sz w:val="13"/>
          <w:szCs w:val="13"/>
        </w:rPr>
        <w:t xml:space="preserve">Indian Rupees Sixty-Four Thousand Four Hundred Eighty-Seven Only</w:t>
      </w:r>
    </w:p>
    <w:p>
      <w:pPr>
        <w:spacing w:before="110"/>
      </w:pPr>
    </w:p>
    <w:p>
      <w:pPr>
        <w:spacing w:after="35"/>
      </w:pPr>
      <w:r>
        <w:rPr>
          <w:rFonts w:ascii="Arial" w:cs="Arial" w:eastAsia="Arial" w:hAnsi="Arial"/>
          <w:b/>
          <w:bCs/>
          <w:color w:val="1F4E79"/>
          <w:sz w:val="13"/>
          <w:szCs w:val="13"/>
        </w:rPr>
        <w:t xml:space="preserve">GST TAX BREAKDOWN</w:t>
      </w: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100"/>
        <w:gridCol w:w="1300"/>
        <w:gridCol w:w="1100"/>
        <w:gridCol w:w="1300"/>
        <w:gridCol w:w="1100"/>
        <w:gridCol w:w="13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HSN/SAC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Taxable (₹)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CGST %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CGST Amt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SGST %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SGST Amt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IGST %</w:t>
            </w:r>
          </w:p>
        </w:tc>
        <w:tc>
          <w:tcPr>
            <w:tcW w:type="dxa" w:w="13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IGST Amt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998311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42,650.00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18%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7,677.00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998314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12,000.00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18%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1"/>
                <w:szCs w:val="11"/>
              </w:rPr>
              <w:t xml:space="preserve">2,160.00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1"/>
                <w:szCs w:val="11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1"/>
                <w:szCs w:val="11"/>
              </w:rPr>
              <w:t xml:space="preserve">54,650.00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1"/>
                <w:szCs w:val="11"/>
              </w:rPr>
              <w:t xml:space="preserve">0.00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1"/>
                <w:szCs w:val="11"/>
              </w:rPr>
              <w:t xml:space="preserve">9,837.00</w:t>
            </w:r>
          </w:p>
        </w:tc>
      </w:tr>
    </w:tbl>
    <w:p>
      <w:pPr>
        <w:spacing w:before="10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1F4E79"/>
          <w:sz w:val="13"/>
          <w:szCs w:val="13"/>
        </w:rPr>
        <w:t xml:space="preserve">PAYMENT TERMS &amp; NOTES</w:t>
      </w:r>
    </w:p>
    <w:p>
      <w:pPr>
        <w:spacing w:after="20"/>
      </w:pPr>
      <w:r>
        <w:rPr>
          <w:rFonts w:ascii="Arial" w:cs="Arial" w:eastAsia="Arial" w:hAnsi="Arial"/>
          <w:color w:val="444444"/>
          <w:sz w:val="12"/>
          <w:szCs w:val="12"/>
        </w:rPr>
        <w:t xml:space="preserve">Payment is due within thirty (30) days of the invoice date (Net 30). Please quote Invoice No. INV-2026-0918 on all remittances. Late payments attract interest at 18% p.a. under the MSMED Act, 2006 (if applicable) or as per contract. All amounts are in Indian Rupees (INR). This is a Tax Invoice under Section 31 of the CGST Act, 2017. Supply is inter-state; IGST is charged under the IGST Act, 2017. For any discrepancy, contact billing@apexconsulting.in within 7 days of receipt.</w:t>
      </w:r>
    </w:p>
    <w:p>
      <w:pPr>
        <w:spacing w:before="11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13"/>
          <w:szCs w:val="13"/>
        </w:rPr>
        <w:t xml:space="preserve">AUTHORIZATION</w:t>
      </w:r>
    </w:p>
    <w:tbl>
      <w:tblPr>
        <w:tblW w:type="dxa" w:w="11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0"/>
        <w:gridCol w:w="5640"/>
      </w:tblGrid>
      <w:tr>
        <w:tc>
          <w:tcPr>
            <w:tcW w:type="dxa" w:w="564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2"/>
                <w:szCs w:val="12"/>
              </w:rPr>
              <w:t xml:space="preserve">FOR APEX CONSULTING GROUP</w:t>
            </w:r>
          </w:p>
          <w:p>
            <w:pPr>
              <w:spacing w:before="9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Name: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Title: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Company: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Apex Consulting Group</w:t>
            </w:r>
          </w:p>
          <w:p>
            <w:pPr>
              <w:spacing w:before="9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Signature: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Date: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</w:tc>
        <w:tc>
          <w:tcPr>
            <w:tcW w:type="dxa" w:w="564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FAFB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2"/>
                <w:szCs w:val="12"/>
              </w:rPr>
              <w:t xml:space="preserve">FOR MERIDIAN TECHNOLOGIES PVT. LTD.</w:t>
            </w:r>
          </w:p>
          <w:p>
            <w:pPr>
              <w:spacing w:before="9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Name: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Title: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Company: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Meridian Technologies Pvt. Ltd.</w:t>
            </w:r>
          </w:p>
          <w:p>
            <w:pPr>
              <w:spacing w:before="9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Signature: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2"/>
                <w:szCs w:val="12"/>
              </w:rPr>
              <w:t xml:space="preserve">Date:  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_______________________________</w:t>
            </w:r>
          </w:p>
        </w:tc>
      </w:tr>
    </w:tbl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1"/>
          <w:szCs w:val="11"/>
        </w:rPr>
        <w:t xml:space="preserve">This is a computer-generated TAX INVOICE under the CGST / IGST Acts and is valid without a physical signature unless required by contract. Subject to Mumbai jurisdiction.</w:t>
      </w:r>
    </w:p>
    <w:sectPr>
      <w:headerReference w:type="default" r:id="rId7"/>
      <w:footerReference w:type="default" r:id="rId8"/>
      <w:pgSz w:w="12240" w:h="15840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Apex Consulting Group  •  GST Compliant  •  Page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4E79"/>
        <w:sz w:val="14"/>
        <w:szCs w:val="14"/>
      </w:rPr>
      <w:t xml:space="preserve">TAX INVOICE  |  Original for Recipient  |  Regular Taxation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2026-09-19T09:27:58.545Z</dcterms:created>
  <dcterms:modified xsi:type="dcterms:W3CDTF">2026-09-19T09:27:58.545Z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