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Calibri Light" w:hAnsi="Calibri Light"/>
          <w:b/>
          <w:color w:val="000000"/>
          <w:sz w:val="40"/>
        </w:rPr>
        <w:t>OGE ACADÉMIE — PARTENARIAT TECHNIQUE &amp; COMMERCIAL</w:t>
      </w:r>
    </w:p>
    <w:p>
      <w:r/>
    </w:p>
    <w:p>
      <w:pPr>
        <w:pStyle w:val="Heading1"/>
        <w:keepNext/>
        <w:spacing w:before="240" w:after="120"/>
      </w:pPr>
      <w:r>
        <w:rPr>
          <w:rFonts w:ascii="Calibri Light" w:hAnsi="Calibri Light"/>
          <w:b/>
          <w:color w:val="000000"/>
          <w:sz w:val="40"/>
        </w:rPr>
        <w:t>PROPOSITION COMMERCIALE &amp; CONTRAT DE PARTENARIAT</w:t>
      </w:r>
    </w:p>
    <w:p>
      <w:r>
        <w:t>*Plateforme SaaS de Préparation de Concours – OGE Académie*</w:t>
      </w:r>
    </w:p>
    <w:p>
      <w:r/>
    </w:p>
    <w:p>
      <w:r>
        <w:t>---</w:t>
      </w:r>
    </w:p>
    <w:p>
      <w:r/>
    </w:p>
    <w:tbl>
      <w:tblPr>
        <w:tblStyle w:val="TableGrid"/>
        <w:tblW w:type="auto" w:w="0"/>
        <w:tblLook w:firstColumn="1" w:firstRow="1" w:lastColumn="0" w:lastRow="0" w:noHBand="0" w:noVBand="1" w:val="04A0"/>
      </w:tblPr>
      <w:tblGrid>
        <w:gridCol w:w="4680"/>
        <w:gridCol w:w="4680"/>
      </w:tblGrid>
      <w:tr>
        <w:trPr>
          <w:cantSplit/>
          <w:tblHeader/>
        </w:trPr>
        <w:tc>
          <w:tcPr>
            <w:tcW w:type="dxa" w:w="4680"/>
            <w:tcMar>
              <w:top w:w="140" w:type="dxa"/>
              <w:bottom w:w="140" w:type="dxa"/>
              <w:left w:w="180" w:type="dxa"/>
              <w:right w:w="180" w:type="dxa"/>
            </w:tcMar>
            <w:shd w:fill="FF7900"/>
          </w:tcPr>
          <w:p>
            <w:pPr>
              <w:jc w:val="center"/>
            </w:pPr>
            <w:r>
              <w:rPr>
                <w:b/>
                <w:color w:val="FFFFFF"/>
              </w:rPr>
              <w:t>---</w:t>
            </w:r>
          </w:p>
        </w:tc>
        <w:tc>
          <w:tcPr>
            <w:tcW w:type="dxa" w:w="4680"/>
            <w:tcMar>
              <w:top w:w="140" w:type="dxa"/>
              <w:bottom w:w="140" w:type="dxa"/>
              <w:left w:w="180" w:type="dxa"/>
              <w:right w:w="180" w:type="dxa"/>
            </w:tcMar>
            <w:shd w:fill="FF7900"/>
          </w:tcPr>
          <w:p>
            <w:pPr>
              <w:jc w:val="center"/>
            </w:pPr>
            <w:r>
              <w:rPr>
                <w:b/>
                <w:color w:val="FFFFFF"/>
              </w:rPr>
              <w:t>---</w:t>
            </w:r>
          </w:p>
        </w:tc>
      </w:tr>
      <w:tr>
        <w:trPr>
          <w:cantSplit/>
        </w:trPr>
        <w:tc>
          <w:tcPr>
            <w:tcW w:type="dxa" w:w="4680"/>
            <w:tcMar>
              <w:top w:w="140" w:type="dxa"/>
              <w:bottom w:w="140" w:type="dxa"/>
              <w:left w:w="180" w:type="dxa"/>
              <w:right w:w="180" w:type="dxa"/>
            </w:tcMar>
          </w:tcPr>
          <w:p>
            <w:pPr>
              <w:jc w:val="left"/>
            </w:pPr>
            <w:r/>
            <w:r>
              <w:rPr>
                <w:b/>
              </w:rPr>
              <w:t>M. Sidoine K.</w:t>
            </w:r>
            <w:r>
              <w:t xml:space="preserve"> (Concepteur)</w:t>
            </w:r>
          </w:p>
        </w:tc>
        <w:tc>
          <w:tcPr>
            <w:tcW w:type="dxa" w:w="4680"/>
            <w:tcMar>
              <w:top w:w="140" w:type="dxa"/>
              <w:bottom w:w="140" w:type="dxa"/>
              <w:left w:w="180" w:type="dxa"/>
              <w:right w:w="180" w:type="dxa"/>
            </w:tcMar>
          </w:tcPr>
          <w:p>
            <w:pPr>
              <w:jc w:val="left"/>
            </w:pPr>
            <w:r/>
            <w:r>
              <w:rPr>
                <w:b/>
              </w:rPr>
              <w:t>OGE Académie</w:t>
            </w:r>
            <w:r>
              <w:t xml:space="preserve"> (M. [Nom de l'Entrepreneur 1] &amp; M. [Nom de l'Entrepreneur 2])</w:t>
            </w:r>
          </w:p>
        </w:tc>
      </w:tr>
      <w:tr>
        <w:trPr>
          <w:cantSplit/>
        </w:trPr>
        <w:tc>
          <w:tcPr>
            <w:tcW w:type="dxa" w:w="4680"/>
            <w:tcMar>
              <w:top w:w="140" w:type="dxa"/>
              <w:bottom w:w="140" w:type="dxa"/>
              <w:left w:w="180" w:type="dxa"/>
              <w:right w:w="180" w:type="dxa"/>
            </w:tcMar>
            <w:shd w:fill="F2F4F4"/>
          </w:tcPr>
          <w:p>
            <w:pPr>
              <w:jc w:val="left"/>
            </w:pPr>
            <w:r>
              <w:t>krsidoine7@gmail.com</w:t>
            </w:r>
          </w:p>
        </w:tc>
        <w:tc>
          <w:tcPr>
            <w:tcW w:type="dxa" w:w="4680"/>
            <w:tcMar>
              <w:top w:w="140" w:type="dxa"/>
              <w:bottom w:w="140" w:type="dxa"/>
              <w:left w:w="180" w:type="dxa"/>
              <w:right w:w="180" w:type="dxa"/>
            </w:tcMar>
            <w:shd w:fill="F2F4F4"/>
          </w:tcPr>
          <w:p>
            <w:pPr>
              <w:jc w:val="left"/>
            </w:pPr>
            <w:r>
              <w:t>Contacts : Administrateurs Généraux</w:t>
            </w:r>
          </w:p>
        </w:tc>
      </w:tr>
      <w:tr>
        <w:trPr>
          <w:cantSplit/>
        </w:trPr>
        <w:tc>
          <w:tcPr>
            <w:tcW w:type="dxa" w:w="4680"/>
            <w:tcMar>
              <w:top w:w="140" w:type="dxa"/>
              <w:bottom w:w="140" w:type="dxa"/>
              <w:left w:w="180" w:type="dxa"/>
              <w:right w:w="180" w:type="dxa"/>
            </w:tcMar>
          </w:tcPr>
          <w:p>
            <w:pPr>
              <w:jc w:val="left"/>
            </w:pPr>
            <w:r>
              <w:t>+225 0503681588</w:t>
            </w:r>
          </w:p>
        </w:tc>
        <w:tc>
          <w:tcPr>
            <w:tcW w:type="dxa" w:w="4680"/>
            <w:tcMar>
              <w:top w:w="140" w:type="dxa"/>
              <w:bottom w:w="140" w:type="dxa"/>
              <w:left w:w="180" w:type="dxa"/>
              <w:right w:w="180" w:type="dxa"/>
            </w:tcMar>
          </w:tcPr>
          <w:p>
            <w:pPr>
              <w:jc w:val="left"/>
            </w:pPr>
            <w:r/>
            <w:r>
              <w:rPr>
                <w:b/>
              </w:rPr>
              <w:t>Durée d'engagement :</w:t>
            </w:r>
            <w:r>
              <w:t xml:space="preserve"> 10 Ans Ferme</w:t>
            </w:r>
          </w:p>
        </w:tc>
      </w:tr>
    </w:tbl>
    <w:p>
      <w:pPr>
        <w:spacing w:before="120"/>
      </w:pPr>
    </w:p>
    <w:p>
      <w:r/>
    </w:p>
    <w:p>
      <w:r>
        <w:t>---</w:t>
      </w:r>
    </w:p>
    <w:p>
      <w:r/>
    </w:p>
    <w:p>
      <w:pPr>
        <w:pStyle w:val="Heading2"/>
        <w:keepNext/>
        <w:spacing w:before="240" w:after="120"/>
      </w:pPr>
      <w:r>
        <w:rPr>
          <w:rFonts w:ascii="Calibri Light" w:hAnsi="Calibri Light"/>
          <w:b/>
          <w:color w:val="000000"/>
          <w:sz w:val="32"/>
        </w:rPr>
        <w:t>1. Présentation de la Solution OGE Académie</w:t>
      </w:r>
    </w:p>
    <w:p>
      <w:r/>
    </w:p>
    <w:p>
      <w:r>
        <w:t>OGE Académie est une solution numérique conçue pour des entrepreneurs proposant des services de préparation aux trois concours d'élite de Côte d'Ivoire : l'INP-HB, l'ESATIC et le CME. Portée par de jeunes diplômés issus de ces écoles qui en maîtrisent parfaitement les concours d’accès, la plateforme a été développée en collaboration avec des professeurs qualifiés pour aider les candidats à réussir.</w:t>
      </w:r>
    </w:p>
    <w:p>
      <w:r/>
    </w:p>
    <w:p>
      <w:r>
        <w:t>Cette solution digitale centralisée permet d'assurer :</w:t>
      </w:r>
    </w:p>
    <w:p>
      <w:pPr>
        <w:pStyle w:val="ListBullet"/>
      </w:pPr>
      <w:r>
        <w:t>L'inscription simplifiée des candidats en ligne (séparée par zone géographique et mode de préparation présentiel/en ligne).</w:t>
      </w:r>
    </w:p>
    <w:p>
      <w:pPr>
        <w:pStyle w:val="ListBullet"/>
      </w:pPr>
      <w:r>
        <w:t>La gestion transparente des offres de préparation et la validation des reçus de paiement locaux (via Wave).</w:t>
      </w:r>
    </w:p>
    <w:p>
      <w:pPr>
        <w:pStyle w:val="ListBullet"/>
      </w:pPr>
      <w:r>
        <w:t>La mise à disposition sécurisée des supports de cours PDF et des sessions de visioconférence Google Meet, tout en protégeant les droits d'auteur des professeurs (affichage sécurisé sans téléchargement ni copie non autorisée).</w:t>
      </w:r>
    </w:p>
    <w:p>
      <w:r/>
    </w:p>
    <w:p>
      <w:r>
        <w:t>---</w:t>
      </w:r>
    </w:p>
    <w:p>
      <w:r/>
    </w:p>
    <w:p>
      <w:pPr>
        <w:pStyle w:val="Heading2"/>
        <w:keepNext/>
        <w:spacing w:before="240" w:after="120"/>
      </w:pPr>
      <w:r>
        <w:rPr>
          <w:rFonts w:ascii="Calibri Light" w:hAnsi="Calibri Light"/>
          <w:b/>
          <w:color w:val="000000"/>
          <w:sz w:val="32"/>
        </w:rPr>
        <w:t>2. Stratégie d'Hébergement et Optimisation des Coûts</w:t>
      </w:r>
    </w:p>
    <w:p>
      <w:r/>
    </w:p>
    <w:p>
      <w:r>
        <w:t>Afin de démarrer le projet de manière économe, l'architecture a été conçue pour maximiser l'usage des offres gratuites et optimiser le budget technique :</w:t>
      </w:r>
    </w:p>
    <w:p>
      <w:r/>
    </w:p>
    <w:p>
      <w:pPr>
        <w:pStyle w:val="ListBullet"/>
      </w:pPr>
      <w:r/>
      <w:r>
        <w:rPr>
          <w:b/>
        </w:rPr>
        <w:t>Nom de Domaine :</w:t>
      </w:r>
      <w:r>
        <w:t xml:space="preserve"> Acheté et configuré par le Concepteur. Aucun frais de remboursement ou d'acquisition n'est facturé aux Entrepreneurs au démarrage.</w:t>
      </w:r>
    </w:p>
    <w:p>
      <w:pPr>
        <w:pStyle w:val="ListBullet"/>
      </w:pPr>
      <w:r/>
      <w:r>
        <w:rPr>
          <w:b/>
        </w:rPr>
        <w:t>Hébergement applicatif :</w:t>
      </w:r>
      <w:r>
        <w:t xml:space="preserve"> Déployé sur la plateforme Vercel (offre gratuite de démarrage).</w:t>
      </w:r>
    </w:p>
    <w:p>
      <w:pPr>
        <w:pStyle w:val="ListBullet"/>
      </w:pPr>
      <w:r/>
      <w:r>
        <w:rPr>
          <w:b/>
        </w:rPr>
        <w:t>Base de données et Authentification :</w:t>
      </w:r>
      <w:r>
        <w:t xml:space="preserve"> Hébergées sur Supabase (offre gratuite de démarrage).</w:t>
      </w:r>
    </w:p>
    <w:p>
      <w:pPr>
        <w:pStyle w:val="ListBullet"/>
      </w:pPr>
      <w:r/>
      <w:r>
        <w:rPr>
          <w:b/>
        </w:rPr>
        <w:t>Stockage des fichiers (PDFs &amp; Reçus) :</w:t>
      </w:r>
      <w:r>
        <w:t xml:space="preserve"> Stockés sur Supabase. Une migration gratuite vers Cloudflare R2 (10 Go gratuits) sera effectuée par le Concepteur.</w:t>
      </w:r>
    </w:p>
    <w:p>
      <w:pPr>
        <w:pStyle w:val="ListBullet"/>
      </w:pPr>
      <w:r/>
      <w:r>
        <w:rPr>
          <w:b/>
        </w:rPr>
        <w:t>Abonnements de Saison (Juillet - Octobre) :</w:t>
      </w:r>
      <w:r>
        <w:t xml:space="preserve"> Si les quotas gratuits sont dépassés en cours d'année, les abonnements requis (ex : Supabase Pro à 25$/mois) seront à la charge des Entrepreneurs. Pour optimiser les coûts, le Concepteur proposes d'activer ces formules payantes </w:t>
      </w:r>
      <w:r>
        <w:rPr>
          <w:b/>
        </w:rPr>
        <w:t>uniquement durant les 3 mois de préparation active</w:t>
      </w:r>
      <w:r>
        <w:t xml:space="preserve"> (juillet à octobre) et de les suspendre hors saison. Si les Entrepreneurs souhaitent maintenir le service payant actif toute l'année, ils en financeront l'intégralité des mensualités.</w:t>
      </w:r>
    </w:p>
    <w:p>
      <w:pPr>
        <w:pStyle w:val="ListBullet"/>
      </w:pPr>
      <w:r/>
      <w:r>
        <w:rPr>
          <w:b/>
        </w:rPr>
        <w:t>Responsabilité des Frais d'infrastructure :</w:t>
      </w:r>
      <w:r>
        <w:t xml:space="preserve"> Tous les frais d'infrastructure et d'abonnements tiers restent à la charge exclusive des Entrepreneurs. Le Concepteur fournit sa main-d'œuvre de migration et d'intégration à titre gratuit.</w:t>
      </w:r>
    </w:p>
    <w:p>
      <w:r/>
    </w:p>
    <w:p>
      <w:r>
        <w:t>---</w:t>
      </w:r>
    </w:p>
    <w:p>
      <w:r/>
    </w:p>
    <w:p>
      <w:pPr>
        <w:pStyle w:val="Heading2"/>
        <w:keepNext/>
        <w:spacing w:before="240" w:after="120"/>
      </w:pPr>
      <w:r>
        <w:rPr>
          <w:rFonts w:ascii="Calibri Light" w:hAnsi="Calibri Light"/>
          <w:b/>
          <w:color w:val="000000"/>
          <w:sz w:val="32"/>
        </w:rPr>
        <w:t>3. Tarification, Maintenance et Gestion des Données</w:t>
      </w:r>
    </w:p>
    <w:p>
      <w:r/>
    </w:p>
    <w:p>
      <w:r>
        <w:t>La tarification repose sur un partage de revenus équitable et l'utilisation autonome de la plateforme :</w:t>
      </w:r>
    </w:p>
    <w:p>
      <w:r/>
    </w:p>
    <w:p>
      <w:pPr>
        <w:pStyle w:val="ListBullet"/>
      </w:pPr>
      <w:r/>
      <w:r>
        <w:rPr>
          <w:b/>
        </w:rPr>
        <w:t>Frais d'Installation initiaux :</w:t>
      </w:r>
      <w:r>
        <w:t xml:space="preserve"> 0 FCFA (Aucun paiement initial. Les Entrepreneurs ne paient rien lors du lancement).</w:t>
      </w:r>
    </w:p>
    <w:p>
      <w:pPr>
        <w:pStyle w:val="ListBullet"/>
      </w:pPr>
      <w:r/>
      <w:r>
        <w:rPr>
          <w:b/>
        </w:rPr>
        <w:t>Commission Récurrente :</w:t>
      </w:r>
      <w:r>
        <w:t xml:space="preserve"> 2 % sur le montant total de chaque transaction d'élève validée sur la plateforme. Règlement unique à la fin de la campagne annuelle de préparation (courant octobre).</w:t>
      </w:r>
    </w:p>
    <w:p>
      <w:pPr>
        <w:pStyle w:val="ListBullet"/>
      </w:pPr>
      <w:r/>
      <w:r>
        <w:rPr>
          <w:b/>
        </w:rPr>
        <w:t>Modification et Gestion des Informations :</w:t>
      </w:r>
      <w:r>
        <w:t xml:space="preserve"> La plateforme intègre un CMS complet permettant de modifier toutes les informations du site (textes de la page d'accueil, coordonnées des centres, tarifs) et de gérer les profils (managers, administrateurs, candidats). </w:t>
      </w:r>
      <w:r>
        <w:rPr>
          <w:b/>
        </w:rPr>
        <w:t>Cette gestion et les mises à jour des données incombent exclusivement aux administrateurs et managers des Entrepreneurs</w:t>
      </w:r>
      <w:r>
        <w:t>. Le Concepteur n'effectue aucune mise à jour d'information. Son rôle est strictement limité à la résolution des problèmes techniques et des bugs système.</w:t>
      </w:r>
    </w:p>
    <w:p>
      <w:pPr>
        <w:pStyle w:val="ListBullet"/>
      </w:pPr>
      <w:r/>
      <w:r>
        <w:rPr>
          <w:b/>
        </w:rPr>
        <w:t>Maintenance Incluse :</w:t>
      </w:r>
      <w:r>
        <w:t xml:space="preserve"> Le Concepteur assure gratuitement la correction des anomalies bloquantes et la mise à jour de l'année scolaire de référence.</w:t>
      </w:r>
    </w:p>
    <w:p>
      <w:pPr>
        <w:pStyle w:val="ListBullet"/>
      </w:pPr>
      <w:r/>
      <w:r>
        <w:rPr>
          <w:b/>
        </w:rPr>
        <w:t>SLA (Support) :</w:t>
      </w:r>
      <w:r>
        <w:t xml:space="preserve"> De juillet à octobre, assistance technique en cas de panne critique sous 4 heures ouvrables (8h00 - 20h00). Demandes nocturnes ou non critiques traitées le lendemain.</w:t>
      </w:r>
    </w:p>
    <w:p>
      <w:pPr>
        <w:pStyle w:val="ListBullet"/>
      </w:pPr>
      <w:r/>
      <w:r>
        <w:rPr>
          <w:b/>
        </w:rPr>
        <w:t>Évolutions majeures :</w:t>
      </w:r>
      <w:r>
        <w:t xml:space="preserve"> Facturées au forfait après devis écrit ou compensées par une hausse de commission mutuellement convenue (ex : passage de 2 % à 2.5 % ou 3 % selon la complexité).</w:t>
      </w:r>
    </w:p>
    <w:p>
      <w:r/>
    </w:p>
    <w:p>
      <w:r>
        <w:t>---</w:t>
      </w:r>
    </w:p>
    <w:p>
      <w:r/>
    </w:p>
    <w:p>
      <w:pPr>
        <w:pStyle w:val="Heading2"/>
        <w:keepNext/>
        <w:spacing w:before="240" w:after="120"/>
      </w:pPr>
      <w:r>
        <w:rPr>
          <w:rFonts w:ascii="Calibri Light" w:hAnsi="Calibri Light"/>
          <w:b/>
          <w:color w:val="000000"/>
          <w:sz w:val="32"/>
        </w:rPr>
        <w:t>4. Clauses Particulières de Protection du Concepteur</w:t>
      </w:r>
    </w:p>
    <w:p>
      <w:r/>
    </w:p>
    <w:p>
      <w:r>
        <w:t>Compte tenu de la valeur de la plateforme développée (estimée entre 2 000 000 FCFA et 10 000 000 FCFA) et du temps investi, les clauses suivantes sont intégrées :</w:t>
      </w:r>
    </w:p>
    <w:p>
      <w:r/>
    </w:p>
    <w:p>
      <w:pPr>
        <w:pStyle w:val="ListBullet"/>
      </w:pPr>
      <w:r/>
      <w:r>
        <w:rPr>
          <w:b/>
        </w:rPr>
        <w:t>A. Clause d'Engagement de Dix (10) Ans Obligatoire :</w:t>
      </w:r>
      <w:r>
        <w:t xml:space="preserve"> Les Entrepreneurs s'engagent à utiliser la solution logicielle de manière exclusive pendant 10 ans. Remplacement ou contournement par une autre solution interdits durant cette période.</w:t>
      </w:r>
    </w:p>
    <w:p>
      <w:pPr>
        <w:pStyle w:val="ListBullet"/>
      </w:pPr>
      <w:r/>
      <w:r>
        <w:rPr>
          <w:b/>
        </w:rPr>
        <w:t>B. Clause de Pénalité et Rupture d'Engagement :</w:t>
      </w:r>
      <w:r>
        <w:t xml:space="preserve"> Si les Entrepreneurs résilient le contrat, migrent vers un autre outil (interne ou externe) avant l'échéance de 10 ans, </w:t>
      </w:r>
      <w:r>
        <w:rPr>
          <w:b/>
        </w:rPr>
        <w:t>ou s'ils décident d'arrêter définitivement les cours en ligne ou de ne plus utiliser de plateforme en ligne</w:t>
      </w:r>
      <w:r>
        <w:t>, ils seront redevables au Concepteur de :</w:t>
      </w:r>
    </w:p>
    <w:p>
      <w:r>
        <w:t xml:space="preserve">1. Une pénalité forfaitaire et immédiate de </w:t>
      </w:r>
      <w:r>
        <w:rPr>
          <w:b/>
        </w:rPr>
        <w:t>500 000 FCFA</w:t>
      </w:r>
      <w:r>
        <w:t xml:space="preserve"> pour rupture unilatérale.</w:t>
      </w:r>
    </w:p>
    <w:p>
      <w:r>
        <w:t xml:space="preserve">2. Une commission réparatrice de </w:t>
      </w:r>
      <w:r>
        <w:rPr>
          <w:b/>
        </w:rPr>
        <w:t>douze pour cent (12 %)</w:t>
      </w:r>
      <w:r>
        <w:t xml:space="preserve"> sur chaque inscription validée via tout autre support ou méthode alternative jusqu'au terme initial des 10 ans.</w:t>
      </w:r>
    </w:p>
    <w:p>
      <w:pPr>
        <w:pStyle w:val="ListBullet"/>
      </w:pPr>
      <w:r/>
      <w:r>
        <w:rPr>
          <w:b/>
        </w:rPr>
        <w:t>C. Centralisation des Inscriptions :</w:t>
      </w:r>
      <w:r>
        <w:t xml:space="preserve"> Tous les candidats (formules En Ligne et Présentiel) doivent obligatoirement s'inscrire via la plateforme. Aucun paiement d'élève 'hors-système' n'est autorisé.</w:t>
      </w:r>
    </w:p>
    <w:p>
      <w:pPr>
        <w:pStyle w:val="ListBullet"/>
      </w:pPr>
      <w:r/>
      <w:r>
        <w:rPr>
          <w:b/>
        </w:rPr>
        <w:t>D. Limitation de Responsabilité Financière :</w:t>
      </w:r>
      <w:r>
        <w:t xml:space="preserve"> En cas d'interruption accidentelle ou perte de données, la responsabilité financière cumulée du Concepteur est expressément plafonnée au montant de </w:t>
      </w:r>
      <w:r>
        <w:rPr>
          <w:b/>
        </w:rPr>
        <w:t>1 %</w:t>
      </w:r>
      <w:r>
        <w:t xml:space="preserve"> des commissions perçues ou dues pour la campagne annuelle en cours.</w:t>
      </w:r>
    </w:p>
    <w:p>
      <w:r/>
    </w:p>
    <w:p>
      <w:r>
        <w:t>---</w:t>
      </w:r>
    </w:p>
    <w:p>
      <w:r/>
    </w:p>
    <w:p>
      <w:pPr>
        <w:pStyle w:val="Heading2"/>
        <w:keepNext/>
        <w:spacing w:before="240" w:after="120"/>
      </w:pPr>
      <w:r>
        <w:rPr>
          <w:rFonts w:ascii="Calibri Light" w:hAnsi="Calibri Light"/>
          <w:b/>
          <w:color w:val="000000"/>
          <w:sz w:val="32"/>
        </w:rPr>
        <w:t>5. Contrat de Partenariat Juridique</w:t>
      </w:r>
    </w:p>
    <w:p>
      <w:r/>
    </w:p>
    <w:p>
      <w:pPr>
        <w:pStyle w:val="Heading3"/>
        <w:keepNext/>
        <w:spacing w:before="240" w:after="120"/>
      </w:pPr>
      <w:r>
        <w:rPr>
          <w:rFonts w:ascii="Calibri Light" w:hAnsi="Calibri Light"/>
          <w:b/>
          <w:color w:val="000000"/>
          <w:sz w:val="26"/>
        </w:rPr>
        <w:t>ENTRE LES SOUSSIGNÉS :</w:t>
      </w:r>
    </w:p>
    <w:p>
      <w:r>
        <w:t>M. Sidoine K. (krsidoine7@gmail.com | +225 0503681588), ci-après désigné « Le Concepteur ».</w:t>
      </w:r>
    </w:p>
    <w:p>
      <w:r/>
    </w:p>
    <w:p>
      <w:r>
        <w:t>Et l'entité OGE Académie, représentée conjointement par ses deux entrepreneurs co-fondateurs : M. [Nom de l'Entrepreneur 1] et M. [Nom de l'Entrepreneur 2], ci-après désignés « Les Entrepreneurs ».</w:t>
      </w:r>
    </w:p>
    <w:p>
      <w:r/>
    </w:p>
    <w:p>
      <w:pPr>
        <w:pStyle w:val="Heading3"/>
        <w:keepNext/>
        <w:spacing w:before="240" w:after="120"/>
      </w:pPr>
      <w:r>
        <w:rPr>
          <w:rFonts w:ascii="Calibri Light" w:hAnsi="Calibri Light"/>
          <w:b/>
          <w:color w:val="000000"/>
          <w:sz w:val="26"/>
        </w:rPr>
        <w:t>IL A ÉTÉ CONVENU CE QUI SUIT :</w:t>
      </w:r>
    </w:p>
    <w:p>
      <w:r/>
    </w:p>
    <w:p>
      <w:r/>
      <w:r>
        <w:rPr>
          <w:b/>
        </w:rPr>
        <w:t>Article 1 : Objet du contrat</w:t>
      </w:r>
      <w:r/>
    </w:p>
    <w:p>
      <w:r>
        <w:t>Le présent contrat a pour objet la mise à disposition exclusive et l'intégration de la plateforme web OGE Académie par le Concepteur au profit des Entrepreneurs pour la gestion en ligne et en présentiel (avec l'appui d'enseignants) de ses préparations aux concours.</w:t>
      </w:r>
    </w:p>
    <w:p>
      <w:r/>
    </w:p>
    <w:p>
      <w:r/>
      <w:r>
        <w:rPr>
          <w:b/>
        </w:rPr>
        <w:t>Article 2 : Conditions Financières &amp; Hébergement</w:t>
      </w:r>
      <w:r/>
    </w:p>
    <w:p>
      <w:pPr>
        <w:pStyle w:val="ListBullet"/>
      </w:pPr>
      <w:r/>
      <w:r>
        <w:rPr>
          <w:b/>
        </w:rPr>
        <w:t>Frais initiaux :</w:t>
      </w:r>
      <w:r>
        <w:t xml:space="preserve"> Aucun frais d'installation ni de mise en route (0 FCFA).</w:t>
      </w:r>
    </w:p>
    <w:p>
      <w:pPr>
        <w:pStyle w:val="ListBullet"/>
      </w:pPr>
      <w:r/>
      <w:r>
        <w:rPr>
          <w:b/>
        </w:rPr>
        <w:t>Redevance :</w:t>
      </w:r>
      <w:r>
        <w:t xml:space="preserve"> Les Entrepreneurs verseront 2% sur chaque paiement d'élève validé (En Ligne et Présentiel). Versement unique en fin de campagne (courant octobre).</w:t>
      </w:r>
    </w:p>
    <w:p>
      <w:pPr>
        <w:pStyle w:val="ListBullet"/>
      </w:pPr>
      <w:r/>
      <w:r>
        <w:rPr>
          <w:b/>
        </w:rPr>
        <w:t>Hébergement :</w:t>
      </w:r>
      <w:r>
        <w:t xml:space="preserve"> En cas de dépassement des quotas, les Entrepreneurs financent les abonnements. Pour optimiser les coûts, le Concepteur propose d'activer ces formules payantes uniquement durant la saison active de juillet à octobre (3 mois).</w:t>
      </w:r>
    </w:p>
    <w:p>
      <w:r/>
    </w:p>
    <w:p>
      <w:r/>
      <w:r>
        <w:rPr>
          <w:b/>
        </w:rPr>
        <w:t>Article 3 : Maintenance, Évolutions et CMS</w:t>
      </w:r>
      <w:r/>
    </w:p>
    <w:p>
      <w:pPr>
        <w:pStyle w:val="ListBullet"/>
      </w:pPr>
      <w:r>
        <w:t>Les corrections de bugs sont incluses. Les nouvelles fonctionnalités feront l'objet d'un forfait ou d'une revalorisation de la commission.</w:t>
      </w:r>
    </w:p>
    <w:p>
      <w:pPr>
        <w:pStyle w:val="ListBullet"/>
      </w:pPr>
      <w:r>
        <w:t>La gestion, modification et mise à jour de toutes les informations stockées (données des candidats, managers, admins et textes de la page d'accueil) sont de la responsabilité exclusive des Entrepreneurs via leur dashboard CMS. Le Concepteur n'intervient que pour les dysfonctionnements techniques.</w:t>
      </w:r>
    </w:p>
    <w:p>
      <w:r/>
    </w:p>
    <w:p>
      <w:r/>
      <w:r>
        <w:rPr>
          <w:b/>
        </w:rPr>
        <w:t>Article 4 : Durée d'Engagement &amp; Exclusivité (10 Ans)</w:t>
      </w:r>
      <w:r/>
    </w:p>
    <w:p>
      <w:r>
        <w:t>Le contrat est conclu pour une durée ferme de dix (10) ans. Les Entrepreneurs s'engagent à utiliser exclusivement la solution du Concepteur durant cette période.</w:t>
      </w:r>
    </w:p>
    <w:p>
      <w:r/>
    </w:p>
    <w:p>
      <w:r/>
      <w:r>
        <w:rPr>
          <w:b/>
        </w:rPr>
        <w:t>Article 5 : Résiliation, Arrêt de Service &amp; Pénalités</w:t>
      </w:r>
      <w:r/>
    </w:p>
    <w:p>
      <w:r>
        <w:t>En cas de rupture anticipée du contrat, d'utilisation d'une plateforme concurrente avant le terme de 10 ans, ou en cas de décision des Entrepreneurs d'arrêter définitivement l'usage de plateformes en ligne ou de cours en ligne, ces derniers s'engagent solidairement à verser au Concepteur :</w:t>
      </w:r>
    </w:p>
    <w:p>
      <w:r>
        <w:t xml:space="preserve">1. Une pénalité fixe de rupture de </w:t>
      </w:r>
      <w:r>
        <w:rPr>
          <w:b/>
        </w:rPr>
        <w:t>500 000 FCFA</w:t>
      </w:r>
      <w:r>
        <w:t>.</w:t>
      </w:r>
    </w:p>
    <w:p>
      <w:r>
        <w:t xml:space="preserve">2. Une indemnité mensuelle de </w:t>
      </w:r>
      <w:r>
        <w:rPr>
          <w:b/>
        </w:rPr>
        <w:t>12 %</w:t>
      </w:r>
      <w:r>
        <w:t xml:space="preserve"> du montant de chaque inscription enregistrée via toute méthode alternative jusqu'au terme de l'engagement de 10 ans.</w:t>
      </w:r>
    </w:p>
    <w:p>
      <w:r/>
    </w:p>
    <w:p>
      <w:r/>
      <w:r>
        <w:rPr>
          <w:b/>
        </w:rPr>
        <w:t>Article 6 : Propriété Intellectuelle</w:t>
      </w:r>
      <w:r/>
    </w:p>
    <w:p>
      <w:r>
        <w:t>Le code source, le design et les bases de données restent la propriété du Concepteur. Les supports de cours et les données des élèves restent la propriété des Entrepreneurs.</w:t>
      </w:r>
    </w:p>
    <w:p>
      <w:r/>
    </w:p>
    <w:p>
      <w:r/>
      <w:r>
        <w:rPr>
          <w:b/>
        </w:rPr>
        <w:t>Article 7 : SLA &amp; Limitation de Responsabilité</w:t>
      </w:r>
      <w:r/>
    </w:p>
    <w:p>
      <w:pPr>
        <w:pStyle w:val="ListBullet"/>
      </w:pPr>
      <w:r/>
      <w:r>
        <w:rPr>
          <w:b/>
        </w:rPr>
        <w:t>SLA :</w:t>
      </w:r>
      <w:r>
        <w:t xml:space="preserve"> Assistance technique en cas de panne critique sous 4 heures ouvrables (8h - 20h) de juillet à octobre.</w:t>
      </w:r>
    </w:p>
    <w:p>
      <w:pPr>
        <w:pStyle w:val="ListBullet"/>
      </w:pPr>
      <w:r/>
      <w:r>
        <w:rPr>
          <w:b/>
        </w:rPr>
        <w:t>Plafond de Responsabilité :</w:t>
      </w:r>
      <w:r>
        <w:t xml:space="preserve"> La responsabilité totale du Concepteur est expressément plafonnée à </w:t>
      </w:r>
      <w:r>
        <w:rPr>
          <w:b/>
        </w:rPr>
        <w:t>1 %</w:t>
      </w:r>
      <w:r>
        <w:t xml:space="preserve"> des commissions perçues en exécution du présent contrat sur la campagne annuelle concernée.</w:t>
      </w:r>
    </w:p>
    <w:p>
      <w:r/>
    </w:p>
    <w:p>
      <w:r>
        <w:t>---</w:t>
      </w:r>
    </w:p>
    <w:p>
      <w:r/>
    </w:p>
    <w:p>
      <w:r>
        <w:t>Fait à [Ville], le [Date]</w:t>
      </w:r>
    </w:p>
    <w:p>
      <w:r/>
    </w:p>
    <w:tbl>
      <w:tblPr>
        <w:tblStyle w:val="TableGrid"/>
        <w:tblW w:type="auto" w:w="0"/>
        <w:tblLook w:firstColumn="1" w:firstRow="1" w:lastColumn="0" w:lastRow="0" w:noHBand="0" w:noVBand="1" w:val="04A0"/>
      </w:tblPr>
      <w:tblGrid>
        <w:gridCol w:w="4680"/>
        <w:gridCol w:w="4680"/>
      </w:tblGrid>
      <w:tr>
        <w:trPr>
          <w:cantSplit/>
          <w:tblHeader/>
        </w:trPr>
        <w:tc>
          <w:tcPr>
            <w:tcW w:type="dxa" w:w="4680"/>
            <w:tcMar>
              <w:top w:w="140" w:type="dxa"/>
              <w:bottom w:w="140" w:type="dxa"/>
              <w:left w:w="180" w:type="dxa"/>
              <w:right w:w="180" w:type="dxa"/>
            </w:tcMar>
            <w:shd w:fill="FF7900"/>
          </w:tcPr>
          <w:p>
            <w:pPr>
              <w:jc w:val="center"/>
            </w:pPr>
            <w:r>
              <w:rPr>
                <w:b/>
                <w:color w:val="FFFFFF"/>
              </w:rPr>
              <w:t>Pour Le Concepteur</w:t>
            </w:r>
          </w:p>
        </w:tc>
        <w:tc>
          <w:tcPr>
            <w:tcW w:type="dxa" w:w="4680"/>
            <w:tcMar>
              <w:top w:w="140" w:type="dxa"/>
              <w:bottom w:w="140" w:type="dxa"/>
              <w:left w:w="180" w:type="dxa"/>
              <w:right w:w="180" w:type="dxa"/>
            </w:tcMar>
            <w:shd w:fill="FF7900"/>
          </w:tcPr>
          <w:p>
            <w:pPr>
              <w:jc w:val="center"/>
            </w:pPr>
            <w:r>
              <w:rPr>
                <w:b/>
                <w:color w:val="FFFFFF"/>
              </w:rPr>
              <w:t>Pour Les Entrepreneurs d'OGE Académie</w:t>
            </w:r>
          </w:p>
        </w:tc>
      </w:tr>
      <w:tr>
        <w:trPr>
          <w:cantSplit/>
        </w:trPr>
        <w:tc>
          <w:tcPr>
            <w:tcW w:type="dxa" w:w="4680"/>
            <w:tcMar>
              <w:top w:w="140" w:type="dxa"/>
              <w:bottom w:w="140" w:type="dxa"/>
              <w:left w:w="180" w:type="dxa"/>
              <w:right w:w="180" w:type="dxa"/>
            </w:tcMar>
          </w:tcPr>
          <w:p>
            <w:pPr>
              <w:jc w:val="left"/>
            </w:pPr>
            <w:r>
              <w:t>---</w:t>
            </w:r>
          </w:p>
        </w:tc>
        <w:tc>
          <w:tcPr>
            <w:tcW w:type="dxa" w:w="4680"/>
            <w:tcMar>
              <w:top w:w="140" w:type="dxa"/>
              <w:bottom w:w="140" w:type="dxa"/>
              <w:left w:w="180" w:type="dxa"/>
              <w:right w:w="180" w:type="dxa"/>
            </w:tcMar>
          </w:tcPr>
          <w:p>
            <w:pPr>
              <w:jc w:val="left"/>
            </w:pPr>
            <w:r>
              <w:t>---</w:t>
            </w:r>
          </w:p>
        </w:tc>
      </w:tr>
      <w:tr>
        <w:trPr>
          <w:cantSplit/>
        </w:trPr>
        <w:tc>
          <w:tcPr>
            <w:tcW w:type="dxa" w:w="4680"/>
            <w:tcMar>
              <w:top w:w="140" w:type="dxa"/>
              <w:bottom w:w="140" w:type="dxa"/>
              <w:left w:w="180" w:type="dxa"/>
              <w:right w:w="180" w:type="dxa"/>
            </w:tcMar>
            <w:shd w:fill="F2F4F4"/>
          </w:tcPr>
          <w:p>
            <w:pPr>
              <w:jc w:val="left"/>
            </w:pPr>
            <w:r>
              <w:t>M. Sidoine K.</w:t>
            </w:r>
          </w:p>
        </w:tc>
        <w:tc>
          <w:tcPr>
            <w:tcW w:type="dxa" w:w="4680"/>
            <w:tcMar>
              <w:top w:w="140" w:type="dxa"/>
              <w:bottom w:w="140" w:type="dxa"/>
              <w:left w:w="180" w:type="dxa"/>
              <w:right w:w="180" w:type="dxa"/>
            </w:tcMar>
            <w:shd w:fill="F2F4F4"/>
          </w:tcPr>
          <w:p>
            <w:pPr>
              <w:jc w:val="left"/>
            </w:pPr>
            <w:r>
              <w:t>M. / Mme [Nom de l'Entrepreneur 1]</w:t>
            </w:r>
          </w:p>
        </w:tc>
      </w:tr>
      <w:tr>
        <w:trPr>
          <w:cantSplit/>
        </w:trPr>
        <w:tc>
          <w:tcPr>
            <w:tcW w:type="dxa" w:w="4680"/>
            <w:tcMar>
              <w:top w:w="140" w:type="dxa"/>
              <w:bottom w:w="140" w:type="dxa"/>
              <w:left w:w="180" w:type="dxa"/>
              <w:right w:w="180" w:type="dxa"/>
            </w:tcMar>
          </w:tcPr>
          <w:p>
            <w:pPr>
              <w:jc w:val="left"/>
            </w:pPr>
            <w:r>
              <w:t>(Signature et mention "Lu et approuvé")</w:t>
            </w:r>
          </w:p>
        </w:tc>
        <w:tc>
          <w:tcPr>
            <w:tcW w:type="dxa" w:w="4680"/>
            <w:tcMar>
              <w:top w:w="140" w:type="dxa"/>
              <w:bottom w:w="140" w:type="dxa"/>
              <w:left w:w="180" w:type="dxa"/>
              <w:right w:w="180" w:type="dxa"/>
            </w:tcMar>
          </w:tcPr>
          <w:p>
            <w:pPr>
              <w:jc w:val="left"/>
            </w:pPr>
            <w:r>
              <w:t>(Signature et mention "Lu et approuvé")</w:t>
            </w:r>
          </w:p>
        </w:tc>
      </w:tr>
      <w:tr>
        <w:trPr>
          <w:cantSplit/>
        </w:trPr>
        <w:tc>
          <w:tcPr>
            <w:tcW w:type="dxa" w:w="4680"/>
            <w:tcMar>
              <w:top w:w="140" w:type="dxa"/>
              <w:bottom w:w="140" w:type="dxa"/>
              <w:left w:w="180" w:type="dxa"/>
              <w:right w:w="180" w:type="dxa"/>
            </w:tcMar>
            <w:shd w:fill="F2F4F4"/>
          </w:tcPr>
          <w:p>
            <w:pPr>
              <w:jc w:val="left"/>
            </w:pPr>
            <w:r/>
          </w:p>
        </w:tc>
        <w:tc>
          <w:tcPr>
            <w:tcW w:type="dxa" w:w="4680"/>
            <w:tcMar>
              <w:top w:w="140" w:type="dxa"/>
              <w:bottom w:w="140" w:type="dxa"/>
              <w:left w:w="180" w:type="dxa"/>
              <w:right w:w="180" w:type="dxa"/>
            </w:tcMar>
            <w:shd w:fill="F2F4F4"/>
          </w:tcPr>
          <w:p>
            <w:pPr>
              <w:jc w:val="left"/>
            </w:pPr>
            <w:r>
              <w:t>M. / Mme [Nom de l'Entrepreneur 2]</w:t>
            </w:r>
          </w:p>
        </w:tc>
      </w:tr>
      <w:tr>
        <w:trPr>
          <w:cantSplit/>
        </w:trPr>
        <w:tc>
          <w:tcPr>
            <w:tcW w:type="dxa" w:w="4680"/>
            <w:tcMar>
              <w:top w:w="140" w:type="dxa"/>
              <w:bottom w:w="140" w:type="dxa"/>
              <w:left w:w="180" w:type="dxa"/>
              <w:right w:w="180" w:type="dxa"/>
            </w:tcMar>
          </w:tcPr>
          <w:p>
            <w:pPr>
              <w:jc w:val="left"/>
            </w:pPr>
            <w:r/>
          </w:p>
        </w:tc>
        <w:tc>
          <w:tcPr>
            <w:tcW w:type="dxa" w:w="4680"/>
            <w:tcMar>
              <w:top w:w="140" w:type="dxa"/>
              <w:bottom w:w="140" w:type="dxa"/>
              <w:left w:w="180" w:type="dxa"/>
              <w:right w:w="180" w:type="dxa"/>
            </w:tcMar>
          </w:tcPr>
          <w:p>
            <w:pPr>
              <w:jc w:val="left"/>
            </w:pPr>
            <w:r>
              <w:t>(Signature et mention "Lu et approuvé")</w:t>
            </w:r>
          </w:p>
        </w:tc>
      </w:tr>
    </w:tbl>
    <w:p>
      <w:pPr>
        <w:spacing w:before="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