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
        <w:rPr>
          <w:b/>
        </w:rPr>
        <w:t>OGE ACADÉMIE</w:t>
      </w:r>
      <w:r/>
    </w:p>
    <w:p>
      <w:r>
        <w:t>Plateforme SaaS de Préparation aux Concours d'Élite</w:t>
      </w:r>
    </w:p>
    <w:p>
      <w:r>
        <w:t>INP-HB  •  ESATIC  •  CME</w:t>
      </w:r>
    </w:p>
    <w:p>
      <w:r/>
      <w:r>
        <w:rPr>
          <w:b/>
        </w:rPr>
        <w:t>CONTRAT DE PARTENARIAT TECHNIQUE &amp; COMMERCIAL</w:t>
      </w:r>
      <w:r/>
    </w:p>
    <w:p>
      <w:r/>
    </w:p>
    <w:p>
      <w:r>
        <w:t>---</w:t>
      </w:r>
    </w:p>
    <w:p>
      <w:r/>
    </w:p>
    <w:tbl>
      <w:tblPr>
        <w:tblStyle w:val="TableGrid"/>
        <w:tblW w:type="auto" w:w="0"/>
        <w:tblLook w:firstColumn="1" w:firstRow="1" w:lastColumn="0" w:lastRow="0" w:noHBand="0" w:noVBand="1" w:val="04A0"/>
      </w:tblPr>
      <w:tblGrid>
        <w:gridCol w:w="2340"/>
        <w:gridCol w:w="2340"/>
        <w:gridCol w:w="2340"/>
        <w:gridCol w:w="2340"/>
      </w:tblGrid>
      <w:tr>
        <w:trPr>
          <w:cantSplit/>
          <w:tblHeader/>
        </w:trPr>
        <w:tc>
          <w:tcPr>
            <w:tcW w:type="dxa" w:w="2340"/>
            <w:tcMar>
              <w:top w:w="140" w:type="dxa"/>
              <w:bottom w:w="140" w:type="dxa"/>
              <w:left w:w="180" w:type="dxa"/>
              <w:right w:w="180" w:type="dxa"/>
            </w:tcMar>
            <w:shd w:fill="FF7900"/>
          </w:tcPr>
          <w:p>
            <w:pPr>
              <w:jc w:val="center"/>
            </w:pPr>
            <w:r>
              <w:rPr>
                <w:b/>
                <w:color w:val="FFFFFF"/>
              </w:rPr>
              <w:t>Parties</w:t>
            </w:r>
          </w:p>
        </w:tc>
        <w:tc>
          <w:tcPr>
            <w:tcW w:type="dxa" w:w="2340"/>
            <w:tcMar>
              <w:top w:w="140" w:type="dxa"/>
              <w:bottom w:w="140" w:type="dxa"/>
              <w:left w:w="180" w:type="dxa"/>
              <w:right w:w="180" w:type="dxa"/>
            </w:tcMar>
            <w:shd w:fill="FF7900"/>
          </w:tcPr>
          <w:p>
            <w:pPr>
              <w:jc w:val="center"/>
            </w:pPr>
            <w:r>
              <w:rPr>
                <w:b/>
                <w:color w:val="FFFFFF"/>
              </w:rPr>
              <w:t>Concepteur</w:t>
            </w:r>
          </w:p>
        </w:tc>
        <w:tc>
          <w:tcPr>
            <w:tcW w:type="dxa" w:w="2340"/>
            <w:tcMar>
              <w:top w:w="140" w:type="dxa"/>
              <w:bottom w:w="140" w:type="dxa"/>
              <w:left w:w="180" w:type="dxa"/>
              <w:right w:w="180" w:type="dxa"/>
            </w:tcMar>
            <w:shd w:fill="FF7900"/>
          </w:tcPr>
          <w:p>
            <w:pPr>
              <w:jc w:val="center"/>
            </w:pPr>
            <w:r>
              <w:rPr>
                <w:b/>
                <w:color w:val="FFFFFF"/>
              </w:rPr>
              <w:t>Entrepreneurs</w:t>
            </w:r>
          </w:p>
        </w:tc>
        <w:tc>
          <w:tcPr>
            <w:tcW w:type="dxa" w:w="2340"/>
            <w:tcMar>
              <w:top w:w="140" w:type="dxa"/>
              <w:bottom w:w="140" w:type="dxa"/>
              <w:left w:w="180" w:type="dxa"/>
              <w:right w:w="180" w:type="dxa"/>
            </w:tcMar>
            <w:shd w:fill="FF7900"/>
          </w:tcPr>
          <w:p>
            <w:pPr>
              <w:jc w:val="center"/>
            </w:pPr>
            <w:r>
              <w:rPr>
                <w:b/>
                <w:color w:val="FFFFFF"/>
              </w:rPr>
              <w:t>Durée</w:t>
            </w:r>
          </w:p>
        </w:tc>
      </w:tr>
      <w:tr>
        <w:trPr>
          <w:cantSplit/>
        </w:trPr>
        <w:tc>
          <w:tcPr>
            <w:tcW w:type="dxa" w:w="2340"/>
            <w:tcMar>
              <w:top w:w="140" w:type="dxa"/>
              <w:bottom w:w="140" w:type="dxa"/>
              <w:left w:w="180" w:type="dxa"/>
              <w:right w:w="180" w:type="dxa"/>
            </w:tcMar>
          </w:tcPr>
          <w:p>
            <w:pPr>
              <w:jc w:val="left"/>
            </w:pPr>
            <w:r>
              <w:t>---</w:t>
            </w:r>
          </w:p>
        </w:tc>
        <w:tc>
          <w:tcPr>
            <w:tcW w:type="dxa" w:w="2340"/>
            <w:tcMar>
              <w:top w:w="140" w:type="dxa"/>
              <w:bottom w:w="140" w:type="dxa"/>
              <w:left w:w="180" w:type="dxa"/>
              <w:right w:w="180" w:type="dxa"/>
            </w:tcMar>
          </w:tcPr>
          <w:p>
            <w:pPr>
              <w:jc w:val="left"/>
            </w:pPr>
            <w:r>
              <w:t>---</w:t>
            </w:r>
          </w:p>
        </w:tc>
        <w:tc>
          <w:tcPr>
            <w:tcW w:type="dxa" w:w="2340"/>
            <w:tcMar>
              <w:top w:w="140" w:type="dxa"/>
              <w:bottom w:w="140" w:type="dxa"/>
              <w:left w:w="180" w:type="dxa"/>
              <w:right w:w="180" w:type="dxa"/>
            </w:tcMar>
          </w:tcPr>
          <w:p>
            <w:pPr>
              <w:jc w:val="left"/>
            </w:pPr>
            <w:r>
              <w:t>---</w:t>
            </w:r>
          </w:p>
        </w:tc>
        <w:tc>
          <w:tcPr>
            <w:tcW w:type="dxa" w:w="2340"/>
            <w:tcMar>
              <w:top w:w="140" w:type="dxa"/>
              <w:bottom w:w="140" w:type="dxa"/>
              <w:left w:w="180" w:type="dxa"/>
              <w:right w:w="180" w:type="dxa"/>
            </w:tcMar>
          </w:tcPr>
          <w:p>
            <w:pPr>
              <w:jc w:val="left"/>
            </w:pPr>
            <w:r>
              <w:t>---</w:t>
            </w:r>
          </w:p>
        </w:tc>
      </w:tr>
      <w:tr>
        <w:trPr>
          <w:cantSplit/>
        </w:trPr>
        <w:tc>
          <w:tcPr>
            <w:tcW w:type="dxa" w:w="2340"/>
            <w:tcMar>
              <w:top w:w="140" w:type="dxa"/>
              <w:bottom w:w="140" w:type="dxa"/>
              <w:left w:w="180" w:type="dxa"/>
              <w:right w:w="180" w:type="dxa"/>
            </w:tcMar>
            <w:shd w:fill="F2F4F4"/>
          </w:tcPr>
          <w:p>
            <w:pPr>
              <w:jc w:val="left"/>
            </w:pPr>
            <w:r>
              <w:t>Accord</w:t>
            </w:r>
          </w:p>
        </w:tc>
        <w:tc>
          <w:tcPr>
            <w:tcW w:type="dxa" w:w="2340"/>
            <w:tcMar>
              <w:top w:w="140" w:type="dxa"/>
              <w:bottom w:w="140" w:type="dxa"/>
              <w:left w:w="180" w:type="dxa"/>
              <w:right w:w="180" w:type="dxa"/>
            </w:tcMar>
            <w:shd w:fill="F2F4F4"/>
          </w:tcPr>
          <w:p>
            <w:pPr>
              <w:jc w:val="left"/>
            </w:pPr>
            <w:r>
              <w:t>M. Sidoine K.</w:t>
            </w:r>
          </w:p>
        </w:tc>
        <w:tc>
          <w:tcPr>
            <w:tcW w:type="dxa" w:w="2340"/>
            <w:tcMar>
              <w:top w:w="140" w:type="dxa"/>
              <w:bottom w:w="140" w:type="dxa"/>
              <w:left w:w="180" w:type="dxa"/>
              <w:right w:w="180" w:type="dxa"/>
            </w:tcMar>
            <w:shd w:fill="F2F4F4"/>
          </w:tcPr>
          <w:p>
            <w:pPr>
              <w:jc w:val="left"/>
            </w:pPr>
            <w:r>
              <w:t>[Entrepreneur 1] &amp; [Entrepreneur 2]</w:t>
            </w:r>
          </w:p>
        </w:tc>
        <w:tc>
          <w:tcPr>
            <w:tcW w:type="dxa" w:w="2340"/>
            <w:tcMar>
              <w:top w:w="140" w:type="dxa"/>
              <w:bottom w:w="140" w:type="dxa"/>
              <w:left w:w="180" w:type="dxa"/>
              <w:right w:w="180" w:type="dxa"/>
            </w:tcMar>
            <w:shd w:fill="F2F4F4"/>
          </w:tcPr>
          <w:p>
            <w:pPr>
              <w:jc w:val="left"/>
            </w:pPr>
            <w:r>
              <w:t>10 ans ferme</w:t>
            </w:r>
          </w:p>
        </w:tc>
      </w:tr>
      <w:tr>
        <w:trPr>
          <w:cantSplit/>
        </w:trPr>
        <w:tc>
          <w:tcPr>
            <w:tcW w:type="dxa" w:w="2340"/>
            <w:tcMar>
              <w:top w:w="140" w:type="dxa"/>
              <w:bottom w:w="140" w:type="dxa"/>
              <w:left w:w="180" w:type="dxa"/>
              <w:right w:w="180" w:type="dxa"/>
            </w:tcMar>
          </w:tcPr>
          <w:p>
            <w:pPr>
              <w:jc w:val="left"/>
            </w:pPr>
            <w:r>
              <w:t>Commission</w:t>
            </w:r>
          </w:p>
        </w:tc>
        <w:tc>
          <w:tcPr>
            <w:tcW w:type="dxa" w:w="2340"/>
            <w:tcMar>
              <w:top w:w="140" w:type="dxa"/>
              <w:bottom w:w="140" w:type="dxa"/>
              <w:left w:w="180" w:type="dxa"/>
              <w:right w:w="180" w:type="dxa"/>
            </w:tcMar>
          </w:tcPr>
          <w:p>
            <w:pPr>
              <w:jc w:val="left"/>
            </w:pPr>
            <w:r>
              <w:t>Frais initiaux</w:t>
            </w:r>
          </w:p>
        </w:tc>
        <w:tc>
          <w:tcPr>
            <w:tcW w:type="dxa" w:w="2340"/>
            <w:tcMar>
              <w:top w:w="140" w:type="dxa"/>
              <w:bottom w:w="140" w:type="dxa"/>
              <w:left w:w="180" w:type="dxa"/>
              <w:right w:w="180" w:type="dxa"/>
            </w:tcMar>
          </w:tcPr>
          <w:p>
            <w:pPr>
              <w:jc w:val="left"/>
            </w:pPr>
            <w:r>
              <w:t>SLA (critique)</w:t>
            </w:r>
          </w:p>
        </w:tc>
        <w:tc>
          <w:tcPr>
            <w:tcW w:type="dxa" w:w="2340"/>
            <w:tcMar>
              <w:top w:w="140" w:type="dxa"/>
              <w:bottom w:w="140" w:type="dxa"/>
              <w:left w:w="180" w:type="dxa"/>
              <w:right w:w="180" w:type="dxa"/>
            </w:tcMar>
          </w:tcPr>
          <w:p>
            <w:pPr>
              <w:jc w:val="left"/>
            </w:pPr>
            <w:r>
              <w:t>Ville</w:t>
            </w:r>
          </w:p>
        </w:tc>
      </w:tr>
      <w:tr>
        <w:trPr>
          <w:cantSplit/>
        </w:trPr>
        <w:tc>
          <w:tcPr>
            <w:tcW w:type="dxa" w:w="2340"/>
            <w:tcMar>
              <w:top w:w="140" w:type="dxa"/>
              <w:bottom w:w="140" w:type="dxa"/>
              <w:left w:w="180" w:type="dxa"/>
              <w:right w:w="180" w:type="dxa"/>
            </w:tcMar>
            <w:shd w:fill="F2F4F4"/>
          </w:tcPr>
          <w:p>
            <w:pPr>
              <w:jc w:val="left"/>
            </w:pPr>
            <w:r>
              <w:t>2 % / transaction</w:t>
            </w:r>
          </w:p>
        </w:tc>
        <w:tc>
          <w:tcPr>
            <w:tcW w:type="dxa" w:w="2340"/>
            <w:tcMar>
              <w:top w:w="140" w:type="dxa"/>
              <w:bottom w:w="140" w:type="dxa"/>
              <w:left w:w="180" w:type="dxa"/>
              <w:right w:w="180" w:type="dxa"/>
            </w:tcMar>
            <w:shd w:fill="F2F4F4"/>
          </w:tcPr>
          <w:p>
            <w:pPr>
              <w:jc w:val="left"/>
            </w:pPr>
            <w:r>
              <w:t>0 FCFA</w:t>
            </w:r>
          </w:p>
        </w:tc>
        <w:tc>
          <w:tcPr>
            <w:tcW w:type="dxa" w:w="2340"/>
            <w:tcMar>
              <w:top w:w="140" w:type="dxa"/>
              <w:bottom w:w="140" w:type="dxa"/>
              <w:left w:w="180" w:type="dxa"/>
              <w:right w:w="180" w:type="dxa"/>
            </w:tcMar>
            <w:shd w:fill="F2F4F4"/>
          </w:tcPr>
          <w:p>
            <w:pPr>
              <w:jc w:val="left"/>
            </w:pPr>
            <w:r>
              <w:t>&lt; 4h ouvrables</w:t>
            </w:r>
          </w:p>
        </w:tc>
        <w:tc>
          <w:tcPr>
            <w:tcW w:type="dxa" w:w="2340"/>
            <w:tcMar>
              <w:top w:w="140" w:type="dxa"/>
              <w:bottom w:w="140" w:type="dxa"/>
              <w:left w:w="180" w:type="dxa"/>
              <w:right w:w="180" w:type="dxa"/>
            </w:tcMar>
            <w:shd w:fill="F2F4F4"/>
          </w:tcPr>
          <w:p>
            <w:pPr>
              <w:jc w:val="left"/>
            </w:pPr>
            <w:r>
              <w:t>Abidjan / Yamoussoukro</w:t>
            </w:r>
          </w:p>
        </w:tc>
      </w:tr>
    </w:tbl>
    <w:p>
      <w:pPr>
        <w:spacing w:before="120"/>
      </w:pPr>
    </w:p>
    <w:p>
      <w:r/>
    </w:p>
    <w:p>
      <w:r>
        <w:t>---</w:t>
      </w:r>
    </w:p>
    <w:p>
      <w:r/>
    </w:p>
    <w:p>
      <w:pPr>
        <w:pStyle w:val="Heading2"/>
        <w:keepNext/>
        <w:spacing w:before="240" w:after="120"/>
      </w:pPr>
      <w:r>
        <w:rPr>
          <w:rFonts w:ascii="Calibri Light" w:hAnsi="Calibri Light"/>
          <w:b/>
          <w:color w:val="000000"/>
          <w:sz w:val="32"/>
        </w:rPr>
        <w:t>Préambule</w:t>
      </w:r>
    </w:p>
    <w:p>
      <w:r/>
    </w:p>
    <w:p>
      <w:r>
        <w:t>Le présent contrat formalise le partenariat entre M. Sidoine K. (ci-après « le Concepteur ») et les deux co-fondateurs d'OGE Académie (ci-après « les Entrepreneurs »). Il définit les conditions de mise à disposition, d'exploitation et de maintenance de la plateforme numérique OGE Académie, solution SaaS dédiée à la préparation des candidats aux concours d'entrée de l'INP-HB, l'ESATIC et le CME en Côte d'Ivoire.</w:t>
      </w:r>
    </w:p>
    <w:p>
      <w:r/>
    </w:p>
    <w:p>
      <w:r>
        <w:t>---</w:t>
      </w:r>
    </w:p>
    <w:p>
      <w:r/>
    </w:p>
    <w:p>
      <w:pPr>
        <w:pStyle w:val="Heading2"/>
        <w:keepNext/>
        <w:spacing w:before="240" w:after="120"/>
      </w:pPr>
      <w:r>
        <w:rPr>
          <w:rFonts w:ascii="Calibri Light" w:hAnsi="Calibri Light"/>
          <w:b/>
          <w:color w:val="000000"/>
          <w:sz w:val="32"/>
        </w:rPr>
        <w:t>Article 1 — Objet du Contrat</w:t>
      </w:r>
    </w:p>
    <w:p>
      <w:r/>
    </w:p>
    <w:p>
      <w:r>
        <w:t>Le Concepteur s'engage à mettre à disposition des Entrepreneurs, à titre exclusif, la plateforme web OGE Académie, comprenant l'ensemble des fonctionnalités suivantes :</w:t>
      </w:r>
    </w:p>
    <w:p>
      <w:r/>
    </w:p>
    <w:p>
      <w:pPr>
        <w:pStyle w:val="ListBullet"/>
      </w:pPr>
      <w:r>
        <w:t>Inscription en ligne des candidats, organisée par zone géographique (6 zones : Abidjan, Yamoussoukro et 4 autres zones) et par mode de préparation (présentiel / en ligne).</w:t>
      </w:r>
    </w:p>
    <w:p>
      <w:pPr>
        <w:pStyle w:val="ListBullet"/>
      </w:pPr>
      <w:r>
        <w:t>Gestion des paiements par validation manuelle des reçus Wave uploadés par les candidats.</w:t>
      </w:r>
    </w:p>
    <w:p>
      <w:pPr>
        <w:pStyle w:val="ListBullet"/>
      </w:pPr>
      <w:r>
        <w:t>Affichage sécurisé des supports de cours PDF (sans possibilité de téléchargement ni de copie) et accès aux liens de sessions Google Meet.</w:t>
      </w:r>
    </w:p>
    <w:p>
      <w:pPr>
        <w:pStyle w:val="ListBullet"/>
      </w:pPr>
      <w:r>
        <w:t>Dashboard candidat : suivi des cours, accès aux documents, statut du compte.</w:t>
      </w:r>
    </w:p>
    <w:p>
      <w:pPr>
        <w:pStyle w:val="ListBullet"/>
      </w:pPr>
      <w:r>
        <w:t>Dashboard responsable de zone : gestion des candidats de sa zone, vérification des justificatifs de paiement, activation des comptes.</w:t>
      </w:r>
    </w:p>
    <w:p>
      <w:pPr>
        <w:pStyle w:val="ListBullet"/>
      </w:pPr>
      <w:r>
        <w:t>Dashboard administrateur (2 comptes) : gestion complète des managers, des admins et des candidats — ajout, modification, suppression. Gestion des médias (photos, vidéos). CMS de la page d'accueil (textes, coordonnées, tarifs) sans intervention d'un développeur.</w:t>
      </w:r>
    </w:p>
    <w:p>
      <w:pPr>
        <w:pStyle w:val="ListBullet"/>
      </w:pPr>
      <w:r>
        <w:t>Compte Super Administrateur unique : accès global à toutes les fonctionnalités de la plateforme.</w:t>
      </w:r>
    </w:p>
    <w:p>
      <w:r/>
    </w:p>
    <w:p>
      <w:r>
        <w:t>---</w:t>
      </w:r>
    </w:p>
    <w:p>
      <w:r/>
    </w:p>
    <w:p>
      <w:pPr>
        <w:pStyle w:val="Heading2"/>
        <w:keepNext/>
        <w:spacing w:before="240" w:after="120"/>
      </w:pPr>
      <w:r>
        <w:rPr>
          <w:rFonts w:ascii="Calibri Light" w:hAnsi="Calibri Light"/>
          <w:b/>
          <w:color w:val="000000"/>
          <w:sz w:val="32"/>
        </w:rPr>
        <w:t>Article 2 — Conditions Financières</w:t>
      </w:r>
    </w:p>
    <w:p>
      <w:r/>
    </w:p>
    <w:p>
      <w:pPr>
        <w:pStyle w:val="Heading3"/>
        <w:keepNext/>
        <w:spacing w:before="240" w:after="120"/>
      </w:pPr>
      <w:r>
        <w:rPr>
          <w:rFonts w:ascii="Calibri Light" w:hAnsi="Calibri Light"/>
          <w:b/>
          <w:color w:val="000000"/>
          <w:sz w:val="26"/>
        </w:rPr>
        <w:t>2.1 — Frais d'installation</w:t>
      </w:r>
    </w:p>
    <w:p>
      <w:r/>
    </w:p>
    <w:p>
      <w:r>
        <w:t>Aucun frais d'installation ni de mise en route n'est facturé aux Entrepreneurs. La mise à disposition initiale de la plateforme est gratuite (0 FCFA).</w:t>
      </w:r>
    </w:p>
    <w:p>
      <w:r/>
    </w:p>
    <w:p>
      <w:pPr>
        <w:pStyle w:val="Heading3"/>
        <w:keepNext/>
        <w:spacing w:before="240" w:after="120"/>
      </w:pPr>
      <w:r>
        <w:rPr>
          <w:rFonts w:ascii="Calibri Light" w:hAnsi="Calibri Light"/>
          <w:b/>
          <w:color w:val="000000"/>
          <w:sz w:val="26"/>
        </w:rPr>
        <w:t>2.2 — Commission récurrente</w:t>
      </w:r>
    </w:p>
    <w:p>
      <w:r/>
    </w:p>
    <w:p>
      <w:r>
        <w:t xml:space="preserve">En contrepartie de la mise à disposition et de la maintenance de la plateforme, les Entrepreneurs versent au Concepteur une commission de </w:t>
      </w:r>
      <w:r>
        <w:rPr>
          <w:b/>
        </w:rPr>
        <w:t>deux pour cent (2 %)</w:t>
      </w:r>
      <w:r>
        <w:t xml:space="preserve"> sur le montant total de chaque transaction validée sur la plateforme, qu'il s'agisse d'inscriptions en ligne ou en présentiel.</w:t>
      </w:r>
    </w:p>
    <w:p>
      <w:r/>
    </w:p>
    <w:p>
      <w:r>
        <w:t>Le règlement s'effectue en un versement unique, à la fin de la campagne annuelle de préparation (courant octobre).</w:t>
      </w:r>
    </w:p>
    <w:p>
      <w:r/>
    </w:p>
    <w:p>
      <w:pPr>
        <w:pStyle w:val="Heading3"/>
        <w:keepNext/>
        <w:spacing w:before="240" w:after="120"/>
      </w:pPr>
      <w:r>
        <w:rPr>
          <w:rFonts w:ascii="Calibri Light" w:hAnsi="Calibri Light"/>
          <w:b/>
          <w:color w:val="000000"/>
          <w:sz w:val="26"/>
        </w:rPr>
        <w:t>2.3 — Frais d'infrastructure et d'hébergement</w:t>
      </w:r>
    </w:p>
    <w:p>
      <w:r/>
    </w:p>
    <w:p>
      <w:r>
        <w:t>L'architecture technique de la plateforme est conçue pour maximiser l'usage des offres gratuites (Vercel, Supabase, Cloudflare R2). En cas de dépassement des quotas gratuits, les règles suivantes s'appliquent :</w:t>
      </w:r>
    </w:p>
    <w:p>
      <w:r/>
    </w:p>
    <w:p>
      <w:pPr>
        <w:pStyle w:val="ListBullet"/>
      </w:pPr>
      <w:r>
        <w:t>Les abonnements payants nécessaires (ex : Supabase Pro à 25 $/mois) sont à la charge exclusive des Entrepreneurs.</w:t>
      </w:r>
    </w:p>
    <w:p>
      <w:pPr>
        <w:pStyle w:val="ListBullet"/>
      </w:pPr>
      <w:r>
        <w:t>Le Concepteur recommande d'activer les formules payantes uniquement durant la saison active (juillet à octobre) pour optimiser les coûts, et de les suspendre hors saison.</w:t>
      </w:r>
    </w:p>
    <w:p>
      <w:pPr>
        <w:pStyle w:val="ListBullet"/>
      </w:pPr>
      <w:r>
        <w:t>Si les Entrepreneurs souhaitent maintenir un service payant actif toute l'année, ils en assument l'intégralité des coûts mensuels.</w:t>
      </w:r>
    </w:p>
    <w:p>
      <w:pPr>
        <w:pStyle w:val="ListBullet"/>
      </w:pPr>
      <w:r>
        <w:t>Le nom de domaine est pris en charge par le Concepteur, sans refacturation aux Entrepreneurs.</w:t>
      </w:r>
    </w:p>
    <w:p>
      <w:pPr>
        <w:pStyle w:val="ListBullet"/>
      </w:pPr>
      <w:r>
        <w:t>Les migrations techniques (ex : vers Cloudflare R2) sont réalisées par le Concepteur à titre gratuit.</w:t>
      </w:r>
    </w:p>
    <w:p>
      <w:r/>
    </w:p>
    <w:p>
      <w:r>
        <w:t>---</w:t>
      </w:r>
    </w:p>
    <w:p>
      <w:r/>
    </w:p>
    <w:p>
      <w:pPr>
        <w:pStyle w:val="Heading2"/>
        <w:keepNext/>
        <w:spacing w:before="240" w:after="120"/>
      </w:pPr>
      <w:r>
        <w:rPr>
          <w:rFonts w:ascii="Calibri Light" w:hAnsi="Calibri Light"/>
          <w:b/>
          <w:color w:val="000000"/>
          <w:sz w:val="32"/>
        </w:rPr>
        <w:t>Article 3 — Maintenance, Support et Évolutions</w:t>
      </w:r>
    </w:p>
    <w:p>
      <w:r/>
    </w:p>
    <w:p>
      <w:pPr>
        <w:pStyle w:val="Heading3"/>
        <w:keepNext/>
        <w:spacing w:before="240" w:after="120"/>
      </w:pPr>
      <w:r>
        <w:rPr>
          <w:rFonts w:ascii="Calibri Light" w:hAnsi="Calibri Light"/>
          <w:b/>
          <w:color w:val="000000"/>
          <w:sz w:val="26"/>
        </w:rPr>
        <w:t>3.1 — Maintenance incluse</w:t>
      </w:r>
    </w:p>
    <w:p>
      <w:r/>
    </w:p>
    <w:p>
      <w:r>
        <w:t>Le Concepteur assure gratuitement :</w:t>
      </w:r>
    </w:p>
    <w:p>
      <w:r/>
    </w:p>
    <w:p>
      <w:pPr>
        <w:pStyle w:val="ListBullet"/>
      </w:pPr>
      <w:r>
        <w:t>La correction des anomalies bloquantes et des bugs techniques.</w:t>
      </w:r>
    </w:p>
    <w:p>
      <w:pPr>
        <w:pStyle w:val="ListBullet"/>
      </w:pPr>
      <w:r>
        <w:t>La mise à jour annuelle de l'année scolaire de référence sur la plateforme.</w:t>
      </w:r>
    </w:p>
    <w:p>
      <w:r/>
    </w:p>
    <w:p>
      <w:pPr>
        <w:pStyle w:val="Heading3"/>
        <w:keepNext/>
        <w:spacing w:before="240" w:after="120"/>
      </w:pPr>
      <w:r>
        <w:rPr>
          <w:rFonts w:ascii="Calibri Light" w:hAnsi="Calibri Light"/>
          <w:b/>
          <w:color w:val="000000"/>
          <w:sz w:val="26"/>
        </w:rPr>
        <w:t>3.2 — Gestion des contenus et données (CMS)</w:t>
      </w:r>
    </w:p>
    <w:p>
      <w:r/>
    </w:p>
    <w:p>
      <w:r>
        <w:t>La plateforme intègre un CMS complet permettant aux Entrepreneurs de gérer de manière autonome : les textes de la page d'accueil, les coordonnées des centres, les tarifs, ainsi que les profils (managers, administrateurs, candidats). Cette gestion et ces mises à jour sont de la responsabilité exclusive des Entrepreneurs via leur tableau de bord. Le Concepteur n'intervient pas pour les mises à jour de contenu ; son rôle est strictement limité à la résolution des problèmes techniques.</w:t>
      </w:r>
    </w:p>
    <w:p>
      <w:r/>
    </w:p>
    <w:p>
      <w:pPr>
        <w:pStyle w:val="Heading3"/>
        <w:keepNext/>
        <w:spacing w:before="240" w:after="120"/>
      </w:pPr>
      <w:r>
        <w:rPr>
          <w:rFonts w:ascii="Calibri Light" w:hAnsi="Calibri Light"/>
          <w:b/>
          <w:color w:val="000000"/>
          <w:sz w:val="26"/>
        </w:rPr>
        <w:t>3.3 — SLA (Niveau de Service)</w:t>
      </w:r>
    </w:p>
    <w:p>
      <w:r/>
    </w:p>
    <w:p>
      <w:r>
        <w:t>Durant la période active (juillet à octobre) :</w:t>
      </w:r>
    </w:p>
    <w:p>
      <w:r/>
    </w:p>
    <w:p>
      <w:pPr>
        <w:pStyle w:val="ListBullet"/>
      </w:pPr>
      <w:r/>
      <w:r>
        <w:rPr>
          <w:b/>
        </w:rPr>
        <w:t>Panne critique :</w:t>
      </w:r>
      <w:r>
        <w:t xml:space="preserve"> assistance technique sous 4 heures ouvrables (plage 8h00 – 20h00, jours ouvrables).</w:t>
      </w:r>
    </w:p>
    <w:p>
      <w:pPr>
        <w:pStyle w:val="ListBullet"/>
      </w:pPr>
      <w:r/>
      <w:r>
        <w:rPr>
          <w:b/>
        </w:rPr>
        <w:t>Demandes nocturnes ou non critiques :</w:t>
      </w:r>
      <w:r>
        <w:t xml:space="preserve"> traitées le lendemain ouvrable.</w:t>
      </w:r>
    </w:p>
    <w:p>
      <w:pPr>
        <w:pStyle w:val="ListBullet"/>
      </w:pPr>
      <w:r/>
      <w:r>
        <w:rPr>
          <w:b/>
        </w:rPr>
        <w:t>Hors saison (novembre à juin) :</w:t>
      </w:r>
      <w:r>
        <w:t xml:space="preserve"> support au mieux, sans engagement de délai.</w:t>
      </w:r>
    </w:p>
    <w:p>
      <w:r/>
    </w:p>
    <w:p>
      <w:pPr>
        <w:pStyle w:val="Heading3"/>
        <w:keepNext/>
        <w:spacing w:before="240" w:after="120"/>
      </w:pPr>
      <w:r>
        <w:rPr>
          <w:rFonts w:ascii="Calibri Light" w:hAnsi="Calibri Light"/>
          <w:b/>
          <w:color w:val="000000"/>
          <w:sz w:val="26"/>
        </w:rPr>
        <w:t>3.4 — Évolutions majeures</w:t>
      </w:r>
    </w:p>
    <w:p>
      <w:r/>
    </w:p>
    <w:p>
      <w:r>
        <w:t>Toute nouvelle fonctionnalité non prévue au présent contrat fera l'objet d'un devis écrit préalable, ou d'une revalorisation de la commission mutuellement convenue (ex : passage de 2 % à 2,5 % ou 3 % selon la complexité).</w:t>
      </w:r>
    </w:p>
    <w:p>
      <w:r/>
    </w:p>
    <w:p>
      <w:r>
        <w:t>---</w:t>
      </w:r>
    </w:p>
    <w:p>
      <w:r/>
    </w:p>
    <w:p>
      <w:pPr>
        <w:pStyle w:val="Heading2"/>
        <w:keepNext/>
        <w:spacing w:before="240" w:after="120"/>
      </w:pPr>
      <w:r>
        <w:rPr>
          <w:rFonts w:ascii="Calibri Light" w:hAnsi="Calibri Light"/>
          <w:b/>
          <w:color w:val="000000"/>
          <w:sz w:val="32"/>
        </w:rPr>
        <w:t>Article 4 — Durée d'Engagement &amp; Exclusivité</w:t>
      </w:r>
    </w:p>
    <w:p>
      <w:r/>
    </w:p>
    <w:p>
      <w:r>
        <w:t xml:space="preserve">Le présent contrat est conclu pour une durée ferme et irrévocable de </w:t>
      </w:r>
      <w:r>
        <w:rPr>
          <w:b/>
        </w:rPr>
        <w:t>dix (10) ans</w:t>
      </w:r>
      <w:r>
        <w:t xml:space="preserve"> à compter de la date de signature. Durant toute cette période, les Entrepreneurs s'engagent à utiliser exclusivement la solution du Concepteur pour la gestion en ligne de leurs préparations aux concours. Le remplacement ou le contournement par toute autre solution numérique (interne ou externe) est strictement interdit durant cette période.</w:t>
      </w:r>
    </w:p>
    <w:p>
      <w:r/>
    </w:p>
    <w:p>
      <w:r>
        <w:t>---</w:t>
      </w:r>
    </w:p>
    <w:p>
      <w:r/>
    </w:p>
    <w:p>
      <w:pPr>
        <w:pStyle w:val="Heading2"/>
        <w:keepNext/>
        <w:spacing w:before="240" w:after="120"/>
      </w:pPr>
      <w:r>
        <w:rPr>
          <w:rFonts w:ascii="Calibri Light" w:hAnsi="Calibri Light"/>
          <w:b/>
          <w:color w:val="000000"/>
          <w:sz w:val="32"/>
        </w:rPr>
        <w:t>Article 5 — Résiliation, Arrêt de Service &amp; Pénalités</w:t>
      </w:r>
    </w:p>
    <w:p>
      <w:r/>
    </w:p>
    <w:p>
      <w:r>
        <w:t>En cas de rupture anticipée du contrat, d'adoption d'une plateforme concurrente avant le terme des 10 ans, ou de décision des Entrepreneurs d'arrêter définitivement l'usage de plateformes en ligne ou de cours en ligne, les Entrepreneurs s'engagent solidairement à verser au Concepteur :</w:t>
      </w:r>
    </w:p>
    <w:p>
      <w:r/>
    </w:p>
    <w:p>
      <w:pPr>
        <w:pStyle w:val="ListBullet"/>
      </w:pPr>
      <w:r>
        <w:t xml:space="preserve">Une pénalité forfaitaire et immédiate de </w:t>
      </w:r>
      <w:r>
        <w:rPr>
          <w:b/>
        </w:rPr>
        <w:t>cinq cent mille francs CFA (500 000 FCFA)</w:t>
      </w:r>
      <w:r>
        <w:t xml:space="preserve"> pour rupture unilatérale.</w:t>
      </w:r>
    </w:p>
    <w:p>
      <w:pPr>
        <w:pStyle w:val="ListBullet"/>
      </w:pPr>
      <w:r>
        <w:t xml:space="preserve">Une indemnité de </w:t>
      </w:r>
      <w:r>
        <w:rPr>
          <w:b/>
        </w:rPr>
        <w:t>douze pour cent (12 %)</w:t>
      </w:r>
      <w:r>
        <w:t xml:space="preserve"> calculée sur le montant de chaque inscription enregistrée via tout support ou méthode alternative (en ligne, présentiel, autre outil numérique), et ce jusqu'au terme initial de l'engagement de 10 ans.</w:t>
      </w:r>
    </w:p>
    <w:p>
      <w:r/>
    </w:p>
    <w:p>
      <w:r>
        <w:t>---</w:t>
      </w:r>
    </w:p>
    <w:p>
      <w:r/>
    </w:p>
    <w:p>
      <w:pPr>
        <w:pStyle w:val="Heading2"/>
        <w:keepNext/>
        <w:spacing w:before="240" w:after="120"/>
      </w:pPr>
      <w:r>
        <w:rPr>
          <w:rFonts w:ascii="Calibri Light" w:hAnsi="Calibri Light"/>
          <w:b/>
          <w:color w:val="000000"/>
          <w:sz w:val="32"/>
        </w:rPr>
        <w:t>Article 6 — Centralisation Obligatoire des Inscriptions</w:t>
      </w:r>
    </w:p>
    <w:p>
      <w:r/>
    </w:p>
    <w:p>
      <w:r>
        <w:t>Tous les candidats, qu'ils optent pour la formule en ligne ou présentiel, doivent obligatoirement s'inscrire via la plateforme OGE Académie. Aucun paiement « hors-système » n'est autorisé. Tout contournement de cette règle est considéré comme une violation du présent contrat.</w:t>
      </w:r>
    </w:p>
    <w:p>
      <w:r/>
    </w:p>
    <w:p>
      <w:r>
        <w:t>---</w:t>
      </w:r>
    </w:p>
    <w:p>
      <w:r/>
    </w:p>
    <w:p>
      <w:pPr>
        <w:pStyle w:val="Heading2"/>
        <w:keepNext/>
        <w:spacing w:before="240" w:after="120"/>
      </w:pPr>
      <w:r>
        <w:rPr>
          <w:rFonts w:ascii="Calibri Light" w:hAnsi="Calibri Light"/>
          <w:b/>
          <w:color w:val="000000"/>
          <w:sz w:val="32"/>
        </w:rPr>
        <w:t>Article 7 — Propriété Intellectuelle</w:t>
      </w:r>
    </w:p>
    <w:p>
      <w:r/>
    </w:p>
    <w:p>
      <w:pPr>
        <w:pStyle w:val="ListBullet"/>
      </w:pPr>
      <w:r>
        <w:t xml:space="preserve">Le code source, le design, l'architecture technique et les bases de données de la plateforme restent la </w:t>
      </w:r>
      <w:r>
        <w:rPr>
          <w:b/>
        </w:rPr>
        <w:t>propriété exclusive du Concepteur</w:t>
      </w:r>
      <w:r>
        <w:t>.</w:t>
      </w:r>
    </w:p>
    <w:p>
      <w:pPr>
        <w:pStyle w:val="ListBullet"/>
      </w:pPr>
      <w:r>
        <w:t xml:space="preserve">Les supports de cours, les contenus pédagogiques et les données personnelles des élèves restent la </w:t>
      </w:r>
      <w:r>
        <w:rPr>
          <w:b/>
        </w:rPr>
        <w:t>propriété exclusive des Entrepreneurs</w:t>
      </w:r>
      <w:r>
        <w:t>.</w:t>
      </w:r>
    </w:p>
    <w:p>
      <w:pPr>
        <w:pStyle w:val="ListBullet"/>
      </w:pPr>
      <w:r>
        <w:t>Les droits d'auteur des professeurs sur leurs supports de cours sont protégés par la plateforme (affichage sécurisé, sans téléchargement ni copie non autorisée).</w:t>
      </w:r>
    </w:p>
    <w:p>
      <w:r/>
    </w:p>
    <w:p>
      <w:r>
        <w:t>---</w:t>
      </w:r>
    </w:p>
    <w:p>
      <w:r/>
    </w:p>
    <w:p>
      <w:pPr>
        <w:pStyle w:val="Heading2"/>
        <w:keepNext/>
        <w:spacing w:before="240" w:after="120"/>
      </w:pPr>
      <w:r>
        <w:rPr>
          <w:rFonts w:ascii="Calibri Light" w:hAnsi="Calibri Light"/>
          <w:b/>
          <w:color w:val="000000"/>
          <w:sz w:val="32"/>
        </w:rPr>
        <w:t>Article 8 — Limitation de Responsabilité du Concepteur</w:t>
      </w:r>
    </w:p>
    <w:p>
      <w:r/>
    </w:p>
    <w:p>
      <w:r>
        <w:t xml:space="preserve">En cas d'interruption accidentelle du service ou de perte de données imputable au Concepteur, sa responsabilité financière totale est expressément plafonnée à </w:t>
      </w:r>
      <w:r>
        <w:rPr>
          <w:b/>
        </w:rPr>
        <w:t>un pour cent (1 %)</w:t>
      </w:r>
      <w:r>
        <w:t xml:space="preserve"> des commissions perçues ou dues pour la campagne annuelle en cours. Cette limitation s'applique à tout préjudice direct ou indirect subi par les Entrepreneurs.</w:t>
      </w:r>
    </w:p>
    <w:p>
      <w:r/>
    </w:p>
    <w:p>
      <w:r>
        <w:t>---</w:t>
      </w:r>
    </w:p>
    <w:p>
      <w:r/>
    </w:p>
    <w:p>
      <w:pPr>
        <w:pStyle w:val="Heading2"/>
        <w:keepNext/>
        <w:spacing w:before="240" w:after="120"/>
      </w:pPr>
      <w:r>
        <w:rPr>
          <w:rFonts w:ascii="Calibri Light" w:hAnsi="Calibri Light"/>
          <w:b/>
          <w:color w:val="000000"/>
          <w:sz w:val="32"/>
        </w:rPr>
        <w:t>Article 9 — Confidentialité</w:t>
      </w:r>
    </w:p>
    <w:p>
      <w:r/>
    </w:p>
    <w:p>
      <w:r>
        <w:t>Les parties s'engagent à garder strictement confidentielles toutes les informations échangées dans le cadre de ce partenariat (données des candidats, modalités commerciales, architecture technique), et ce pendant toute la durée du contrat et les 3 ans suivant son terme.</w:t>
      </w:r>
    </w:p>
    <w:p>
      <w:r/>
    </w:p>
    <w:p>
      <w:r>
        <w:t>---</w:t>
      </w:r>
    </w:p>
    <w:p>
      <w:r/>
    </w:p>
    <w:p>
      <w:pPr>
        <w:pStyle w:val="Heading2"/>
        <w:keepNext/>
        <w:spacing w:before="240" w:after="120"/>
      </w:pPr>
      <w:r>
        <w:rPr>
          <w:rFonts w:ascii="Calibri Light" w:hAnsi="Calibri Light"/>
          <w:b/>
          <w:color w:val="000000"/>
          <w:sz w:val="32"/>
        </w:rPr>
        <w:t>Article 10 — Droit Applicable &amp; Règlement des Litiges</w:t>
      </w:r>
    </w:p>
    <w:p>
      <w:r/>
    </w:p>
    <w:p>
      <w:r>
        <w:t xml:space="preserve">Le présent contrat est soumis au droit ivoirien. En cas de litige, les parties s'engagent à rechercher une solution amiable dans un délai de </w:t>
      </w:r>
      <w:r>
        <w:rPr>
          <w:b/>
        </w:rPr>
        <w:t>trente (30) jours</w:t>
      </w:r>
      <w:r>
        <w:t>. À défaut d'accord, le litige sera soumis au tribunal compétent d'Abidjan.</w:t>
      </w:r>
    </w:p>
    <w:p>
      <w:r/>
    </w:p>
    <w:p>
      <w:r>
        <w:t>---</w:t>
      </w:r>
    </w:p>
    <w:p>
      <w:r/>
    </w:p>
    <w:p>
      <w:r/>
      <w:r>
        <w:rPr>
          <w:b/>
        </w:rPr>
        <w:t>SIGNATURES DES PARTIES</w:t>
      </w:r>
      <w:r/>
    </w:p>
    <w:p>
      <w:r/>
    </w:p>
    <w:p>
      <w:r>
        <w:t>Fait à Abidjan / Yamoussoukro, le _____ / _____ / _________</w:t>
      </w:r>
    </w:p>
    <w:p>
      <w:r/>
    </w:p>
    <w:p>
      <w:r>
        <w:t>Les parties déclarent avoir lu, compris et accepté l'intégralité des clauses du présent contrat.</w:t>
      </w:r>
    </w:p>
    <w:p>
      <w:r/>
    </w:p>
    <w:tbl>
      <w:tblPr>
        <w:tblStyle w:val="TableGrid"/>
        <w:tblW w:type="auto" w:w="0"/>
        <w:tblLook w:firstColumn="1" w:firstRow="1" w:lastColumn="0" w:lastRow="0" w:noHBand="0" w:noVBand="1" w:val="04A0"/>
      </w:tblPr>
      <w:tblGrid>
        <w:gridCol w:w="4680"/>
        <w:gridCol w:w="4680"/>
      </w:tblGrid>
      <w:tr>
        <w:trPr>
          <w:cantSplit/>
          <w:tblHeader/>
        </w:trPr>
        <w:tc>
          <w:tcPr>
            <w:tcW w:type="dxa" w:w="4680"/>
            <w:tcMar>
              <w:top w:w="140" w:type="dxa"/>
              <w:bottom w:w="140" w:type="dxa"/>
              <w:left w:w="180" w:type="dxa"/>
              <w:right w:w="180" w:type="dxa"/>
            </w:tcMar>
            <w:shd w:fill="FF7900"/>
          </w:tcPr>
          <w:p>
            <w:pPr>
              <w:jc w:val="center"/>
            </w:pPr>
            <w:r>
              <w:rPr>
                <w:b/>
                <w:color w:val="FFFFFF"/>
              </w:rPr>
              <w:t>LE CONCEPTEUR</w:t>
            </w:r>
          </w:p>
        </w:tc>
        <w:tc>
          <w:tcPr>
            <w:tcW w:type="dxa" w:w="4680"/>
            <w:tcMar>
              <w:top w:w="140" w:type="dxa"/>
              <w:bottom w:w="140" w:type="dxa"/>
              <w:left w:w="180" w:type="dxa"/>
              <w:right w:w="180" w:type="dxa"/>
            </w:tcMar>
            <w:shd w:fill="FF7900"/>
          </w:tcPr>
          <w:p>
            <w:pPr>
              <w:jc w:val="center"/>
            </w:pPr>
            <w:r>
              <w:rPr>
                <w:b/>
                <w:color w:val="FFFFFF"/>
              </w:rPr>
              <w:t>LES ENTREPRENEURS — OGE ACADÉMIE</w:t>
            </w:r>
          </w:p>
        </w:tc>
      </w:tr>
      <w:tr>
        <w:trPr>
          <w:cantSplit/>
        </w:trPr>
        <w:tc>
          <w:tcPr>
            <w:tcW w:type="dxa" w:w="4680"/>
            <w:tcMar>
              <w:top w:w="140" w:type="dxa"/>
              <w:bottom w:w="140" w:type="dxa"/>
              <w:left w:w="180" w:type="dxa"/>
              <w:right w:w="180" w:type="dxa"/>
            </w:tcMar>
          </w:tcPr>
          <w:p>
            <w:pPr>
              <w:jc w:val="left"/>
            </w:pPr>
            <w:r>
              <w:t>---</w:t>
            </w:r>
          </w:p>
        </w:tc>
        <w:tc>
          <w:tcPr>
            <w:tcW w:type="dxa" w:w="4680"/>
            <w:tcMar>
              <w:top w:w="140" w:type="dxa"/>
              <w:bottom w:w="140" w:type="dxa"/>
              <w:left w:w="180" w:type="dxa"/>
              <w:right w:w="180" w:type="dxa"/>
            </w:tcMar>
          </w:tcPr>
          <w:p>
            <w:pPr>
              <w:jc w:val="left"/>
            </w:pPr>
            <w:r>
              <w:t>---</w:t>
            </w:r>
          </w:p>
        </w:tc>
      </w:tr>
      <w:tr>
        <w:trPr>
          <w:cantSplit/>
        </w:trPr>
        <w:tc>
          <w:tcPr>
            <w:tcW w:type="dxa" w:w="4680"/>
            <w:tcMar>
              <w:top w:w="140" w:type="dxa"/>
              <w:bottom w:w="140" w:type="dxa"/>
              <w:left w:w="180" w:type="dxa"/>
              <w:right w:w="180" w:type="dxa"/>
            </w:tcMar>
            <w:shd w:fill="F2F4F4"/>
          </w:tcPr>
          <w:p>
            <w:pPr>
              <w:jc w:val="left"/>
            </w:pPr>
            <w:r>
              <w:t>M. Sidoine K.</w:t>
            </w:r>
          </w:p>
        </w:tc>
        <w:tc>
          <w:tcPr>
            <w:tcW w:type="dxa" w:w="4680"/>
            <w:tcMar>
              <w:top w:w="140" w:type="dxa"/>
              <w:bottom w:w="140" w:type="dxa"/>
              <w:left w:w="180" w:type="dxa"/>
              <w:right w:w="180" w:type="dxa"/>
            </w:tcMar>
            <w:shd w:fill="F2F4F4"/>
          </w:tcPr>
          <w:p>
            <w:pPr>
              <w:jc w:val="left"/>
            </w:pPr>
            <w:r>
              <w:t>M. / Mme ___________________________</w:t>
            </w:r>
          </w:p>
        </w:tc>
      </w:tr>
      <w:tr>
        <w:trPr>
          <w:cantSplit/>
        </w:trPr>
        <w:tc>
          <w:tcPr>
            <w:tcW w:type="dxa" w:w="4680"/>
            <w:tcMar>
              <w:top w:w="140" w:type="dxa"/>
              <w:bottom w:w="140" w:type="dxa"/>
              <w:left w:w="180" w:type="dxa"/>
              <w:right w:w="180" w:type="dxa"/>
            </w:tcMar>
          </w:tcPr>
          <w:p>
            <w:pPr>
              <w:jc w:val="left"/>
            </w:pPr>
            <w:r>
              <w:t>krsidoine7@gmail.com</w:t>
            </w:r>
          </w:p>
        </w:tc>
        <w:tc>
          <w:tcPr>
            <w:tcW w:type="dxa" w:w="4680"/>
            <w:tcMar>
              <w:top w:w="140" w:type="dxa"/>
              <w:bottom w:w="140" w:type="dxa"/>
              <w:left w:w="180" w:type="dxa"/>
              <w:right w:w="180" w:type="dxa"/>
            </w:tcMar>
          </w:tcPr>
          <w:p>
            <w:pPr>
              <w:jc w:val="left"/>
            </w:pPr>
            <w:r>
              <w:t>M. / Mme ___________________________</w:t>
            </w:r>
          </w:p>
        </w:tc>
      </w:tr>
      <w:tr>
        <w:trPr>
          <w:cantSplit/>
        </w:trPr>
        <w:tc>
          <w:tcPr>
            <w:tcW w:type="dxa" w:w="4680"/>
            <w:tcMar>
              <w:top w:w="140" w:type="dxa"/>
              <w:bottom w:w="140" w:type="dxa"/>
              <w:left w:w="180" w:type="dxa"/>
              <w:right w:w="180" w:type="dxa"/>
            </w:tcMar>
            <w:shd w:fill="F2F4F4"/>
          </w:tcPr>
          <w:p>
            <w:pPr>
              <w:jc w:val="left"/>
            </w:pPr>
            <w:r>
              <w:t>+225 05 03 68 15 88</w:t>
            </w:r>
          </w:p>
        </w:tc>
        <w:tc>
          <w:tcPr>
            <w:tcW w:type="dxa" w:w="4680"/>
            <w:tcMar>
              <w:top w:w="140" w:type="dxa"/>
              <w:bottom w:w="140" w:type="dxa"/>
              <w:left w:w="180" w:type="dxa"/>
              <w:right w:w="180" w:type="dxa"/>
            </w:tcMar>
            <w:shd w:fill="F2F4F4"/>
          </w:tcPr>
          <w:p>
            <w:pPr>
              <w:jc w:val="left"/>
            </w:pPr>
            <w:r/>
          </w:p>
        </w:tc>
      </w:tr>
      <w:tr>
        <w:trPr>
          <w:cantSplit/>
        </w:trPr>
        <w:tc>
          <w:tcPr>
            <w:tcW w:type="dxa" w:w="4680"/>
            <w:tcMar>
              <w:top w:w="140" w:type="dxa"/>
              <w:bottom w:w="140" w:type="dxa"/>
              <w:left w:w="180" w:type="dxa"/>
              <w:right w:w="180" w:type="dxa"/>
            </w:tcMar>
          </w:tcPr>
          <w:p>
            <w:pPr>
              <w:jc w:val="left"/>
            </w:pPr>
            <w:r>
              <w:t>Signature &amp; mention « Lu et approuvé » :</w:t>
            </w:r>
          </w:p>
        </w:tc>
        <w:tc>
          <w:tcPr>
            <w:tcW w:type="dxa" w:w="4680"/>
            <w:tcMar>
              <w:top w:w="140" w:type="dxa"/>
              <w:bottom w:w="140" w:type="dxa"/>
              <w:left w:w="180" w:type="dxa"/>
              <w:right w:w="180" w:type="dxa"/>
            </w:tcMar>
          </w:tcPr>
          <w:p>
            <w:pPr>
              <w:jc w:val="left"/>
            </w:pPr>
            <w:r>
              <w:t>Signature &amp; mention « Lu et approuvé » :</w:t>
            </w:r>
          </w:p>
        </w:tc>
      </w:tr>
      <w:tr>
        <w:trPr>
          <w:cantSplit/>
        </w:trPr>
        <w:tc>
          <w:tcPr>
            <w:tcW w:type="dxa" w:w="4680"/>
            <w:tcMar>
              <w:top w:w="140" w:type="dxa"/>
              <w:bottom w:w="140" w:type="dxa"/>
              <w:left w:w="180" w:type="dxa"/>
              <w:right w:w="180" w:type="dxa"/>
            </w:tcMar>
            <w:shd w:fill="F2F4F4"/>
          </w:tcPr>
          <w:p>
            <w:pPr>
              <w:jc w:val="left"/>
            </w:pPr>
            <w:r>
              <w:t>Date : _____ / _____ / _________</w:t>
            </w:r>
          </w:p>
        </w:tc>
        <w:tc>
          <w:tcPr>
            <w:tcW w:type="dxa" w:w="4680"/>
            <w:tcMar>
              <w:top w:w="140" w:type="dxa"/>
              <w:bottom w:w="140" w:type="dxa"/>
              <w:left w:w="180" w:type="dxa"/>
              <w:right w:w="180" w:type="dxa"/>
            </w:tcMar>
            <w:shd w:fill="F2F4F4"/>
          </w:tcPr>
          <w:p>
            <w:pPr>
              <w:jc w:val="left"/>
            </w:pPr>
            <w:r>
              <w:t>Date : _____ / _____ / _________</w:t>
            </w:r>
          </w:p>
        </w:tc>
      </w:tr>
    </w:tbl>
    <w:p>
      <w:pPr>
        <w:spacing w:before="120"/>
      </w:pPr>
    </w:p>
    <w:p>
      <w:r/>
    </w:p>
    <w:p>
      <w:r>
        <w:t>---</w:t>
      </w:r>
    </w:p>
    <w:p>
      <w:r/>
    </w:p>
    <w:p>
      <w:r>
        <w:t>— Document confidentiel — OGE Académie © 2025 —</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