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4C1177"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4C1177"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4C1177"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4C1177"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4C1177"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4C1177"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4C1177"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4C1177"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4C1177"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4C1177"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4C1177"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4C1177"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4C1177"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4C1177"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4C1177"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4C1177"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4C117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4C117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4C117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4C117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4C1177"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4C1177"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4C1177"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4C1177"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4C1177"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4C1177"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4C1177"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4C1177"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4C1177"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4C1177"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4C1177"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4C1177"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4C1177"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4C1177"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4C1177"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4C1177"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4C1177"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4C1177"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4C117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4C117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4C117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4C1177"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4C1177"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4C1177"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4C117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4C117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4C117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4C117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4C1177"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4C1177"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4C1177"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4C1177"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4C1177"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4C1177"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4C1177"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4C1177"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4C1177"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4C1177"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4C1177"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4C1177"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4C1177"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4C1177"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4C1177"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4C1177"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4C1177"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4C1177"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4C1177"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4C1177"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4C1177"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4C1177"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4C1177"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4C1177"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4C1177"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4C1177"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4C117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4C1177"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4C1177"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4C1177"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4C1177"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4C1177"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4C1177"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4C1177"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4C1177"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4C1177"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4C1177"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4C1177"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4C1177"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4C1177"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4C1177"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4C1177"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4C1177"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4C1177"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4C1177"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4C1177"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4C1177"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4C1177"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4C1177"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4C1177"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4C1177"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4C1177"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4C1177"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4C1177"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4C1177"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4C1177"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4C1177"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4C1177"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4C1177"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4C1177"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4C1177"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4C1177"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4C1177"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4C1177"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4C1177"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4C1177"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4C1177"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4C1177"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4C117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4C117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4C1177"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4C1177"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4C1177"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7" w:history="1">
        <w:r w:rsidR="00EE3DEF" w:rsidRPr="00AB61ED">
          <w:rPr>
            <w:rStyle w:val="Hyperlink"/>
            <w:rFonts w:cstheme="minorHAnsi"/>
          </w:rPr>
          <w:t>https://www.tutorialspoint.com/spring_boot/spring_boot_cors_support.htm</w:t>
        </w:r>
      </w:hyperlink>
      <w:r w:rsidR="00EE3DEF" w:rsidRPr="00AB61ED">
        <w:rPr>
          <w:color w:val="343434"/>
        </w:rPr>
        <w:br/>
      </w:r>
      <w:hyperlink r:id="rId238"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4C1177"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bookmarkStart w:id="0" w:name="_GoBack"/>
      <w:bookmarkEnd w:id="0"/>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4C1177"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824995" w:rsidRPr="00A15395" w:rsidRDefault="00824995" w:rsidP="00F64EE4">
      <w:pPr>
        <w:spacing w:line="240" w:lineRule="auto"/>
        <w:contextualSpacing/>
        <w:mirrorIndents/>
        <w:rPr>
          <w:rFonts w:cstheme="minorHAnsi"/>
          <w:szCs w:val="18"/>
        </w:rPr>
      </w:pPr>
    </w:p>
    <w:sectPr w:rsidR="00824995"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77" w:rsidRDefault="004C1177" w:rsidP="00E61507">
      <w:pPr>
        <w:spacing w:after="0" w:line="240" w:lineRule="auto"/>
      </w:pPr>
      <w:r>
        <w:separator/>
      </w:r>
    </w:p>
  </w:endnote>
  <w:endnote w:type="continuationSeparator" w:id="0">
    <w:p w:rsidR="004C1177" w:rsidRDefault="004C1177"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77" w:rsidRDefault="004C1177" w:rsidP="00E61507">
      <w:pPr>
        <w:spacing w:after="0" w:line="240" w:lineRule="auto"/>
      </w:pPr>
      <w:r>
        <w:separator/>
      </w:r>
    </w:p>
  </w:footnote>
  <w:footnote w:type="continuationSeparator" w:id="0">
    <w:p w:rsidR="004C1177" w:rsidRDefault="004C1177"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8"/>
  </w:num>
  <w:num w:numId="25">
    <w:abstractNumId w:val="27"/>
  </w:num>
  <w:num w:numId="26">
    <w:abstractNumId w:val="22"/>
  </w:num>
  <w:num w:numId="27">
    <w:abstractNumId w:val="30"/>
  </w:num>
  <w:num w:numId="28">
    <w:abstractNumId w:val="1"/>
  </w:num>
  <w:num w:numId="29">
    <w:abstractNumId w:val="15"/>
  </w:num>
  <w:num w:numId="30">
    <w:abstractNumId w:val="29"/>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2D96"/>
    <w:rsid w:val="001C31F7"/>
    <w:rsid w:val="001C4873"/>
    <w:rsid w:val="001D7AF9"/>
    <w:rsid w:val="001E47EA"/>
    <w:rsid w:val="001E507F"/>
    <w:rsid w:val="001F55AF"/>
    <w:rsid w:val="00204711"/>
    <w:rsid w:val="00206516"/>
    <w:rsid w:val="0021103D"/>
    <w:rsid w:val="002209E5"/>
    <w:rsid w:val="002379C0"/>
    <w:rsid w:val="00256C39"/>
    <w:rsid w:val="0026376E"/>
    <w:rsid w:val="00264007"/>
    <w:rsid w:val="00270520"/>
    <w:rsid w:val="00270796"/>
    <w:rsid w:val="00280CFF"/>
    <w:rsid w:val="00286168"/>
    <w:rsid w:val="002A0403"/>
    <w:rsid w:val="002A08DA"/>
    <w:rsid w:val="002B251C"/>
    <w:rsid w:val="002B255B"/>
    <w:rsid w:val="002B48DC"/>
    <w:rsid w:val="002B6504"/>
    <w:rsid w:val="002C5318"/>
    <w:rsid w:val="002D0929"/>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0F0C"/>
    <w:rsid w:val="00436E08"/>
    <w:rsid w:val="00443F32"/>
    <w:rsid w:val="004460D2"/>
    <w:rsid w:val="00460BD2"/>
    <w:rsid w:val="004631FB"/>
    <w:rsid w:val="0047136A"/>
    <w:rsid w:val="00473547"/>
    <w:rsid w:val="00483490"/>
    <w:rsid w:val="00493F96"/>
    <w:rsid w:val="004A0964"/>
    <w:rsid w:val="004A111A"/>
    <w:rsid w:val="004A2432"/>
    <w:rsid w:val="004A33AB"/>
    <w:rsid w:val="004B2CCE"/>
    <w:rsid w:val="004B5528"/>
    <w:rsid w:val="004C1177"/>
    <w:rsid w:val="004C746F"/>
    <w:rsid w:val="004C7BC3"/>
    <w:rsid w:val="004D34DA"/>
    <w:rsid w:val="004E293B"/>
    <w:rsid w:val="004F5CC8"/>
    <w:rsid w:val="004F7405"/>
    <w:rsid w:val="004F7B9E"/>
    <w:rsid w:val="00500171"/>
    <w:rsid w:val="00502E9C"/>
    <w:rsid w:val="0050616A"/>
    <w:rsid w:val="00521291"/>
    <w:rsid w:val="0052509D"/>
    <w:rsid w:val="00525535"/>
    <w:rsid w:val="0053252C"/>
    <w:rsid w:val="005421B4"/>
    <w:rsid w:val="00550194"/>
    <w:rsid w:val="00553341"/>
    <w:rsid w:val="00563752"/>
    <w:rsid w:val="005673A2"/>
    <w:rsid w:val="00567482"/>
    <w:rsid w:val="00595E66"/>
    <w:rsid w:val="005A38C1"/>
    <w:rsid w:val="005B4A30"/>
    <w:rsid w:val="005C0831"/>
    <w:rsid w:val="005C09D4"/>
    <w:rsid w:val="005C27CA"/>
    <w:rsid w:val="005D0F8C"/>
    <w:rsid w:val="005E10D5"/>
    <w:rsid w:val="005E70F3"/>
    <w:rsid w:val="00600C5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7C98"/>
    <w:rsid w:val="007E33F3"/>
    <w:rsid w:val="007F5E2C"/>
    <w:rsid w:val="008038CE"/>
    <w:rsid w:val="008054B6"/>
    <w:rsid w:val="008119B4"/>
    <w:rsid w:val="00821460"/>
    <w:rsid w:val="00824995"/>
    <w:rsid w:val="008345A4"/>
    <w:rsid w:val="00843F54"/>
    <w:rsid w:val="008505C6"/>
    <w:rsid w:val="00852F82"/>
    <w:rsid w:val="00856765"/>
    <w:rsid w:val="00863F36"/>
    <w:rsid w:val="00864E98"/>
    <w:rsid w:val="00866A78"/>
    <w:rsid w:val="0086722E"/>
    <w:rsid w:val="008765BC"/>
    <w:rsid w:val="00880D71"/>
    <w:rsid w:val="00882E60"/>
    <w:rsid w:val="008A402C"/>
    <w:rsid w:val="008A4437"/>
    <w:rsid w:val="008A6CE6"/>
    <w:rsid w:val="008D1692"/>
    <w:rsid w:val="008D4549"/>
    <w:rsid w:val="008D56C7"/>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012B8"/>
    <w:rsid w:val="00A15395"/>
    <w:rsid w:val="00A30073"/>
    <w:rsid w:val="00A33090"/>
    <w:rsid w:val="00A41441"/>
    <w:rsid w:val="00A529A1"/>
    <w:rsid w:val="00A5508D"/>
    <w:rsid w:val="00A60E30"/>
    <w:rsid w:val="00A64CA1"/>
    <w:rsid w:val="00A650E7"/>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C0791"/>
    <w:rsid w:val="00BC7F25"/>
    <w:rsid w:val="00BD5259"/>
    <w:rsid w:val="00BD748E"/>
    <w:rsid w:val="00BE292D"/>
    <w:rsid w:val="00BE503E"/>
    <w:rsid w:val="00BE6B87"/>
    <w:rsid w:val="00BF0F0A"/>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C3D15"/>
    <w:rsid w:val="00CC5F85"/>
    <w:rsid w:val="00CC6294"/>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71977"/>
    <w:rsid w:val="00D91036"/>
    <w:rsid w:val="00D96D5D"/>
    <w:rsid w:val="00DA3CB5"/>
    <w:rsid w:val="00DA77EC"/>
    <w:rsid w:val="00DB6B69"/>
    <w:rsid w:val="00DC0305"/>
    <w:rsid w:val="00DD67BF"/>
    <w:rsid w:val="00DD6958"/>
    <w:rsid w:val="00DE1A4B"/>
    <w:rsid w:val="00DE4AE1"/>
    <w:rsid w:val="00DF317D"/>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88CD7"/>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fontTable" Target="fontTable.xm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theme" Target="theme/theme1.xm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12216</TotalTime>
  <Pages>41</Pages>
  <Words>17485</Words>
  <Characters>99665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352</cp:revision>
  <dcterms:created xsi:type="dcterms:W3CDTF">2021-03-29T15:27:00Z</dcterms:created>
  <dcterms:modified xsi:type="dcterms:W3CDTF">2022-03-16T07:41:00Z</dcterms:modified>
</cp:coreProperties>
</file>