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0116C" w14:textId="77777777" w:rsidR="000E4AEA" w:rsidRPr="000E4AEA" w:rsidRDefault="000E4AEA" w:rsidP="000E4AEA">
      <w:pPr>
        <w:spacing w:before="100" w:beforeAutospacing="1" w:after="100" w:afterAutospacing="1" w:line="240" w:lineRule="auto"/>
        <w:rPr>
          <w:rFonts w:ascii="Trebuchet MS" w:eastAsia="Times New Roman" w:hAnsi="Trebuchet MS" w:cstheme="minorHAnsi"/>
          <w:kern w:val="0"/>
          <w:sz w:val="20"/>
          <w:szCs w:val="20"/>
          <w:lang w:eastAsia="en-GB"/>
          <w14:ligatures w14:val="none"/>
        </w:rPr>
      </w:pPr>
      <w:r w:rsidRPr="000E4AEA">
        <w:rPr>
          <w:rFonts w:ascii="Trebuchet MS" w:eastAsia="Times New Roman" w:hAnsi="Trebuchet MS" w:cstheme="minorHAnsi"/>
          <w:kern w:val="0"/>
          <w:sz w:val="20"/>
          <w:szCs w:val="20"/>
          <w:lang w:eastAsia="en-GB"/>
          <w14:ligatures w14:val="none"/>
        </w:rPr>
        <w:t xml:space="preserve">This is the </w:t>
      </w:r>
      <w:r w:rsidRPr="000E4AEA">
        <w:rPr>
          <w:rFonts w:ascii="Trebuchet MS" w:eastAsia="Times New Roman" w:hAnsi="Trebuchet MS" w:cstheme="minorHAnsi"/>
          <w:b/>
          <w:bCs/>
          <w:kern w:val="0"/>
          <w:sz w:val="20"/>
          <w:szCs w:val="20"/>
          <w:lang w:eastAsia="en-GB"/>
          <w14:ligatures w14:val="none"/>
        </w:rPr>
        <w:t>complete handbook</w:t>
      </w:r>
      <w:r w:rsidRPr="000E4AEA">
        <w:rPr>
          <w:rFonts w:ascii="Trebuchet MS" w:eastAsia="Times New Roman" w:hAnsi="Trebuchet MS" w:cstheme="minorHAnsi"/>
          <w:kern w:val="0"/>
          <w:sz w:val="20"/>
          <w:szCs w:val="20"/>
          <w:lang w:eastAsia="en-GB"/>
          <w14:ligatures w14:val="none"/>
        </w:rPr>
        <w:t xml:space="preserve"> following every section of your InterviewHandbookTemplate.txt — all 18 sections filled in full.</w:t>
      </w:r>
    </w:p>
    <w:p w14:paraId="03791496" w14:textId="458FE70F" w:rsidR="000E4AEA" w:rsidRPr="000E4AEA" w:rsidRDefault="000E4AEA" w:rsidP="000E4AEA">
      <w:pPr>
        <w:spacing w:before="100" w:beforeAutospacing="1" w:after="100" w:afterAutospacing="1" w:line="240" w:lineRule="auto"/>
        <w:rPr>
          <w:rFonts w:ascii="Trebuchet MS" w:eastAsia="Times New Roman" w:hAnsi="Trebuchet MS" w:cstheme="minorHAnsi"/>
          <w:kern w:val="0"/>
          <w:sz w:val="20"/>
          <w:szCs w:val="20"/>
          <w:lang w:eastAsia="en-GB"/>
          <w14:ligatures w14:val="none"/>
        </w:rPr>
      </w:pPr>
      <w:r w:rsidRPr="000E4AEA">
        <w:rPr>
          <w:rFonts w:ascii="Trebuchet MS" w:eastAsia="Times New Roman" w:hAnsi="Trebuchet MS" w:cstheme="minorHAnsi"/>
          <w:b/>
          <w:bCs/>
          <w:kern w:val="0"/>
          <w:sz w:val="20"/>
          <w:szCs w:val="20"/>
          <w:lang w:eastAsia="en-GB"/>
          <w14:ligatures w14:val="none"/>
        </w:rPr>
        <w:t>What's included</w:t>
      </w:r>
      <w:r w:rsidR="00FA08A9">
        <w:rPr>
          <w:rFonts w:ascii="Trebuchet MS" w:eastAsia="Times New Roman" w:hAnsi="Trebuchet MS" w:cstheme="minorHAnsi"/>
          <w:b/>
          <w:bCs/>
          <w:kern w:val="0"/>
          <w:sz w:val="20"/>
          <w:szCs w:val="20"/>
          <w:lang w:eastAsia="en-GB"/>
          <w14:ligatures w14:val="none"/>
        </w:rPr>
        <w:t xml:space="preserve"> when we use Claude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7840"/>
      </w:tblGrid>
      <w:tr w:rsidR="000E4AEA" w:rsidRPr="000E4AEA" w14:paraId="4F3EF7BF" w14:textId="77777777" w:rsidTr="006077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76262" w14:textId="77777777" w:rsidR="000E4AEA" w:rsidRPr="000E4AEA" w:rsidRDefault="000E4AEA" w:rsidP="000E4AEA">
            <w:pPr>
              <w:spacing w:after="0" w:line="240" w:lineRule="auto"/>
              <w:jc w:val="center"/>
              <w:rPr>
                <w:rFonts w:ascii="Trebuchet MS" w:eastAsia="Times New Roman" w:hAnsi="Trebuchet MS" w:cstheme="minorHAns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Section</w:t>
            </w:r>
          </w:p>
        </w:tc>
        <w:tc>
          <w:tcPr>
            <w:tcW w:w="7795" w:type="dxa"/>
            <w:vAlign w:val="center"/>
            <w:hideMark/>
          </w:tcPr>
          <w:p w14:paraId="37263152" w14:textId="77777777" w:rsidR="000E4AEA" w:rsidRPr="000E4AEA" w:rsidRDefault="000E4AEA" w:rsidP="000E4AEA">
            <w:pPr>
              <w:spacing w:after="0" w:line="240" w:lineRule="auto"/>
              <w:jc w:val="center"/>
              <w:rPr>
                <w:rFonts w:ascii="Trebuchet MS" w:eastAsia="Times New Roman" w:hAnsi="Trebuchet MS" w:cstheme="minorHAns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Content</w:t>
            </w:r>
          </w:p>
        </w:tc>
      </w:tr>
      <w:tr w:rsidR="000E4AEA" w:rsidRPr="000E4AEA" w14:paraId="286A7A02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35E0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📖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What is it</w:t>
            </w:r>
          </w:p>
        </w:tc>
        <w:tc>
          <w:tcPr>
            <w:tcW w:w="7795" w:type="dxa"/>
            <w:vAlign w:val="center"/>
            <w:hideMark/>
          </w:tcPr>
          <w:p w14:paraId="1F26A3E6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Definition, problem solved, characteristics</w:t>
            </w:r>
          </w:p>
        </w:tc>
      </w:tr>
      <w:tr w:rsidR="000E4AEA" w:rsidRPr="000E4AEA" w14:paraId="08D3A6A5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7532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❓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Why needed</w:t>
            </w:r>
          </w:p>
        </w:tc>
        <w:tc>
          <w:tcPr>
            <w:tcW w:w="7795" w:type="dxa"/>
            <w:vAlign w:val="center"/>
            <w:hideMark/>
          </w:tcPr>
          <w:p w14:paraId="3FB7CA2B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Business + technical problem, BFSI context</w:t>
            </w:r>
          </w:p>
        </w:tc>
      </w:tr>
      <w:tr w:rsidR="000E4AEA" w:rsidRPr="000E4AEA" w14:paraId="35F54C74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C54F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⚙️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Internal working</w:t>
            </w:r>
          </w:p>
        </w:tc>
        <w:tc>
          <w:tcPr>
            <w:tcW w:w="7795" w:type="dxa"/>
            <w:vAlign w:val="center"/>
            <w:hideMark/>
          </w:tcPr>
          <w:p w14:paraId="111A387A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Step-by-step Authorization Code flow with ASCII diagram</w:t>
            </w:r>
          </w:p>
        </w:tc>
      </w:tr>
      <w:tr w:rsidR="000E4AEA" w:rsidRPr="000E4AEA" w14:paraId="6B5C8AB6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D775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🏗️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Architecture</w:t>
            </w:r>
          </w:p>
        </w:tc>
        <w:tc>
          <w:tcPr>
            <w:tcW w:w="7795" w:type="dxa"/>
            <w:vAlign w:val="center"/>
            <w:hideMark/>
          </w:tcPr>
          <w:p w14:paraId="1C906AC3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All components — Auth Server, Resource Server, JWK, </w:t>
            </w:r>
            <w:proofErr w:type="spellStart"/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TokenCustomizer</w:t>
            </w:r>
            <w:proofErr w:type="spellEnd"/>
          </w:p>
        </w:tc>
      </w:tr>
      <w:tr w:rsidR="000E4AEA" w:rsidRPr="000E4AEA" w14:paraId="3FEB47E7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5A15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🔄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Visual flow</w:t>
            </w:r>
          </w:p>
        </w:tc>
        <w:tc>
          <w:tcPr>
            <w:tcW w:w="7795" w:type="dxa"/>
            <w:vAlign w:val="center"/>
            <w:hideMark/>
          </w:tcPr>
          <w:p w14:paraId="0486BC1D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Client Credentials M2M flow + JWT validation pipeline</w:t>
            </w:r>
          </w:p>
        </w:tc>
      </w:tr>
      <w:tr w:rsidR="000E4AEA" w:rsidRPr="000E4AEA" w14:paraId="5BE9F010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3891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💻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Code examples</w:t>
            </w:r>
          </w:p>
        </w:tc>
        <w:tc>
          <w:tcPr>
            <w:tcW w:w="7795" w:type="dxa"/>
            <w:vAlign w:val="center"/>
            <w:hideMark/>
          </w:tcPr>
          <w:p w14:paraId="61B0EFBC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Basic, intermediate, production Auth Server, WebClient</w:t>
            </w:r>
          </w:p>
        </w:tc>
      </w:tr>
      <w:tr w:rsidR="000E4AEA" w:rsidRPr="000E4AEA" w14:paraId="6072AF54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7DD0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🏦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Production example</w:t>
            </w:r>
          </w:p>
        </w:tc>
        <w:tc>
          <w:tcPr>
            <w:tcW w:w="7795" w:type="dxa"/>
            <w:vAlign w:val="center"/>
            <w:hideMark/>
          </w:tcPr>
          <w:p w14:paraId="260672E6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Full banking microservices setup with JWT payload</w:t>
            </w:r>
          </w:p>
        </w:tc>
      </w:tr>
      <w:tr w:rsidR="000E4AEA" w:rsidRPr="000E4AEA" w14:paraId="78125BED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1830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⚠️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Common mistakes</w:t>
            </w:r>
          </w:p>
        </w:tc>
        <w:tc>
          <w:tcPr>
            <w:tcW w:w="7795" w:type="dxa"/>
            <w:vAlign w:val="center"/>
            <w:hideMark/>
          </w:tcPr>
          <w:p w14:paraId="3355A7C7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5 real mistakes — </w:t>
            </w:r>
            <w:proofErr w:type="spellStart"/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localStorage</w:t>
            </w:r>
            <w:proofErr w:type="spellEnd"/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, missing claim validation, Implicit flow</w:t>
            </w:r>
          </w:p>
        </w:tc>
      </w:tr>
      <w:tr w:rsidR="000E4AEA" w:rsidRPr="000E4AEA" w14:paraId="3EBB4C0F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7CBE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✅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Best practices</w:t>
            </w:r>
          </w:p>
        </w:tc>
        <w:tc>
          <w:tcPr>
            <w:tcW w:w="7795" w:type="dxa"/>
            <w:vAlign w:val="center"/>
            <w:hideMark/>
          </w:tcPr>
          <w:p w14:paraId="648789B8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Security, performance, thread safety, monitoring</w:t>
            </w:r>
          </w:p>
        </w:tc>
      </w:tr>
      <w:tr w:rsidR="000E4AEA" w:rsidRPr="000E4AEA" w14:paraId="7ED13363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AAB9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⚡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Performance</w:t>
            </w:r>
          </w:p>
        </w:tc>
        <w:tc>
          <w:tcPr>
            <w:tcW w:w="7795" w:type="dxa"/>
            <w:vAlign w:val="center"/>
            <w:hideMark/>
          </w:tcPr>
          <w:p w14:paraId="67DF5BCA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JWT vs opaque, JWK caching, latency numbers</w:t>
            </w:r>
          </w:p>
        </w:tc>
      </w:tr>
      <w:tr w:rsidR="000E4AEA" w:rsidRPr="000E4AEA" w14:paraId="64EF2893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6975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⚖️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Trade-offs</w:t>
            </w:r>
          </w:p>
        </w:tc>
        <w:tc>
          <w:tcPr>
            <w:tcW w:w="7795" w:type="dxa"/>
            <w:vAlign w:val="center"/>
            <w:hideMark/>
          </w:tcPr>
          <w:p w14:paraId="29B37729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Hotel key card analogy, when to use / not use</w:t>
            </w:r>
          </w:p>
        </w:tc>
      </w:tr>
      <w:tr w:rsidR="000E4AEA" w:rsidRPr="000E4AEA" w14:paraId="26A47DD7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7096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📊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Comparison</w:t>
            </w:r>
          </w:p>
        </w:tc>
        <w:tc>
          <w:tcPr>
            <w:tcW w:w="7795" w:type="dxa"/>
            <w:vAlign w:val="center"/>
            <w:hideMark/>
          </w:tcPr>
          <w:p w14:paraId="4D8FF485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Grant types table, JWT vs opaque table</w:t>
            </w:r>
          </w:p>
        </w:tc>
      </w:tr>
      <w:tr w:rsidR="000E4AEA" w:rsidRPr="000E4AEA" w14:paraId="1B34883D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C6DAF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🎯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Interview Q&amp;A</w:t>
            </w:r>
          </w:p>
        </w:tc>
        <w:tc>
          <w:tcPr>
            <w:tcW w:w="7795" w:type="dxa"/>
            <w:vAlign w:val="center"/>
            <w:hideMark/>
          </w:tcPr>
          <w:p w14:paraId="33889E7A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10 questions with expected answers + follow-ups</w:t>
            </w:r>
          </w:p>
        </w:tc>
      </w:tr>
      <w:tr w:rsidR="000E4AEA" w:rsidRPr="000E4AEA" w14:paraId="11AB3C9B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3E70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🧠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Scenario questions</w:t>
            </w:r>
          </w:p>
        </w:tc>
        <w:tc>
          <w:tcPr>
            <w:tcW w:w="7795" w:type="dxa"/>
            <w:vAlign w:val="center"/>
            <w:hideMark/>
          </w:tcPr>
          <w:p w14:paraId="4C7723F5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4 production scenarios (revocation, token relay, Auth Server down, PSD2)</w:t>
            </w:r>
          </w:p>
        </w:tc>
      </w:tr>
      <w:tr w:rsidR="000E4AEA" w:rsidRPr="000E4AEA" w14:paraId="66F7647A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CE89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🛠️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Debugging</w:t>
            </w:r>
          </w:p>
        </w:tc>
        <w:tc>
          <w:tcPr>
            <w:tcW w:w="7795" w:type="dxa"/>
            <w:vAlign w:val="center"/>
            <w:hideMark/>
          </w:tcPr>
          <w:p w14:paraId="5E4061DE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Common issues table, JWT decode commands, monitoring config</w:t>
            </w:r>
          </w:p>
        </w:tc>
      </w:tr>
      <w:tr w:rsidR="000E4AEA" w:rsidRPr="000E4AEA" w14:paraId="6848455F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68C90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📌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/ </w:t>
            </w: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🚫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When to use</w:t>
            </w:r>
          </w:p>
        </w:tc>
        <w:tc>
          <w:tcPr>
            <w:tcW w:w="7795" w:type="dxa"/>
            <w:vAlign w:val="center"/>
            <w:hideMark/>
          </w:tcPr>
          <w:p w14:paraId="30DB4DE6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Production scenarios and anti-patterns</w:t>
            </w:r>
          </w:p>
        </w:tc>
      </w:tr>
      <w:tr w:rsidR="000E4AEA" w:rsidRPr="000E4AEA" w14:paraId="09FB99FE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3F07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💡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Interview tips</w:t>
            </w:r>
          </w:p>
        </w:tc>
        <w:tc>
          <w:tcPr>
            <w:tcW w:w="7795" w:type="dxa"/>
            <w:vAlign w:val="center"/>
            <w:hideMark/>
          </w:tcPr>
          <w:p w14:paraId="3370D080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What interviewers expect, common mistakes, follow-ups</w:t>
            </w:r>
          </w:p>
        </w:tc>
      </w:tr>
      <w:tr w:rsidR="000E4AEA" w:rsidRPr="000E4AEA" w14:paraId="035F11C4" w14:textId="77777777" w:rsidTr="006077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506F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:lang w:eastAsia="en-GB"/>
                <w14:ligatures w14:val="none"/>
              </w:rPr>
              <w:t>🚀</w:t>
            </w: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 xml:space="preserve"> 30-second answer</w:t>
            </w:r>
          </w:p>
        </w:tc>
        <w:tc>
          <w:tcPr>
            <w:tcW w:w="7795" w:type="dxa"/>
            <w:vAlign w:val="center"/>
            <w:hideMark/>
          </w:tcPr>
          <w:p w14:paraId="41CD7DC7" w14:textId="77777777" w:rsidR="000E4AEA" w:rsidRPr="000E4AEA" w:rsidRDefault="000E4AEA" w:rsidP="000E4AEA">
            <w:pPr>
              <w:spacing w:after="0" w:line="240" w:lineRule="auto"/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E4AEA">
              <w:rPr>
                <w:rFonts w:ascii="Trebuchet MS" w:eastAsia="Times New Roman" w:hAnsi="Trebuchet MS" w:cstheme="minorHAnsi"/>
                <w:kern w:val="0"/>
                <w:sz w:val="20"/>
                <w:szCs w:val="20"/>
                <w:lang w:eastAsia="en-GB"/>
                <w14:ligatures w14:val="none"/>
              </w:rPr>
              <w:t>Ready-to-speak verbatim interview answer</w:t>
            </w:r>
          </w:p>
        </w:tc>
      </w:tr>
    </w:tbl>
    <w:p w14:paraId="2F5BC05E" w14:textId="77777777" w:rsidR="007D50CE" w:rsidRPr="00763767" w:rsidRDefault="007D50CE" w:rsidP="000E4AEA">
      <w:pPr>
        <w:rPr>
          <w:rFonts w:ascii="Trebuchet MS" w:hAnsi="Trebuchet MS" w:cstheme="minorHAnsi"/>
          <w:sz w:val="20"/>
          <w:szCs w:val="20"/>
        </w:rPr>
      </w:pPr>
    </w:p>
    <w:sectPr w:rsidR="007D50CE" w:rsidRPr="00763767" w:rsidSect="002C3E63">
      <w:pgSz w:w="11906" w:h="16838"/>
      <w:pgMar w:top="426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EA"/>
    <w:rsid w:val="000E4AEA"/>
    <w:rsid w:val="002C3E63"/>
    <w:rsid w:val="00437869"/>
    <w:rsid w:val="006077BA"/>
    <w:rsid w:val="00763767"/>
    <w:rsid w:val="007D50CE"/>
    <w:rsid w:val="00AB25B4"/>
    <w:rsid w:val="00AE39F2"/>
    <w:rsid w:val="00BC3EC0"/>
    <w:rsid w:val="00FA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B10B"/>
  <w15:chartTrackingRefBased/>
  <w15:docId w15:val="{182C6D1A-8614-417C-AC7D-BFC2A9D73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4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4A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4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4AE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4A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CH V</dc:creator>
  <cp:keywords/>
  <dc:description/>
  <cp:lastModifiedBy>RadhaKrishna CH V</cp:lastModifiedBy>
  <cp:revision>6</cp:revision>
  <dcterms:created xsi:type="dcterms:W3CDTF">2026-07-23T05:27:00Z</dcterms:created>
  <dcterms:modified xsi:type="dcterms:W3CDTF">2026-07-23T05:30:00Z</dcterms:modified>
</cp:coreProperties>
</file>