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DBD30" w14:textId="77777777" w:rsidR="008C64C9" w:rsidRPr="00564325" w:rsidRDefault="008C64C9" w:rsidP="001B1DE4">
      <w:pPr>
        <w:pStyle w:val="p"/>
        <w:spacing w:before="20" w:after="20"/>
        <w:jc w:val="center"/>
        <w:rPr>
          <w:rFonts w:asciiTheme="majorHAnsi" w:hAnsiTheme="majorHAnsi"/>
          <w:b/>
          <w:bCs/>
          <w:color w:val="BF4E14" w:themeColor="accent2" w:themeShade="BF"/>
          <w:sz w:val="50"/>
          <w:szCs w:val="50"/>
          <w:lang w:val="it-IT"/>
        </w:rPr>
      </w:pPr>
      <w:bookmarkStart w:id="0" w:name="_Hlk198576531"/>
      <w:bookmarkEnd w:id="0"/>
      <w:r w:rsidRPr="00564325">
        <w:rPr>
          <w:rFonts w:asciiTheme="majorHAnsi" w:hAnsiTheme="majorHAnsi"/>
          <w:noProof/>
          <w:sz w:val="18"/>
          <w:szCs w:val="18"/>
          <w:lang w:val="it-IT"/>
        </w:rPr>
        <w:drawing>
          <wp:inline distT="0" distB="0" distL="0" distR="0" wp14:anchorId="4042A219" wp14:editId="5A8DD4A7">
            <wp:extent cx="2057400" cy="2057400"/>
            <wp:effectExtent l="0" t="0" r="0" b="0"/>
            <wp:docPr id="669736919" name="Immagine 10" descr="Immagine che contiene disegno, schizzo, design, model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50480" name="Immagine 10" descr="Immagine che contiene disegno, schizzo, design, modello&#10;&#10;Il contenuto generato dall'IA potrebbe non essere corretto."/>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18814" cy="2118814"/>
                    </a:xfrm>
                    <a:prstGeom prst="rect">
                      <a:avLst/>
                    </a:prstGeom>
                    <a:solidFill>
                      <a:schemeClr val="accent1">
                        <a:alpha val="0"/>
                      </a:schemeClr>
                    </a:solidFill>
                  </pic:spPr>
                </pic:pic>
              </a:graphicData>
            </a:graphic>
          </wp:inline>
        </w:drawing>
      </w:r>
    </w:p>
    <w:p w14:paraId="7511A475" w14:textId="6ACC783D" w:rsidR="001B1DE4" w:rsidRPr="00564325" w:rsidRDefault="001B1DE4" w:rsidP="001B1DE4">
      <w:pPr>
        <w:pStyle w:val="p"/>
        <w:spacing w:before="20" w:after="20"/>
        <w:jc w:val="center"/>
        <w:rPr>
          <w:rFonts w:asciiTheme="majorHAnsi" w:hAnsiTheme="majorHAnsi"/>
          <w:b/>
          <w:bCs/>
          <w:color w:val="77206D" w:themeColor="accent5" w:themeShade="BF"/>
          <w:sz w:val="50"/>
          <w:szCs w:val="50"/>
          <w:lang w:val="it-IT"/>
        </w:rPr>
      </w:pPr>
      <w:r w:rsidRPr="00564325">
        <w:rPr>
          <w:rFonts w:asciiTheme="majorHAnsi" w:hAnsiTheme="majorHAnsi"/>
          <w:b/>
          <w:bCs/>
          <w:color w:val="77206D" w:themeColor="accent5" w:themeShade="BF"/>
          <w:sz w:val="50"/>
          <w:szCs w:val="50"/>
          <w:lang w:val="it-IT"/>
        </w:rPr>
        <w:t>Università della Valle d’Aosta</w:t>
      </w:r>
    </w:p>
    <w:p w14:paraId="40DF0687" w14:textId="77777777" w:rsidR="001B1DE4" w:rsidRPr="00564325" w:rsidRDefault="001B1DE4" w:rsidP="001B1DE4">
      <w:pPr>
        <w:pStyle w:val="p"/>
        <w:spacing w:before="20" w:after="20"/>
        <w:jc w:val="center"/>
        <w:rPr>
          <w:rFonts w:asciiTheme="majorHAnsi" w:hAnsiTheme="majorHAnsi"/>
          <w:b/>
          <w:bCs/>
          <w:color w:val="77206D" w:themeColor="accent5" w:themeShade="BF"/>
          <w:sz w:val="50"/>
          <w:szCs w:val="50"/>
          <w:lang w:val="it-IT"/>
        </w:rPr>
      </w:pPr>
      <w:r w:rsidRPr="00564325">
        <w:rPr>
          <w:rFonts w:asciiTheme="majorHAnsi" w:hAnsiTheme="majorHAnsi"/>
          <w:b/>
          <w:bCs/>
          <w:color w:val="77206D" w:themeColor="accent5" w:themeShade="BF"/>
          <w:sz w:val="50"/>
          <w:szCs w:val="50"/>
          <w:lang w:val="it-IT"/>
        </w:rPr>
        <w:t xml:space="preserve">Université de la </w:t>
      </w:r>
      <w:proofErr w:type="spellStart"/>
      <w:r w:rsidRPr="00564325">
        <w:rPr>
          <w:rFonts w:asciiTheme="majorHAnsi" w:hAnsiTheme="majorHAnsi"/>
          <w:b/>
          <w:bCs/>
          <w:color w:val="77206D" w:themeColor="accent5" w:themeShade="BF"/>
          <w:sz w:val="50"/>
          <w:szCs w:val="50"/>
          <w:lang w:val="it-IT"/>
        </w:rPr>
        <w:t>Vallée</w:t>
      </w:r>
      <w:proofErr w:type="spellEnd"/>
      <w:r w:rsidRPr="00564325">
        <w:rPr>
          <w:rFonts w:asciiTheme="majorHAnsi" w:hAnsiTheme="majorHAnsi"/>
          <w:b/>
          <w:bCs/>
          <w:color w:val="77206D" w:themeColor="accent5" w:themeShade="BF"/>
          <w:sz w:val="50"/>
          <w:szCs w:val="50"/>
          <w:lang w:val="it-IT"/>
        </w:rPr>
        <w:t xml:space="preserve"> d’</w:t>
      </w:r>
      <w:proofErr w:type="spellStart"/>
      <w:r w:rsidRPr="00564325">
        <w:rPr>
          <w:rFonts w:asciiTheme="majorHAnsi" w:hAnsiTheme="majorHAnsi"/>
          <w:b/>
          <w:bCs/>
          <w:color w:val="77206D" w:themeColor="accent5" w:themeShade="BF"/>
          <w:sz w:val="50"/>
          <w:szCs w:val="50"/>
          <w:lang w:val="it-IT"/>
        </w:rPr>
        <w:t>Aoste</w:t>
      </w:r>
      <w:proofErr w:type="spellEnd"/>
    </w:p>
    <w:p w14:paraId="470A43C8" w14:textId="77777777" w:rsidR="001B1DE4" w:rsidRPr="00564325" w:rsidRDefault="001B1DE4" w:rsidP="001B1DE4">
      <w:pPr>
        <w:spacing w:before="20" w:after="20"/>
        <w:ind w:right="5"/>
        <w:contextualSpacing/>
        <w:jc w:val="center"/>
        <w:rPr>
          <w:rFonts w:asciiTheme="majorHAnsi" w:eastAsia="Segoe UI" w:hAnsiTheme="majorHAnsi" w:cs="Segoe UI"/>
          <w:b/>
          <w:bCs/>
          <w:color w:val="000000" w:themeColor="text1"/>
          <w:sz w:val="32"/>
          <w:szCs w:val="32"/>
        </w:rPr>
      </w:pPr>
      <w:r w:rsidRPr="00564325">
        <w:rPr>
          <w:rFonts w:asciiTheme="majorHAnsi" w:eastAsia="Segoe UI" w:hAnsiTheme="majorHAnsi" w:cs="Segoe UI"/>
          <w:b/>
          <w:bCs/>
          <w:color w:val="000000" w:themeColor="text1"/>
          <w:sz w:val="32"/>
          <w:szCs w:val="32"/>
        </w:rPr>
        <w:t>Corso di laurea triennale in Economia e Management</w:t>
      </w:r>
    </w:p>
    <w:p w14:paraId="6FD72838" w14:textId="77777777" w:rsidR="001B1DE4" w:rsidRPr="00564325" w:rsidRDefault="001B1DE4" w:rsidP="006F1B2F">
      <w:pPr>
        <w:pStyle w:val="aptp"/>
        <w:rPr>
          <w:lang w:val="it-IT"/>
        </w:rPr>
      </w:pPr>
    </w:p>
    <w:p w14:paraId="2C2EE102" w14:textId="2B70B9D2" w:rsidR="001B1DE4" w:rsidRPr="00564325" w:rsidRDefault="001B1DE4" w:rsidP="001B1DE4">
      <w:pPr>
        <w:pStyle w:val="p"/>
        <w:spacing w:before="20" w:after="20"/>
        <w:jc w:val="center"/>
        <w:rPr>
          <w:rFonts w:asciiTheme="majorHAnsi" w:hAnsiTheme="majorHAnsi"/>
          <w:b/>
          <w:bCs/>
          <w:color w:val="124F1A" w:themeColor="accent3" w:themeShade="BF"/>
          <w:sz w:val="50"/>
          <w:szCs w:val="50"/>
          <w:lang w:val="it-IT"/>
        </w:rPr>
      </w:pPr>
    </w:p>
    <w:p w14:paraId="63AA6152" w14:textId="6ACFC07F" w:rsidR="006F1B2F" w:rsidRPr="00564325" w:rsidRDefault="00E431E4" w:rsidP="001B6436">
      <w:pPr>
        <w:pStyle w:val="p"/>
        <w:spacing w:before="20" w:after="20"/>
        <w:jc w:val="center"/>
        <w:rPr>
          <w:rFonts w:asciiTheme="majorHAnsi" w:hAnsiTheme="majorHAnsi"/>
          <w:b/>
          <w:bCs/>
          <w:color w:val="77206D" w:themeColor="accent5" w:themeShade="BF"/>
          <w:sz w:val="46"/>
          <w:szCs w:val="46"/>
          <w:lang w:val="it-IT"/>
        </w:rPr>
      </w:pPr>
      <w:r w:rsidRPr="00564325">
        <w:rPr>
          <w:rFonts w:asciiTheme="majorHAnsi" w:hAnsiTheme="majorHAnsi"/>
          <w:b/>
          <w:bCs/>
          <w:color w:val="77206D" w:themeColor="accent5" w:themeShade="BF"/>
          <w:sz w:val="46"/>
          <w:szCs w:val="46"/>
          <w:lang w:val="it-IT"/>
        </w:rPr>
        <w:t>Ecco perché la guerra conviene</w:t>
      </w:r>
    </w:p>
    <w:p w14:paraId="29FC4FEF" w14:textId="45419E1A" w:rsidR="004559E5" w:rsidRPr="00564325" w:rsidRDefault="004559E5" w:rsidP="001B6436">
      <w:pPr>
        <w:pStyle w:val="p"/>
        <w:spacing w:before="20" w:after="20"/>
        <w:jc w:val="center"/>
        <w:rPr>
          <w:rFonts w:asciiTheme="majorHAnsi" w:hAnsiTheme="majorHAnsi"/>
          <w:b/>
          <w:bCs/>
          <w:sz w:val="30"/>
          <w:szCs w:val="30"/>
          <w:lang w:val="it-IT"/>
        </w:rPr>
      </w:pPr>
      <w:r w:rsidRPr="00564325">
        <w:rPr>
          <w:rFonts w:asciiTheme="majorHAnsi" w:hAnsiTheme="majorHAnsi"/>
          <w:b/>
          <w:bCs/>
          <w:sz w:val="30"/>
          <w:szCs w:val="30"/>
          <w:lang w:val="it-IT"/>
        </w:rPr>
        <w:t xml:space="preserve">Analisi </w:t>
      </w:r>
      <w:r w:rsidR="00B208FC" w:rsidRPr="00564325">
        <w:rPr>
          <w:rFonts w:asciiTheme="majorHAnsi" w:hAnsiTheme="majorHAnsi"/>
          <w:b/>
          <w:bCs/>
          <w:sz w:val="30"/>
          <w:szCs w:val="30"/>
          <w:lang w:val="it-IT"/>
        </w:rPr>
        <w:t>d</w:t>
      </w:r>
      <w:r w:rsidR="00156F31" w:rsidRPr="00564325">
        <w:rPr>
          <w:rFonts w:asciiTheme="majorHAnsi" w:hAnsiTheme="majorHAnsi"/>
          <w:b/>
          <w:bCs/>
          <w:sz w:val="30"/>
          <w:szCs w:val="30"/>
          <w:lang w:val="it-IT"/>
        </w:rPr>
        <w:t>ell’e</w:t>
      </w:r>
      <w:r w:rsidR="001D477F" w:rsidRPr="00564325">
        <w:rPr>
          <w:rFonts w:asciiTheme="majorHAnsi" w:hAnsiTheme="majorHAnsi"/>
          <w:b/>
          <w:bCs/>
          <w:sz w:val="30"/>
          <w:szCs w:val="30"/>
          <w:lang w:val="it-IT"/>
        </w:rPr>
        <w:t>f</w:t>
      </w:r>
      <w:r w:rsidR="00156F31" w:rsidRPr="00564325">
        <w:rPr>
          <w:rFonts w:asciiTheme="majorHAnsi" w:hAnsiTheme="majorHAnsi"/>
          <w:b/>
          <w:bCs/>
          <w:sz w:val="30"/>
          <w:szCs w:val="30"/>
          <w:lang w:val="it-IT"/>
        </w:rPr>
        <w:t xml:space="preserve">ficienza di un portafoglio </w:t>
      </w:r>
      <w:r w:rsidR="00C6291A" w:rsidRPr="00564325">
        <w:rPr>
          <w:rFonts w:asciiTheme="majorHAnsi" w:hAnsiTheme="majorHAnsi"/>
          <w:b/>
          <w:bCs/>
          <w:sz w:val="30"/>
          <w:szCs w:val="30"/>
          <w:lang w:val="it-IT"/>
        </w:rPr>
        <w:t>azionario</w:t>
      </w:r>
      <w:r w:rsidR="00B208FC" w:rsidRPr="00564325">
        <w:rPr>
          <w:rFonts w:asciiTheme="majorHAnsi" w:hAnsiTheme="majorHAnsi"/>
          <w:b/>
          <w:bCs/>
          <w:sz w:val="30"/>
          <w:szCs w:val="30"/>
          <w:lang w:val="it-IT"/>
        </w:rPr>
        <w:t xml:space="preserve"> in ambito di difesa in un contesto di forti tensioni geopolitiche: Teoria del Portafoglio</w:t>
      </w:r>
    </w:p>
    <w:p w14:paraId="1D7ADC86" w14:textId="65B8FC25" w:rsidR="001B1DE4" w:rsidRPr="00564325" w:rsidRDefault="008C64C9" w:rsidP="001B1DE4">
      <w:pPr>
        <w:pStyle w:val="p"/>
        <w:spacing w:before="20" w:after="20"/>
        <w:jc w:val="center"/>
        <w:rPr>
          <w:rFonts w:asciiTheme="majorHAnsi" w:hAnsiTheme="majorHAnsi"/>
          <w:b/>
          <w:bCs/>
          <w:color w:val="D86DCB" w:themeColor="accent5" w:themeTint="99"/>
          <w:sz w:val="30"/>
          <w:szCs w:val="30"/>
          <w:lang w:val="it-IT"/>
        </w:rPr>
      </w:pPr>
      <w:r w:rsidRPr="00564325">
        <w:rPr>
          <w:rFonts w:asciiTheme="majorHAnsi" w:hAnsiTheme="majorHAnsi"/>
          <w:b/>
          <w:bCs/>
          <w:color w:val="D86DCB" w:themeColor="accent5" w:themeTint="99"/>
          <w:sz w:val="30"/>
          <w:szCs w:val="30"/>
          <w:lang w:val="it-IT"/>
        </w:rPr>
        <w:t>Juglair Kristel Claire</w:t>
      </w:r>
    </w:p>
    <w:p w14:paraId="7CA29DCC" w14:textId="6C26B0F8" w:rsidR="008C64C9" w:rsidRPr="00564325" w:rsidRDefault="008C64C9" w:rsidP="001B1DE4">
      <w:pPr>
        <w:pStyle w:val="p"/>
        <w:spacing w:before="20" w:after="20"/>
        <w:jc w:val="center"/>
        <w:rPr>
          <w:rFonts w:asciiTheme="majorHAnsi" w:hAnsiTheme="majorHAnsi"/>
          <w:b/>
          <w:bCs/>
          <w:color w:val="F1A983" w:themeColor="accent2" w:themeTint="99"/>
          <w:sz w:val="40"/>
          <w:szCs w:val="40"/>
          <w:lang w:val="it-IT"/>
        </w:rPr>
      </w:pPr>
    </w:p>
    <w:p w14:paraId="11DA8260" w14:textId="77777777" w:rsidR="001B1DE4" w:rsidRPr="00564325" w:rsidRDefault="001B1DE4" w:rsidP="001B1DE4">
      <w:pPr>
        <w:spacing w:before="20" w:after="20"/>
        <w:ind w:left="239"/>
        <w:contextualSpacing/>
        <w:jc w:val="center"/>
        <w:rPr>
          <w:rFonts w:asciiTheme="majorHAnsi" w:eastAsia="Aptos" w:hAnsiTheme="majorHAnsi" w:cs="Aptos"/>
          <w:b/>
          <w:bCs/>
          <w:sz w:val="32"/>
          <w:szCs w:val="32"/>
        </w:rPr>
      </w:pPr>
    </w:p>
    <w:p w14:paraId="06C85A65" w14:textId="77777777" w:rsidR="001B1DE4" w:rsidRPr="00564325" w:rsidRDefault="001B1DE4" w:rsidP="001B1DE4">
      <w:pPr>
        <w:spacing w:before="20" w:after="20"/>
        <w:ind w:left="239"/>
        <w:contextualSpacing/>
        <w:jc w:val="center"/>
        <w:rPr>
          <w:rFonts w:asciiTheme="majorHAnsi" w:eastAsia="Aptos" w:hAnsiTheme="majorHAnsi" w:cs="Aptos"/>
          <w:b/>
          <w:bCs/>
          <w:sz w:val="32"/>
          <w:szCs w:val="32"/>
        </w:rPr>
      </w:pPr>
    </w:p>
    <w:p w14:paraId="4F408D09" w14:textId="77777777" w:rsidR="001B1DE4" w:rsidRPr="00564325" w:rsidRDefault="001B1DE4" w:rsidP="001B1DE4">
      <w:pPr>
        <w:spacing w:before="20" w:after="20"/>
        <w:ind w:left="239"/>
        <w:contextualSpacing/>
        <w:jc w:val="center"/>
        <w:rPr>
          <w:rFonts w:asciiTheme="majorHAnsi" w:eastAsia="Aptos" w:hAnsiTheme="majorHAnsi" w:cs="Aptos"/>
          <w:b/>
          <w:bCs/>
          <w:sz w:val="32"/>
          <w:szCs w:val="32"/>
        </w:rPr>
      </w:pPr>
    </w:p>
    <w:p w14:paraId="7A6F82E2" w14:textId="77777777" w:rsidR="001B1DE4" w:rsidRPr="00564325" w:rsidRDefault="001B1DE4" w:rsidP="001B1DE4">
      <w:pPr>
        <w:spacing w:before="20" w:after="20"/>
        <w:ind w:left="239"/>
        <w:contextualSpacing/>
        <w:jc w:val="center"/>
        <w:rPr>
          <w:rFonts w:asciiTheme="majorHAnsi" w:eastAsia="Aptos" w:hAnsiTheme="majorHAnsi" w:cs="Aptos"/>
          <w:b/>
          <w:bCs/>
          <w:sz w:val="32"/>
          <w:szCs w:val="32"/>
        </w:rPr>
      </w:pPr>
    </w:p>
    <w:p w14:paraId="22FD1888" w14:textId="77777777" w:rsidR="001B1DE4" w:rsidRPr="00564325" w:rsidRDefault="001B1DE4" w:rsidP="001B1DE4">
      <w:pPr>
        <w:spacing w:before="20" w:after="20"/>
        <w:ind w:left="239"/>
        <w:contextualSpacing/>
        <w:jc w:val="center"/>
        <w:rPr>
          <w:rFonts w:asciiTheme="majorHAnsi" w:eastAsia="Aptos" w:hAnsiTheme="majorHAnsi" w:cs="Aptos"/>
          <w:b/>
          <w:bCs/>
          <w:sz w:val="32"/>
          <w:szCs w:val="32"/>
        </w:rPr>
      </w:pPr>
    </w:p>
    <w:p w14:paraId="3BAE5996" w14:textId="49604A2B" w:rsidR="008C64C9" w:rsidRPr="00564325" w:rsidRDefault="008C64C9" w:rsidP="008C64C9">
      <w:pPr>
        <w:spacing w:before="20" w:after="20"/>
        <w:ind w:left="239"/>
        <w:contextualSpacing/>
        <w:jc w:val="center"/>
        <w:rPr>
          <w:rFonts w:asciiTheme="majorHAnsi" w:eastAsia="Aptos" w:hAnsiTheme="majorHAnsi" w:cs="Aptos"/>
          <w:b/>
          <w:bCs/>
          <w:sz w:val="32"/>
          <w:szCs w:val="32"/>
        </w:rPr>
      </w:pPr>
      <w:r w:rsidRPr="00564325">
        <w:rPr>
          <w:rFonts w:asciiTheme="majorHAnsi" w:eastAsia="Aptos" w:hAnsiTheme="majorHAnsi" w:cs="Aptos"/>
          <w:b/>
          <w:bCs/>
          <w:sz w:val="32"/>
          <w:szCs w:val="32"/>
        </w:rPr>
        <w:t xml:space="preserve">METODI QUANTITATIVI – </w:t>
      </w:r>
      <w:r w:rsidR="00380CB4" w:rsidRPr="00564325">
        <w:rPr>
          <w:rFonts w:asciiTheme="majorHAnsi" w:eastAsia="Aptos" w:hAnsiTheme="majorHAnsi" w:cs="Aptos"/>
          <w:b/>
          <w:bCs/>
          <w:sz w:val="32"/>
          <w:szCs w:val="32"/>
        </w:rPr>
        <w:t>MATEMATICA FINANZIARIA</w:t>
      </w:r>
    </w:p>
    <w:p w14:paraId="75CF815D" w14:textId="25B88D6B" w:rsidR="001B6436" w:rsidRPr="00564325" w:rsidRDefault="001B1DE4" w:rsidP="001B6436">
      <w:pPr>
        <w:spacing w:before="20" w:after="20"/>
        <w:ind w:right="5"/>
        <w:contextualSpacing/>
        <w:jc w:val="center"/>
        <w:rPr>
          <w:rFonts w:asciiTheme="majorHAnsi" w:eastAsia="Aptos" w:hAnsiTheme="majorHAnsi" w:cs="Aptos"/>
          <w:b/>
          <w:bCs/>
          <w:sz w:val="28"/>
          <w:szCs w:val="28"/>
        </w:rPr>
      </w:pPr>
      <w:r w:rsidRPr="00564325">
        <w:rPr>
          <w:rFonts w:asciiTheme="majorHAnsi" w:eastAsia="Aptos" w:hAnsiTheme="majorHAnsi" w:cs="Aptos"/>
          <w:b/>
          <w:bCs/>
          <w:sz w:val="28"/>
          <w:szCs w:val="28"/>
        </w:rPr>
        <w:t>A.A. 2024-25</w:t>
      </w:r>
    </w:p>
    <w:p w14:paraId="4EEA6D88" w14:textId="77777777" w:rsidR="003B15AE" w:rsidRPr="00564325" w:rsidRDefault="003B15AE" w:rsidP="002A6DA3">
      <w:pPr>
        <w:spacing w:after="0" w:line="276" w:lineRule="auto"/>
        <w:jc w:val="center"/>
      </w:pPr>
    </w:p>
    <w:p w14:paraId="3F81346C" w14:textId="75F09852" w:rsidR="003B15AE" w:rsidRPr="00564325" w:rsidRDefault="003B15AE" w:rsidP="002A6DA3">
      <w:pPr>
        <w:pStyle w:val="Novap"/>
        <w:spacing w:line="276" w:lineRule="auto"/>
        <w:sectPr w:rsidR="003B15AE" w:rsidRPr="00564325" w:rsidSect="00C23338">
          <w:headerReference w:type="default" r:id="rId9"/>
          <w:footerReference w:type="even" r:id="rId10"/>
          <w:footerReference w:type="default" r:id="rId11"/>
          <w:pgSz w:w="11906" w:h="16838" w:code="9"/>
          <w:pgMar w:top="1440" w:right="1440" w:bottom="1440" w:left="1440" w:header="720" w:footer="720" w:gutter="0"/>
          <w:cols w:space="720"/>
          <w:vAlign w:val="center"/>
          <w:docGrid w:linePitch="360"/>
        </w:sectPr>
      </w:pPr>
    </w:p>
    <w:p w14:paraId="0BFB3338" w14:textId="456E9B76" w:rsidR="00376825" w:rsidRPr="00564325" w:rsidRDefault="00376825" w:rsidP="009F402E">
      <w:pPr>
        <w:pStyle w:val="Novah1"/>
        <w:spacing w:line="276" w:lineRule="auto"/>
        <w:sectPr w:rsidR="00376825" w:rsidRPr="00564325" w:rsidSect="006A4103">
          <w:headerReference w:type="default" r:id="rId12"/>
          <w:footerReference w:type="default" r:id="rId13"/>
          <w:pgSz w:w="11906" w:h="16838"/>
          <w:pgMar w:top="1440" w:right="1440" w:bottom="1440" w:left="1440" w:header="720" w:footer="720" w:gutter="0"/>
          <w:pgNumType w:start="3"/>
          <w:cols w:space="720"/>
          <w:titlePg/>
          <w:docGrid w:linePitch="360"/>
        </w:sectPr>
      </w:pPr>
    </w:p>
    <w:p w14:paraId="54F6758D" w14:textId="278A2AE9" w:rsidR="009F402E" w:rsidRPr="00564325" w:rsidRDefault="009F402E" w:rsidP="009F402E">
      <w:pPr>
        <w:pStyle w:val="aptp"/>
        <w:rPr>
          <w:rFonts w:asciiTheme="majorHAnsi" w:hAnsiTheme="majorHAnsi"/>
          <w:b/>
          <w:bCs/>
          <w:color w:val="D86DCB" w:themeColor="accent5" w:themeTint="99"/>
          <w:sz w:val="30"/>
          <w:szCs w:val="30"/>
          <w:lang w:val="it-IT"/>
        </w:rPr>
      </w:pPr>
      <w:bookmarkStart w:id="1" w:name="_Toc168241835"/>
      <w:r w:rsidRPr="00564325">
        <w:rPr>
          <w:rFonts w:asciiTheme="majorHAnsi" w:hAnsiTheme="majorHAnsi"/>
          <w:b/>
          <w:bCs/>
          <w:color w:val="D86DCB" w:themeColor="accent5" w:themeTint="99"/>
          <w:sz w:val="30"/>
          <w:szCs w:val="30"/>
          <w:lang w:val="it-IT"/>
        </w:rPr>
        <w:lastRenderedPageBreak/>
        <w:t>Keywords</w:t>
      </w:r>
    </w:p>
    <w:p w14:paraId="77C2BA19" w14:textId="37774A3E" w:rsidR="003E7742" w:rsidRPr="00564325" w:rsidRDefault="00B860F3" w:rsidP="00F82400">
      <w:pPr>
        <w:pStyle w:val="aptp"/>
        <w:numPr>
          <w:ilvl w:val="0"/>
          <w:numId w:val="1"/>
        </w:numPr>
        <w:rPr>
          <w:lang w:val="it-IT"/>
        </w:rPr>
      </w:pPr>
      <w:r w:rsidRPr="00564325">
        <w:rPr>
          <w:lang w:val="it-IT"/>
        </w:rPr>
        <w:t>Modello di ottimizzazione</w:t>
      </w:r>
      <w:r w:rsidR="001E55C9" w:rsidRPr="00564325">
        <w:rPr>
          <w:lang w:val="it-IT"/>
        </w:rPr>
        <w:t xml:space="preserve"> quadratico</w:t>
      </w:r>
    </w:p>
    <w:p w14:paraId="5B6A1995" w14:textId="40D6D174" w:rsidR="00B860F3" w:rsidRPr="00564325" w:rsidRDefault="00B860F3" w:rsidP="00F82400">
      <w:pPr>
        <w:pStyle w:val="aptp"/>
        <w:numPr>
          <w:ilvl w:val="0"/>
          <w:numId w:val="1"/>
        </w:numPr>
        <w:rPr>
          <w:lang w:val="it-IT"/>
        </w:rPr>
      </w:pPr>
      <w:r w:rsidRPr="00564325">
        <w:rPr>
          <w:lang w:val="it-IT"/>
        </w:rPr>
        <w:t>Modello di Markovitz</w:t>
      </w:r>
    </w:p>
    <w:p w14:paraId="6065C82F" w14:textId="0554399E" w:rsidR="00B860F3" w:rsidRPr="00564325" w:rsidRDefault="00B860F3" w:rsidP="00F82400">
      <w:pPr>
        <w:pStyle w:val="aptp"/>
        <w:numPr>
          <w:ilvl w:val="0"/>
          <w:numId w:val="1"/>
        </w:numPr>
        <w:rPr>
          <w:lang w:val="it-IT"/>
        </w:rPr>
      </w:pPr>
      <w:r w:rsidRPr="00564325">
        <w:rPr>
          <w:lang w:val="it-IT"/>
        </w:rPr>
        <w:t>Teoria del portafoglio</w:t>
      </w:r>
    </w:p>
    <w:p w14:paraId="58267173" w14:textId="77777777" w:rsidR="001D0452" w:rsidRPr="00564325" w:rsidRDefault="001D0452" w:rsidP="00F82400">
      <w:pPr>
        <w:pStyle w:val="aptp"/>
        <w:numPr>
          <w:ilvl w:val="0"/>
          <w:numId w:val="1"/>
        </w:numPr>
        <w:rPr>
          <w:lang w:val="it-IT"/>
        </w:rPr>
      </w:pPr>
      <w:r w:rsidRPr="00564325">
        <w:rPr>
          <w:lang w:val="it-IT"/>
        </w:rPr>
        <w:t xml:space="preserve">Rischio specifico e rischio sistematico </w:t>
      </w:r>
    </w:p>
    <w:p w14:paraId="407C53D3" w14:textId="55DB1B6C" w:rsidR="00B860F3" w:rsidRPr="00564325" w:rsidRDefault="001D0452" w:rsidP="00F82400">
      <w:pPr>
        <w:pStyle w:val="aptp"/>
        <w:numPr>
          <w:ilvl w:val="0"/>
          <w:numId w:val="1"/>
        </w:numPr>
        <w:rPr>
          <w:lang w:val="it-IT"/>
        </w:rPr>
      </w:pPr>
      <w:r w:rsidRPr="00564325">
        <w:rPr>
          <w:lang w:val="it-IT"/>
        </w:rPr>
        <w:t>D</w:t>
      </w:r>
      <w:r w:rsidR="00B860F3" w:rsidRPr="00564325">
        <w:rPr>
          <w:lang w:val="it-IT"/>
        </w:rPr>
        <w:t>iversi</w:t>
      </w:r>
      <w:r w:rsidR="00395AA9" w:rsidRPr="00564325">
        <w:rPr>
          <w:lang w:val="it-IT"/>
        </w:rPr>
        <w:t>f</w:t>
      </w:r>
      <w:r w:rsidR="00B860F3" w:rsidRPr="00564325">
        <w:rPr>
          <w:lang w:val="it-IT"/>
        </w:rPr>
        <w:t>icazione</w:t>
      </w:r>
    </w:p>
    <w:p w14:paraId="51499EA0" w14:textId="04FE415B" w:rsidR="00D20990" w:rsidRPr="00564325" w:rsidRDefault="00B860F3" w:rsidP="00F82400">
      <w:pPr>
        <w:pStyle w:val="aptp"/>
        <w:numPr>
          <w:ilvl w:val="0"/>
          <w:numId w:val="1"/>
        </w:numPr>
        <w:rPr>
          <w:lang w:val="it-IT"/>
        </w:rPr>
      </w:pPr>
      <w:r w:rsidRPr="00564325">
        <w:rPr>
          <w:lang w:val="it-IT"/>
        </w:rPr>
        <w:t>Frontiera efficiente</w:t>
      </w:r>
    </w:p>
    <w:p w14:paraId="7CCFA38B" w14:textId="0D592129" w:rsidR="00B4720A" w:rsidRPr="00564325" w:rsidRDefault="00B4720A" w:rsidP="00F82400">
      <w:pPr>
        <w:pStyle w:val="aptp"/>
        <w:numPr>
          <w:ilvl w:val="0"/>
          <w:numId w:val="1"/>
        </w:numPr>
        <w:rPr>
          <w:lang w:val="it-IT"/>
        </w:rPr>
      </w:pPr>
      <w:r w:rsidRPr="00564325">
        <w:rPr>
          <w:lang w:val="it-IT"/>
        </w:rPr>
        <w:t>Criterio di dominanza dei portafogli finanziari</w:t>
      </w:r>
    </w:p>
    <w:p w14:paraId="621B3612" w14:textId="77777777" w:rsidR="00C76908" w:rsidRPr="00564325" w:rsidRDefault="00C76908" w:rsidP="00D20990">
      <w:pPr>
        <w:pStyle w:val="aptp"/>
        <w:pBdr>
          <w:bottom w:val="single" w:sz="6" w:space="1" w:color="auto"/>
        </w:pBdr>
        <w:rPr>
          <w:lang w:val="it-IT"/>
        </w:rPr>
      </w:pPr>
    </w:p>
    <w:p w14:paraId="60D16655" w14:textId="77777777" w:rsidR="00AE6D1B" w:rsidRPr="00564325" w:rsidRDefault="00AE6D1B" w:rsidP="00D20990">
      <w:pPr>
        <w:pStyle w:val="aptp"/>
        <w:rPr>
          <w:lang w:val="it-IT"/>
        </w:rPr>
      </w:pPr>
    </w:p>
    <w:p w14:paraId="4456FC1D" w14:textId="5722A160" w:rsidR="00A66629" w:rsidRPr="00564325" w:rsidRDefault="00D20990" w:rsidP="009626F6">
      <w:pPr>
        <w:pStyle w:val="aptp"/>
        <w:rPr>
          <w:rFonts w:asciiTheme="majorHAnsi" w:hAnsiTheme="majorHAnsi"/>
          <w:b/>
          <w:bCs/>
          <w:color w:val="D86DCB" w:themeColor="accent5" w:themeTint="99"/>
          <w:sz w:val="30"/>
          <w:szCs w:val="30"/>
          <w:lang w:val="it-IT"/>
        </w:rPr>
      </w:pPr>
      <w:r w:rsidRPr="00564325">
        <w:rPr>
          <w:rFonts w:asciiTheme="majorHAnsi" w:hAnsiTheme="majorHAnsi"/>
          <w:b/>
          <w:bCs/>
          <w:color w:val="D86DCB" w:themeColor="accent5" w:themeTint="99"/>
          <w:sz w:val="30"/>
          <w:szCs w:val="30"/>
          <w:lang w:val="it-IT"/>
        </w:rPr>
        <w:t>Abstract</w:t>
      </w:r>
    </w:p>
    <w:p w14:paraId="4EB336C9" w14:textId="12B7644A" w:rsidR="00B4720A" w:rsidRPr="00564325" w:rsidRDefault="00180058" w:rsidP="009626F6">
      <w:pPr>
        <w:pStyle w:val="aptp"/>
        <w:rPr>
          <w:lang w:val="it-IT"/>
        </w:rPr>
      </w:pPr>
      <w:r w:rsidRPr="00564325">
        <w:rPr>
          <w:lang w:val="it-IT"/>
        </w:rPr>
        <w:t xml:space="preserve">Questo </w:t>
      </w:r>
      <w:r w:rsidR="009626F6" w:rsidRPr="00564325">
        <w:rPr>
          <w:lang w:val="it-IT"/>
        </w:rPr>
        <w:t xml:space="preserve">breve </w:t>
      </w:r>
      <w:r w:rsidR="00B4704C" w:rsidRPr="00564325">
        <w:rPr>
          <w:lang w:val="it-IT"/>
        </w:rPr>
        <w:t>elaborato</w:t>
      </w:r>
      <w:r w:rsidR="002341F0" w:rsidRPr="00564325">
        <w:rPr>
          <w:lang w:val="it-IT"/>
        </w:rPr>
        <w:t xml:space="preserve">, partendo dalla scelta di cinque titoli di difesa internazionale </w:t>
      </w:r>
      <w:r w:rsidR="001D0452" w:rsidRPr="00564325">
        <w:rPr>
          <w:lang w:val="it-IT"/>
        </w:rPr>
        <w:t>dal periodo di inizio della guerra in Ucraina ad oggi</w:t>
      </w:r>
      <w:r w:rsidR="00CD2093" w:rsidRPr="00564325">
        <w:rPr>
          <w:lang w:val="it-IT"/>
        </w:rPr>
        <w:t>,</w:t>
      </w:r>
      <w:r w:rsidR="00BD5710" w:rsidRPr="00564325">
        <w:rPr>
          <w:lang w:val="it-IT"/>
        </w:rPr>
        <w:t xml:space="preserve"> </w:t>
      </w:r>
      <w:r w:rsidR="00D01055" w:rsidRPr="00564325">
        <w:rPr>
          <w:lang w:val="it-IT"/>
        </w:rPr>
        <w:t xml:space="preserve">identifica i portafogli ottimali in fatto di minor rischio e maggiore </w:t>
      </w:r>
      <w:r w:rsidR="004170FF" w:rsidRPr="00564325">
        <w:rPr>
          <w:lang w:val="it-IT"/>
        </w:rPr>
        <w:t xml:space="preserve">rendimento, esaminando l’importanza della diversificazione per fronteggiare </w:t>
      </w:r>
      <w:r w:rsidR="0043570C" w:rsidRPr="00564325">
        <w:rPr>
          <w:lang w:val="it-IT"/>
        </w:rPr>
        <w:t>il rischio specifico, e confrontando lo stesso portafoglio in periodi diversi per intensità di stress economico.</w:t>
      </w:r>
    </w:p>
    <w:p w14:paraId="4D91F5FD" w14:textId="74BAC31D" w:rsidR="005B6553" w:rsidRPr="00564325" w:rsidRDefault="005B6553" w:rsidP="009626F6">
      <w:pPr>
        <w:pStyle w:val="aptp"/>
        <w:rPr>
          <w:lang w:val="it-IT"/>
        </w:rPr>
      </w:pPr>
      <w:r w:rsidRPr="00564325">
        <w:rPr>
          <w:lang w:val="it-IT"/>
        </w:rPr>
        <w:t xml:space="preserve">Tale analisi verrà svolta costruendo il modello di </w:t>
      </w:r>
      <w:r w:rsidRPr="00564325">
        <w:rPr>
          <w:i/>
          <w:iCs/>
          <w:lang w:val="it-IT"/>
        </w:rPr>
        <w:t>Markowitz</w:t>
      </w:r>
      <w:r w:rsidRPr="00564325">
        <w:rPr>
          <w:lang w:val="it-IT"/>
        </w:rPr>
        <w:t xml:space="preserve"> </w:t>
      </w:r>
      <w:r w:rsidR="000832F9" w:rsidRPr="00564325">
        <w:rPr>
          <w:lang w:val="it-IT"/>
        </w:rPr>
        <w:t>e i relativ</w:t>
      </w:r>
      <w:r w:rsidR="00AE6D1B" w:rsidRPr="00564325">
        <w:rPr>
          <w:lang w:val="it-IT"/>
        </w:rPr>
        <w:t>i</w:t>
      </w:r>
      <w:r w:rsidR="000832F9" w:rsidRPr="00564325">
        <w:rPr>
          <w:lang w:val="it-IT"/>
        </w:rPr>
        <w:t xml:space="preserve"> grafic</w:t>
      </w:r>
      <w:r w:rsidR="00AE6D1B" w:rsidRPr="00564325">
        <w:rPr>
          <w:lang w:val="it-IT"/>
        </w:rPr>
        <w:t>i</w:t>
      </w:r>
      <w:r w:rsidR="00C4012A" w:rsidRPr="00564325">
        <w:rPr>
          <w:lang w:val="it-IT"/>
        </w:rPr>
        <w:t xml:space="preserve"> rappresentant</w:t>
      </w:r>
      <w:r w:rsidR="00AE6D1B" w:rsidRPr="00564325">
        <w:rPr>
          <w:lang w:val="it-IT"/>
        </w:rPr>
        <w:t>i</w:t>
      </w:r>
      <w:r w:rsidR="00C4012A" w:rsidRPr="00564325">
        <w:rPr>
          <w:lang w:val="it-IT"/>
        </w:rPr>
        <w:t xml:space="preserve"> </w:t>
      </w:r>
      <w:r w:rsidR="000832F9" w:rsidRPr="00564325">
        <w:rPr>
          <w:lang w:val="it-IT"/>
        </w:rPr>
        <w:t>la frontiera efficiente</w:t>
      </w:r>
      <w:r w:rsidR="00C4012A" w:rsidRPr="00564325">
        <w:rPr>
          <w:lang w:val="it-IT"/>
        </w:rPr>
        <w:t xml:space="preserve"> dei portafogli</w:t>
      </w:r>
      <w:r w:rsidR="0043570C" w:rsidRPr="00564325">
        <w:rPr>
          <w:lang w:val="it-IT"/>
        </w:rPr>
        <w:t xml:space="preserve"> e l</w:t>
      </w:r>
      <w:r w:rsidR="00AE6D1B" w:rsidRPr="00564325">
        <w:rPr>
          <w:lang w:val="it-IT"/>
        </w:rPr>
        <w:t>a</w:t>
      </w:r>
      <w:r w:rsidR="0043570C" w:rsidRPr="00564325">
        <w:rPr>
          <w:lang w:val="it-IT"/>
        </w:rPr>
        <w:t xml:space="preserve"> matrice di correlazione</w:t>
      </w:r>
      <w:r w:rsidR="00AE6D1B" w:rsidRPr="00564325">
        <w:rPr>
          <w:lang w:val="it-IT"/>
        </w:rPr>
        <w:t xml:space="preserve"> dei titoli.</w:t>
      </w:r>
    </w:p>
    <w:p w14:paraId="0B4E077C" w14:textId="77777777" w:rsidR="00576143" w:rsidRPr="00564325" w:rsidRDefault="00576143" w:rsidP="00576143">
      <w:pPr>
        <w:pStyle w:val="aptp"/>
        <w:pBdr>
          <w:bottom w:val="single" w:sz="12" w:space="1" w:color="auto"/>
        </w:pBdr>
        <w:rPr>
          <w:lang w:val="it-IT"/>
        </w:rPr>
      </w:pPr>
    </w:p>
    <w:p w14:paraId="3AD80CB9" w14:textId="77777777" w:rsidR="00576143" w:rsidRPr="00564325" w:rsidRDefault="00576143" w:rsidP="00576143">
      <w:pPr>
        <w:pStyle w:val="aptp"/>
        <w:rPr>
          <w:lang w:val="it-IT"/>
        </w:rPr>
      </w:pPr>
    </w:p>
    <w:sdt>
      <w:sdtPr>
        <w:rPr>
          <w:rFonts w:ascii="Arial Nova" w:eastAsiaTheme="minorHAnsi" w:hAnsi="Arial Nova" w:cstheme="minorBidi"/>
          <w:color w:val="auto"/>
          <w:sz w:val="24"/>
          <w:szCs w:val="24"/>
          <w:lang w:val="it-IT" w:eastAsia="en-US"/>
        </w:rPr>
        <w:id w:val="-521320974"/>
        <w:docPartObj>
          <w:docPartGallery w:val="Table of Contents"/>
          <w:docPartUnique/>
        </w:docPartObj>
      </w:sdtPr>
      <w:sdtEndPr>
        <w:rPr>
          <w:b/>
          <w:bCs/>
        </w:rPr>
      </w:sdtEndPr>
      <w:sdtContent>
        <w:p w14:paraId="26746BE5" w14:textId="5F0EC38E" w:rsidR="00241B5E" w:rsidRPr="00564325" w:rsidRDefault="00D20990">
          <w:pPr>
            <w:pStyle w:val="TOCHeading"/>
            <w:rPr>
              <w:rFonts w:eastAsia="Segoe UI" w:cstheme="minorBidi"/>
              <w:b/>
              <w:bCs/>
              <w:color w:val="D86DCB" w:themeColor="accent5" w:themeTint="99"/>
              <w:sz w:val="30"/>
              <w:szCs w:val="30"/>
              <w:lang w:val="it-IT" w:eastAsia="ja-JP"/>
            </w:rPr>
          </w:pPr>
          <w:r w:rsidRPr="00564325">
            <w:rPr>
              <w:rFonts w:eastAsia="Segoe UI" w:cstheme="minorBidi"/>
              <w:b/>
              <w:bCs/>
              <w:color w:val="D86DCB" w:themeColor="accent5" w:themeTint="99"/>
              <w:sz w:val="30"/>
              <w:szCs w:val="30"/>
              <w:lang w:val="it-IT" w:eastAsia="ja-JP"/>
            </w:rPr>
            <w:t>Indice</w:t>
          </w:r>
        </w:p>
        <w:p w14:paraId="6488A086" w14:textId="67CB99F9" w:rsidR="00D8685A" w:rsidRPr="00564325" w:rsidRDefault="00241B5E">
          <w:pPr>
            <w:pStyle w:val="TOC1"/>
            <w:tabs>
              <w:tab w:val="right" w:leader="dot" w:pos="9016"/>
            </w:tabs>
            <w:rPr>
              <w:rFonts w:asciiTheme="minorHAnsi" w:eastAsiaTheme="minorEastAsia" w:hAnsiTheme="minorHAnsi"/>
              <w:noProof/>
              <w:kern w:val="2"/>
              <w:lang w:eastAsia="en-GB"/>
              <w14:ligatures w14:val="standardContextual"/>
            </w:rPr>
          </w:pPr>
          <w:r w:rsidRPr="00564325">
            <w:fldChar w:fldCharType="begin"/>
          </w:r>
          <w:r w:rsidRPr="00564325">
            <w:instrText xml:space="preserve"> TOC \o "1-3" \h \z \u </w:instrText>
          </w:r>
          <w:r w:rsidRPr="00564325">
            <w:fldChar w:fldCharType="separate"/>
          </w:r>
          <w:hyperlink w:anchor="_Toc207820523" w:history="1">
            <w:r w:rsidR="00D8685A" w:rsidRPr="00564325">
              <w:rPr>
                <w:rStyle w:val="Hyperlink"/>
                <w:noProof/>
              </w:rPr>
              <w:t>Premessa</w:t>
            </w:r>
            <w:r w:rsidR="00D8685A" w:rsidRPr="00564325">
              <w:rPr>
                <w:noProof/>
                <w:webHidden/>
              </w:rPr>
              <w:tab/>
            </w:r>
            <w:r w:rsidR="00D8685A" w:rsidRPr="00564325">
              <w:rPr>
                <w:noProof/>
                <w:webHidden/>
              </w:rPr>
              <w:fldChar w:fldCharType="begin"/>
            </w:r>
            <w:r w:rsidR="00D8685A" w:rsidRPr="00564325">
              <w:rPr>
                <w:noProof/>
                <w:webHidden/>
              </w:rPr>
              <w:instrText xml:space="preserve"> PAGEREF _Toc207820523 \h </w:instrText>
            </w:r>
            <w:r w:rsidR="00D8685A" w:rsidRPr="00564325">
              <w:rPr>
                <w:noProof/>
                <w:webHidden/>
              </w:rPr>
            </w:r>
            <w:r w:rsidR="00D8685A" w:rsidRPr="00564325">
              <w:rPr>
                <w:noProof/>
                <w:webHidden/>
              </w:rPr>
              <w:fldChar w:fldCharType="separate"/>
            </w:r>
            <w:r w:rsidR="00D8685A" w:rsidRPr="00564325">
              <w:rPr>
                <w:noProof/>
                <w:webHidden/>
              </w:rPr>
              <w:t>5</w:t>
            </w:r>
            <w:r w:rsidR="00D8685A" w:rsidRPr="00564325">
              <w:rPr>
                <w:noProof/>
                <w:webHidden/>
              </w:rPr>
              <w:fldChar w:fldCharType="end"/>
            </w:r>
          </w:hyperlink>
        </w:p>
        <w:p w14:paraId="68831722" w14:textId="65324EB6" w:rsidR="00D8685A" w:rsidRPr="00564325" w:rsidRDefault="00D8685A">
          <w:pPr>
            <w:pStyle w:val="TOC3"/>
            <w:rPr>
              <w:rFonts w:asciiTheme="minorHAnsi" w:eastAsiaTheme="minorEastAsia" w:hAnsiTheme="minorHAnsi"/>
              <w:noProof/>
              <w:kern w:val="2"/>
              <w:lang w:eastAsia="en-GB"/>
              <w14:ligatures w14:val="standardContextual"/>
            </w:rPr>
          </w:pPr>
          <w:hyperlink w:anchor="_Toc207820524" w:history="1">
            <w:r w:rsidRPr="00564325">
              <w:rPr>
                <w:rStyle w:val="Hyperlink"/>
                <w:noProof/>
              </w:rPr>
              <w:t>Metodologia</w:t>
            </w:r>
            <w:r w:rsidRPr="00564325">
              <w:rPr>
                <w:noProof/>
                <w:webHidden/>
              </w:rPr>
              <w:tab/>
            </w:r>
            <w:r w:rsidRPr="00564325">
              <w:rPr>
                <w:noProof/>
                <w:webHidden/>
              </w:rPr>
              <w:fldChar w:fldCharType="begin"/>
            </w:r>
            <w:r w:rsidRPr="00564325">
              <w:rPr>
                <w:noProof/>
                <w:webHidden/>
              </w:rPr>
              <w:instrText xml:space="preserve"> PAGEREF _Toc207820524 \h </w:instrText>
            </w:r>
            <w:r w:rsidRPr="00564325">
              <w:rPr>
                <w:noProof/>
                <w:webHidden/>
              </w:rPr>
            </w:r>
            <w:r w:rsidRPr="00564325">
              <w:rPr>
                <w:noProof/>
                <w:webHidden/>
              </w:rPr>
              <w:fldChar w:fldCharType="separate"/>
            </w:r>
            <w:r w:rsidRPr="00564325">
              <w:rPr>
                <w:noProof/>
                <w:webHidden/>
              </w:rPr>
              <w:t>5</w:t>
            </w:r>
            <w:r w:rsidRPr="00564325">
              <w:rPr>
                <w:noProof/>
                <w:webHidden/>
              </w:rPr>
              <w:fldChar w:fldCharType="end"/>
            </w:r>
          </w:hyperlink>
        </w:p>
        <w:p w14:paraId="081B671F" w14:textId="37AD8717" w:rsidR="00D8685A" w:rsidRPr="00564325" w:rsidRDefault="00D8685A">
          <w:pPr>
            <w:pStyle w:val="TOC1"/>
            <w:tabs>
              <w:tab w:val="right" w:leader="dot" w:pos="9016"/>
            </w:tabs>
            <w:rPr>
              <w:rFonts w:asciiTheme="minorHAnsi" w:eastAsiaTheme="minorEastAsia" w:hAnsiTheme="minorHAnsi"/>
              <w:noProof/>
              <w:kern w:val="2"/>
              <w:lang w:eastAsia="en-GB"/>
              <w14:ligatures w14:val="standardContextual"/>
            </w:rPr>
          </w:pPr>
          <w:hyperlink w:anchor="_Toc207820525" w:history="1">
            <w:r w:rsidRPr="00564325">
              <w:rPr>
                <w:rStyle w:val="Hyperlink"/>
                <w:noProof/>
              </w:rPr>
              <w:t>1. Costruzione del modello</w:t>
            </w:r>
            <w:r w:rsidRPr="00564325">
              <w:rPr>
                <w:noProof/>
                <w:webHidden/>
              </w:rPr>
              <w:tab/>
            </w:r>
            <w:r w:rsidRPr="00564325">
              <w:rPr>
                <w:noProof/>
                <w:webHidden/>
              </w:rPr>
              <w:fldChar w:fldCharType="begin"/>
            </w:r>
            <w:r w:rsidRPr="00564325">
              <w:rPr>
                <w:noProof/>
                <w:webHidden/>
              </w:rPr>
              <w:instrText xml:space="preserve"> PAGEREF _Toc207820525 \h </w:instrText>
            </w:r>
            <w:r w:rsidRPr="00564325">
              <w:rPr>
                <w:noProof/>
                <w:webHidden/>
              </w:rPr>
            </w:r>
            <w:r w:rsidRPr="00564325">
              <w:rPr>
                <w:noProof/>
                <w:webHidden/>
              </w:rPr>
              <w:fldChar w:fldCharType="separate"/>
            </w:r>
            <w:r w:rsidRPr="00564325">
              <w:rPr>
                <w:noProof/>
                <w:webHidden/>
              </w:rPr>
              <w:t>6</w:t>
            </w:r>
            <w:r w:rsidRPr="00564325">
              <w:rPr>
                <w:noProof/>
                <w:webHidden/>
              </w:rPr>
              <w:fldChar w:fldCharType="end"/>
            </w:r>
          </w:hyperlink>
        </w:p>
        <w:p w14:paraId="1E4FB5BA" w14:textId="67463570" w:rsidR="00D8685A" w:rsidRPr="00564325" w:rsidRDefault="00D8685A">
          <w:pPr>
            <w:pStyle w:val="TOC3"/>
            <w:rPr>
              <w:rFonts w:asciiTheme="minorHAnsi" w:eastAsiaTheme="minorEastAsia" w:hAnsiTheme="minorHAnsi"/>
              <w:noProof/>
              <w:kern w:val="2"/>
              <w:lang w:eastAsia="en-GB"/>
              <w14:ligatures w14:val="standardContextual"/>
            </w:rPr>
          </w:pPr>
          <w:hyperlink w:anchor="_Toc207820526" w:history="1">
            <w:r w:rsidRPr="00564325">
              <w:rPr>
                <w:rStyle w:val="Hyperlink"/>
                <w:noProof/>
              </w:rPr>
              <w:t>Modello di Markovitz</w:t>
            </w:r>
            <w:r w:rsidRPr="00564325">
              <w:rPr>
                <w:noProof/>
                <w:webHidden/>
              </w:rPr>
              <w:tab/>
            </w:r>
            <w:r w:rsidRPr="00564325">
              <w:rPr>
                <w:noProof/>
                <w:webHidden/>
              </w:rPr>
              <w:fldChar w:fldCharType="begin"/>
            </w:r>
            <w:r w:rsidRPr="00564325">
              <w:rPr>
                <w:noProof/>
                <w:webHidden/>
              </w:rPr>
              <w:instrText xml:space="preserve"> PAGEREF _Toc207820526 \h </w:instrText>
            </w:r>
            <w:r w:rsidRPr="00564325">
              <w:rPr>
                <w:noProof/>
                <w:webHidden/>
              </w:rPr>
            </w:r>
            <w:r w:rsidRPr="00564325">
              <w:rPr>
                <w:noProof/>
                <w:webHidden/>
              </w:rPr>
              <w:fldChar w:fldCharType="separate"/>
            </w:r>
            <w:r w:rsidRPr="00564325">
              <w:rPr>
                <w:noProof/>
                <w:webHidden/>
              </w:rPr>
              <w:t>6</w:t>
            </w:r>
            <w:r w:rsidRPr="00564325">
              <w:rPr>
                <w:noProof/>
                <w:webHidden/>
              </w:rPr>
              <w:fldChar w:fldCharType="end"/>
            </w:r>
          </w:hyperlink>
        </w:p>
        <w:p w14:paraId="72FB7383" w14:textId="55C64EF3" w:rsidR="00D8685A" w:rsidRPr="00564325" w:rsidRDefault="00D8685A">
          <w:pPr>
            <w:pStyle w:val="TOC3"/>
            <w:rPr>
              <w:rFonts w:asciiTheme="minorHAnsi" w:eastAsiaTheme="minorEastAsia" w:hAnsiTheme="minorHAnsi"/>
              <w:noProof/>
              <w:kern w:val="2"/>
              <w:lang w:eastAsia="en-GB"/>
              <w14:ligatures w14:val="standardContextual"/>
            </w:rPr>
          </w:pPr>
          <w:hyperlink w:anchor="_Toc207820527" w:history="1">
            <w:r w:rsidRPr="00564325">
              <w:rPr>
                <w:rStyle w:val="Hyperlink"/>
                <w:i/>
                <w:iCs/>
                <w:noProof/>
              </w:rPr>
              <w:t>Massimo rendimento (Max Sharpe)</w:t>
            </w:r>
            <w:r w:rsidRPr="00564325">
              <w:rPr>
                <w:noProof/>
                <w:webHidden/>
              </w:rPr>
              <w:tab/>
            </w:r>
            <w:r w:rsidRPr="00564325">
              <w:rPr>
                <w:noProof/>
                <w:webHidden/>
              </w:rPr>
              <w:fldChar w:fldCharType="begin"/>
            </w:r>
            <w:r w:rsidRPr="00564325">
              <w:rPr>
                <w:noProof/>
                <w:webHidden/>
              </w:rPr>
              <w:instrText xml:space="preserve"> PAGEREF _Toc207820527 \h </w:instrText>
            </w:r>
            <w:r w:rsidRPr="00564325">
              <w:rPr>
                <w:noProof/>
                <w:webHidden/>
              </w:rPr>
            </w:r>
            <w:r w:rsidRPr="00564325">
              <w:rPr>
                <w:noProof/>
                <w:webHidden/>
              </w:rPr>
              <w:fldChar w:fldCharType="separate"/>
            </w:r>
            <w:r w:rsidRPr="00564325">
              <w:rPr>
                <w:noProof/>
                <w:webHidden/>
              </w:rPr>
              <w:t>6</w:t>
            </w:r>
            <w:r w:rsidRPr="00564325">
              <w:rPr>
                <w:noProof/>
                <w:webHidden/>
              </w:rPr>
              <w:fldChar w:fldCharType="end"/>
            </w:r>
          </w:hyperlink>
        </w:p>
        <w:p w14:paraId="338B6BB7" w14:textId="3F43F7F7" w:rsidR="00D8685A" w:rsidRPr="00564325" w:rsidRDefault="00D8685A">
          <w:pPr>
            <w:pStyle w:val="TOC3"/>
            <w:rPr>
              <w:rFonts w:asciiTheme="minorHAnsi" w:eastAsiaTheme="minorEastAsia" w:hAnsiTheme="minorHAnsi"/>
              <w:noProof/>
              <w:kern w:val="2"/>
              <w:lang w:eastAsia="en-GB"/>
              <w14:ligatures w14:val="standardContextual"/>
            </w:rPr>
          </w:pPr>
          <w:hyperlink w:anchor="_Toc207820528" w:history="1">
            <w:r w:rsidRPr="00564325">
              <w:rPr>
                <w:rStyle w:val="Hyperlink"/>
                <w:noProof/>
              </w:rPr>
              <w:t>Minimo rischio (</w:t>
            </w:r>
            <w:r w:rsidRPr="00564325">
              <w:rPr>
                <w:rStyle w:val="Hyperlink"/>
                <w:i/>
                <w:iCs/>
                <w:noProof/>
              </w:rPr>
              <w:t>Min risk</w:t>
            </w:r>
            <w:r w:rsidRPr="00564325">
              <w:rPr>
                <w:rStyle w:val="Hyperlink"/>
                <w:noProof/>
              </w:rPr>
              <w:t>)</w:t>
            </w:r>
            <w:r w:rsidRPr="00564325">
              <w:rPr>
                <w:noProof/>
                <w:webHidden/>
              </w:rPr>
              <w:tab/>
            </w:r>
            <w:r w:rsidRPr="00564325">
              <w:rPr>
                <w:noProof/>
                <w:webHidden/>
              </w:rPr>
              <w:fldChar w:fldCharType="begin"/>
            </w:r>
            <w:r w:rsidRPr="00564325">
              <w:rPr>
                <w:noProof/>
                <w:webHidden/>
              </w:rPr>
              <w:instrText xml:space="preserve"> PAGEREF _Toc207820528 \h </w:instrText>
            </w:r>
            <w:r w:rsidRPr="00564325">
              <w:rPr>
                <w:noProof/>
                <w:webHidden/>
              </w:rPr>
            </w:r>
            <w:r w:rsidRPr="00564325">
              <w:rPr>
                <w:noProof/>
                <w:webHidden/>
              </w:rPr>
              <w:fldChar w:fldCharType="separate"/>
            </w:r>
            <w:r w:rsidRPr="00564325">
              <w:rPr>
                <w:noProof/>
                <w:webHidden/>
              </w:rPr>
              <w:t>7</w:t>
            </w:r>
            <w:r w:rsidRPr="00564325">
              <w:rPr>
                <w:noProof/>
                <w:webHidden/>
              </w:rPr>
              <w:fldChar w:fldCharType="end"/>
            </w:r>
          </w:hyperlink>
        </w:p>
        <w:p w14:paraId="06B02087" w14:textId="06CE5ED1" w:rsidR="00D8685A" w:rsidRPr="00564325" w:rsidRDefault="00D8685A">
          <w:pPr>
            <w:pStyle w:val="TOC3"/>
            <w:rPr>
              <w:rFonts w:asciiTheme="minorHAnsi" w:eastAsiaTheme="minorEastAsia" w:hAnsiTheme="minorHAnsi"/>
              <w:noProof/>
              <w:kern w:val="2"/>
              <w:lang w:eastAsia="en-GB"/>
              <w14:ligatures w14:val="standardContextual"/>
            </w:rPr>
          </w:pPr>
          <w:hyperlink w:anchor="_Toc207820529" w:history="1">
            <w:r w:rsidRPr="00564325">
              <w:rPr>
                <w:rStyle w:val="Hyperlink"/>
                <w:noProof/>
              </w:rPr>
              <w:t>Criterio di dominanza</w:t>
            </w:r>
            <w:r w:rsidRPr="00564325">
              <w:rPr>
                <w:noProof/>
                <w:webHidden/>
              </w:rPr>
              <w:tab/>
            </w:r>
            <w:r w:rsidRPr="00564325">
              <w:rPr>
                <w:noProof/>
                <w:webHidden/>
              </w:rPr>
              <w:fldChar w:fldCharType="begin"/>
            </w:r>
            <w:r w:rsidRPr="00564325">
              <w:rPr>
                <w:noProof/>
                <w:webHidden/>
              </w:rPr>
              <w:instrText xml:space="preserve"> PAGEREF _Toc207820529 \h </w:instrText>
            </w:r>
            <w:r w:rsidRPr="00564325">
              <w:rPr>
                <w:noProof/>
                <w:webHidden/>
              </w:rPr>
            </w:r>
            <w:r w:rsidRPr="00564325">
              <w:rPr>
                <w:noProof/>
                <w:webHidden/>
              </w:rPr>
              <w:fldChar w:fldCharType="separate"/>
            </w:r>
            <w:r w:rsidRPr="00564325">
              <w:rPr>
                <w:noProof/>
                <w:webHidden/>
              </w:rPr>
              <w:t>7</w:t>
            </w:r>
            <w:r w:rsidRPr="00564325">
              <w:rPr>
                <w:noProof/>
                <w:webHidden/>
              </w:rPr>
              <w:fldChar w:fldCharType="end"/>
            </w:r>
          </w:hyperlink>
        </w:p>
        <w:p w14:paraId="2DDC94BD" w14:textId="58E1191B" w:rsidR="00D8685A" w:rsidRPr="00564325" w:rsidRDefault="00D8685A">
          <w:pPr>
            <w:pStyle w:val="TOC3"/>
            <w:rPr>
              <w:rFonts w:asciiTheme="minorHAnsi" w:eastAsiaTheme="minorEastAsia" w:hAnsiTheme="minorHAnsi"/>
              <w:noProof/>
              <w:kern w:val="2"/>
              <w:lang w:eastAsia="en-GB"/>
              <w14:ligatures w14:val="standardContextual"/>
            </w:rPr>
          </w:pPr>
          <w:hyperlink w:anchor="_Toc207820530" w:history="1">
            <w:r w:rsidRPr="00564325">
              <w:rPr>
                <w:rStyle w:val="Hyperlink"/>
                <w:noProof/>
              </w:rPr>
              <w:t xml:space="preserve">Portafoglio </w:t>
            </w:r>
            <w:r w:rsidRPr="00564325">
              <w:rPr>
                <w:rStyle w:val="Hyperlink"/>
                <w:i/>
                <w:iCs/>
                <w:noProof/>
              </w:rPr>
              <w:t>defense</w:t>
            </w:r>
            <w:r w:rsidRPr="00564325">
              <w:rPr>
                <w:noProof/>
                <w:webHidden/>
              </w:rPr>
              <w:tab/>
            </w:r>
            <w:r w:rsidRPr="00564325">
              <w:rPr>
                <w:noProof/>
                <w:webHidden/>
              </w:rPr>
              <w:fldChar w:fldCharType="begin"/>
            </w:r>
            <w:r w:rsidRPr="00564325">
              <w:rPr>
                <w:noProof/>
                <w:webHidden/>
              </w:rPr>
              <w:instrText xml:space="preserve"> PAGEREF _Toc207820530 \h </w:instrText>
            </w:r>
            <w:r w:rsidRPr="00564325">
              <w:rPr>
                <w:noProof/>
                <w:webHidden/>
              </w:rPr>
            </w:r>
            <w:r w:rsidRPr="00564325">
              <w:rPr>
                <w:noProof/>
                <w:webHidden/>
              </w:rPr>
              <w:fldChar w:fldCharType="separate"/>
            </w:r>
            <w:r w:rsidRPr="00564325">
              <w:rPr>
                <w:noProof/>
                <w:webHidden/>
              </w:rPr>
              <w:t>8</w:t>
            </w:r>
            <w:r w:rsidRPr="00564325">
              <w:rPr>
                <w:noProof/>
                <w:webHidden/>
              </w:rPr>
              <w:fldChar w:fldCharType="end"/>
            </w:r>
          </w:hyperlink>
        </w:p>
        <w:p w14:paraId="0242EB42" w14:textId="128C7790" w:rsidR="00D8685A" w:rsidRPr="00564325" w:rsidRDefault="00D8685A">
          <w:pPr>
            <w:pStyle w:val="TOC1"/>
            <w:tabs>
              <w:tab w:val="right" w:leader="dot" w:pos="9016"/>
            </w:tabs>
            <w:rPr>
              <w:rFonts w:asciiTheme="minorHAnsi" w:eastAsiaTheme="minorEastAsia" w:hAnsiTheme="minorHAnsi"/>
              <w:noProof/>
              <w:kern w:val="2"/>
              <w:lang w:eastAsia="en-GB"/>
              <w14:ligatures w14:val="standardContextual"/>
            </w:rPr>
          </w:pPr>
          <w:hyperlink w:anchor="_Toc207820531" w:history="1">
            <w:r w:rsidRPr="00564325">
              <w:rPr>
                <w:rStyle w:val="Hyperlink"/>
                <w:noProof/>
              </w:rPr>
              <w:t>2. Analisi del modello applicato</w:t>
            </w:r>
            <w:r w:rsidRPr="00564325">
              <w:rPr>
                <w:noProof/>
                <w:webHidden/>
              </w:rPr>
              <w:tab/>
            </w:r>
            <w:r w:rsidRPr="00564325">
              <w:rPr>
                <w:noProof/>
                <w:webHidden/>
              </w:rPr>
              <w:fldChar w:fldCharType="begin"/>
            </w:r>
            <w:r w:rsidRPr="00564325">
              <w:rPr>
                <w:noProof/>
                <w:webHidden/>
              </w:rPr>
              <w:instrText xml:space="preserve"> PAGEREF _Toc207820531 \h </w:instrText>
            </w:r>
            <w:r w:rsidRPr="00564325">
              <w:rPr>
                <w:noProof/>
                <w:webHidden/>
              </w:rPr>
            </w:r>
            <w:r w:rsidRPr="00564325">
              <w:rPr>
                <w:noProof/>
                <w:webHidden/>
              </w:rPr>
              <w:fldChar w:fldCharType="separate"/>
            </w:r>
            <w:r w:rsidRPr="00564325">
              <w:rPr>
                <w:noProof/>
                <w:webHidden/>
              </w:rPr>
              <w:t>8</w:t>
            </w:r>
            <w:r w:rsidRPr="00564325">
              <w:rPr>
                <w:noProof/>
                <w:webHidden/>
              </w:rPr>
              <w:fldChar w:fldCharType="end"/>
            </w:r>
          </w:hyperlink>
        </w:p>
        <w:p w14:paraId="5C47F939" w14:textId="1E2FE44F" w:rsidR="00D8685A" w:rsidRPr="00564325" w:rsidRDefault="00D8685A">
          <w:pPr>
            <w:pStyle w:val="TOC3"/>
            <w:rPr>
              <w:rFonts w:asciiTheme="minorHAnsi" w:eastAsiaTheme="minorEastAsia" w:hAnsiTheme="minorHAnsi"/>
              <w:noProof/>
              <w:kern w:val="2"/>
              <w:lang w:eastAsia="en-GB"/>
              <w14:ligatures w14:val="standardContextual"/>
            </w:rPr>
          </w:pPr>
          <w:hyperlink w:anchor="_Toc207820532" w:history="1">
            <w:r w:rsidRPr="00564325">
              <w:rPr>
                <w:rStyle w:val="Hyperlink"/>
                <w:noProof/>
              </w:rPr>
              <w:t>Rischio e Rendimento</w:t>
            </w:r>
            <w:r w:rsidRPr="00564325">
              <w:rPr>
                <w:noProof/>
                <w:webHidden/>
              </w:rPr>
              <w:tab/>
            </w:r>
            <w:r w:rsidRPr="00564325">
              <w:rPr>
                <w:noProof/>
                <w:webHidden/>
              </w:rPr>
              <w:fldChar w:fldCharType="begin"/>
            </w:r>
            <w:r w:rsidRPr="00564325">
              <w:rPr>
                <w:noProof/>
                <w:webHidden/>
              </w:rPr>
              <w:instrText xml:space="preserve"> PAGEREF _Toc207820532 \h </w:instrText>
            </w:r>
            <w:r w:rsidRPr="00564325">
              <w:rPr>
                <w:noProof/>
                <w:webHidden/>
              </w:rPr>
            </w:r>
            <w:r w:rsidRPr="00564325">
              <w:rPr>
                <w:noProof/>
                <w:webHidden/>
              </w:rPr>
              <w:fldChar w:fldCharType="separate"/>
            </w:r>
            <w:r w:rsidRPr="00564325">
              <w:rPr>
                <w:noProof/>
                <w:webHidden/>
              </w:rPr>
              <w:t>8</w:t>
            </w:r>
            <w:r w:rsidRPr="00564325">
              <w:rPr>
                <w:noProof/>
                <w:webHidden/>
              </w:rPr>
              <w:fldChar w:fldCharType="end"/>
            </w:r>
          </w:hyperlink>
        </w:p>
        <w:p w14:paraId="5030ED07" w14:textId="471EFFB4" w:rsidR="00D8685A" w:rsidRPr="00564325" w:rsidRDefault="00D8685A">
          <w:pPr>
            <w:pStyle w:val="TOC3"/>
            <w:rPr>
              <w:rFonts w:asciiTheme="minorHAnsi" w:eastAsiaTheme="minorEastAsia" w:hAnsiTheme="minorHAnsi"/>
              <w:noProof/>
              <w:kern w:val="2"/>
              <w:lang w:eastAsia="en-GB"/>
              <w14:ligatures w14:val="standardContextual"/>
            </w:rPr>
          </w:pPr>
          <w:hyperlink w:anchor="_Toc207820533" w:history="1">
            <w:r w:rsidRPr="00564325">
              <w:rPr>
                <w:rStyle w:val="Hyperlink"/>
                <w:noProof/>
              </w:rPr>
              <w:t>Diversificazione e correlazione</w:t>
            </w:r>
            <w:r w:rsidRPr="00564325">
              <w:rPr>
                <w:noProof/>
                <w:webHidden/>
              </w:rPr>
              <w:tab/>
            </w:r>
            <w:r w:rsidRPr="00564325">
              <w:rPr>
                <w:noProof/>
                <w:webHidden/>
              </w:rPr>
              <w:fldChar w:fldCharType="begin"/>
            </w:r>
            <w:r w:rsidRPr="00564325">
              <w:rPr>
                <w:noProof/>
                <w:webHidden/>
              </w:rPr>
              <w:instrText xml:space="preserve"> PAGEREF _Toc207820533 \h </w:instrText>
            </w:r>
            <w:r w:rsidRPr="00564325">
              <w:rPr>
                <w:noProof/>
                <w:webHidden/>
              </w:rPr>
            </w:r>
            <w:r w:rsidRPr="00564325">
              <w:rPr>
                <w:noProof/>
                <w:webHidden/>
              </w:rPr>
              <w:fldChar w:fldCharType="separate"/>
            </w:r>
            <w:r w:rsidRPr="00564325">
              <w:rPr>
                <w:noProof/>
                <w:webHidden/>
              </w:rPr>
              <w:t>10</w:t>
            </w:r>
            <w:r w:rsidRPr="00564325">
              <w:rPr>
                <w:noProof/>
                <w:webHidden/>
              </w:rPr>
              <w:fldChar w:fldCharType="end"/>
            </w:r>
          </w:hyperlink>
        </w:p>
        <w:p w14:paraId="000216EA" w14:textId="5BBACFA4" w:rsidR="00D8685A" w:rsidRPr="00564325" w:rsidRDefault="00D8685A">
          <w:pPr>
            <w:pStyle w:val="TOC3"/>
            <w:rPr>
              <w:rFonts w:asciiTheme="minorHAnsi" w:eastAsiaTheme="minorEastAsia" w:hAnsiTheme="minorHAnsi"/>
              <w:noProof/>
              <w:kern w:val="2"/>
              <w:lang w:eastAsia="en-GB"/>
              <w14:ligatures w14:val="standardContextual"/>
            </w:rPr>
          </w:pPr>
          <w:hyperlink w:anchor="_Toc207820534" w:history="1">
            <w:r w:rsidRPr="00564325">
              <w:rPr>
                <w:rStyle w:val="Hyperlink"/>
                <w:noProof/>
              </w:rPr>
              <w:t>Periodo di stabilità vs periodo di stress economico</w:t>
            </w:r>
            <w:r w:rsidRPr="00564325">
              <w:rPr>
                <w:noProof/>
                <w:webHidden/>
              </w:rPr>
              <w:tab/>
            </w:r>
            <w:r w:rsidRPr="00564325">
              <w:rPr>
                <w:noProof/>
                <w:webHidden/>
              </w:rPr>
              <w:fldChar w:fldCharType="begin"/>
            </w:r>
            <w:r w:rsidRPr="00564325">
              <w:rPr>
                <w:noProof/>
                <w:webHidden/>
              </w:rPr>
              <w:instrText xml:space="preserve"> PAGEREF _Toc207820534 \h </w:instrText>
            </w:r>
            <w:r w:rsidRPr="00564325">
              <w:rPr>
                <w:noProof/>
                <w:webHidden/>
              </w:rPr>
            </w:r>
            <w:r w:rsidRPr="00564325">
              <w:rPr>
                <w:noProof/>
                <w:webHidden/>
              </w:rPr>
              <w:fldChar w:fldCharType="separate"/>
            </w:r>
            <w:r w:rsidRPr="00564325">
              <w:rPr>
                <w:noProof/>
                <w:webHidden/>
              </w:rPr>
              <w:t>11</w:t>
            </w:r>
            <w:r w:rsidRPr="00564325">
              <w:rPr>
                <w:noProof/>
                <w:webHidden/>
              </w:rPr>
              <w:fldChar w:fldCharType="end"/>
            </w:r>
          </w:hyperlink>
        </w:p>
        <w:p w14:paraId="6B35BBAA" w14:textId="67D5F55E" w:rsidR="00D8685A" w:rsidRPr="00564325" w:rsidRDefault="00D8685A">
          <w:pPr>
            <w:pStyle w:val="TOC1"/>
            <w:tabs>
              <w:tab w:val="right" w:leader="dot" w:pos="9016"/>
            </w:tabs>
            <w:rPr>
              <w:rFonts w:asciiTheme="minorHAnsi" w:eastAsiaTheme="minorEastAsia" w:hAnsiTheme="minorHAnsi"/>
              <w:noProof/>
              <w:kern w:val="2"/>
              <w:lang w:eastAsia="en-GB"/>
              <w14:ligatures w14:val="standardContextual"/>
            </w:rPr>
          </w:pPr>
          <w:hyperlink w:anchor="_Toc207820535" w:history="1">
            <w:r w:rsidRPr="00564325">
              <w:rPr>
                <w:rStyle w:val="Hyperlink"/>
                <w:noProof/>
              </w:rPr>
              <w:t>Conclusione</w:t>
            </w:r>
            <w:r w:rsidRPr="00564325">
              <w:rPr>
                <w:noProof/>
                <w:webHidden/>
              </w:rPr>
              <w:tab/>
            </w:r>
            <w:r w:rsidRPr="00564325">
              <w:rPr>
                <w:noProof/>
                <w:webHidden/>
              </w:rPr>
              <w:fldChar w:fldCharType="begin"/>
            </w:r>
            <w:r w:rsidRPr="00564325">
              <w:rPr>
                <w:noProof/>
                <w:webHidden/>
              </w:rPr>
              <w:instrText xml:space="preserve"> PAGEREF _Toc207820535 \h </w:instrText>
            </w:r>
            <w:r w:rsidRPr="00564325">
              <w:rPr>
                <w:noProof/>
                <w:webHidden/>
              </w:rPr>
            </w:r>
            <w:r w:rsidRPr="00564325">
              <w:rPr>
                <w:noProof/>
                <w:webHidden/>
              </w:rPr>
              <w:fldChar w:fldCharType="separate"/>
            </w:r>
            <w:r w:rsidRPr="00564325">
              <w:rPr>
                <w:noProof/>
                <w:webHidden/>
              </w:rPr>
              <w:t>11</w:t>
            </w:r>
            <w:r w:rsidRPr="00564325">
              <w:rPr>
                <w:noProof/>
                <w:webHidden/>
              </w:rPr>
              <w:fldChar w:fldCharType="end"/>
            </w:r>
          </w:hyperlink>
        </w:p>
        <w:p w14:paraId="076D4C7E" w14:textId="3F4D7DCD" w:rsidR="00D8685A" w:rsidRPr="00564325" w:rsidRDefault="00D8685A">
          <w:pPr>
            <w:pStyle w:val="TOC1"/>
            <w:tabs>
              <w:tab w:val="right" w:leader="dot" w:pos="9016"/>
            </w:tabs>
            <w:rPr>
              <w:rFonts w:asciiTheme="minorHAnsi" w:eastAsiaTheme="minorEastAsia" w:hAnsiTheme="minorHAnsi"/>
              <w:noProof/>
              <w:kern w:val="2"/>
              <w:lang w:eastAsia="en-GB"/>
              <w14:ligatures w14:val="standardContextual"/>
            </w:rPr>
          </w:pPr>
          <w:hyperlink w:anchor="_Toc207820536" w:history="1">
            <w:r w:rsidRPr="00564325">
              <w:rPr>
                <w:rStyle w:val="Hyperlink"/>
                <w:noProof/>
              </w:rPr>
              <w:t>Fonti</w:t>
            </w:r>
            <w:r w:rsidRPr="00564325">
              <w:rPr>
                <w:noProof/>
                <w:webHidden/>
              </w:rPr>
              <w:tab/>
            </w:r>
            <w:r w:rsidRPr="00564325">
              <w:rPr>
                <w:noProof/>
                <w:webHidden/>
              </w:rPr>
              <w:fldChar w:fldCharType="begin"/>
            </w:r>
            <w:r w:rsidRPr="00564325">
              <w:rPr>
                <w:noProof/>
                <w:webHidden/>
              </w:rPr>
              <w:instrText xml:space="preserve"> PAGEREF _Toc207820536 \h </w:instrText>
            </w:r>
            <w:r w:rsidRPr="00564325">
              <w:rPr>
                <w:noProof/>
                <w:webHidden/>
              </w:rPr>
            </w:r>
            <w:r w:rsidRPr="00564325">
              <w:rPr>
                <w:noProof/>
                <w:webHidden/>
              </w:rPr>
              <w:fldChar w:fldCharType="separate"/>
            </w:r>
            <w:r w:rsidRPr="00564325">
              <w:rPr>
                <w:noProof/>
                <w:webHidden/>
              </w:rPr>
              <w:t>11</w:t>
            </w:r>
            <w:r w:rsidRPr="00564325">
              <w:rPr>
                <w:noProof/>
                <w:webHidden/>
              </w:rPr>
              <w:fldChar w:fldCharType="end"/>
            </w:r>
          </w:hyperlink>
        </w:p>
        <w:p w14:paraId="5B5BF81F" w14:textId="071C360C" w:rsidR="00241B5E" w:rsidRPr="00564325" w:rsidRDefault="00241B5E">
          <w:pPr>
            <w:pBdr>
              <w:bottom w:val="single" w:sz="12" w:space="1" w:color="auto"/>
            </w:pBdr>
          </w:pPr>
          <w:r w:rsidRPr="00564325">
            <w:rPr>
              <w:b/>
              <w:bCs/>
            </w:rPr>
            <w:lastRenderedPageBreak/>
            <w:fldChar w:fldCharType="end"/>
          </w:r>
        </w:p>
      </w:sdtContent>
    </w:sdt>
    <w:p w14:paraId="15925DEA" w14:textId="77777777" w:rsidR="00F654D9" w:rsidRPr="00564325" w:rsidRDefault="00F654D9" w:rsidP="00F654D9">
      <w:pPr>
        <w:pStyle w:val="p"/>
        <w:rPr>
          <w:lang w:val="it-IT"/>
        </w:rPr>
      </w:pPr>
    </w:p>
    <w:p w14:paraId="4862BCCE" w14:textId="77777777" w:rsidR="002D3885" w:rsidRPr="00564325" w:rsidRDefault="002D3885" w:rsidP="002D3885">
      <w:pPr>
        <w:pStyle w:val="apth1"/>
      </w:pPr>
      <w:bookmarkStart w:id="2" w:name="_Toc205494592"/>
      <w:bookmarkStart w:id="3" w:name="_Toc207820523"/>
      <w:r w:rsidRPr="00564325">
        <w:t>Premessa</w:t>
      </w:r>
      <w:bookmarkEnd w:id="2"/>
      <w:bookmarkEnd w:id="3"/>
    </w:p>
    <w:p w14:paraId="0EF20F65" w14:textId="77777777" w:rsidR="002D3885" w:rsidRPr="00564325" w:rsidRDefault="002D3885" w:rsidP="002D3885">
      <w:pPr>
        <w:pStyle w:val="aptp"/>
        <w:rPr>
          <w:lang w:val="it-IT"/>
        </w:rPr>
      </w:pPr>
      <w:r w:rsidRPr="00564325">
        <w:rPr>
          <w:lang w:val="it-IT"/>
        </w:rPr>
        <w:t xml:space="preserve">Dall’inizio della guerra in Ucraina, il valore delle azioni dei titoli delle aziende produttrici di armi è globalmente aumentato. Basti pensare che a inizio anno 2025 la tedesca </w:t>
      </w:r>
      <w:r w:rsidRPr="00564325">
        <w:rPr>
          <w:i/>
          <w:iCs/>
          <w:lang w:val="it-IT"/>
        </w:rPr>
        <w:t xml:space="preserve">Rheinmetall </w:t>
      </w:r>
      <w:r w:rsidRPr="00564325">
        <w:rPr>
          <w:lang w:val="it-IT"/>
        </w:rPr>
        <w:t xml:space="preserve">ha avuto un rialzo del 56%, mentre l’italiana </w:t>
      </w:r>
      <w:r w:rsidRPr="00564325">
        <w:rPr>
          <w:i/>
          <w:iCs/>
          <w:lang w:val="it-IT"/>
        </w:rPr>
        <w:t>Leonardo</w:t>
      </w:r>
      <w:r w:rsidRPr="00564325">
        <w:rPr>
          <w:lang w:val="it-IT"/>
        </w:rPr>
        <w:t xml:space="preserve"> del 34%</w:t>
      </w:r>
      <w:r w:rsidRPr="00564325">
        <w:rPr>
          <w:rStyle w:val="FootnoteReference"/>
          <w:lang w:val="it-IT"/>
        </w:rPr>
        <w:footnoteReference w:id="2"/>
      </w:r>
      <w:r w:rsidRPr="00564325">
        <w:rPr>
          <w:lang w:val="it-IT"/>
        </w:rPr>
        <w:t xml:space="preserve">.  </w:t>
      </w:r>
    </w:p>
    <w:p w14:paraId="77454006" w14:textId="68F62966" w:rsidR="002D3885" w:rsidRPr="00564325" w:rsidRDefault="002D3885" w:rsidP="002D3885">
      <w:pPr>
        <w:pStyle w:val="aptp"/>
        <w:rPr>
          <w:lang w:val="it-IT"/>
        </w:rPr>
      </w:pPr>
      <w:r w:rsidRPr="00564325">
        <w:rPr>
          <w:lang w:val="it-IT"/>
        </w:rPr>
        <w:t xml:space="preserve">A far scaturire tale interesse per un portafoglio </w:t>
      </w:r>
      <w:r w:rsidRPr="00564325">
        <w:rPr>
          <w:i/>
          <w:iCs/>
          <w:lang w:val="it-IT"/>
        </w:rPr>
        <w:t xml:space="preserve">defense </w:t>
      </w:r>
      <w:r w:rsidRPr="00564325">
        <w:rPr>
          <w:lang w:val="it-IT"/>
        </w:rPr>
        <w:t>vi sono i meccanismi sociopolitici che determinano il proseguimento o l’arresto dei conflitti e il circolo vizioso che si crea all’aumento degli investimenti nelle armi. In effetti, con l’aumentare delle tensioni politiche e l’affermarsi di un nuovo conflitto, aumentano anche gli investimenti nei titoli di difesa poiché, visto l’andamento del conflitto, porterà certamente ad un guadagno, sia in termini di dividendi, sia in termini di aumento del valore della singola azione. I finanziamenti degli azionisti saranno poi utilizzati per la costruzione di nuove armi da parte delle aziende produttrici, alimentando l’interesse di investitori e leader mondiali al proseguimento del conflitto</w:t>
      </w:r>
      <w:r w:rsidR="00061031" w:rsidRPr="00564325">
        <w:rPr>
          <w:lang w:val="it-IT"/>
        </w:rPr>
        <w:t>, a scapito dei valori etici e morali e delle vite umane in gioco</w:t>
      </w:r>
      <w:r w:rsidRPr="00564325">
        <w:rPr>
          <w:lang w:val="it-IT"/>
        </w:rPr>
        <w:t xml:space="preserve">. </w:t>
      </w:r>
    </w:p>
    <w:p w14:paraId="36B61812" w14:textId="0459EA52" w:rsidR="002D3885" w:rsidRPr="00564325" w:rsidRDefault="002D3885" w:rsidP="002D3885">
      <w:pPr>
        <w:pStyle w:val="aptp"/>
        <w:rPr>
          <w:lang w:val="it-IT"/>
        </w:rPr>
      </w:pPr>
      <w:r w:rsidRPr="00564325">
        <w:rPr>
          <w:lang w:val="it-IT"/>
        </w:rPr>
        <w:t xml:space="preserve">L’obiettivo di questa ricerca è quello di simulare un portafoglio composto unicamente da titoli </w:t>
      </w:r>
      <w:r w:rsidRPr="00564325">
        <w:rPr>
          <w:i/>
          <w:iCs/>
          <w:lang w:val="it-IT"/>
        </w:rPr>
        <w:t>defense</w:t>
      </w:r>
      <w:r w:rsidRPr="00564325">
        <w:rPr>
          <w:lang w:val="it-IT"/>
        </w:rPr>
        <w:t>, ambito ampiamente volatile e per questo molto rischioso, ma anche molto redditizio</w:t>
      </w:r>
      <w:r w:rsidR="00982762" w:rsidRPr="00564325">
        <w:rPr>
          <w:lang w:val="it-IT"/>
        </w:rPr>
        <w:t>,</w:t>
      </w:r>
      <w:r w:rsidRPr="00564325">
        <w:rPr>
          <w:lang w:val="it-IT"/>
        </w:rPr>
        <w:t xml:space="preserve"> in un contesto di forti tensioni politiche come quello odierno.</w:t>
      </w:r>
    </w:p>
    <w:p w14:paraId="02C647FB" w14:textId="77777777" w:rsidR="002D3885" w:rsidRPr="00564325" w:rsidRDefault="002D3885" w:rsidP="002D3885">
      <w:pPr>
        <w:pStyle w:val="aptp"/>
        <w:rPr>
          <w:lang w:val="it-IT"/>
        </w:rPr>
      </w:pPr>
    </w:p>
    <w:p w14:paraId="0BC408B5" w14:textId="77777777" w:rsidR="002D3885" w:rsidRPr="00564325" w:rsidRDefault="002D3885" w:rsidP="002D3885">
      <w:pPr>
        <w:pStyle w:val="apth3"/>
      </w:pPr>
      <w:bookmarkStart w:id="4" w:name="_Toc205494593"/>
      <w:bookmarkStart w:id="5" w:name="_Toc207820524"/>
      <w:r w:rsidRPr="00564325">
        <w:t>Metodologia</w:t>
      </w:r>
      <w:bookmarkEnd w:id="4"/>
      <w:bookmarkEnd w:id="5"/>
    </w:p>
    <w:p w14:paraId="7A8EB4C9" w14:textId="633F33A4" w:rsidR="002D3885" w:rsidRPr="00564325" w:rsidRDefault="002D3885" w:rsidP="002D3885">
      <w:pPr>
        <w:pStyle w:val="aptp"/>
        <w:rPr>
          <w:lang w:val="it-IT"/>
        </w:rPr>
      </w:pPr>
      <w:r w:rsidRPr="00564325">
        <w:rPr>
          <w:lang w:val="it-IT"/>
        </w:rPr>
        <w:t xml:space="preserve">Per la realizzazione dell’analisi sarà utilizzato il modello di ottimizzazione di </w:t>
      </w:r>
      <w:r w:rsidRPr="00564325">
        <w:rPr>
          <w:i/>
          <w:iCs/>
          <w:lang w:val="it-IT"/>
        </w:rPr>
        <w:t>Marko</w:t>
      </w:r>
      <w:r w:rsidR="00FF0E1E" w:rsidRPr="00564325">
        <w:rPr>
          <w:i/>
          <w:iCs/>
          <w:lang w:val="it-IT"/>
        </w:rPr>
        <w:t>v</w:t>
      </w:r>
      <w:r w:rsidRPr="00564325">
        <w:rPr>
          <w:i/>
          <w:iCs/>
          <w:lang w:val="it-IT"/>
        </w:rPr>
        <w:t>itz</w:t>
      </w:r>
      <w:r w:rsidRPr="00564325">
        <w:rPr>
          <w:lang w:val="it-IT"/>
        </w:rPr>
        <w:t xml:space="preserve"> per cui si cerca di massimizzare il rendimento e minimizzare il rischio. </w:t>
      </w:r>
    </w:p>
    <w:p w14:paraId="46DFAFA6" w14:textId="77777777" w:rsidR="002B0444" w:rsidRPr="00564325" w:rsidRDefault="002D3885" w:rsidP="002D3885">
      <w:pPr>
        <w:pStyle w:val="aptp"/>
        <w:rPr>
          <w:lang w:val="it-IT"/>
        </w:rPr>
      </w:pPr>
      <w:r w:rsidRPr="00564325">
        <w:rPr>
          <w:lang w:val="it-IT"/>
        </w:rPr>
        <w:t xml:space="preserve">Tale modello, costruito attraverso un </w:t>
      </w:r>
      <w:hyperlink r:id="rId14" w:history="1">
        <w:r w:rsidRPr="00564325">
          <w:rPr>
            <w:rStyle w:val="Hyperlink"/>
            <w:lang w:val="it-IT"/>
          </w:rPr>
          <w:t>codice Python</w:t>
        </w:r>
      </w:hyperlink>
      <w:r w:rsidRPr="00564325">
        <w:rPr>
          <w:lang w:val="it-IT"/>
        </w:rPr>
        <w:t>, restituisce come output un grafico che mostri la frontiera efficiente del portafoglio nel periodo di osservazione dell’andamento dei titoli</w:t>
      </w:r>
      <w:r w:rsidR="005F7116" w:rsidRPr="00564325">
        <w:rPr>
          <w:lang w:val="it-IT"/>
        </w:rPr>
        <w:t xml:space="preserve"> e sarà utilizzato per </w:t>
      </w:r>
      <w:r w:rsidR="002B0444" w:rsidRPr="00564325">
        <w:rPr>
          <w:lang w:val="it-IT"/>
        </w:rPr>
        <w:t>svolgere tre principali analisi.</w:t>
      </w:r>
    </w:p>
    <w:p w14:paraId="4A5A282E" w14:textId="5A10458D" w:rsidR="002652EB" w:rsidRPr="00564325" w:rsidRDefault="002B0444" w:rsidP="002D3885">
      <w:pPr>
        <w:pStyle w:val="aptp"/>
        <w:rPr>
          <w:lang w:val="it-IT"/>
        </w:rPr>
      </w:pPr>
      <w:r w:rsidRPr="00564325">
        <w:rPr>
          <w:lang w:val="it-IT"/>
        </w:rPr>
        <w:t xml:space="preserve">La prima ha come obiettivo </w:t>
      </w:r>
      <w:r w:rsidR="00C4748A" w:rsidRPr="00564325">
        <w:rPr>
          <w:lang w:val="it-IT"/>
        </w:rPr>
        <w:t xml:space="preserve">quello di trovare i portafogli più </w:t>
      </w:r>
      <w:r w:rsidR="002652EB" w:rsidRPr="00564325">
        <w:rPr>
          <w:lang w:val="it-IT"/>
        </w:rPr>
        <w:t>ottimali</w:t>
      </w:r>
      <w:r w:rsidR="00AF1A1A" w:rsidRPr="00564325">
        <w:rPr>
          <w:lang w:val="it-IT"/>
        </w:rPr>
        <w:t xml:space="preserve"> sulla frontiera efficiente</w:t>
      </w:r>
      <w:r w:rsidR="002652EB" w:rsidRPr="00564325">
        <w:rPr>
          <w:lang w:val="it-IT"/>
        </w:rPr>
        <w:t>, ovvero con maggior rendimento oppure minor rischio,</w:t>
      </w:r>
      <w:r w:rsidR="00AF1A1A" w:rsidRPr="00564325">
        <w:rPr>
          <w:lang w:val="it-IT"/>
        </w:rPr>
        <w:t xml:space="preserve"> discutendo la </w:t>
      </w:r>
      <w:r w:rsidR="00AF1A1A" w:rsidRPr="00564325">
        <w:rPr>
          <w:i/>
          <w:iCs/>
          <w:lang w:val="it-IT"/>
        </w:rPr>
        <w:t>performance</w:t>
      </w:r>
      <w:r w:rsidR="00AF1A1A" w:rsidRPr="00564325">
        <w:rPr>
          <w:lang w:val="it-IT"/>
        </w:rPr>
        <w:t xml:space="preserve"> generale del portafoglio.</w:t>
      </w:r>
    </w:p>
    <w:p w14:paraId="36523422" w14:textId="0C1316F4" w:rsidR="00AF1A1A" w:rsidRPr="00564325" w:rsidRDefault="00AF1A1A" w:rsidP="002D3885">
      <w:pPr>
        <w:pStyle w:val="aptp"/>
        <w:rPr>
          <w:lang w:val="it-IT"/>
        </w:rPr>
      </w:pPr>
      <w:r w:rsidRPr="00564325">
        <w:rPr>
          <w:lang w:val="it-IT"/>
        </w:rPr>
        <w:t xml:space="preserve">La seconda analisi confronta il portafoglio </w:t>
      </w:r>
      <w:r w:rsidRPr="00564325">
        <w:rPr>
          <w:i/>
          <w:iCs/>
          <w:lang w:val="it-IT"/>
        </w:rPr>
        <w:t>defense</w:t>
      </w:r>
      <w:r w:rsidRPr="00564325">
        <w:rPr>
          <w:lang w:val="it-IT"/>
        </w:rPr>
        <w:t xml:space="preserve"> con un portafoglio più ampio e </w:t>
      </w:r>
      <w:r w:rsidR="00076D69" w:rsidRPr="00564325">
        <w:rPr>
          <w:lang w:val="it-IT"/>
        </w:rPr>
        <w:t>diversificato per settori, ovvero con titoli di settori diversi tra di lor</w:t>
      </w:r>
      <w:r w:rsidR="003B162D" w:rsidRPr="00564325">
        <w:rPr>
          <w:lang w:val="it-IT"/>
        </w:rPr>
        <w:t>o in maniera da ridurre il rischio specifico</w:t>
      </w:r>
      <w:r w:rsidR="007B3C59" w:rsidRPr="00564325">
        <w:rPr>
          <w:rStyle w:val="FootnoteReference"/>
          <w:lang w:val="it-IT"/>
        </w:rPr>
        <w:footnoteReference w:id="3"/>
      </w:r>
      <w:r w:rsidR="003B162D" w:rsidRPr="00564325">
        <w:rPr>
          <w:lang w:val="it-IT"/>
        </w:rPr>
        <w:t>.</w:t>
      </w:r>
    </w:p>
    <w:p w14:paraId="67E5056E" w14:textId="36A3960D" w:rsidR="002D3885" w:rsidRPr="00564325" w:rsidRDefault="00794586" w:rsidP="002D3885">
      <w:pPr>
        <w:pStyle w:val="aptp"/>
        <w:rPr>
          <w:lang w:val="it-IT"/>
        </w:rPr>
      </w:pPr>
      <w:r w:rsidRPr="00564325">
        <w:rPr>
          <w:lang w:val="it-IT"/>
        </w:rPr>
        <w:t>Infine,</w:t>
      </w:r>
      <w:r w:rsidR="00683944" w:rsidRPr="00564325">
        <w:rPr>
          <w:lang w:val="it-IT"/>
        </w:rPr>
        <w:t xml:space="preserve"> lo stesso portafoglio </w:t>
      </w:r>
      <w:r w:rsidR="00683944" w:rsidRPr="00564325">
        <w:rPr>
          <w:i/>
          <w:iCs/>
          <w:lang w:val="it-IT"/>
        </w:rPr>
        <w:t>defense</w:t>
      </w:r>
      <w:r w:rsidR="00683944" w:rsidRPr="00564325">
        <w:rPr>
          <w:lang w:val="it-IT"/>
        </w:rPr>
        <w:t xml:space="preserve"> sarà osservato in due periodi diversi</w:t>
      </w:r>
      <w:r w:rsidR="005021FF" w:rsidRPr="00564325">
        <w:rPr>
          <w:lang w:val="it-IT"/>
        </w:rPr>
        <w:t xml:space="preserve">: </w:t>
      </w:r>
      <w:r w:rsidR="00683944" w:rsidRPr="00564325">
        <w:rPr>
          <w:lang w:val="it-IT"/>
        </w:rPr>
        <w:t>il periodo</w:t>
      </w:r>
      <w:r w:rsidR="005021FF" w:rsidRPr="00564325">
        <w:rPr>
          <w:lang w:val="it-IT"/>
        </w:rPr>
        <w:t xml:space="preserve"> </w:t>
      </w:r>
      <w:r w:rsidR="00E54893" w:rsidRPr="00564325">
        <w:rPr>
          <w:lang w:val="it-IT"/>
        </w:rPr>
        <w:t>anteguerra</w:t>
      </w:r>
      <w:r w:rsidR="005021FF" w:rsidRPr="00564325">
        <w:rPr>
          <w:lang w:val="it-IT"/>
        </w:rPr>
        <w:t xml:space="preserve"> russo-ucraina e durante</w:t>
      </w:r>
      <w:r w:rsidR="003445D2" w:rsidRPr="00564325">
        <w:rPr>
          <w:lang w:val="it-IT"/>
        </w:rPr>
        <w:t xml:space="preserve"> il conflitto fino ad oggi</w:t>
      </w:r>
      <w:r w:rsidR="00FE0BC7" w:rsidRPr="00564325">
        <w:rPr>
          <w:lang w:val="it-IT"/>
        </w:rPr>
        <w:t>, per testare fino a che punto le regole generali del portafoglio siano valide anche per l’ambito della difesa internazionale.</w:t>
      </w:r>
    </w:p>
    <w:p w14:paraId="4040AC31" w14:textId="014E6206" w:rsidR="00352D24" w:rsidRPr="00564325" w:rsidRDefault="00352D24" w:rsidP="002D3885">
      <w:pPr>
        <w:pStyle w:val="aptp"/>
        <w:rPr>
          <w:lang w:val="it-IT"/>
        </w:rPr>
      </w:pPr>
    </w:p>
    <w:p w14:paraId="580E3389" w14:textId="0E8DAB18" w:rsidR="002D3885" w:rsidRPr="00564325" w:rsidRDefault="002D3885" w:rsidP="002D3885">
      <w:pPr>
        <w:pStyle w:val="apth1"/>
      </w:pPr>
      <w:bookmarkStart w:id="6" w:name="_Toc205494594"/>
      <w:bookmarkStart w:id="7" w:name="_Toc207820525"/>
      <w:r w:rsidRPr="00564325">
        <w:lastRenderedPageBreak/>
        <w:t>1. Costruzione de</w:t>
      </w:r>
      <w:bookmarkEnd w:id="6"/>
      <w:r w:rsidR="00166C4F" w:rsidRPr="00564325">
        <w:t>l modello</w:t>
      </w:r>
      <w:bookmarkEnd w:id="7"/>
    </w:p>
    <w:p w14:paraId="7B5F75C4" w14:textId="2F98A25C" w:rsidR="00F57751" w:rsidRPr="00564325" w:rsidRDefault="00895C75" w:rsidP="00F57751">
      <w:pPr>
        <w:pStyle w:val="apth3"/>
      </w:pPr>
      <w:bookmarkStart w:id="8" w:name="_Toc207820526"/>
      <w:r w:rsidRPr="00564325">
        <w:t>Modello di Markovitz</w:t>
      </w:r>
      <w:bookmarkEnd w:id="8"/>
    </w:p>
    <w:p w14:paraId="6DBB5BB6" w14:textId="1D4525C1" w:rsidR="00A15B7B" w:rsidRPr="00564325" w:rsidRDefault="00692815" w:rsidP="00F57751">
      <w:pPr>
        <w:pStyle w:val="aptp"/>
        <w:rPr>
          <w:i/>
          <w:iCs/>
          <w:lang w:val="it-IT"/>
        </w:rPr>
      </w:pPr>
      <w:r w:rsidRPr="00564325">
        <w:rPr>
          <w:lang w:val="it-IT"/>
        </w:rPr>
        <w:t xml:space="preserve">Ai fini dell’analisi, il modello per cui si ha optato è il </w:t>
      </w:r>
      <w:r w:rsidR="00F57751" w:rsidRPr="00564325">
        <w:rPr>
          <w:lang w:val="it-IT"/>
        </w:rPr>
        <w:t xml:space="preserve">Modello </w:t>
      </w:r>
      <w:r w:rsidRPr="00564325">
        <w:rPr>
          <w:lang w:val="it-IT"/>
        </w:rPr>
        <w:t xml:space="preserve">di </w:t>
      </w:r>
      <w:r w:rsidRPr="00564325">
        <w:rPr>
          <w:i/>
          <w:iCs/>
          <w:lang w:val="it-IT"/>
        </w:rPr>
        <w:t>Markovitz</w:t>
      </w:r>
      <w:r w:rsidRPr="00564325">
        <w:rPr>
          <w:lang w:val="it-IT"/>
        </w:rPr>
        <w:t xml:space="preserve">, un modello </w:t>
      </w:r>
      <w:r w:rsidR="00F57751" w:rsidRPr="00564325">
        <w:rPr>
          <w:lang w:val="it-IT"/>
        </w:rPr>
        <w:t>di ottimizzazione quadratica</w:t>
      </w:r>
      <w:r w:rsidR="000F384E" w:rsidRPr="00564325">
        <w:rPr>
          <w:lang w:val="it-IT"/>
        </w:rPr>
        <w:t xml:space="preserve"> </w:t>
      </w:r>
      <w:r w:rsidR="00A15B7B" w:rsidRPr="00564325">
        <w:rPr>
          <w:lang w:val="it-IT"/>
        </w:rPr>
        <w:t>con l’obiettivo di trovare la combinazione ottimale di asset in un portafoglio minimizzando il rischio per un dato livello di rendimento.</w:t>
      </w:r>
      <w:r w:rsidR="00972AC5" w:rsidRPr="00564325">
        <w:rPr>
          <w:lang w:val="it-IT"/>
        </w:rPr>
        <w:t xml:space="preserve"> La costruzione del modello, vista la sua natura complessa, è stata sviluppata tramite codice Python</w:t>
      </w:r>
      <w:r w:rsidR="00C35CC2" w:rsidRPr="00564325">
        <w:rPr>
          <w:lang w:val="it-IT"/>
        </w:rPr>
        <w:t xml:space="preserve">, ma è possibile identificarne la </w:t>
      </w:r>
      <w:r w:rsidR="00C35CC2" w:rsidRPr="00564325">
        <w:rPr>
          <w:b/>
          <w:bCs/>
          <w:lang w:val="it-IT"/>
        </w:rPr>
        <w:t>funzione obiettivo</w:t>
      </w:r>
      <w:r w:rsidR="00C35CC2" w:rsidRPr="00564325">
        <w:rPr>
          <w:lang w:val="it-IT"/>
        </w:rPr>
        <w:t xml:space="preserve">, </w:t>
      </w:r>
      <w:r w:rsidR="00F5402B" w:rsidRPr="00564325">
        <w:rPr>
          <w:lang w:val="it-IT"/>
        </w:rPr>
        <w:t xml:space="preserve">le </w:t>
      </w:r>
      <w:r w:rsidR="00F5402B" w:rsidRPr="00564325">
        <w:rPr>
          <w:b/>
          <w:bCs/>
          <w:lang w:val="it-IT"/>
        </w:rPr>
        <w:t>variabili di decisione</w:t>
      </w:r>
      <w:r w:rsidR="00F5402B" w:rsidRPr="00564325">
        <w:rPr>
          <w:lang w:val="it-IT"/>
        </w:rPr>
        <w:t xml:space="preserve"> e i </w:t>
      </w:r>
      <w:r w:rsidR="00F5402B" w:rsidRPr="00564325">
        <w:rPr>
          <w:b/>
          <w:bCs/>
          <w:lang w:val="it-IT"/>
        </w:rPr>
        <w:t>vincoli</w:t>
      </w:r>
      <w:r w:rsidR="00840F26" w:rsidRPr="00564325">
        <w:rPr>
          <w:b/>
          <w:bCs/>
          <w:lang w:val="it-IT"/>
        </w:rPr>
        <w:t xml:space="preserve"> </w:t>
      </w:r>
      <w:r w:rsidR="00840F26" w:rsidRPr="00564325">
        <w:rPr>
          <w:lang w:val="it-IT"/>
        </w:rPr>
        <w:t xml:space="preserve">imposti </w:t>
      </w:r>
      <w:r w:rsidR="00237C41" w:rsidRPr="00564325">
        <w:rPr>
          <w:lang w:val="it-IT"/>
        </w:rPr>
        <w:t>per far rispettare gli obiettivi di rendimento e impedire investimenti troppo rischiosi</w:t>
      </w:r>
      <w:r w:rsidR="00F5402B" w:rsidRPr="00564325">
        <w:rPr>
          <w:lang w:val="it-IT"/>
        </w:rPr>
        <w:t xml:space="preserve"> </w:t>
      </w:r>
      <w:r w:rsidR="0056313D" w:rsidRPr="00564325">
        <w:rPr>
          <w:lang w:val="it-IT"/>
        </w:rPr>
        <w:t xml:space="preserve">all’investitore </w:t>
      </w:r>
      <w:r w:rsidR="00F5402B" w:rsidRPr="00564325">
        <w:rPr>
          <w:lang w:val="it-IT"/>
        </w:rPr>
        <w:t>(</w:t>
      </w:r>
      <w:r w:rsidR="00F5402B" w:rsidRPr="00564325">
        <w:rPr>
          <w:i/>
          <w:iCs/>
          <w:lang w:val="it-IT"/>
        </w:rPr>
        <w:t xml:space="preserve">Tab.1 </w:t>
      </w:r>
      <w:r w:rsidR="00076AAB" w:rsidRPr="00564325">
        <w:rPr>
          <w:i/>
          <w:iCs/>
          <w:lang w:val="it-IT"/>
        </w:rPr>
        <w:t>–</w:t>
      </w:r>
      <w:r w:rsidR="00F5402B" w:rsidRPr="00564325">
        <w:rPr>
          <w:i/>
          <w:iCs/>
          <w:lang w:val="it-IT"/>
        </w:rPr>
        <w:t xml:space="preserve"> </w:t>
      </w:r>
      <w:r w:rsidR="00076AAB" w:rsidRPr="00564325">
        <w:rPr>
          <w:i/>
          <w:iCs/>
          <w:lang w:val="it-IT"/>
        </w:rPr>
        <w:t>Componenti del modello).</w:t>
      </w:r>
    </w:p>
    <w:p w14:paraId="71678461" w14:textId="77777777" w:rsidR="00076AAB" w:rsidRPr="00564325" w:rsidRDefault="00076AAB" w:rsidP="00F57751">
      <w:pPr>
        <w:pStyle w:val="aptp"/>
        <w:rPr>
          <w:lang w:val="it-IT"/>
        </w:rPr>
      </w:pPr>
    </w:p>
    <w:p w14:paraId="7B7D1D3F" w14:textId="43453CB0" w:rsidR="00076AAB" w:rsidRPr="00564325" w:rsidRDefault="00076AAB" w:rsidP="00C82DFF">
      <w:pPr>
        <w:pStyle w:val="aptdidascalie"/>
      </w:pPr>
      <w:r w:rsidRPr="00564325">
        <w:t>Tab. 1 – Componenti del modello</w:t>
      </w:r>
    </w:p>
    <w:tbl>
      <w:tblPr>
        <w:tblStyle w:val="TableGrid"/>
        <w:tblW w:w="0" w:type="auto"/>
        <w:tblLook w:val="04A0" w:firstRow="1" w:lastRow="0" w:firstColumn="1" w:lastColumn="0" w:noHBand="0" w:noVBand="1"/>
      </w:tblPr>
      <w:tblGrid>
        <w:gridCol w:w="2547"/>
        <w:gridCol w:w="2835"/>
        <w:gridCol w:w="3634"/>
      </w:tblGrid>
      <w:tr w:rsidR="00C82DFF" w:rsidRPr="00564325" w14:paraId="5ACFAB6B" w14:textId="5EF30166" w:rsidTr="00780F9D">
        <w:trPr>
          <w:trHeight w:val="750"/>
        </w:trPr>
        <w:tc>
          <w:tcPr>
            <w:tcW w:w="2547" w:type="dxa"/>
          </w:tcPr>
          <w:p w14:paraId="596937CD" w14:textId="77777777" w:rsidR="00C82DFF" w:rsidRPr="00564325" w:rsidRDefault="00C82DFF" w:rsidP="00F57751">
            <w:pPr>
              <w:pStyle w:val="aptp"/>
              <w:rPr>
                <w:lang w:val="it-IT"/>
              </w:rPr>
            </w:pPr>
            <w:r w:rsidRPr="00564325">
              <w:rPr>
                <w:lang w:val="it-IT"/>
              </w:rPr>
              <w:t>Funzione obiettivo</w:t>
            </w:r>
          </w:p>
          <w:p w14:paraId="100A8168" w14:textId="1081C009" w:rsidR="003D7984" w:rsidRPr="00564325" w:rsidRDefault="003D7984" w:rsidP="00F57751">
            <w:pPr>
              <w:pStyle w:val="aptp"/>
              <w:rPr>
                <w:lang w:val="it-IT"/>
              </w:rPr>
            </w:pPr>
            <w:r w:rsidRPr="00564325">
              <w:rPr>
                <w:lang w:val="it-IT"/>
              </w:rPr>
              <w:t>(quadratica)</w:t>
            </w:r>
          </w:p>
        </w:tc>
        <w:tc>
          <w:tcPr>
            <w:tcW w:w="2835" w:type="dxa"/>
          </w:tcPr>
          <w:p w14:paraId="110E7E96" w14:textId="765B5070" w:rsidR="00C82DFF" w:rsidRPr="00564325" w:rsidRDefault="00C82DFF" w:rsidP="005E4618">
            <w:pPr>
              <w:pStyle w:val="aptp"/>
              <w:rPr>
                <w:i/>
                <w:iCs/>
                <w:vertAlign w:val="subscript"/>
                <w:lang w:val="it-IT"/>
              </w:rPr>
            </w:pPr>
            <w:proofErr w:type="spellStart"/>
            <w:r w:rsidRPr="00564325">
              <w:rPr>
                <w:i/>
                <w:iCs/>
                <w:lang w:val="it-IT"/>
              </w:rPr>
              <w:t>min</w:t>
            </w:r>
            <w:r w:rsidRPr="00564325">
              <w:rPr>
                <w:i/>
                <w:iCs/>
                <w:vertAlign w:val="subscript"/>
                <w:lang w:val="it-IT"/>
              </w:rPr>
              <w:t>xi</w:t>
            </w:r>
            <w:proofErr w:type="spellEnd"/>
            <w:r w:rsidRPr="00564325">
              <w:rPr>
                <w:i/>
                <w:iCs/>
                <w:lang w:val="it-IT"/>
              </w:rPr>
              <w:t xml:space="preserve"> </w:t>
            </w:r>
            <m:oMath>
              <m:f>
                <m:fPr>
                  <m:ctrlPr>
                    <w:rPr>
                      <w:rFonts w:ascii="Cambria Math" w:hAnsi="Cambria Math"/>
                      <w:i/>
                      <w:iCs/>
                      <w:lang w:val="it-IT"/>
                    </w:rPr>
                  </m:ctrlPr>
                </m:fPr>
                <m:num>
                  <m:r>
                    <w:rPr>
                      <w:rFonts w:ascii="Cambria Math" w:hAnsi="Cambria Math"/>
                      <w:lang w:val="it-IT"/>
                    </w:rPr>
                    <m:t>1</m:t>
                  </m:r>
                </m:num>
                <m:den>
                  <m:r>
                    <w:rPr>
                      <w:rFonts w:ascii="Cambria Math" w:hAnsi="Cambria Math"/>
                      <w:lang w:val="it-IT"/>
                    </w:rPr>
                    <m:t>2</m:t>
                  </m:r>
                </m:den>
              </m:f>
              <m:nary>
                <m:naryPr>
                  <m:chr m:val="∑"/>
                  <m:limLoc m:val="undOvr"/>
                  <m:ctrlPr>
                    <w:rPr>
                      <w:rFonts w:ascii="Cambria Math" w:hAnsi="Cambria Math"/>
                      <w:i/>
                      <w:iCs/>
                      <w:lang w:val="it-IT"/>
                    </w:rPr>
                  </m:ctrlPr>
                </m:naryPr>
                <m:sub>
                  <m:r>
                    <w:rPr>
                      <w:rFonts w:ascii="Cambria Math" w:hAnsi="Cambria Math"/>
                      <w:lang w:val="it-IT"/>
                    </w:rPr>
                    <m:t>i=1</m:t>
                  </m:r>
                </m:sub>
                <m:sup>
                  <m:r>
                    <w:rPr>
                      <w:rFonts w:ascii="Cambria Math" w:hAnsi="Cambria Math"/>
                      <w:lang w:val="it-IT"/>
                    </w:rPr>
                    <m:t>N</m:t>
                  </m:r>
                </m:sup>
                <m:e>
                  <m:r>
                    <w:rPr>
                      <w:rFonts w:ascii="Cambria Math" w:hAnsi="Cambria Math"/>
                      <w:lang w:val="it-IT"/>
                    </w:rPr>
                    <m:t xml:space="preserve"> </m:t>
                  </m:r>
                </m:e>
              </m:nary>
              <m:nary>
                <m:naryPr>
                  <m:chr m:val="∑"/>
                  <m:limLoc m:val="undOvr"/>
                  <m:ctrlPr>
                    <w:rPr>
                      <w:rFonts w:ascii="Cambria Math" w:hAnsi="Cambria Math"/>
                      <w:i/>
                      <w:iCs/>
                      <w:lang w:val="it-IT"/>
                    </w:rPr>
                  </m:ctrlPr>
                </m:naryPr>
                <m:sub>
                  <m:r>
                    <w:rPr>
                      <w:rFonts w:ascii="Cambria Math" w:hAnsi="Cambria Math"/>
                      <w:lang w:val="it-IT"/>
                    </w:rPr>
                    <m:t>j= 1</m:t>
                  </m:r>
                </m:sub>
                <m:sup>
                  <m:r>
                    <w:rPr>
                      <w:rFonts w:ascii="Cambria Math" w:hAnsi="Cambria Math"/>
                      <w:lang w:val="it-IT"/>
                    </w:rPr>
                    <m:t>N</m:t>
                  </m:r>
                </m:sup>
                <m:e>
                  <m:r>
                    <w:rPr>
                      <w:rFonts w:ascii="Cambria Math" w:hAnsi="Cambria Math"/>
                      <w:lang w:val="it-IT"/>
                    </w:rPr>
                    <m:t xml:space="preserve"> </m:t>
                  </m:r>
                </m:e>
              </m:nary>
            </m:oMath>
            <w:r w:rsidRPr="00564325">
              <w:rPr>
                <w:i/>
                <w:iCs/>
                <w:vertAlign w:val="subscript"/>
                <w:lang w:val="it-IT"/>
              </w:rPr>
              <w:t xml:space="preserve"> </w:t>
            </w:r>
            <w:r w:rsidRPr="00564325">
              <w:rPr>
                <w:i/>
                <w:iCs/>
                <w:lang w:val="it-IT"/>
              </w:rPr>
              <w:t>σ</w:t>
            </w:r>
            <w:r w:rsidR="00780F9D" w:rsidRPr="00564325">
              <w:rPr>
                <w:rStyle w:val="FootnoteReference"/>
                <w:i/>
                <w:iCs/>
                <w:lang w:val="it-IT"/>
              </w:rPr>
              <w:footnoteReference w:id="4"/>
            </w:r>
            <w:r w:rsidRPr="00564325">
              <w:rPr>
                <w:i/>
                <w:iCs/>
                <w:vertAlign w:val="subscript"/>
                <w:lang w:val="it-IT"/>
              </w:rPr>
              <w:t>i</w:t>
            </w:r>
            <w:r w:rsidRPr="00564325">
              <w:rPr>
                <w:i/>
                <w:iCs/>
                <w:lang w:val="it-IT"/>
              </w:rPr>
              <w:t>, x</w:t>
            </w:r>
            <w:r w:rsidRPr="00564325">
              <w:rPr>
                <w:i/>
                <w:iCs/>
                <w:vertAlign w:val="subscript"/>
                <w:lang w:val="it-IT"/>
              </w:rPr>
              <w:t>i</w:t>
            </w:r>
            <w:r w:rsidRPr="00564325">
              <w:rPr>
                <w:i/>
                <w:iCs/>
                <w:lang w:val="it-IT"/>
              </w:rPr>
              <w:t xml:space="preserve">, </w:t>
            </w:r>
            <w:proofErr w:type="spellStart"/>
            <w:r w:rsidRPr="00564325">
              <w:rPr>
                <w:i/>
                <w:iCs/>
                <w:lang w:val="it-IT"/>
              </w:rPr>
              <w:t>x</w:t>
            </w:r>
            <w:r w:rsidRPr="00564325">
              <w:rPr>
                <w:i/>
                <w:iCs/>
                <w:vertAlign w:val="subscript"/>
                <w:lang w:val="it-IT"/>
              </w:rPr>
              <w:t>j</w:t>
            </w:r>
            <w:proofErr w:type="spellEnd"/>
          </w:p>
          <w:p w14:paraId="4175AF37" w14:textId="7E3BBD61" w:rsidR="00C82DFF" w:rsidRPr="00564325" w:rsidRDefault="00C82DFF" w:rsidP="00F57751">
            <w:pPr>
              <w:pStyle w:val="aptp"/>
              <w:rPr>
                <w:lang w:val="it-IT"/>
              </w:rPr>
            </w:pPr>
          </w:p>
        </w:tc>
        <w:tc>
          <w:tcPr>
            <w:tcW w:w="3634" w:type="dxa"/>
          </w:tcPr>
          <w:p w14:paraId="2B89951A" w14:textId="55133D06" w:rsidR="00C82DFF" w:rsidRPr="00564325" w:rsidRDefault="00C82DFF" w:rsidP="005E4618">
            <w:pPr>
              <w:pStyle w:val="aptp"/>
              <w:rPr>
                <w:lang w:val="it-IT"/>
              </w:rPr>
            </w:pPr>
            <w:r w:rsidRPr="00564325">
              <w:rPr>
                <w:lang w:val="it-IT"/>
              </w:rPr>
              <w:t>Minimizza il rischio (o massimizza il rendimento)</w:t>
            </w:r>
          </w:p>
        </w:tc>
      </w:tr>
      <w:tr w:rsidR="00C82DFF" w:rsidRPr="00564325" w14:paraId="79E2DD0A" w14:textId="66E34C74" w:rsidTr="00780F9D">
        <w:tc>
          <w:tcPr>
            <w:tcW w:w="2547" w:type="dxa"/>
          </w:tcPr>
          <w:p w14:paraId="6BF00AED" w14:textId="29E3118D" w:rsidR="00C82DFF" w:rsidRPr="00564325" w:rsidRDefault="00C82DFF" w:rsidP="00F57751">
            <w:pPr>
              <w:pStyle w:val="aptp"/>
              <w:rPr>
                <w:lang w:val="it-IT"/>
              </w:rPr>
            </w:pPr>
            <w:r w:rsidRPr="00564325">
              <w:rPr>
                <w:lang w:val="it-IT"/>
              </w:rPr>
              <w:t>Variabili di decisione</w:t>
            </w:r>
          </w:p>
        </w:tc>
        <w:tc>
          <w:tcPr>
            <w:tcW w:w="2835" w:type="dxa"/>
          </w:tcPr>
          <w:p w14:paraId="17282367" w14:textId="2E9CC4F5" w:rsidR="00C82DFF" w:rsidRPr="00564325" w:rsidRDefault="00C82DFF" w:rsidP="00F57751">
            <w:pPr>
              <w:pStyle w:val="aptp"/>
              <w:rPr>
                <w:i/>
                <w:iCs/>
                <w:lang w:val="it-IT"/>
              </w:rPr>
            </w:pPr>
            <w:r w:rsidRPr="00564325">
              <w:rPr>
                <w:i/>
                <w:iCs/>
                <w:lang w:val="it-IT"/>
              </w:rPr>
              <w:t>x</w:t>
            </w:r>
            <w:r w:rsidRPr="00564325">
              <w:rPr>
                <w:i/>
                <w:iCs/>
                <w:vertAlign w:val="subscript"/>
                <w:lang w:val="it-IT"/>
              </w:rPr>
              <w:t>i</w:t>
            </w:r>
            <w:r w:rsidRPr="00564325">
              <w:rPr>
                <w:i/>
                <w:iCs/>
                <w:lang w:val="it-IT"/>
              </w:rPr>
              <w:t xml:space="preserve">, </w:t>
            </w:r>
            <w:proofErr w:type="spellStart"/>
            <w:r w:rsidRPr="00564325">
              <w:rPr>
                <w:i/>
                <w:iCs/>
                <w:lang w:val="it-IT"/>
              </w:rPr>
              <w:t>x</w:t>
            </w:r>
            <w:r w:rsidRPr="00564325">
              <w:rPr>
                <w:i/>
                <w:iCs/>
                <w:vertAlign w:val="subscript"/>
                <w:lang w:val="it-IT"/>
              </w:rPr>
              <w:t>j</w:t>
            </w:r>
            <w:proofErr w:type="spellEnd"/>
          </w:p>
        </w:tc>
        <w:tc>
          <w:tcPr>
            <w:tcW w:w="3634" w:type="dxa"/>
          </w:tcPr>
          <w:p w14:paraId="38F8F115" w14:textId="36E9511A" w:rsidR="00C82DFF" w:rsidRPr="00564325" w:rsidRDefault="00F858DE" w:rsidP="00F57751">
            <w:pPr>
              <w:pStyle w:val="aptp"/>
              <w:rPr>
                <w:lang w:val="it-IT"/>
              </w:rPr>
            </w:pPr>
            <w:r w:rsidRPr="00564325">
              <w:rPr>
                <w:lang w:val="it-IT"/>
              </w:rPr>
              <w:t>La q</w:t>
            </w:r>
            <w:r w:rsidR="00DA50AC" w:rsidRPr="00564325">
              <w:rPr>
                <w:lang w:val="it-IT"/>
              </w:rPr>
              <w:t>uantità d</w:t>
            </w:r>
            <w:r w:rsidRPr="00564325">
              <w:rPr>
                <w:lang w:val="it-IT"/>
              </w:rPr>
              <w:t>ei</w:t>
            </w:r>
            <w:r w:rsidR="00DA50AC" w:rsidRPr="00564325">
              <w:rPr>
                <w:lang w:val="it-IT"/>
              </w:rPr>
              <w:t xml:space="preserve"> diversi asset del portafoglio</w:t>
            </w:r>
            <w:r w:rsidR="00113B37" w:rsidRPr="00564325">
              <w:rPr>
                <w:lang w:val="it-IT"/>
              </w:rPr>
              <w:t xml:space="preserve"> </w:t>
            </w:r>
            <w:r w:rsidRPr="00564325">
              <w:rPr>
                <w:lang w:val="it-IT"/>
              </w:rPr>
              <w:t xml:space="preserve">ha interazione </w:t>
            </w:r>
            <w:r w:rsidR="00113B37" w:rsidRPr="00564325">
              <w:rPr>
                <w:lang w:val="it-IT"/>
              </w:rPr>
              <w:t>non linear</w:t>
            </w:r>
            <w:r w:rsidRPr="00564325">
              <w:rPr>
                <w:lang w:val="it-IT"/>
              </w:rPr>
              <w:t>e</w:t>
            </w:r>
          </w:p>
        </w:tc>
      </w:tr>
      <w:tr w:rsidR="00C82DFF" w:rsidRPr="00564325" w14:paraId="25B6AB28" w14:textId="74837F6D" w:rsidTr="00780F9D">
        <w:tc>
          <w:tcPr>
            <w:tcW w:w="2547" w:type="dxa"/>
          </w:tcPr>
          <w:p w14:paraId="5A669BE0" w14:textId="77777777" w:rsidR="003D7984" w:rsidRPr="00564325" w:rsidRDefault="00C82DFF" w:rsidP="00F57751">
            <w:pPr>
              <w:pStyle w:val="aptp"/>
              <w:rPr>
                <w:lang w:val="it-IT"/>
              </w:rPr>
            </w:pPr>
            <w:r w:rsidRPr="00564325">
              <w:rPr>
                <w:lang w:val="it-IT"/>
              </w:rPr>
              <w:t>Vincoli</w:t>
            </w:r>
            <w:r w:rsidR="000B24E4" w:rsidRPr="00564325">
              <w:rPr>
                <w:lang w:val="it-IT"/>
              </w:rPr>
              <w:t xml:space="preserve"> </w:t>
            </w:r>
          </w:p>
          <w:p w14:paraId="0F46B26F" w14:textId="102EF14C" w:rsidR="003D7984" w:rsidRPr="00564325" w:rsidRDefault="003D7984" w:rsidP="00F57751">
            <w:pPr>
              <w:pStyle w:val="aptp"/>
              <w:rPr>
                <w:lang w:val="it-IT"/>
              </w:rPr>
            </w:pPr>
            <w:r w:rsidRPr="00564325">
              <w:rPr>
                <w:lang w:val="it-IT"/>
              </w:rPr>
              <w:t>(lineari)</w:t>
            </w:r>
          </w:p>
        </w:tc>
        <w:tc>
          <w:tcPr>
            <w:tcW w:w="2835" w:type="dxa"/>
          </w:tcPr>
          <w:p w14:paraId="7A3EE7AD" w14:textId="5CDCA2E6" w:rsidR="00C82DFF" w:rsidRPr="00564325" w:rsidRDefault="00000000" w:rsidP="00F57751">
            <w:pPr>
              <w:pStyle w:val="aptp"/>
              <w:rPr>
                <w:i/>
                <w:lang w:val="it-IT"/>
              </w:rPr>
            </w:pPr>
            <m:oMath>
              <m:nary>
                <m:naryPr>
                  <m:chr m:val="∑"/>
                  <m:limLoc m:val="subSup"/>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r>
                    <w:rPr>
                      <w:rFonts w:ascii="Cambria Math" w:hAnsi="Cambria Math"/>
                      <w:lang w:val="it-IT"/>
                    </w:rPr>
                    <m:t xml:space="preserve"> </m:t>
                  </m:r>
                </m:e>
              </m:nary>
            </m:oMath>
            <w:proofErr w:type="spellStart"/>
            <w:r w:rsidR="00C82DFF" w:rsidRPr="00564325">
              <w:rPr>
                <w:i/>
                <w:lang w:val="it-IT"/>
              </w:rPr>
              <w:t>ř</w:t>
            </w:r>
            <w:r w:rsidR="00C82DFF" w:rsidRPr="00564325">
              <w:rPr>
                <w:i/>
                <w:vertAlign w:val="subscript"/>
                <w:lang w:val="it-IT"/>
              </w:rPr>
              <w:t>i</w:t>
            </w:r>
            <w:r w:rsidR="00C82DFF" w:rsidRPr="00564325">
              <w:rPr>
                <w:i/>
                <w:lang w:val="it-IT"/>
              </w:rPr>
              <w:t>x</w:t>
            </w:r>
            <w:r w:rsidR="00C82DFF" w:rsidRPr="00564325">
              <w:rPr>
                <w:i/>
                <w:vertAlign w:val="subscript"/>
                <w:lang w:val="it-IT"/>
              </w:rPr>
              <w:t>i</w:t>
            </w:r>
            <w:proofErr w:type="spellEnd"/>
            <w:r w:rsidR="00C82DFF" w:rsidRPr="00564325">
              <w:rPr>
                <w:i/>
                <w:lang w:val="it-IT"/>
              </w:rPr>
              <w:t xml:space="preserve"> ≥ γ</w:t>
            </w:r>
          </w:p>
          <w:p w14:paraId="5A4ADDBE" w14:textId="77777777" w:rsidR="00C82DFF" w:rsidRPr="00564325" w:rsidRDefault="00C82DFF" w:rsidP="00F57751">
            <w:pPr>
              <w:pStyle w:val="aptp"/>
              <w:rPr>
                <w:i/>
                <w:lang w:val="it-IT"/>
              </w:rPr>
            </w:pPr>
          </w:p>
          <w:p w14:paraId="39A3D02D" w14:textId="77777777" w:rsidR="00E8291C" w:rsidRPr="00564325" w:rsidRDefault="00E8291C" w:rsidP="00F57751">
            <w:pPr>
              <w:pStyle w:val="aptp"/>
              <w:rPr>
                <w:i/>
                <w:lang w:val="it-IT"/>
              </w:rPr>
            </w:pPr>
          </w:p>
          <w:p w14:paraId="38F10DA4" w14:textId="77777777" w:rsidR="00E8291C" w:rsidRPr="00564325" w:rsidRDefault="00E8291C" w:rsidP="00F57751">
            <w:pPr>
              <w:pStyle w:val="aptp"/>
              <w:rPr>
                <w:i/>
                <w:lang w:val="it-IT"/>
              </w:rPr>
            </w:pPr>
          </w:p>
          <w:p w14:paraId="0529B2A5" w14:textId="7AD2B8ED" w:rsidR="00C82DFF" w:rsidRPr="00564325" w:rsidRDefault="00000000" w:rsidP="00F57751">
            <w:pPr>
              <w:pStyle w:val="aptp"/>
              <w:rPr>
                <w:i/>
                <w:lang w:val="it-IT"/>
              </w:rPr>
            </w:pPr>
            <m:oMath>
              <m:nary>
                <m:naryPr>
                  <m:chr m:val="∑"/>
                  <m:limLoc m:val="subSup"/>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r>
                    <w:rPr>
                      <w:rFonts w:ascii="Cambria Math" w:hAnsi="Cambria Math"/>
                      <w:lang w:val="it-IT"/>
                    </w:rPr>
                    <m:t xml:space="preserve"> </m:t>
                  </m:r>
                </m:e>
              </m:nary>
            </m:oMath>
            <w:r w:rsidR="00C82DFF" w:rsidRPr="00564325">
              <w:rPr>
                <w:i/>
                <w:lang w:val="it-IT"/>
              </w:rPr>
              <w:t xml:space="preserve"> x</w:t>
            </w:r>
            <w:r w:rsidR="00C82DFF" w:rsidRPr="00564325">
              <w:rPr>
                <w:i/>
                <w:vertAlign w:val="subscript"/>
                <w:lang w:val="it-IT"/>
              </w:rPr>
              <w:t>i</w:t>
            </w:r>
            <w:r w:rsidR="00C82DFF" w:rsidRPr="00564325">
              <w:rPr>
                <w:i/>
                <w:lang w:val="it-IT"/>
              </w:rPr>
              <w:t xml:space="preserve"> = 1</w:t>
            </w:r>
          </w:p>
          <w:p w14:paraId="2BB717A5" w14:textId="77777777" w:rsidR="00C82DFF" w:rsidRPr="00564325" w:rsidRDefault="00C82DFF" w:rsidP="00F57751">
            <w:pPr>
              <w:pStyle w:val="aptp"/>
              <w:rPr>
                <w:i/>
                <w:lang w:val="it-IT"/>
              </w:rPr>
            </w:pPr>
          </w:p>
          <w:p w14:paraId="2A4D90F3" w14:textId="77777777" w:rsidR="005303CA" w:rsidRPr="00564325" w:rsidRDefault="005303CA" w:rsidP="00F57751">
            <w:pPr>
              <w:pStyle w:val="aptp"/>
              <w:rPr>
                <w:i/>
                <w:lang w:val="it-IT"/>
              </w:rPr>
            </w:pPr>
          </w:p>
          <w:p w14:paraId="501A8D97" w14:textId="7BE3D962" w:rsidR="00C82DFF" w:rsidRPr="00564325" w:rsidRDefault="00C82DFF" w:rsidP="00F57751">
            <w:pPr>
              <w:pStyle w:val="aptp"/>
              <w:rPr>
                <w:lang w:val="it-IT"/>
              </w:rPr>
            </w:pPr>
            <w:r w:rsidRPr="00564325">
              <w:rPr>
                <w:i/>
                <w:lang w:val="it-IT"/>
              </w:rPr>
              <w:t>x</w:t>
            </w:r>
            <w:r w:rsidRPr="00564325">
              <w:rPr>
                <w:i/>
                <w:vertAlign w:val="subscript"/>
                <w:lang w:val="it-IT"/>
              </w:rPr>
              <w:t>i</w:t>
            </w:r>
            <w:r w:rsidRPr="00564325">
              <w:rPr>
                <w:i/>
                <w:lang w:val="it-IT"/>
              </w:rPr>
              <w:t xml:space="preserve"> ≥ 0</w:t>
            </w:r>
            <w:r w:rsidRPr="00564325">
              <w:rPr>
                <w:lang w:val="it-IT"/>
              </w:rPr>
              <w:t xml:space="preserve">                  </w:t>
            </w:r>
          </w:p>
        </w:tc>
        <w:tc>
          <w:tcPr>
            <w:tcW w:w="3634" w:type="dxa"/>
          </w:tcPr>
          <w:p w14:paraId="04101D76" w14:textId="4445E7AA" w:rsidR="00B4113C" w:rsidRPr="00564325" w:rsidRDefault="00D37859" w:rsidP="00F57751">
            <w:pPr>
              <w:pStyle w:val="aptp"/>
              <w:rPr>
                <w:lang w:val="it-IT"/>
              </w:rPr>
            </w:pPr>
            <w:r w:rsidRPr="00564325">
              <w:rPr>
                <w:lang w:val="it-IT"/>
              </w:rPr>
              <w:t>Il rendimento atte</w:t>
            </w:r>
            <w:r w:rsidR="00E8291C" w:rsidRPr="00564325">
              <w:rPr>
                <w:lang w:val="it-IT"/>
              </w:rPr>
              <w:t>so deve almeno equiparare un certo livello di rendimento</w:t>
            </w:r>
          </w:p>
          <w:p w14:paraId="3293EB90" w14:textId="77777777" w:rsidR="00B4113C" w:rsidRPr="00564325" w:rsidRDefault="00B4113C" w:rsidP="00F57751">
            <w:pPr>
              <w:pStyle w:val="aptp"/>
              <w:rPr>
                <w:lang w:val="it-IT"/>
              </w:rPr>
            </w:pPr>
          </w:p>
          <w:p w14:paraId="4F8E853D" w14:textId="0F73F1B6" w:rsidR="00B4113C" w:rsidRPr="00564325" w:rsidRDefault="005303CA" w:rsidP="00F57751">
            <w:pPr>
              <w:pStyle w:val="aptp"/>
              <w:rPr>
                <w:lang w:val="it-IT"/>
              </w:rPr>
            </w:pPr>
            <w:r w:rsidRPr="00564325">
              <w:rPr>
                <w:lang w:val="it-IT"/>
              </w:rPr>
              <w:t>La somma delle quote deve essere il 100%</w:t>
            </w:r>
          </w:p>
          <w:p w14:paraId="06C30100" w14:textId="77777777" w:rsidR="00B4113C" w:rsidRPr="00564325" w:rsidRDefault="00B4113C" w:rsidP="00F57751">
            <w:pPr>
              <w:pStyle w:val="aptp"/>
              <w:rPr>
                <w:lang w:val="it-IT"/>
              </w:rPr>
            </w:pPr>
          </w:p>
          <w:p w14:paraId="73BC743A" w14:textId="0AFD590D" w:rsidR="00C82DFF" w:rsidRPr="00564325" w:rsidRDefault="003C7593" w:rsidP="00F57751">
            <w:pPr>
              <w:pStyle w:val="aptp"/>
              <w:rPr>
                <w:lang w:val="it-IT"/>
              </w:rPr>
            </w:pPr>
            <w:r w:rsidRPr="00564325">
              <w:rPr>
                <w:lang w:val="it-IT"/>
              </w:rPr>
              <w:t>Nessuna vendita allo scopert</w:t>
            </w:r>
            <w:r w:rsidR="00552A23" w:rsidRPr="00564325">
              <w:rPr>
                <w:lang w:val="it-IT"/>
              </w:rPr>
              <w:t>o</w:t>
            </w:r>
            <w:r w:rsidR="00364362" w:rsidRPr="00564325">
              <w:rPr>
                <w:lang w:val="it-IT"/>
              </w:rPr>
              <w:t xml:space="preserve"> (no al </w:t>
            </w:r>
            <w:r w:rsidR="00364362" w:rsidRPr="00564325">
              <w:rPr>
                <w:i/>
                <w:iCs/>
                <w:lang w:val="it-IT"/>
              </w:rPr>
              <w:t>short selling</w:t>
            </w:r>
            <w:r w:rsidR="00364362" w:rsidRPr="00564325">
              <w:rPr>
                <w:lang w:val="it-IT"/>
              </w:rPr>
              <w:t>)</w:t>
            </w:r>
          </w:p>
        </w:tc>
      </w:tr>
    </w:tbl>
    <w:p w14:paraId="0D460C22" w14:textId="77777777" w:rsidR="005303CA" w:rsidRPr="00564325" w:rsidRDefault="005303CA" w:rsidP="00D37859">
      <w:pPr>
        <w:pStyle w:val="aptp"/>
        <w:rPr>
          <w:lang w:val="it-IT"/>
        </w:rPr>
      </w:pPr>
    </w:p>
    <w:p w14:paraId="2ACBAA78" w14:textId="6E1C868E" w:rsidR="00275FAA" w:rsidRPr="00564325" w:rsidRDefault="0077018B" w:rsidP="00724CCD">
      <w:pPr>
        <w:pStyle w:val="aptp"/>
        <w:rPr>
          <w:lang w:val="it-IT"/>
        </w:rPr>
      </w:pPr>
      <w:r w:rsidRPr="00564325">
        <w:rPr>
          <w:lang w:val="it-IT"/>
        </w:rPr>
        <w:t xml:space="preserve">Il modello di </w:t>
      </w:r>
      <w:r w:rsidRPr="00564325">
        <w:rPr>
          <w:i/>
          <w:iCs/>
          <w:lang w:val="it-IT"/>
        </w:rPr>
        <w:t>Markovitz</w:t>
      </w:r>
      <w:r w:rsidRPr="00564325">
        <w:rPr>
          <w:lang w:val="it-IT"/>
        </w:rPr>
        <w:t xml:space="preserve">, applicato alla </w:t>
      </w:r>
      <w:r w:rsidRPr="00564325">
        <w:rPr>
          <w:b/>
          <w:bCs/>
          <w:lang w:val="it-IT"/>
        </w:rPr>
        <w:t>Teoria del portafoglio</w:t>
      </w:r>
      <w:r w:rsidRPr="00564325">
        <w:rPr>
          <w:lang w:val="it-IT"/>
        </w:rPr>
        <w:t>, studia</w:t>
      </w:r>
      <w:r w:rsidR="00F62CC2" w:rsidRPr="00564325">
        <w:rPr>
          <w:lang w:val="it-IT"/>
        </w:rPr>
        <w:t xml:space="preserve"> la miglior</w:t>
      </w:r>
      <w:r w:rsidRPr="00564325">
        <w:rPr>
          <w:lang w:val="it-IT"/>
        </w:rPr>
        <w:t>e</w:t>
      </w:r>
      <w:r w:rsidR="00F62CC2" w:rsidRPr="00564325">
        <w:rPr>
          <w:lang w:val="it-IT"/>
        </w:rPr>
        <w:t xml:space="preserve"> ripartizione di un capitale in investimenti finanziari aleatori in funzione del </w:t>
      </w:r>
      <w:r w:rsidR="00F62CC2" w:rsidRPr="00564325">
        <w:rPr>
          <w:b/>
          <w:bCs/>
          <w:lang w:val="it-IT"/>
        </w:rPr>
        <w:t xml:space="preserve">rischio </w:t>
      </w:r>
      <w:r w:rsidR="00F62CC2" w:rsidRPr="00564325">
        <w:rPr>
          <w:lang w:val="it-IT"/>
        </w:rPr>
        <w:t xml:space="preserve">e del </w:t>
      </w:r>
      <w:r w:rsidR="00F62CC2" w:rsidRPr="00564325">
        <w:rPr>
          <w:b/>
          <w:bCs/>
          <w:lang w:val="it-IT"/>
        </w:rPr>
        <w:t>rendimento</w:t>
      </w:r>
      <w:r w:rsidRPr="00564325">
        <w:rPr>
          <w:lang w:val="it-IT"/>
        </w:rPr>
        <w:t>, poiché</w:t>
      </w:r>
      <w:r w:rsidR="005207BC" w:rsidRPr="00564325">
        <w:rPr>
          <w:lang w:val="it-IT"/>
        </w:rPr>
        <w:t xml:space="preserve">, dato che le operazioni di investimento avvengono in condizioni di incertezza, in generale si </w:t>
      </w:r>
      <w:r w:rsidR="00275FAA" w:rsidRPr="00564325">
        <w:rPr>
          <w:lang w:val="it-IT"/>
        </w:rPr>
        <w:t>preferisce l’investimento con maggiore rendimento atteso e minore propensione al rischio.</w:t>
      </w:r>
    </w:p>
    <w:p w14:paraId="1EADF262" w14:textId="77777777" w:rsidR="00912189" w:rsidRPr="00564325" w:rsidRDefault="00912189" w:rsidP="00724CCD">
      <w:pPr>
        <w:pStyle w:val="aptp"/>
        <w:rPr>
          <w:lang w:val="it-IT"/>
        </w:rPr>
      </w:pPr>
    </w:p>
    <w:p w14:paraId="4DF9EA5A" w14:textId="383EB56E" w:rsidR="00912189" w:rsidRPr="00564325" w:rsidRDefault="00667B2E" w:rsidP="00912189">
      <w:pPr>
        <w:pStyle w:val="apth3"/>
        <w:rPr>
          <w:i/>
          <w:iCs/>
        </w:rPr>
      </w:pPr>
      <w:bookmarkStart w:id="9" w:name="_Toc207820527"/>
      <w:r w:rsidRPr="00564325">
        <w:rPr>
          <w:i/>
          <w:iCs/>
        </w:rPr>
        <w:t>Massimo rendimento</w:t>
      </w:r>
      <w:r w:rsidR="001B0AE2" w:rsidRPr="00564325">
        <w:rPr>
          <w:i/>
          <w:iCs/>
        </w:rPr>
        <w:t xml:space="preserve"> (Max Sharpe)</w:t>
      </w:r>
      <w:bookmarkEnd w:id="9"/>
    </w:p>
    <w:p w14:paraId="2544591E" w14:textId="0745261D" w:rsidR="0069178F" w:rsidRPr="00564325" w:rsidRDefault="008C4E32" w:rsidP="0069178F">
      <w:pPr>
        <w:pStyle w:val="aptp"/>
        <w:rPr>
          <w:lang w:val="it-IT"/>
        </w:rPr>
      </w:pPr>
      <w:r w:rsidRPr="00564325">
        <w:rPr>
          <w:lang w:val="it-IT"/>
        </w:rPr>
        <w:t xml:space="preserve">Assumendo </w:t>
      </w:r>
      <w:r w:rsidR="00B846B1" w:rsidRPr="00564325">
        <w:rPr>
          <w:lang w:val="it-IT"/>
        </w:rPr>
        <w:t>che il futur</w:t>
      </w:r>
      <w:r w:rsidR="004362AF" w:rsidRPr="00564325">
        <w:rPr>
          <w:lang w:val="it-IT"/>
        </w:rPr>
        <w:t>o</w:t>
      </w:r>
      <w:r w:rsidR="00B846B1" w:rsidRPr="00564325">
        <w:rPr>
          <w:lang w:val="it-IT"/>
        </w:rPr>
        <w:t xml:space="preserve"> evolva come il passato, partendo dai dati storici è possibile stimare il rendimento atteso</w:t>
      </w:r>
      <w:r w:rsidR="000B7648" w:rsidRPr="00564325">
        <w:rPr>
          <w:lang w:val="it-IT"/>
        </w:rPr>
        <w:t xml:space="preserve"> medio</w:t>
      </w:r>
      <w:r w:rsidR="0031400D" w:rsidRPr="00564325">
        <w:rPr>
          <w:lang w:val="it-IT"/>
        </w:rPr>
        <w:t xml:space="preserve"> (</w:t>
      </w:r>
      <w:r w:rsidR="0031400D" w:rsidRPr="00564325">
        <w:rPr>
          <w:i/>
          <w:iCs/>
          <w:lang w:val="it-IT"/>
        </w:rPr>
        <w:t>Formula</w:t>
      </w:r>
      <w:r w:rsidR="00837060" w:rsidRPr="00564325">
        <w:rPr>
          <w:i/>
          <w:iCs/>
          <w:lang w:val="it-IT"/>
        </w:rPr>
        <w:t xml:space="preserve"> 2</w:t>
      </w:r>
      <w:r w:rsidR="0031400D" w:rsidRPr="00564325">
        <w:rPr>
          <w:lang w:val="it-IT"/>
        </w:rPr>
        <w:t>)</w:t>
      </w:r>
      <w:r w:rsidR="00B846B1" w:rsidRPr="00564325">
        <w:rPr>
          <w:lang w:val="it-IT"/>
        </w:rPr>
        <w:t xml:space="preserve"> </w:t>
      </w:r>
      <w:r w:rsidR="00F86F48" w:rsidRPr="00564325">
        <w:rPr>
          <w:lang w:val="it-IT"/>
        </w:rPr>
        <w:t>calcolando</w:t>
      </w:r>
      <w:r w:rsidR="00FC1125" w:rsidRPr="00564325">
        <w:rPr>
          <w:lang w:val="it-IT"/>
        </w:rPr>
        <w:t xml:space="preserve"> il tasso di rendimento</w:t>
      </w:r>
      <w:r w:rsidR="00837060" w:rsidRPr="00564325">
        <w:rPr>
          <w:lang w:val="it-IT"/>
        </w:rPr>
        <w:t xml:space="preserve"> (</w:t>
      </w:r>
      <w:r w:rsidR="00837060" w:rsidRPr="00564325">
        <w:rPr>
          <w:i/>
          <w:iCs/>
          <w:lang w:val="it-IT"/>
        </w:rPr>
        <w:t>Formula 1)</w:t>
      </w:r>
      <w:r w:rsidR="00FC1125" w:rsidRPr="00564325">
        <w:rPr>
          <w:lang w:val="it-IT"/>
        </w:rPr>
        <w:t xml:space="preserve"> in un dato interval</w:t>
      </w:r>
      <w:r w:rsidR="000B7648" w:rsidRPr="00564325">
        <w:rPr>
          <w:lang w:val="it-IT"/>
        </w:rPr>
        <w:t>lo di tempo</w:t>
      </w:r>
      <w:r w:rsidR="00AD7C2B" w:rsidRPr="00564325">
        <w:rPr>
          <w:lang w:val="it-IT"/>
        </w:rPr>
        <w:t>, dato dal</w:t>
      </w:r>
      <w:r w:rsidR="00F86F48" w:rsidRPr="00564325">
        <w:rPr>
          <w:lang w:val="it-IT"/>
        </w:rPr>
        <w:t xml:space="preserve">la differenza tra il valore del prezzo </w:t>
      </w:r>
      <w:r w:rsidR="00AE2800" w:rsidRPr="00564325">
        <w:rPr>
          <w:lang w:val="it-IT"/>
        </w:rPr>
        <w:t>nel periodo finale e il valore del prezzo iniziale</w:t>
      </w:r>
      <w:r w:rsidR="00AD7C2B" w:rsidRPr="00564325">
        <w:rPr>
          <w:lang w:val="it-IT"/>
        </w:rPr>
        <w:t>, e rapportarlo al numero di periodi della serie storica.</w:t>
      </w:r>
    </w:p>
    <w:p w14:paraId="25020775" w14:textId="77777777" w:rsidR="00837060" w:rsidRPr="00564325" w:rsidRDefault="00837060" w:rsidP="0069178F">
      <w:pPr>
        <w:pStyle w:val="aptp"/>
        <w:rPr>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81"/>
      </w:tblGrid>
      <w:tr w:rsidR="00837060" w:rsidRPr="00564325" w14:paraId="1864642F" w14:textId="77777777" w:rsidTr="004362AF">
        <w:tc>
          <w:tcPr>
            <w:tcW w:w="2835" w:type="dxa"/>
            <w:vAlign w:val="center"/>
          </w:tcPr>
          <w:p w14:paraId="02738CCD" w14:textId="0B22898D" w:rsidR="00837060" w:rsidRPr="00564325" w:rsidRDefault="00837060" w:rsidP="004362AF">
            <w:pPr>
              <w:pStyle w:val="aptp"/>
              <w:jc w:val="left"/>
              <w:rPr>
                <w:lang w:val="it-IT"/>
              </w:rPr>
            </w:pPr>
            <w:r w:rsidRPr="00564325">
              <w:rPr>
                <w:lang w:val="it-IT"/>
              </w:rPr>
              <w:lastRenderedPageBreak/>
              <w:t>[</w:t>
            </w:r>
            <w:r w:rsidRPr="00564325">
              <w:rPr>
                <w:i/>
                <w:iCs/>
                <w:lang w:val="it-IT"/>
              </w:rPr>
              <w:t>Formula 1</w:t>
            </w:r>
            <w:r w:rsidRPr="00564325">
              <w:rPr>
                <w:lang w:val="it-IT"/>
              </w:rPr>
              <w:t>]</w:t>
            </w:r>
          </w:p>
        </w:tc>
        <w:tc>
          <w:tcPr>
            <w:tcW w:w="6181" w:type="dxa"/>
            <w:vAlign w:val="center"/>
          </w:tcPr>
          <w:p w14:paraId="25ED3704" w14:textId="5412F2A7" w:rsidR="00837060" w:rsidRPr="00564325" w:rsidRDefault="00D000F5" w:rsidP="004362AF">
            <w:pPr>
              <w:pStyle w:val="aptp"/>
              <w:jc w:val="left"/>
              <w:rPr>
                <w:lang w:val="it-IT"/>
              </w:rPr>
            </w:pPr>
            <w:proofErr w:type="spellStart"/>
            <w:r w:rsidRPr="00564325">
              <w:rPr>
                <w:lang w:val="it-IT"/>
              </w:rPr>
              <w:t>r</w:t>
            </w:r>
            <w:r w:rsidRPr="00564325">
              <w:rPr>
                <w:vertAlign w:val="subscript"/>
                <w:lang w:val="it-IT"/>
              </w:rPr>
              <w:t>t</w:t>
            </w:r>
            <w:proofErr w:type="spellEnd"/>
            <w:r w:rsidRPr="00564325">
              <w:rPr>
                <w:lang w:val="it-IT"/>
              </w:rPr>
              <w:t xml:space="preserve"> = </w:t>
            </w:r>
            <m:oMath>
              <m:f>
                <m:fPr>
                  <m:ctrlPr>
                    <w:rPr>
                      <w:rFonts w:ascii="Cambria Math" w:hAnsi="Cambria Math"/>
                      <w:i/>
                      <w:lang w:val="it-IT"/>
                    </w:rPr>
                  </m:ctrlPr>
                </m:fPr>
                <m:num>
                  <m:r>
                    <w:rPr>
                      <w:rFonts w:ascii="Cambria Math" w:hAnsi="Cambria Math"/>
                      <w:lang w:val="it-IT"/>
                    </w:rPr>
                    <m:t>P(t)-P(t-1)</m:t>
                  </m:r>
                </m:num>
                <m:den>
                  <m:r>
                    <w:rPr>
                      <w:rFonts w:ascii="Cambria Math" w:hAnsi="Cambria Math"/>
                      <w:lang w:val="it-IT"/>
                    </w:rPr>
                    <m:t>P( t-1)</m:t>
                  </m:r>
                </m:den>
              </m:f>
            </m:oMath>
          </w:p>
        </w:tc>
      </w:tr>
    </w:tbl>
    <w:p w14:paraId="67334FD3" w14:textId="134DABD0" w:rsidR="009B115E" w:rsidRPr="00564325" w:rsidRDefault="009B115E" w:rsidP="0069178F">
      <w:pPr>
        <w:pStyle w:val="aptp"/>
        <w:rPr>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81"/>
      </w:tblGrid>
      <w:tr w:rsidR="009B115E" w:rsidRPr="00564325" w14:paraId="05188817" w14:textId="77777777" w:rsidTr="004362AF">
        <w:tc>
          <w:tcPr>
            <w:tcW w:w="2835" w:type="dxa"/>
            <w:vAlign w:val="center"/>
          </w:tcPr>
          <w:p w14:paraId="1841DC97" w14:textId="205292CA" w:rsidR="009B115E" w:rsidRPr="00564325" w:rsidRDefault="009B115E" w:rsidP="004362AF">
            <w:pPr>
              <w:pStyle w:val="aptp"/>
              <w:jc w:val="left"/>
              <w:rPr>
                <w:lang w:val="it-IT"/>
              </w:rPr>
            </w:pPr>
            <w:r w:rsidRPr="00564325">
              <w:rPr>
                <w:lang w:val="it-IT"/>
              </w:rPr>
              <w:t>[</w:t>
            </w:r>
            <w:r w:rsidRPr="00564325">
              <w:rPr>
                <w:i/>
                <w:iCs/>
                <w:lang w:val="it-IT"/>
              </w:rPr>
              <w:t>Formula 2</w:t>
            </w:r>
            <w:r w:rsidRPr="00564325">
              <w:rPr>
                <w:lang w:val="it-IT"/>
              </w:rPr>
              <w:t>]</w:t>
            </w:r>
          </w:p>
        </w:tc>
        <w:tc>
          <w:tcPr>
            <w:tcW w:w="6181" w:type="dxa"/>
            <w:vAlign w:val="center"/>
          </w:tcPr>
          <w:p w14:paraId="31B84414" w14:textId="5B46530C" w:rsidR="009B115E" w:rsidRPr="00564325" w:rsidRDefault="009B115E" w:rsidP="004362AF">
            <w:pPr>
              <w:pStyle w:val="aptp"/>
              <w:jc w:val="left"/>
              <w:rPr>
                <w:lang w:val="it-IT"/>
              </w:rPr>
            </w:pPr>
            <w:r w:rsidRPr="00564325">
              <w:rPr>
                <w:i/>
                <w:lang w:val="it-IT"/>
              </w:rPr>
              <w:t>ř</w:t>
            </w:r>
            <w:r w:rsidRPr="00564325">
              <w:rPr>
                <w:lang w:val="it-IT"/>
              </w:rPr>
              <w:t xml:space="preserve"> = </w:t>
            </w:r>
            <m:oMath>
              <m:f>
                <m:fPr>
                  <m:ctrlPr>
                    <w:rPr>
                      <w:rFonts w:ascii="Cambria Math" w:hAnsi="Cambria Math"/>
                      <w:i/>
                      <w:lang w:val="it-IT"/>
                    </w:rPr>
                  </m:ctrlPr>
                </m:fPr>
                <m:num>
                  <m:nary>
                    <m:naryPr>
                      <m:chr m:val="∑"/>
                      <m:limLoc m:val="undOvr"/>
                      <m:ctrlPr>
                        <w:rPr>
                          <w:rFonts w:ascii="Cambria Math" w:hAnsi="Cambria Math"/>
                          <w:i/>
                          <w:lang w:val="it-IT"/>
                        </w:rPr>
                      </m:ctrlPr>
                    </m:naryPr>
                    <m:sub>
                      <m:r>
                        <w:rPr>
                          <w:rFonts w:ascii="Cambria Math" w:hAnsi="Cambria Math"/>
                          <w:lang w:val="it-IT"/>
                        </w:rPr>
                        <m:t>t=1</m:t>
                      </m:r>
                    </m:sub>
                    <m:sup>
                      <m:r>
                        <w:rPr>
                          <w:rFonts w:ascii="Cambria Math" w:hAnsi="Cambria Math"/>
                          <w:lang w:val="it-IT"/>
                        </w:rPr>
                        <m:t>M</m:t>
                      </m:r>
                    </m:sup>
                    <m:e>
                      <m:r>
                        <w:rPr>
                          <w:rFonts w:ascii="Cambria Math" w:hAnsi="Cambria Math"/>
                          <w:lang w:val="it-IT"/>
                        </w:rPr>
                        <m:t>rt</m:t>
                      </m:r>
                    </m:e>
                  </m:nary>
                </m:num>
                <m:den>
                  <m:r>
                    <w:rPr>
                      <w:rFonts w:ascii="Cambria Math" w:hAnsi="Cambria Math"/>
                      <w:lang w:val="it-IT"/>
                    </w:rPr>
                    <m:t>M</m:t>
                  </m:r>
                </m:den>
              </m:f>
            </m:oMath>
          </w:p>
        </w:tc>
      </w:tr>
    </w:tbl>
    <w:p w14:paraId="7E5A76F5" w14:textId="77777777" w:rsidR="009B115E" w:rsidRPr="00564325" w:rsidRDefault="009B115E" w:rsidP="0069178F">
      <w:pPr>
        <w:pStyle w:val="aptp"/>
        <w:rPr>
          <w:lang w:val="it-IT"/>
        </w:rPr>
      </w:pPr>
    </w:p>
    <w:p w14:paraId="7CA19A48" w14:textId="04B48248" w:rsidR="00E54971" w:rsidRPr="00564325" w:rsidRDefault="00E54971" w:rsidP="0069178F">
      <w:pPr>
        <w:pStyle w:val="aptp"/>
        <w:rPr>
          <w:lang w:val="it-IT"/>
        </w:rPr>
      </w:pPr>
      <w:r w:rsidRPr="00564325">
        <w:rPr>
          <w:lang w:val="it-IT"/>
        </w:rPr>
        <w:t xml:space="preserve">Quando il rendimento è positivo si tratta di guadagno, mentre se questo è negativo si parla di perdita. </w:t>
      </w:r>
    </w:p>
    <w:p w14:paraId="5994C485" w14:textId="5265C0C9" w:rsidR="00526ACA" w:rsidRPr="00564325" w:rsidRDefault="00526ACA" w:rsidP="0069178F">
      <w:pPr>
        <w:pStyle w:val="aptp"/>
        <w:rPr>
          <w:lang w:val="it-IT"/>
        </w:rPr>
      </w:pPr>
      <w:r w:rsidRPr="00564325">
        <w:rPr>
          <w:lang w:val="it-IT"/>
        </w:rPr>
        <w:t xml:space="preserve">Il portafoglio con il massimo </w:t>
      </w:r>
      <w:r w:rsidR="001956B0" w:rsidRPr="00564325">
        <w:rPr>
          <w:i/>
          <w:iCs/>
          <w:lang w:val="it-IT"/>
        </w:rPr>
        <w:t>Sharpe</w:t>
      </w:r>
      <w:r w:rsidRPr="00564325">
        <w:rPr>
          <w:i/>
          <w:iCs/>
          <w:lang w:val="it-IT"/>
        </w:rPr>
        <w:t xml:space="preserve"> </w:t>
      </w:r>
      <w:r w:rsidR="001956B0" w:rsidRPr="00564325">
        <w:rPr>
          <w:i/>
          <w:iCs/>
          <w:lang w:val="it-IT"/>
        </w:rPr>
        <w:t>R</w:t>
      </w:r>
      <w:r w:rsidRPr="00564325">
        <w:rPr>
          <w:i/>
          <w:iCs/>
          <w:lang w:val="it-IT"/>
        </w:rPr>
        <w:t>atio</w:t>
      </w:r>
      <w:r w:rsidRPr="00564325">
        <w:rPr>
          <w:lang w:val="it-IT"/>
        </w:rPr>
        <w:t xml:space="preserve"> è il portafoglio più efficiente, e in genere il preferito dagli investitori che </w:t>
      </w:r>
      <w:r w:rsidR="00153FFB" w:rsidRPr="00564325">
        <w:rPr>
          <w:lang w:val="it-IT"/>
        </w:rPr>
        <w:t>intendono massimizzare il rendimento aggiustato al rischio.</w:t>
      </w:r>
    </w:p>
    <w:p w14:paraId="32323448" w14:textId="77777777" w:rsidR="00ED0DD2" w:rsidRPr="00564325" w:rsidRDefault="00ED0DD2" w:rsidP="0069178F">
      <w:pPr>
        <w:pStyle w:val="aptp"/>
        <w:rPr>
          <w:lang w:val="it-IT"/>
        </w:rPr>
      </w:pPr>
    </w:p>
    <w:p w14:paraId="35875EC8" w14:textId="2C4F17C2" w:rsidR="0065099D" w:rsidRPr="00564325" w:rsidRDefault="0065099D" w:rsidP="00912189">
      <w:pPr>
        <w:pStyle w:val="apth3"/>
      </w:pPr>
      <w:bookmarkStart w:id="10" w:name="_Toc207820528"/>
      <w:r w:rsidRPr="00564325">
        <w:t>Minimo rischio (</w:t>
      </w:r>
      <w:r w:rsidR="00CF0BC2" w:rsidRPr="00564325">
        <w:rPr>
          <w:i/>
          <w:iCs/>
        </w:rPr>
        <w:t>M</w:t>
      </w:r>
      <w:r w:rsidRPr="00564325">
        <w:rPr>
          <w:i/>
          <w:iCs/>
        </w:rPr>
        <w:t>in risk</w:t>
      </w:r>
      <w:r w:rsidRPr="00564325">
        <w:t>)</w:t>
      </w:r>
      <w:bookmarkEnd w:id="10"/>
    </w:p>
    <w:p w14:paraId="72C0F940" w14:textId="0D0270DC" w:rsidR="00364362" w:rsidRPr="00564325" w:rsidRDefault="00952D6A" w:rsidP="00364362">
      <w:pPr>
        <w:pStyle w:val="aptp"/>
        <w:rPr>
          <w:lang w:val="it-IT"/>
        </w:rPr>
      </w:pPr>
      <w:r w:rsidRPr="00564325">
        <w:rPr>
          <w:lang w:val="it-IT"/>
        </w:rPr>
        <w:t xml:space="preserve">Sebbene </w:t>
      </w:r>
      <w:r w:rsidR="00E30278" w:rsidRPr="00564325">
        <w:rPr>
          <w:lang w:val="it-IT"/>
        </w:rPr>
        <w:t xml:space="preserve">il rendimento sia di facile determinazione, così non è per il rischio. In effetti il rischio, legato </w:t>
      </w:r>
      <w:r w:rsidR="006C2A34" w:rsidRPr="00564325">
        <w:rPr>
          <w:lang w:val="it-IT"/>
        </w:rPr>
        <w:t xml:space="preserve">a differenti parametri come </w:t>
      </w:r>
      <w:r w:rsidR="00E30278" w:rsidRPr="00564325">
        <w:rPr>
          <w:lang w:val="it-IT"/>
        </w:rPr>
        <w:t xml:space="preserve">alla variabilità dei tassi </w:t>
      </w:r>
      <w:r w:rsidR="008B2791" w:rsidRPr="00564325">
        <w:rPr>
          <w:lang w:val="it-IT"/>
        </w:rPr>
        <w:t xml:space="preserve">di </w:t>
      </w:r>
      <w:r w:rsidR="00E30278" w:rsidRPr="00564325">
        <w:rPr>
          <w:lang w:val="it-IT"/>
        </w:rPr>
        <w:t>rendimento</w:t>
      </w:r>
      <w:r w:rsidR="006C2A34" w:rsidRPr="00564325">
        <w:rPr>
          <w:lang w:val="it-IT"/>
        </w:rPr>
        <w:t xml:space="preserve">, può essere determinato in differenti modi. Il parametro preso in considerazione dal presente elaborato è la </w:t>
      </w:r>
      <w:r w:rsidR="006C2A34" w:rsidRPr="00564325">
        <w:rPr>
          <w:b/>
          <w:bCs/>
          <w:lang w:val="it-IT"/>
        </w:rPr>
        <w:t>volatilità</w:t>
      </w:r>
      <w:r w:rsidR="009972EC" w:rsidRPr="00564325">
        <w:rPr>
          <w:lang w:val="it-IT"/>
        </w:rPr>
        <w:t xml:space="preserve">, ovvero quanto i rendimenti di un titolo si discostino dal valore medio. La volatilità viene dunque calcolata </w:t>
      </w:r>
      <w:r w:rsidR="007531E6" w:rsidRPr="00564325">
        <w:rPr>
          <w:lang w:val="it-IT"/>
        </w:rPr>
        <w:t xml:space="preserve">attraverso la </w:t>
      </w:r>
      <w:r w:rsidR="004F5B45" w:rsidRPr="00564325">
        <w:rPr>
          <w:lang w:val="it-IT"/>
        </w:rPr>
        <w:t>deviazione standard</w:t>
      </w:r>
      <w:r w:rsidR="00004DC4" w:rsidRPr="00564325">
        <w:rPr>
          <w:rStyle w:val="FootnoteReference"/>
          <w:lang w:val="it-IT"/>
        </w:rPr>
        <w:footnoteReference w:id="5"/>
      </w:r>
      <w:r w:rsidR="009972EC" w:rsidRPr="00564325">
        <w:rPr>
          <w:lang w:val="it-IT"/>
        </w:rPr>
        <w:t>,</w:t>
      </w:r>
      <w:r w:rsidR="007531E6" w:rsidRPr="00564325">
        <w:rPr>
          <w:lang w:val="it-IT"/>
        </w:rPr>
        <w:t xml:space="preserve"> poiché, più </w:t>
      </w:r>
      <w:r w:rsidR="002D519A" w:rsidRPr="00564325">
        <w:rPr>
          <w:lang w:val="it-IT"/>
        </w:rPr>
        <w:t>la varianza</w:t>
      </w:r>
      <w:r w:rsidR="007531E6" w:rsidRPr="00564325">
        <w:rPr>
          <w:lang w:val="it-IT"/>
        </w:rPr>
        <w:t xml:space="preserve"> è elevat</w:t>
      </w:r>
      <w:r w:rsidR="002D519A" w:rsidRPr="00564325">
        <w:rPr>
          <w:lang w:val="it-IT"/>
        </w:rPr>
        <w:t>a</w:t>
      </w:r>
      <w:r w:rsidR="007531E6" w:rsidRPr="00564325">
        <w:rPr>
          <w:lang w:val="it-IT"/>
        </w:rPr>
        <w:t xml:space="preserve">, </w:t>
      </w:r>
      <w:r w:rsidR="00953268" w:rsidRPr="00564325">
        <w:rPr>
          <w:lang w:val="it-IT"/>
        </w:rPr>
        <w:t>maggiormente il rendimento del titolo si discosta da</w:t>
      </w:r>
      <w:r w:rsidR="002D519A" w:rsidRPr="00564325">
        <w:rPr>
          <w:lang w:val="it-IT"/>
        </w:rPr>
        <w:t>l rendimento medio</w:t>
      </w:r>
      <w:r w:rsidR="00953268" w:rsidRPr="00564325">
        <w:rPr>
          <w:lang w:val="it-IT"/>
        </w:rPr>
        <w:t>, indicando maggiore spazio per ottenere alti rendimenti</w:t>
      </w:r>
      <w:r w:rsidR="00004DC4" w:rsidRPr="00564325">
        <w:rPr>
          <w:lang w:val="it-IT"/>
        </w:rPr>
        <w:t>, ma anche potenziali p</w:t>
      </w:r>
      <w:r w:rsidR="00116BDC" w:rsidRPr="00564325">
        <w:rPr>
          <w:lang w:val="it-IT"/>
        </w:rPr>
        <w:t>e</w:t>
      </w:r>
      <w:r w:rsidR="00004DC4" w:rsidRPr="00564325">
        <w:rPr>
          <w:lang w:val="it-IT"/>
        </w:rPr>
        <w:t>rdite.</w:t>
      </w:r>
      <w:r w:rsidR="00EB48DC" w:rsidRPr="00564325">
        <w:rPr>
          <w:lang w:val="it-IT"/>
        </w:rPr>
        <w:t xml:space="preserve"> </w:t>
      </w:r>
    </w:p>
    <w:p w14:paraId="7F9A0755" w14:textId="77777777" w:rsidR="00463829" w:rsidRPr="00564325" w:rsidRDefault="00463829" w:rsidP="00364362">
      <w:pPr>
        <w:pStyle w:val="aptp"/>
        <w:rPr>
          <w:lang w:val="it-IT"/>
        </w:rPr>
      </w:pPr>
    </w:p>
    <w:p w14:paraId="64E12FFD" w14:textId="6962E15F" w:rsidR="0007250F" w:rsidRPr="00564325" w:rsidRDefault="001B2287" w:rsidP="0007250F">
      <w:pPr>
        <w:pStyle w:val="apth3"/>
      </w:pPr>
      <w:bookmarkStart w:id="11" w:name="_Toc207820529"/>
      <w:r w:rsidRPr="00564325">
        <w:t>Criterio di dominanza</w:t>
      </w:r>
      <w:bookmarkEnd w:id="11"/>
    </w:p>
    <w:p w14:paraId="1F508F9E" w14:textId="77777777" w:rsidR="00F91A1A" w:rsidRPr="00564325" w:rsidRDefault="00DB21B5" w:rsidP="00F57751">
      <w:pPr>
        <w:pStyle w:val="aptp"/>
        <w:rPr>
          <w:lang w:val="it-IT"/>
        </w:rPr>
      </w:pPr>
      <w:r w:rsidRPr="00564325">
        <w:rPr>
          <w:lang w:val="it-IT"/>
        </w:rPr>
        <w:t xml:space="preserve">Attraverso rendimento atteso (rendimento) e deviazione standard (rischio) è possibile </w:t>
      </w:r>
      <w:r w:rsidR="00F467A8" w:rsidRPr="00564325">
        <w:rPr>
          <w:lang w:val="it-IT"/>
        </w:rPr>
        <w:t xml:space="preserve">confrontare due portafogli alternativi e definire </w:t>
      </w:r>
      <w:r w:rsidR="00CA3EFA" w:rsidRPr="00564325">
        <w:rPr>
          <w:lang w:val="it-IT"/>
        </w:rPr>
        <w:t xml:space="preserve">quale dei due sia dominante e quale dominato. </w:t>
      </w:r>
    </w:p>
    <w:p w14:paraId="7AF1A798" w14:textId="257345FE" w:rsidR="00B10750" w:rsidRPr="00564325" w:rsidRDefault="00CA3EFA" w:rsidP="00F57751">
      <w:pPr>
        <w:pStyle w:val="aptp"/>
        <w:rPr>
          <w:lang w:val="it-IT"/>
        </w:rPr>
      </w:pPr>
      <w:r w:rsidRPr="00564325">
        <w:rPr>
          <w:lang w:val="it-IT"/>
        </w:rPr>
        <w:t xml:space="preserve">Secondo il </w:t>
      </w:r>
      <w:r w:rsidRPr="00564325">
        <w:rPr>
          <w:b/>
          <w:bCs/>
          <w:lang w:val="it-IT"/>
        </w:rPr>
        <w:t>criterio di dominanza</w:t>
      </w:r>
      <w:r w:rsidR="004E14CE" w:rsidRPr="00564325">
        <w:rPr>
          <w:b/>
          <w:bCs/>
          <w:lang w:val="it-IT"/>
        </w:rPr>
        <w:t xml:space="preserve"> </w:t>
      </w:r>
      <w:r w:rsidR="004E14CE" w:rsidRPr="00564325">
        <w:rPr>
          <w:lang w:val="it-IT"/>
        </w:rPr>
        <w:t>(</w:t>
      </w:r>
      <w:r w:rsidR="004E14CE" w:rsidRPr="00564325">
        <w:rPr>
          <w:i/>
          <w:iCs/>
          <w:lang w:val="it-IT"/>
        </w:rPr>
        <w:t>Figura 1</w:t>
      </w:r>
      <w:r w:rsidR="00B10750" w:rsidRPr="00564325">
        <w:rPr>
          <w:i/>
          <w:iCs/>
          <w:lang w:val="it-IT"/>
        </w:rPr>
        <w:t xml:space="preserve"> – Criterio di dominanza</w:t>
      </w:r>
      <w:r w:rsidR="004E14CE" w:rsidRPr="00564325">
        <w:rPr>
          <w:lang w:val="it-IT"/>
        </w:rPr>
        <w:t>)</w:t>
      </w:r>
      <w:r w:rsidRPr="00564325">
        <w:rPr>
          <w:lang w:val="it-IT"/>
        </w:rPr>
        <w:t xml:space="preserve">, </w:t>
      </w:r>
      <w:r w:rsidR="00FD5204" w:rsidRPr="00564325">
        <w:rPr>
          <w:lang w:val="it-IT"/>
        </w:rPr>
        <w:t>un portafoglio è dominante quando il suo rendimento è maggiore rispetto all’altro</w:t>
      </w:r>
      <w:r w:rsidR="00980A14" w:rsidRPr="00564325">
        <w:rPr>
          <w:lang w:val="it-IT"/>
        </w:rPr>
        <w:t xml:space="preserve"> e </w:t>
      </w:r>
      <w:r w:rsidR="00FD5204" w:rsidRPr="00564325">
        <w:rPr>
          <w:lang w:val="it-IT"/>
        </w:rPr>
        <w:t xml:space="preserve">il rischio </w:t>
      </w:r>
      <w:r w:rsidR="00980A14" w:rsidRPr="00564325">
        <w:rPr>
          <w:lang w:val="it-IT"/>
        </w:rPr>
        <w:t xml:space="preserve">del primo </w:t>
      </w:r>
      <w:r w:rsidR="00FD5204" w:rsidRPr="00564325">
        <w:rPr>
          <w:lang w:val="it-IT"/>
        </w:rPr>
        <w:t>è minore</w:t>
      </w:r>
      <w:r w:rsidR="00980A14" w:rsidRPr="00564325">
        <w:rPr>
          <w:lang w:val="it-IT"/>
        </w:rPr>
        <w:t xml:space="preserve"> del secondo. Quando ciò accade, il portafoglio</w:t>
      </w:r>
      <w:r w:rsidR="00F0445C" w:rsidRPr="00564325">
        <w:rPr>
          <w:lang w:val="it-IT"/>
        </w:rPr>
        <w:t xml:space="preserve"> è più efficiente su entrambi i fronti.</w:t>
      </w:r>
    </w:p>
    <w:p w14:paraId="56B63378" w14:textId="1A2F13BE" w:rsidR="006F3063" w:rsidRPr="00564325" w:rsidRDefault="00783970" w:rsidP="00F57751">
      <w:pPr>
        <w:pStyle w:val="aptp"/>
        <w:rPr>
          <w:lang w:val="it-IT"/>
        </w:rPr>
      </w:pPr>
      <w:r w:rsidRPr="00564325">
        <w:rPr>
          <w:lang w:val="it-IT"/>
        </w:rPr>
        <w:t xml:space="preserve">Viceversa, quando il portafoglio ha rendimento </w:t>
      </w:r>
      <w:r w:rsidR="006A6293" w:rsidRPr="00564325">
        <w:rPr>
          <w:lang w:val="it-IT"/>
        </w:rPr>
        <w:t xml:space="preserve">inferiore e rischio maggiore si dice </w:t>
      </w:r>
      <w:r w:rsidR="00B3370F" w:rsidRPr="00564325">
        <w:rPr>
          <w:lang w:val="it-IT"/>
        </w:rPr>
        <w:t>dominato</w:t>
      </w:r>
      <w:r w:rsidR="001702A9" w:rsidRPr="00564325">
        <w:rPr>
          <w:lang w:val="it-IT"/>
        </w:rPr>
        <w:t xml:space="preserve"> </w:t>
      </w:r>
      <w:r w:rsidR="00F13100" w:rsidRPr="00564325">
        <w:rPr>
          <w:lang w:val="it-IT"/>
        </w:rPr>
        <w:t>poiché non presenta alcuna efficienza.</w:t>
      </w:r>
    </w:p>
    <w:p w14:paraId="6C57F59D" w14:textId="2CD2CDEE" w:rsidR="0007250F" w:rsidRPr="00564325" w:rsidRDefault="00B3370F" w:rsidP="00F57751">
      <w:pPr>
        <w:pStyle w:val="aptp"/>
        <w:rPr>
          <w:lang w:val="it-IT"/>
        </w:rPr>
      </w:pPr>
      <w:r w:rsidRPr="00564325">
        <w:rPr>
          <w:lang w:val="it-IT"/>
        </w:rPr>
        <w:t xml:space="preserve">Quando invece un portafoglio ha rendimento e rischio </w:t>
      </w:r>
      <w:r w:rsidR="00031EAF" w:rsidRPr="00564325">
        <w:rPr>
          <w:lang w:val="it-IT"/>
        </w:rPr>
        <w:t>maggiore oppure inferiore rispetto all’altro si ha a che fare con</w:t>
      </w:r>
      <w:r w:rsidR="006F3063" w:rsidRPr="00564325">
        <w:rPr>
          <w:lang w:val="it-IT"/>
        </w:rPr>
        <w:t xml:space="preserve"> un portafoglio</w:t>
      </w:r>
      <w:r w:rsidR="00031EAF" w:rsidRPr="00564325">
        <w:rPr>
          <w:lang w:val="it-IT"/>
        </w:rPr>
        <w:t xml:space="preserve"> non ordinabil</w:t>
      </w:r>
      <w:r w:rsidR="006F3063" w:rsidRPr="00564325">
        <w:rPr>
          <w:lang w:val="it-IT"/>
        </w:rPr>
        <w:t>e</w:t>
      </w:r>
      <w:r w:rsidR="00031EAF" w:rsidRPr="00564325">
        <w:rPr>
          <w:lang w:val="it-IT"/>
        </w:rPr>
        <w:t xml:space="preserve">, ovvero senza una chiara </w:t>
      </w:r>
      <w:r w:rsidR="009209E0" w:rsidRPr="00564325">
        <w:rPr>
          <w:lang w:val="it-IT"/>
        </w:rPr>
        <w:t>posizione d</w:t>
      </w:r>
      <w:r w:rsidR="00951D19" w:rsidRPr="00564325">
        <w:rPr>
          <w:lang w:val="it-IT"/>
        </w:rPr>
        <w:t>i miglioramento rispetto all’altro.</w:t>
      </w:r>
    </w:p>
    <w:p w14:paraId="0F2D901F" w14:textId="2D8A3007" w:rsidR="00443793" w:rsidRPr="00564325" w:rsidRDefault="00443793" w:rsidP="00F57751">
      <w:pPr>
        <w:pStyle w:val="aptp"/>
        <w:rPr>
          <w:lang w:val="it-IT"/>
        </w:rPr>
      </w:pPr>
      <w:r w:rsidRPr="00564325">
        <w:rPr>
          <w:lang w:val="it-IT"/>
        </w:rPr>
        <w:t>I portafogli che sa</w:t>
      </w:r>
      <w:r w:rsidR="008F2563" w:rsidRPr="00564325">
        <w:rPr>
          <w:lang w:val="it-IT"/>
        </w:rPr>
        <w:t xml:space="preserve">ranno esaminati </w:t>
      </w:r>
      <w:r w:rsidR="00AB2AE6" w:rsidRPr="00564325">
        <w:rPr>
          <w:lang w:val="it-IT"/>
        </w:rPr>
        <w:t>da questo elaborato s</w:t>
      </w:r>
      <w:r w:rsidR="008F2563" w:rsidRPr="00564325">
        <w:rPr>
          <w:lang w:val="it-IT"/>
        </w:rPr>
        <w:t xml:space="preserve">ono per definizione portafogli dominanti poiché ottimizzati dal modello di </w:t>
      </w:r>
      <w:r w:rsidR="008F2563" w:rsidRPr="00564325">
        <w:rPr>
          <w:i/>
          <w:iCs/>
          <w:lang w:val="it-IT"/>
        </w:rPr>
        <w:t>Markovitz</w:t>
      </w:r>
      <w:r w:rsidR="00AB2AE6" w:rsidRPr="00564325">
        <w:rPr>
          <w:i/>
          <w:iCs/>
          <w:lang w:val="it-IT"/>
        </w:rPr>
        <w:t xml:space="preserve"> </w:t>
      </w:r>
      <w:r w:rsidR="00AB2AE6" w:rsidRPr="00564325">
        <w:rPr>
          <w:lang w:val="it-IT"/>
        </w:rPr>
        <w:t xml:space="preserve">e situati sulla frontiera efficiente </w:t>
      </w:r>
      <w:r w:rsidR="007506C6" w:rsidRPr="00564325">
        <w:rPr>
          <w:lang w:val="it-IT"/>
        </w:rPr>
        <w:t>costruita.</w:t>
      </w:r>
    </w:p>
    <w:p w14:paraId="1EFB0800" w14:textId="77777777" w:rsidR="004E14CE" w:rsidRPr="00564325" w:rsidRDefault="004E14CE" w:rsidP="00F57751">
      <w:pPr>
        <w:pStyle w:val="aptp"/>
        <w:rPr>
          <w:lang w:val="it-IT"/>
        </w:rPr>
      </w:pPr>
    </w:p>
    <w:p w14:paraId="30E548E6" w14:textId="3DC0E5B7" w:rsidR="006F3063" w:rsidRPr="00564325" w:rsidRDefault="004E14CE" w:rsidP="006F3063">
      <w:pPr>
        <w:pStyle w:val="aptdidascalie"/>
      </w:pPr>
      <w:r w:rsidRPr="00564325">
        <w:t>Figura 1</w:t>
      </w:r>
      <w:r w:rsidR="00206AE7" w:rsidRPr="00564325">
        <w:t xml:space="preserve"> – Criterio di dominanza</w:t>
      </w:r>
    </w:p>
    <w:p w14:paraId="3AD0930A" w14:textId="3EFAA6FF" w:rsidR="001956B0" w:rsidRPr="00564325" w:rsidRDefault="004E14CE" w:rsidP="006F3063">
      <w:pPr>
        <w:pStyle w:val="aptdidascalie"/>
      </w:pPr>
      <w:r w:rsidRPr="00564325">
        <w:rPr>
          <w:noProof/>
        </w:rPr>
        <w:drawing>
          <wp:inline distT="0" distB="0" distL="0" distR="0" wp14:anchorId="4222A523" wp14:editId="395CC96A">
            <wp:extent cx="3899171" cy="2255003"/>
            <wp:effectExtent l="0" t="0" r="6350" b="0"/>
            <wp:docPr id="1532269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7080" cy="2271144"/>
                    </a:xfrm>
                    <a:prstGeom prst="rect">
                      <a:avLst/>
                    </a:prstGeom>
                    <a:noFill/>
                    <a:ln>
                      <a:noFill/>
                    </a:ln>
                  </pic:spPr>
                </pic:pic>
              </a:graphicData>
            </a:graphic>
          </wp:inline>
        </w:drawing>
      </w:r>
    </w:p>
    <w:p w14:paraId="5490EBD6" w14:textId="77777777" w:rsidR="001956B0" w:rsidRPr="00564325" w:rsidRDefault="001956B0" w:rsidP="001956B0">
      <w:pPr>
        <w:pStyle w:val="aptp"/>
        <w:rPr>
          <w:lang w:val="it-IT"/>
        </w:rPr>
      </w:pPr>
    </w:p>
    <w:p w14:paraId="3E1C3FEE" w14:textId="156ABC90" w:rsidR="0060102F" w:rsidRPr="00564325" w:rsidRDefault="0060102F" w:rsidP="0060102F">
      <w:pPr>
        <w:pStyle w:val="apth3"/>
      </w:pPr>
      <w:bookmarkStart w:id="12" w:name="_Toc207820530"/>
      <w:r w:rsidRPr="00564325">
        <w:t xml:space="preserve">Portafoglio </w:t>
      </w:r>
      <w:r w:rsidRPr="00564325">
        <w:rPr>
          <w:i/>
          <w:iCs/>
        </w:rPr>
        <w:t>defense</w:t>
      </w:r>
      <w:bookmarkEnd w:id="12"/>
    </w:p>
    <w:p w14:paraId="14AB08E8" w14:textId="5FA07471" w:rsidR="00FE6716" w:rsidRPr="00564325" w:rsidRDefault="00242E51" w:rsidP="002D3885">
      <w:pPr>
        <w:pStyle w:val="aptp"/>
        <w:rPr>
          <w:lang w:val="it-IT"/>
        </w:rPr>
      </w:pPr>
      <w:r w:rsidRPr="00564325">
        <w:rPr>
          <w:lang w:val="it-IT"/>
        </w:rPr>
        <w:t xml:space="preserve">Come già menzionato i titoli delle azioni </w:t>
      </w:r>
      <w:r w:rsidRPr="00564325">
        <w:rPr>
          <w:i/>
          <w:iCs/>
          <w:lang w:val="it-IT"/>
        </w:rPr>
        <w:t>defense</w:t>
      </w:r>
      <w:r w:rsidR="00F900BC" w:rsidRPr="00564325">
        <w:rPr>
          <w:lang w:val="it-IT"/>
        </w:rPr>
        <w:t xml:space="preserve">, ovvero </w:t>
      </w:r>
      <w:r w:rsidR="002E4006" w:rsidRPr="00564325">
        <w:rPr>
          <w:lang w:val="it-IT"/>
        </w:rPr>
        <w:t xml:space="preserve">delle aziende </w:t>
      </w:r>
      <w:r w:rsidR="00F900BC" w:rsidRPr="00564325">
        <w:rPr>
          <w:lang w:val="it-IT"/>
        </w:rPr>
        <w:t xml:space="preserve">produttrici di armi e servizi </w:t>
      </w:r>
      <w:r w:rsidR="00ED49CF" w:rsidRPr="00564325">
        <w:rPr>
          <w:lang w:val="it-IT"/>
        </w:rPr>
        <w:t>di sicurezza e aerospazio militare</w:t>
      </w:r>
      <w:r w:rsidR="00567F5D" w:rsidRPr="00564325">
        <w:rPr>
          <w:lang w:val="it-IT"/>
        </w:rPr>
        <w:t>,</w:t>
      </w:r>
      <w:r w:rsidRPr="00564325">
        <w:rPr>
          <w:i/>
          <w:iCs/>
          <w:lang w:val="it-IT"/>
        </w:rPr>
        <w:t xml:space="preserve"> </w:t>
      </w:r>
      <w:r w:rsidRPr="00564325">
        <w:rPr>
          <w:lang w:val="it-IT"/>
        </w:rPr>
        <w:t xml:space="preserve">sono stati soggetti a </w:t>
      </w:r>
      <w:r w:rsidR="00480A97" w:rsidRPr="00564325">
        <w:rPr>
          <w:lang w:val="it-IT"/>
        </w:rPr>
        <w:t>enormi incrementi di valore a partire dall’inizio della guerra russo-ucraina</w:t>
      </w:r>
      <w:r w:rsidR="005F4C3C" w:rsidRPr="00564325">
        <w:rPr>
          <w:lang w:val="it-IT"/>
        </w:rPr>
        <w:t>.</w:t>
      </w:r>
    </w:p>
    <w:p w14:paraId="09765545" w14:textId="5B08807A" w:rsidR="00E66767" w:rsidRPr="00564325" w:rsidRDefault="00FE6716" w:rsidP="00E66767">
      <w:pPr>
        <w:pStyle w:val="aptp"/>
        <w:rPr>
          <w:lang w:val="it-IT"/>
        </w:rPr>
      </w:pPr>
      <w:r w:rsidRPr="00564325">
        <w:rPr>
          <w:lang w:val="it-IT"/>
        </w:rPr>
        <w:t>Pertanto, ai fini della ricerca si ha selezionato cinque titoli</w:t>
      </w:r>
      <w:r w:rsidR="00282683" w:rsidRPr="00564325">
        <w:rPr>
          <w:lang w:val="it-IT"/>
        </w:rPr>
        <w:t xml:space="preserve"> di aziende</w:t>
      </w:r>
      <w:r w:rsidR="008F0831" w:rsidRPr="00564325">
        <w:rPr>
          <w:lang w:val="it-IT"/>
        </w:rPr>
        <w:t xml:space="preserve"> (</w:t>
      </w:r>
      <w:r w:rsidR="008F0831" w:rsidRPr="00564325">
        <w:rPr>
          <w:i/>
          <w:iCs/>
          <w:lang w:val="it-IT"/>
        </w:rPr>
        <w:t>Tabella 2 – Riepilogo titoli)</w:t>
      </w:r>
      <w:r w:rsidRPr="00564325">
        <w:rPr>
          <w:lang w:val="it-IT"/>
        </w:rPr>
        <w:t xml:space="preserve"> </w:t>
      </w:r>
      <w:r w:rsidR="00376AB6" w:rsidRPr="00564325">
        <w:rPr>
          <w:lang w:val="it-IT"/>
        </w:rPr>
        <w:t xml:space="preserve">di particolare spicco </w:t>
      </w:r>
      <w:r w:rsidRPr="00564325">
        <w:rPr>
          <w:lang w:val="it-IT"/>
        </w:rPr>
        <w:t>del settore</w:t>
      </w:r>
      <w:r w:rsidR="00376AB6" w:rsidRPr="00564325">
        <w:rPr>
          <w:lang w:val="it-IT"/>
        </w:rPr>
        <w:t xml:space="preserve">, </w:t>
      </w:r>
      <w:r w:rsidR="00E66767" w:rsidRPr="00564325">
        <w:rPr>
          <w:lang w:val="it-IT"/>
        </w:rPr>
        <w:t>leggermente differenziat</w:t>
      </w:r>
      <w:r w:rsidR="00282683" w:rsidRPr="00564325">
        <w:rPr>
          <w:lang w:val="it-IT"/>
        </w:rPr>
        <w:t>e</w:t>
      </w:r>
      <w:r w:rsidR="00E66767" w:rsidRPr="00564325">
        <w:rPr>
          <w:lang w:val="it-IT"/>
        </w:rPr>
        <w:t xml:space="preserve"> per specializzazione e nazionalità:</w:t>
      </w:r>
    </w:p>
    <w:p w14:paraId="4EE25D18" w14:textId="791697E3" w:rsidR="00937D7E" w:rsidRPr="00564325" w:rsidRDefault="00A73957" w:rsidP="00F82400">
      <w:pPr>
        <w:pStyle w:val="aptp"/>
        <w:numPr>
          <w:ilvl w:val="0"/>
          <w:numId w:val="2"/>
        </w:numPr>
        <w:rPr>
          <w:lang w:val="it-IT"/>
        </w:rPr>
      </w:pPr>
      <w:r w:rsidRPr="00564325">
        <w:rPr>
          <w:b/>
          <w:bCs/>
          <w:lang w:val="it-IT"/>
        </w:rPr>
        <w:t>Lockheed Martin</w:t>
      </w:r>
      <w:r w:rsidRPr="00564325">
        <w:rPr>
          <w:lang w:val="it-IT"/>
        </w:rPr>
        <w:t xml:space="preserve"> – </w:t>
      </w:r>
      <w:r w:rsidR="00750887" w:rsidRPr="00564325">
        <w:rPr>
          <w:lang w:val="it-IT"/>
        </w:rPr>
        <w:t>uno dei più popolari</w:t>
      </w:r>
      <w:r w:rsidRPr="00564325">
        <w:rPr>
          <w:lang w:val="it-IT"/>
        </w:rPr>
        <w:t xml:space="preserve"> leader mondial</w:t>
      </w:r>
      <w:r w:rsidR="00750887" w:rsidRPr="00564325">
        <w:rPr>
          <w:lang w:val="it-IT"/>
        </w:rPr>
        <w:t>i</w:t>
      </w:r>
      <w:r w:rsidRPr="00564325">
        <w:rPr>
          <w:lang w:val="it-IT"/>
        </w:rPr>
        <w:t xml:space="preserve"> nel settore</w:t>
      </w:r>
      <w:r w:rsidR="00750887" w:rsidRPr="00564325">
        <w:rPr>
          <w:lang w:val="it-IT"/>
        </w:rPr>
        <w:t xml:space="preserve">, </w:t>
      </w:r>
      <w:r w:rsidR="00C92C14" w:rsidRPr="00564325">
        <w:rPr>
          <w:lang w:val="it-IT"/>
        </w:rPr>
        <w:t>opera</w:t>
      </w:r>
      <w:r w:rsidRPr="00564325">
        <w:rPr>
          <w:lang w:val="it-IT"/>
        </w:rPr>
        <w:t xml:space="preserve"> </w:t>
      </w:r>
      <w:r w:rsidR="00C92C14" w:rsidRPr="00564325">
        <w:rPr>
          <w:lang w:val="it-IT"/>
        </w:rPr>
        <w:t>n</w:t>
      </w:r>
      <w:r w:rsidRPr="00564325">
        <w:rPr>
          <w:lang w:val="it-IT"/>
        </w:rPr>
        <w:t xml:space="preserve">ella difesa e </w:t>
      </w:r>
      <w:r w:rsidR="00C92C14" w:rsidRPr="00564325">
        <w:rPr>
          <w:lang w:val="it-IT"/>
        </w:rPr>
        <w:t>n</w:t>
      </w:r>
      <w:r w:rsidRPr="00564325">
        <w:rPr>
          <w:lang w:val="it-IT"/>
        </w:rPr>
        <w:t>ell’</w:t>
      </w:r>
      <w:r w:rsidR="00F900BC" w:rsidRPr="00564325">
        <w:rPr>
          <w:lang w:val="it-IT"/>
        </w:rPr>
        <w:t>aerospazio</w:t>
      </w:r>
      <w:r w:rsidR="009B6722" w:rsidRPr="00564325">
        <w:rPr>
          <w:lang w:val="it-IT"/>
        </w:rPr>
        <w:t xml:space="preserve"> e</w:t>
      </w:r>
      <w:r w:rsidR="00ED49CF" w:rsidRPr="00564325">
        <w:rPr>
          <w:lang w:val="it-IT"/>
        </w:rPr>
        <w:t xml:space="preserve"> ha sede negli Stati Uniti</w:t>
      </w:r>
      <w:r w:rsidR="00704B10" w:rsidRPr="00564325">
        <w:rPr>
          <w:lang w:val="it-IT"/>
        </w:rPr>
        <w:t>;</w:t>
      </w:r>
    </w:p>
    <w:p w14:paraId="6DC2E996" w14:textId="00DD87D4" w:rsidR="000B5A26" w:rsidRPr="00564325" w:rsidRDefault="000246D6" w:rsidP="00F82400">
      <w:pPr>
        <w:pStyle w:val="aptp"/>
        <w:numPr>
          <w:ilvl w:val="0"/>
          <w:numId w:val="2"/>
        </w:numPr>
        <w:rPr>
          <w:lang w:val="it-IT"/>
        </w:rPr>
      </w:pPr>
      <w:r w:rsidRPr="00564325">
        <w:rPr>
          <w:b/>
          <w:bCs/>
          <w:lang w:val="it-IT"/>
        </w:rPr>
        <w:t xml:space="preserve">Rheinmetall </w:t>
      </w:r>
      <w:r w:rsidR="00F7256F" w:rsidRPr="00564325">
        <w:rPr>
          <w:lang w:val="it-IT"/>
        </w:rPr>
        <w:t>–</w:t>
      </w:r>
      <w:r w:rsidRPr="00564325">
        <w:rPr>
          <w:lang w:val="it-IT"/>
        </w:rPr>
        <w:t xml:space="preserve"> </w:t>
      </w:r>
      <w:r w:rsidR="00F7256F" w:rsidRPr="00564325">
        <w:rPr>
          <w:lang w:val="it-IT"/>
        </w:rPr>
        <w:t xml:space="preserve">azienda tedesca </w:t>
      </w:r>
      <w:r w:rsidR="000A4BBA" w:rsidRPr="00564325">
        <w:rPr>
          <w:lang w:val="it-IT"/>
        </w:rPr>
        <w:t>produttrice di</w:t>
      </w:r>
      <w:r w:rsidR="009B6722" w:rsidRPr="00564325">
        <w:rPr>
          <w:lang w:val="it-IT"/>
        </w:rPr>
        <w:t xml:space="preserve"> mezzi di</w:t>
      </w:r>
      <w:r w:rsidR="000A4BBA" w:rsidRPr="00564325">
        <w:rPr>
          <w:lang w:val="it-IT"/>
        </w:rPr>
        <w:t xml:space="preserve"> difes</w:t>
      </w:r>
      <w:r w:rsidR="009B6722" w:rsidRPr="00564325">
        <w:rPr>
          <w:lang w:val="it-IT"/>
        </w:rPr>
        <w:t>a</w:t>
      </w:r>
      <w:r w:rsidR="000A4BBA" w:rsidRPr="00564325">
        <w:rPr>
          <w:lang w:val="it-IT"/>
        </w:rPr>
        <w:t xml:space="preserve"> sottomarin</w:t>
      </w:r>
      <w:r w:rsidR="009B6722" w:rsidRPr="00564325">
        <w:rPr>
          <w:lang w:val="it-IT"/>
        </w:rPr>
        <w:t>a</w:t>
      </w:r>
      <w:r w:rsidR="000A4BBA" w:rsidRPr="00564325">
        <w:rPr>
          <w:lang w:val="it-IT"/>
        </w:rPr>
        <w:t xml:space="preserve"> e </w:t>
      </w:r>
      <w:r w:rsidR="009B6722" w:rsidRPr="00564325">
        <w:rPr>
          <w:lang w:val="it-IT"/>
        </w:rPr>
        <w:t xml:space="preserve">di </w:t>
      </w:r>
      <w:r w:rsidR="000A4BBA" w:rsidRPr="00564325">
        <w:rPr>
          <w:lang w:val="it-IT"/>
        </w:rPr>
        <w:t>munizion</w:t>
      </w:r>
      <w:r w:rsidR="009B6722" w:rsidRPr="00564325">
        <w:rPr>
          <w:lang w:val="it-IT"/>
        </w:rPr>
        <w:t>i</w:t>
      </w:r>
      <w:r w:rsidR="00704B10" w:rsidRPr="00564325">
        <w:rPr>
          <w:lang w:val="it-IT"/>
        </w:rPr>
        <w:t>;</w:t>
      </w:r>
    </w:p>
    <w:p w14:paraId="4D412CC2" w14:textId="6C84AA39" w:rsidR="00A44CDC" w:rsidRPr="00564325" w:rsidRDefault="00871C01" w:rsidP="00F82400">
      <w:pPr>
        <w:pStyle w:val="aptp"/>
        <w:numPr>
          <w:ilvl w:val="0"/>
          <w:numId w:val="2"/>
        </w:numPr>
        <w:rPr>
          <w:lang w:val="it-IT"/>
        </w:rPr>
      </w:pPr>
      <w:r w:rsidRPr="00564325">
        <w:rPr>
          <w:b/>
          <w:bCs/>
          <w:lang w:val="it-IT"/>
        </w:rPr>
        <w:t xml:space="preserve">Northrop Grumman </w:t>
      </w:r>
      <w:r w:rsidRPr="00564325">
        <w:rPr>
          <w:lang w:val="it-IT"/>
        </w:rPr>
        <w:t>– azienda</w:t>
      </w:r>
      <w:r w:rsidR="009D32D6" w:rsidRPr="00564325">
        <w:rPr>
          <w:lang w:val="it-IT"/>
        </w:rPr>
        <w:t xml:space="preserve"> statunitense</w:t>
      </w:r>
      <w:r w:rsidRPr="00564325">
        <w:rPr>
          <w:lang w:val="it-IT"/>
        </w:rPr>
        <w:t xml:space="preserve"> di difesa e produttrice di droni e missili</w:t>
      </w:r>
      <w:r w:rsidR="00704B10" w:rsidRPr="00564325">
        <w:rPr>
          <w:lang w:val="it-IT"/>
        </w:rPr>
        <w:t>;</w:t>
      </w:r>
    </w:p>
    <w:p w14:paraId="02BFDE67" w14:textId="7AD78D07" w:rsidR="00871C01" w:rsidRPr="00564325" w:rsidRDefault="00D347CD" w:rsidP="00F82400">
      <w:pPr>
        <w:pStyle w:val="aptp"/>
        <w:numPr>
          <w:ilvl w:val="0"/>
          <w:numId w:val="2"/>
        </w:numPr>
        <w:rPr>
          <w:lang w:val="it-IT"/>
        </w:rPr>
      </w:pPr>
      <w:r w:rsidRPr="00564325">
        <w:rPr>
          <w:b/>
          <w:bCs/>
          <w:lang w:val="it-IT"/>
        </w:rPr>
        <w:t xml:space="preserve">Thales Group </w:t>
      </w:r>
      <w:r w:rsidR="000246D6" w:rsidRPr="00564325">
        <w:rPr>
          <w:lang w:val="it-IT"/>
        </w:rPr>
        <w:t>–</w:t>
      </w:r>
      <w:r w:rsidR="00D903B2" w:rsidRPr="00564325">
        <w:rPr>
          <w:lang w:val="it-IT"/>
        </w:rPr>
        <w:t xml:space="preserve"> </w:t>
      </w:r>
      <w:r w:rsidR="000246D6" w:rsidRPr="00564325">
        <w:rPr>
          <w:lang w:val="it-IT"/>
        </w:rPr>
        <w:t xml:space="preserve">operante nel campo della difesa elettronica e </w:t>
      </w:r>
      <w:r w:rsidR="00786A2B" w:rsidRPr="00564325">
        <w:rPr>
          <w:lang w:val="it-IT"/>
        </w:rPr>
        <w:t>della</w:t>
      </w:r>
      <w:r w:rsidR="000246D6" w:rsidRPr="00564325">
        <w:rPr>
          <w:lang w:val="it-IT"/>
        </w:rPr>
        <w:t xml:space="preserve"> </w:t>
      </w:r>
      <w:r w:rsidR="000246D6" w:rsidRPr="00564325">
        <w:rPr>
          <w:i/>
          <w:iCs/>
          <w:lang w:val="it-IT"/>
        </w:rPr>
        <w:t>cyber</w:t>
      </w:r>
      <w:r w:rsidR="000246D6" w:rsidRPr="00564325">
        <w:rPr>
          <w:lang w:val="it-IT"/>
        </w:rPr>
        <w:t xml:space="preserve"> </w:t>
      </w:r>
      <w:r w:rsidR="000246D6" w:rsidRPr="00564325">
        <w:rPr>
          <w:i/>
          <w:iCs/>
          <w:lang w:val="it-IT"/>
        </w:rPr>
        <w:t>security</w:t>
      </w:r>
      <w:r w:rsidR="00D903B2" w:rsidRPr="00564325">
        <w:rPr>
          <w:lang w:val="it-IT"/>
        </w:rPr>
        <w:t>, risiede in Francia</w:t>
      </w:r>
      <w:r w:rsidR="00704B10" w:rsidRPr="00564325">
        <w:rPr>
          <w:lang w:val="it-IT"/>
        </w:rPr>
        <w:t>;</w:t>
      </w:r>
    </w:p>
    <w:p w14:paraId="5B2ACAC7" w14:textId="240E73BE" w:rsidR="00004C0F" w:rsidRPr="00564325" w:rsidRDefault="000A4BBA" w:rsidP="00F82400">
      <w:pPr>
        <w:pStyle w:val="aptp"/>
        <w:numPr>
          <w:ilvl w:val="0"/>
          <w:numId w:val="2"/>
        </w:numPr>
        <w:rPr>
          <w:lang w:val="it-IT"/>
        </w:rPr>
      </w:pPr>
      <w:r w:rsidRPr="00564325">
        <w:rPr>
          <w:b/>
          <w:bCs/>
          <w:lang w:val="it-IT"/>
        </w:rPr>
        <w:t>Leonardo</w:t>
      </w:r>
      <w:r w:rsidRPr="00564325">
        <w:rPr>
          <w:lang w:val="it-IT"/>
        </w:rPr>
        <w:t xml:space="preserve"> – </w:t>
      </w:r>
      <w:r w:rsidR="00D903B2" w:rsidRPr="00564325">
        <w:rPr>
          <w:lang w:val="it-IT"/>
        </w:rPr>
        <w:t>azienda</w:t>
      </w:r>
      <w:r w:rsidRPr="00564325">
        <w:rPr>
          <w:lang w:val="it-IT"/>
        </w:rPr>
        <w:t xml:space="preserve"> italiana specializzata </w:t>
      </w:r>
      <w:r w:rsidR="00D903B2" w:rsidRPr="00564325">
        <w:rPr>
          <w:lang w:val="it-IT"/>
        </w:rPr>
        <w:t xml:space="preserve">in </w:t>
      </w:r>
      <w:r w:rsidR="00F25B6A" w:rsidRPr="00564325">
        <w:rPr>
          <w:lang w:val="it-IT"/>
        </w:rPr>
        <w:t>difesa, aerospazio e sicurezza</w:t>
      </w:r>
      <w:r w:rsidR="00704B10" w:rsidRPr="00564325">
        <w:rPr>
          <w:lang w:val="it-IT"/>
        </w:rPr>
        <w:t>.</w:t>
      </w:r>
    </w:p>
    <w:p w14:paraId="0ABB8B4D" w14:textId="77777777" w:rsidR="008F0831" w:rsidRPr="00564325" w:rsidRDefault="008F0831" w:rsidP="008F0831">
      <w:pPr>
        <w:pStyle w:val="aptp"/>
        <w:rPr>
          <w:lang w:val="it-IT"/>
        </w:rPr>
      </w:pPr>
    </w:p>
    <w:p w14:paraId="5FCEBA4C" w14:textId="167366A7" w:rsidR="008F0831" w:rsidRPr="00564325" w:rsidRDefault="008F0831" w:rsidP="00274E8C">
      <w:pPr>
        <w:pStyle w:val="aptdidascalie"/>
      </w:pPr>
      <w:r w:rsidRPr="00564325">
        <w:t>Tabella 2 – Riepilogo titoli</w:t>
      </w:r>
    </w:p>
    <w:tbl>
      <w:tblPr>
        <w:tblStyle w:val="TableGrid"/>
        <w:tblW w:w="0" w:type="auto"/>
        <w:tblLook w:val="04A0" w:firstRow="1" w:lastRow="0" w:firstColumn="1" w:lastColumn="0" w:noHBand="0" w:noVBand="1"/>
      </w:tblPr>
      <w:tblGrid>
        <w:gridCol w:w="420"/>
        <w:gridCol w:w="1127"/>
        <w:gridCol w:w="2386"/>
        <w:gridCol w:w="801"/>
        <w:gridCol w:w="4282"/>
      </w:tblGrid>
      <w:tr w:rsidR="006A6923" w:rsidRPr="00564325" w14:paraId="2F10A02F" w14:textId="77777777" w:rsidTr="00D31D6E">
        <w:tc>
          <w:tcPr>
            <w:tcW w:w="420" w:type="dxa"/>
          </w:tcPr>
          <w:p w14:paraId="6AF4F62E" w14:textId="471774D4" w:rsidR="006A6923" w:rsidRPr="00564325" w:rsidRDefault="006A6923" w:rsidP="008F0831">
            <w:pPr>
              <w:pStyle w:val="aptp"/>
              <w:rPr>
                <w:lang w:val="it-IT"/>
              </w:rPr>
            </w:pPr>
          </w:p>
        </w:tc>
        <w:tc>
          <w:tcPr>
            <w:tcW w:w="1129" w:type="dxa"/>
          </w:tcPr>
          <w:p w14:paraId="48A0B4E1" w14:textId="2ED6393B" w:rsidR="006A6923" w:rsidRPr="00564325" w:rsidRDefault="006A6923" w:rsidP="008F0831">
            <w:pPr>
              <w:pStyle w:val="aptp"/>
              <w:rPr>
                <w:b/>
                <w:bCs/>
                <w:lang w:val="it-IT"/>
              </w:rPr>
            </w:pPr>
            <w:r w:rsidRPr="00564325">
              <w:rPr>
                <w:b/>
                <w:bCs/>
                <w:lang w:val="it-IT"/>
              </w:rPr>
              <w:t>Ticker</w:t>
            </w:r>
            <w:r w:rsidR="00070B39" w:rsidRPr="00564325">
              <w:rPr>
                <w:rStyle w:val="FootnoteReference"/>
                <w:b/>
                <w:bCs/>
                <w:lang w:val="it-IT"/>
              </w:rPr>
              <w:footnoteReference w:id="6"/>
            </w:r>
          </w:p>
        </w:tc>
        <w:tc>
          <w:tcPr>
            <w:tcW w:w="2395" w:type="dxa"/>
          </w:tcPr>
          <w:p w14:paraId="529543BD" w14:textId="627BF632" w:rsidR="006A6923" w:rsidRPr="00564325" w:rsidRDefault="006A6923" w:rsidP="008F0831">
            <w:pPr>
              <w:pStyle w:val="aptp"/>
              <w:rPr>
                <w:b/>
                <w:bCs/>
                <w:lang w:val="it-IT"/>
              </w:rPr>
            </w:pPr>
            <w:r w:rsidRPr="00564325">
              <w:rPr>
                <w:b/>
                <w:bCs/>
                <w:lang w:val="it-IT"/>
              </w:rPr>
              <w:t>Azienda</w:t>
            </w:r>
          </w:p>
        </w:tc>
        <w:tc>
          <w:tcPr>
            <w:tcW w:w="767" w:type="dxa"/>
          </w:tcPr>
          <w:p w14:paraId="43547B68" w14:textId="2BDC1AD6" w:rsidR="006A6923" w:rsidRPr="00564325" w:rsidRDefault="006A6923" w:rsidP="008F0831">
            <w:pPr>
              <w:pStyle w:val="aptp"/>
              <w:rPr>
                <w:b/>
                <w:bCs/>
                <w:lang w:val="it-IT"/>
              </w:rPr>
            </w:pPr>
            <w:r w:rsidRPr="00564325">
              <w:rPr>
                <w:b/>
                <w:bCs/>
                <w:lang w:val="it-IT"/>
              </w:rPr>
              <w:t>Stato</w:t>
            </w:r>
          </w:p>
        </w:tc>
        <w:tc>
          <w:tcPr>
            <w:tcW w:w="4305" w:type="dxa"/>
          </w:tcPr>
          <w:p w14:paraId="1B0F2524" w14:textId="0EA77B52" w:rsidR="006A6923" w:rsidRPr="00564325" w:rsidRDefault="006A6923" w:rsidP="008F0831">
            <w:pPr>
              <w:pStyle w:val="aptp"/>
              <w:rPr>
                <w:b/>
                <w:bCs/>
                <w:lang w:val="it-IT"/>
              </w:rPr>
            </w:pPr>
            <w:r w:rsidRPr="00564325">
              <w:rPr>
                <w:b/>
                <w:bCs/>
                <w:lang w:val="it-IT"/>
              </w:rPr>
              <w:t>Settore</w:t>
            </w:r>
          </w:p>
        </w:tc>
      </w:tr>
      <w:tr w:rsidR="006A6923" w:rsidRPr="00564325" w14:paraId="560814FB" w14:textId="77777777" w:rsidTr="00D31D6E">
        <w:tc>
          <w:tcPr>
            <w:tcW w:w="420" w:type="dxa"/>
          </w:tcPr>
          <w:p w14:paraId="5749B491" w14:textId="4777E225" w:rsidR="006A6923" w:rsidRPr="00564325" w:rsidRDefault="006A6923" w:rsidP="008F0831">
            <w:pPr>
              <w:pStyle w:val="aptp"/>
              <w:rPr>
                <w:lang w:val="it-IT"/>
              </w:rPr>
            </w:pPr>
            <w:r w:rsidRPr="00564325">
              <w:rPr>
                <w:lang w:val="it-IT"/>
              </w:rPr>
              <w:t>1</w:t>
            </w:r>
          </w:p>
        </w:tc>
        <w:tc>
          <w:tcPr>
            <w:tcW w:w="1129" w:type="dxa"/>
          </w:tcPr>
          <w:p w14:paraId="09F6ADFC" w14:textId="1916D7CC" w:rsidR="006A6923" w:rsidRPr="00564325" w:rsidRDefault="00E61AF1" w:rsidP="008F0831">
            <w:pPr>
              <w:pStyle w:val="aptp"/>
              <w:rPr>
                <w:lang w:val="it-IT"/>
              </w:rPr>
            </w:pPr>
            <w:r w:rsidRPr="00564325">
              <w:rPr>
                <w:lang w:val="it-IT"/>
              </w:rPr>
              <w:t>LMT</w:t>
            </w:r>
          </w:p>
        </w:tc>
        <w:tc>
          <w:tcPr>
            <w:tcW w:w="2395" w:type="dxa"/>
          </w:tcPr>
          <w:p w14:paraId="41A0FDFC" w14:textId="77B2BE87" w:rsidR="006A6923" w:rsidRPr="00564325" w:rsidRDefault="00D57ACE" w:rsidP="008F0831">
            <w:pPr>
              <w:pStyle w:val="aptp"/>
              <w:rPr>
                <w:lang w:val="it-IT"/>
              </w:rPr>
            </w:pPr>
            <w:r w:rsidRPr="00564325">
              <w:rPr>
                <w:lang w:val="it-IT"/>
              </w:rPr>
              <w:t xml:space="preserve">Lockheed Martin </w:t>
            </w:r>
          </w:p>
        </w:tc>
        <w:tc>
          <w:tcPr>
            <w:tcW w:w="767" w:type="dxa"/>
          </w:tcPr>
          <w:p w14:paraId="583C882F" w14:textId="1BAC0633" w:rsidR="006A6923" w:rsidRPr="00564325" w:rsidRDefault="006A6923" w:rsidP="008F0831">
            <w:pPr>
              <w:pStyle w:val="aptp"/>
              <w:rPr>
                <w:lang w:val="it-IT"/>
              </w:rPr>
            </w:pPr>
            <w:r w:rsidRPr="00564325">
              <w:rPr>
                <w:lang w:val="it-IT"/>
              </w:rPr>
              <w:t>USA</w:t>
            </w:r>
          </w:p>
        </w:tc>
        <w:tc>
          <w:tcPr>
            <w:tcW w:w="4305" w:type="dxa"/>
          </w:tcPr>
          <w:p w14:paraId="25415289" w14:textId="20A417AD" w:rsidR="006A6923" w:rsidRPr="00564325" w:rsidRDefault="00E845DF" w:rsidP="008F0831">
            <w:pPr>
              <w:pStyle w:val="aptp"/>
              <w:rPr>
                <w:lang w:val="it-IT"/>
              </w:rPr>
            </w:pPr>
            <w:r w:rsidRPr="00564325">
              <w:rPr>
                <w:lang w:val="it-IT"/>
              </w:rPr>
              <w:t xml:space="preserve">Difesa | Aerospazio </w:t>
            </w:r>
          </w:p>
        </w:tc>
      </w:tr>
      <w:tr w:rsidR="006A6923" w:rsidRPr="00564325" w14:paraId="6926DF46" w14:textId="77777777" w:rsidTr="00D31D6E">
        <w:tc>
          <w:tcPr>
            <w:tcW w:w="420" w:type="dxa"/>
          </w:tcPr>
          <w:p w14:paraId="5B093101" w14:textId="5D2B81FA" w:rsidR="006A6923" w:rsidRPr="00564325" w:rsidRDefault="006A6923" w:rsidP="008F0831">
            <w:pPr>
              <w:pStyle w:val="aptp"/>
              <w:rPr>
                <w:lang w:val="it-IT"/>
              </w:rPr>
            </w:pPr>
            <w:r w:rsidRPr="00564325">
              <w:rPr>
                <w:lang w:val="it-IT"/>
              </w:rPr>
              <w:t>2</w:t>
            </w:r>
          </w:p>
        </w:tc>
        <w:tc>
          <w:tcPr>
            <w:tcW w:w="1129" w:type="dxa"/>
          </w:tcPr>
          <w:p w14:paraId="2C959C2A" w14:textId="044FE8C7" w:rsidR="006A6923" w:rsidRPr="00564325" w:rsidRDefault="00E61AF1" w:rsidP="008F0831">
            <w:pPr>
              <w:pStyle w:val="aptp"/>
              <w:rPr>
                <w:lang w:val="it-IT"/>
              </w:rPr>
            </w:pPr>
            <w:r w:rsidRPr="00564325">
              <w:rPr>
                <w:lang w:val="it-IT"/>
              </w:rPr>
              <w:t>RHM</w:t>
            </w:r>
          </w:p>
        </w:tc>
        <w:tc>
          <w:tcPr>
            <w:tcW w:w="2395" w:type="dxa"/>
          </w:tcPr>
          <w:p w14:paraId="0AA9D9A5" w14:textId="2EC8E9F5" w:rsidR="006A6923" w:rsidRPr="00564325" w:rsidRDefault="00D57ACE" w:rsidP="008F0831">
            <w:pPr>
              <w:pStyle w:val="aptp"/>
              <w:rPr>
                <w:lang w:val="it-IT"/>
              </w:rPr>
            </w:pPr>
            <w:r w:rsidRPr="00564325">
              <w:rPr>
                <w:lang w:val="it-IT"/>
              </w:rPr>
              <w:t>Rheinmetall</w:t>
            </w:r>
          </w:p>
        </w:tc>
        <w:tc>
          <w:tcPr>
            <w:tcW w:w="767" w:type="dxa"/>
          </w:tcPr>
          <w:p w14:paraId="310F4018" w14:textId="33CFB998" w:rsidR="006A6923" w:rsidRPr="00564325" w:rsidRDefault="006A6923" w:rsidP="008F0831">
            <w:pPr>
              <w:pStyle w:val="aptp"/>
              <w:rPr>
                <w:lang w:val="it-IT"/>
              </w:rPr>
            </w:pPr>
            <w:r w:rsidRPr="00564325">
              <w:rPr>
                <w:lang w:val="it-IT"/>
              </w:rPr>
              <w:t>GER</w:t>
            </w:r>
          </w:p>
        </w:tc>
        <w:tc>
          <w:tcPr>
            <w:tcW w:w="4305" w:type="dxa"/>
          </w:tcPr>
          <w:p w14:paraId="311AB88E" w14:textId="54136D60" w:rsidR="006A6923" w:rsidRPr="00564325" w:rsidRDefault="00476885" w:rsidP="008F0831">
            <w:pPr>
              <w:pStyle w:val="aptp"/>
              <w:rPr>
                <w:lang w:val="it-IT"/>
              </w:rPr>
            </w:pPr>
            <w:r w:rsidRPr="00564325">
              <w:rPr>
                <w:lang w:val="it-IT"/>
              </w:rPr>
              <w:t>Difesa sottomarina | Munizioni</w:t>
            </w:r>
          </w:p>
        </w:tc>
      </w:tr>
      <w:tr w:rsidR="006A6923" w:rsidRPr="00564325" w14:paraId="264875A0" w14:textId="77777777" w:rsidTr="00D31D6E">
        <w:tc>
          <w:tcPr>
            <w:tcW w:w="420" w:type="dxa"/>
          </w:tcPr>
          <w:p w14:paraId="71902C7F" w14:textId="69263A2C" w:rsidR="006A6923" w:rsidRPr="00564325" w:rsidRDefault="006A6923" w:rsidP="008F0831">
            <w:pPr>
              <w:pStyle w:val="aptp"/>
              <w:rPr>
                <w:lang w:val="it-IT"/>
              </w:rPr>
            </w:pPr>
            <w:r w:rsidRPr="00564325">
              <w:rPr>
                <w:lang w:val="it-IT"/>
              </w:rPr>
              <w:t>3</w:t>
            </w:r>
          </w:p>
        </w:tc>
        <w:tc>
          <w:tcPr>
            <w:tcW w:w="1129" w:type="dxa"/>
          </w:tcPr>
          <w:p w14:paraId="74FD2643" w14:textId="0E1318E6" w:rsidR="006A6923" w:rsidRPr="00564325" w:rsidRDefault="0042143F" w:rsidP="008F0831">
            <w:pPr>
              <w:pStyle w:val="aptp"/>
              <w:rPr>
                <w:lang w:val="it-IT"/>
              </w:rPr>
            </w:pPr>
            <w:r w:rsidRPr="00564325">
              <w:rPr>
                <w:lang w:val="it-IT"/>
              </w:rPr>
              <w:t>NOC</w:t>
            </w:r>
          </w:p>
        </w:tc>
        <w:tc>
          <w:tcPr>
            <w:tcW w:w="2395" w:type="dxa"/>
          </w:tcPr>
          <w:p w14:paraId="4308053D" w14:textId="5AF614A2" w:rsidR="006A6923" w:rsidRPr="00564325" w:rsidRDefault="00D57ACE" w:rsidP="008F0831">
            <w:pPr>
              <w:pStyle w:val="aptp"/>
              <w:rPr>
                <w:lang w:val="it-IT"/>
              </w:rPr>
            </w:pPr>
            <w:r w:rsidRPr="00564325">
              <w:rPr>
                <w:lang w:val="it-IT"/>
              </w:rPr>
              <w:t>North</w:t>
            </w:r>
            <w:r w:rsidR="00750887" w:rsidRPr="00564325">
              <w:rPr>
                <w:lang w:val="it-IT"/>
              </w:rPr>
              <w:t>r</w:t>
            </w:r>
            <w:r w:rsidRPr="00564325">
              <w:rPr>
                <w:lang w:val="it-IT"/>
              </w:rPr>
              <w:t>op Gr</w:t>
            </w:r>
            <w:r w:rsidR="00F11D54" w:rsidRPr="00564325">
              <w:rPr>
                <w:lang w:val="it-IT"/>
              </w:rPr>
              <w:t>umman</w:t>
            </w:r>
          </w:p>
        </w:tc>
        <w:tc>
          <w:tcPr>
            <w:tcW w:w="767" w:type="dxa"/>
          </w:tcPr>
          <w:p w14:paraId="25BDCDCD" w14:textId="78979922" w:rsidR="006A6923" w:rsidRPr="00564325" w:rsidRDefault="00D31D6E" w:rsidP="008F0831">
            <w:pPr>
              <w:pStyle w:val="aptp"/>
              <w:rPr>
                <w:lang w:val="it-IT"/>
              </w:rPr>
            </w:pPr>
            <w:r w:rsidRPr="00564325">
              <w:rPr>
                <w:lang w:val="it-IT"/>
              </w:rPr>
              <w:t>USA</w:t>
            </w:r>
          </w:p>
        </w:tc>
        <w:tc>
          <w:tcPr>
            <w:tcW w:w="4305" w:type="dxa"/>
          </w:tcPr>
          <w:p w14:paraId="7D8D06BD" w14:textId="75BDCA65" w:rsidR="006A6923" w:rsidRPr="00564325" w:rsidRDefault="00476885" w:rsidP="008F0831">
            <w:pPr>
              <w:pStyle w:val="aptp"/>
              <w:rPr>
                <w:lang w:val="it-IT"/>
              </w:rPr>
            </w:pPr>
            <w:r w:rsidRPr="00564325">
              <w:rPr>
                <w:lang w:val="it-IT"/>
              </w:rPr>
              <w:t>Droni | Missili</w:t>
            </w:r>
          </w:p>
        </w:tc>
      </w:tr>
      <w:tr w:rsidR="006A6923" w:rsidRPr="00564325" w14:paraId="6C751687" w14:textId="77777777" w:rsidTr="00D31D6E">
        <w:tc>
          <w:tcPr>
            <w:tcW w:w="420" w:type="dxa"/>
          </w:tcPr>
          <w:p w14:paraId="57FC7732" w14:textId="7A928877" w:rsidR="006A6923" w:rsidRPr="00564325" w:rsidRDefault="006A6923" w:rsidP="008F0831">
            <w:pPr>
              <w:pStyle w:val="aptp"/>
              <w:rPr>
                <w:lang w:val="it-IT"/>
              </w:rPr>
            </w:pPr>
            <w:r w:rsidRPr="00564325">
              <w:rPr>
                <w:lang w:val="it-IT"/>
              </w:rPr>
              <w:t>4</w:t>
            </w:r>
          </w:p>
        </w:tc>
        <w:tc>
          <w:tcPr>
            <w:tcW w:w="1129" w:type="dxa"/>
          </w:tcPr>
          <w:p w14:paraId="07347ED9" w14:textId="095958BA" w:rsidR="006A6923" w:rsidRPr="00564325" w:rsidRDefault="005C74E3" w:rsidP="008F0831">
            <w:pPr>
              <w:pStyle w:val="aptp"/>
              <w:rPr>
                <w:lang w:val="it-IT"/>
              </w:rPr>
            </w:pPr>
            <w:r w:rsidRPr="00564325">
              <w:rPr>
                <w:lang w:val="it-IT"/>
              </w:rPr>
              <w:t>THLEF</w:t>
            </w:r>
          </w:p>
        </w:tc>
        <w:tc>
          <w:tcPr>
            <w:tcW w:w="2395" w:type="dxa"/>
          </w:tcPr>
          <w:p w14:paraId="0B75A630" w14:textId="2F17903A" w:rsidR="006A6923" w:rsidRPr="00564325" w:rsidRDefault="00750887" w:rsidP="008F0831">
            <w:pPr>
              <w:pStyle w:val="aptp"/>
              <w:rPr>
                <w:lang w:val="it-IT"/>
              </w:rPr>
            </w:pPr>
            <w:r w:rsidRPr="00564325">
              <w:rPr>
                <w:lang w:val="it-IT"/>
              </w:rPr>
              <w:t>Thales Group</w:t>
            </w:r>
          </w:p>
        </w:tc>
        <w:tc>
          <w:tcPr>
            <w:tcW w:w="767" w:type="dxa"/>
          </w:tcPr>
          <w:p w14:paraId="3B753DEE" w14:textId="57458113" w:rsidR="006A6923" w:rsidRPr="00564325" w:rsidRDefault="00D31D6E" w:rsidP="008F0831">
            <w:pPr>
              <w:pStyle w:val="aptp"/>
              <w:rPr>
                <w:lang w:val="it-IT"/>
              </w:rPr>
            </w:pPr>
            <w:r w:rsidRPr="00564325">
              <w:rPr>
                <w:lang w:val="it-IT"/>
              </w:rPr>
              <w:t>FRA</w:t>
            </w:r>
          </w:p>
        </w:tc>
        <w:tc>
          <w:tcPr>
            <w:tcW w:w="4305" w:type="dxa"/>
          </w:tcPr>
          <w:p w14:paraId="1BD599AC" w14:textId="2AC38B8C" w:rsidR="006A6923" w:rsidRPr="00564325" w:rsidRDefault="00476885" w:rsidP="008F0831">
            <w:pPr>
              <w:pStyle w:val="aptp"/>
              <w:rPr>
                <w:lang w:val="it-IT"/>
              </w:rPr>
            </w:pPr>
            <w:r w:rsidRPr="00564325">
              <w:rPr>
                <w:lang w:val="it-IT"/>
              </w:rPr>
              <w:t>Difesa elettronica | Cybersecurity</w:t>
            </w:r>
          </w:p>
        </w:tc>
      </w:tr>
      <w:tr w:rsidR="006A6923" w:rsidRPr="00564325" w14:paraId="2EBE309D" w14:textId="77777777" w:rsidTr="00D31D6E">
        <w:tc>
          <w:tcPr>
            <w:tcW w:w="420" w:type="dxa"/>
          </w:tcPr>
          <w:p w14:paraId="3EC98AB5" w14:textId="628A3F4E" w:rsidR="006A6923" w:rsidRPr="00564325" w:rsidRDefault="006A6923" w:rsidP="008F0831">
            <w:pPr>
              <w:pStyle w:val="aptp"/>
              <w:rPr>
                <w:lang w:val="it-IT"/>
              </w:rPr>
            </w:pPr>
            <w:r w:rsidRPr="00564325">
              <w:rPr>
                <w:lang w:val="it-IT"/>
              </w:rPr>
              <w:t>5</w:t>
            </w:r>
          </w:p>
        </w:tc>
        <w:tc>
          <w:tcPr>
            <w:tcW w:w="1129" w:type="dxa"/>
          </w:tcPr>
          <w:p w14:paraId="0325E23E" w14:textId="31E6ADAF" w:rsidR="006A6923" w:rsidRPr="00564325" w:rsidRDefault="00250855" w:rsidP="008F0831">
            <w:pPr>
              <w:pStyle w:val="aptp"/>
              <w:rPr>
                <w:lang w:val="it-IT"/>
              </w:rPr>
            </w:pPr>
            <w:r w:rsidRPr="00564325">
              <w:rPr>
                <w:lang w:val="it-IT"/>
              </w:rPr>
              <w:t>FMN.F</w:t>
            </w:r>
          </w:p>
        </w:tc>
        <w:tc>
          <w:tcPr>
            <w:tcW w:w="2395" w:type="dxa"/>
          </w:tcPr>
          <w:p w14:paraId="54DB0DE1" w14:textId="02A1B2D5" w:rsidR="006A6923" w:rsidRPr="00564325" w:rsidRDefault="00750887" w:rsidP="008F0831">
            <w:pPr>
              <w:pStyle w:val="aptp"/>
              <w:rPr>
                <w:lang w:val="it-IT"/>
              </w:rPr>
            </w:pPr>
            <w:r w:rsidRPr="00564325">
              <w:rPr>
                <w:lang w:val="it-IT"/>
              </w:rPr>
              <w:t>Leonardo</w:t>
            </w:r>
          </w:p>
        </w:tc>
        <w:tc>
          <w:tcPr>
            <w:tcW w:w="767" w:type="dxa"/>
          </w:tcPr>
          <w:p w14:paraId="72B05F8E" w14:textId="77F3DA0B" w:rsidR="006A6923" w:rsidRPr="00564325" w:rsidRDefault="00D31D6E" w:rsidP="008F0831">
            <w:pPr>
              <w:pStyle w:val="aptp"/>
              <w:rPr>
                <w:lang w:val="it-IT"/>
              </w:rPr>
            </w:pPr>
            <w:r w:rsidRPr="00564325">
              <w:rPr>
                <w:lang w:val="it-IT"/>
              </w:rPr>
              <w:t>ITA</w:t>
            </w:r>
          </w:p>
        </w:tc>
        <w:tc>
          <w:tcPr>
            <w:tcW w:w="4305" w:type="dxa"/>
          </w:tcPr>
          <w:p w14:paraId="734EBD39" w14:textId="01052A12" w:rsidR="006A6923" w:rsidRPr="00564325" w:rsidRDefault="00476885" w:rsidP="008F0831">
            <w:pPr>
              <w:pStyle w:val="aptp"/>
              <w:rPr>
                <w:lang w:val="it-IT"/>
              </w:rPr>
            </w:pPr>
            <w:r w:rsidRPr="00564325">
              <w:rPr>
                <w:lang w:val="it-IT"/>
              </w:rPr>
              <w:t xml:space="preserve">Difesa | Aerospazio | </w:t>
            </w:r>
            <w:r w:rsidR="001B751D" w:rsidRPr="00564325">
              <w:rPr>
                <w:lang w:val="it-IT"/>
              </w:rPr>
              <w:t>Sicurezza</w:t>
            </w:r>
          </w:p>
        </w:tc>
      </w:tr>
    </w:tbl>
    <w:p w14:paraId="3DD43ECB" w14:textId="77777777" w:rsidR="0061738A" w:rsidRPr="00564325" w:rsidRDefault="0061738A" w:rsidP="002D3885">
      <w:pPr>
        <w:pStyle w:val="aptp"/>
        <w:rPr>
          <w:lang w:val="it-IT"/>
        </w:rPr>
      </w:pPr>
    </w:p>
    <w:p w14:paraId="475E1D2E" w14:textId="77777777" w:rsidR="009A5337" w:rsidRPr="00564325" w:rsidRDefault="009A5337" w:rsidP="002D3885">
      <w:pPr>
        <w:pStyle w:val="aptp"/>
        <w:rPr>
          <w:lang w:val="it-IT"/>
        </w:rPr>
      </w:pPr>
    </w:p>
    <w:p w14:paraId="146D7BCB" w14:textId="22550475" w:rsidR="002D3885" w:rsidRPr="00564325" w:rsidRDefault="002D3885" w:rsidP="002D3885">
      <w:pPr>
        <w:pStyle w:val="apth1"/>
      </w:pPr>
      <w:bookmarkStart w:id="13" w:name="_Toc205494595"/>
      <w:bookmarkStart w:id="14" w:name="_Toc207820531"/>
      <w:r w:rsidRPr="00564325">
        <w:lastRenderedPageBreak/>
        <w:t xml:space="preserve">2. </w:t>
      </w:r>
      <w:bookmarkEnd w:id="13"/>
      <w:r w:rsidR="001B2287" w:rsidRPr="00564325">
        <w:t>Analisi del modello applicato</w:t>
      </w:r>
      <w:bookmarkEnd w:id="14"/>
    </w:p>
    <w:p w14:paraId="69B77402" w14:textId="51DAA876" w:rsidR="006A0A8C" w:rsidRPr="00564325" w:rsidRDefault="006A0A8C" w:rsidP="006A0A8C">
      <w:pPr>
        <w:pStyle w:val="apth3"/>
      </w:pPr>
      <w:bookmarkStart w:id="15" w:name="_Toc207820532"/>
      <w:r w:rsidRPr="00564325">
        <w:t>Rischio e Rendimento</w:t>
      </w:r>
      <w:bookmarkEnd w:id="15"/>
    </w:p>
    <w:p w14:paraId="43B84E3D" w14:textId="3365EB2B" w:rsidR="00250855" w:rsidRPr="00564325" w:rsidRDefault="006F70A3" w:rsidP="00250855">
      <w:pPr>
        <w:pStyle w:val="aptp"/>
        <w:rPr>
          <w:lang w:val="it-IT"/>
        </w:rPr>
      </w:pPr>
      <w:r w:rsidRPr="00564325">
        <w:rPr>
          <w:lang w:val="it-IT"/>
        </w:rPr>
        <w:t>Attraverso l’applicazione del modello</w:t>
      </w:r>
      <w:r w:rsidR="007F072F" w:rsidRPr="00564325">
        <w:rPr>
          <w:lang w:val="it-IT"/>
        </w:rPr>
        <w:t xml:space="preserve"> sul portafoglio </w:t>
      </w:r>
      <w:r w:rsidR="007F072F" w:rsidRPr="00564325">
        <w:rPr>
          <w:i/>
          <w:iCs/>
          <w:lang w:val="it-IT"/>
        </w:rPr>
        <w:t>defense</w:t>
      </w:r>
      <w:r w:rsidR="002C35DD" w:rsidRPr="00564325">
        <w:rPr>
          <w:i/>
          <w:iCs/>
          <w:lang w:val="it-IT"/>
        </w:rPr>
        <w:t>,</w:t>
      </w:r>
      <w:r w:rsidR="007F072F" w:rsidRPr="00564325">
        <w:rPr>
          <w:lang w:val="it-IT"/>
        </w:rPr>
        <w:t xml:space="preserve"> ponendo come periodo di osservazione </w:t>
      </w:r>
      <w:r w:rsidR="00785D95" w:rsidRPr="00564325">
        <w:rPr>
          <w:lang w:val="it-IT"/>
        </w:rPr>
        <w:t>i tre anni seguenti al</w:t>
      </w:r>
      <w:r w:rsidR="007F072F" w:rsidRPr="00564325">
        <w:rPr>
          <w:lang w:val="it-IT"/>
        </w:rPr>
        <w:t>l’inizio</w:t>
      </w:r>
      <w:r w:rsidR="00147F1E" w:rsidRPr="00564325">
        <w:rPr>
          <w:lang w:val="it-IT"/>
        </w:rPr>
        <w:t xml:space="preserve"> della guerra in Ucraina (24 febbraio 2022</w:t>
      </w:r>
      <w:r w:rsidR="00DF66EB" w:rsidRPr="00564325">
        <w:rPr>
          <w:lang w:val="it-IT"/>
        </w:rPr>
        <w:t xml:space="preserve"> – 24 febbraio</w:t>
      </w:r>
      <w:r w:rsidR="00FB180F" w:rsidRPr="00564325">
        <w:rPr>
          <w:lang w:val="it-IT"/>
        </w:rPr>
        <w:t xml:space="preserve"> 2025)</w:t>
      </w:r>
      <w:r w:rsidRPr="00564325">
        <w:rPr>
          <w:lang w:val="it-IT"/>
        </w:rPr>
        <w:t>, è possibile ricavare il grafico a dispersione delle</w:t>
      </w:r>
      <w:r w:rsidR="004833DD" w:rsidRPr="00564325">
        <w:rPr>
          <w:lang w:val="it-IT"/>
        </w:rPr>
        <w:t xml:space="preserve"> 10.000</w:t>
      </w:r>
      <w:r w:rsidRPr="00564325">
        <w:rPr>
          <w:lang w:val="it-IT"/>
        </w:rPr>
        <w:t xml:space="preserve"> simulazioni </w:t>
      </w:r>
      <w:r w:rsidR="00FB180F" w:rsidRPr="00564325">
        <w:rPr>
          <w:lang w:val="it-IT"/>
        </w:rPr>
        <w:t xml:space="preserve">di portafogli </w:t>
      </w:r>
      <w:r w:rsidR="00395486" w:rsidRPr="00564325">
        <w:rPr>
          <w:lang w:val="it-IT"/>
        </w:rPr>
        <w:t>sulla</w:t>
      </w:r>
      <w:r w:rsidRPr="00564325">
        <w:rPr>
          <w:lang w:val="it-IT"/>
        </w:rPr>
        <w:t xml:space="preserve"> frontiera </w:t>
      </w:r>
      <w:r w:rsidR="006B4761" w:rsidRPr="00564325">
        <w:rPr>
          <w:lang w:val="it-IT"/>
        </w:rPr>
        <w:t>efficiente</w:t>
      </w:r>
      <w:r w:rsidR="00FB180F" w:rsidRPr="00564325">
        <w:rPr>
          <w:lang w:val="it-IT"/>
        </w:rPr>
        <w:t xml:space="preserve"> (</w:t>
      </w:r>
      <w:r w:rsidR="00225FFA" w:rsidRPr="00564325">
        <w:rPr>
          <w:i/>
          <w:iCs/>
          <w:lang w:val="it-IT"/>
        </w:rPr>
        <w:t xml:space="preserve">Figura 2 – Frontiera efficiente </w:t>
      </w:r>
      <w:r w:rsidR="00730113" w:rsidRPr="00564325">
        <w:rPr>
          <w:i/>
          <w:iCs/>
          <w:lang w:val="it-IT"/>
        </w:rPr>
        <w:t>del portafoglio defense durante la guerra russo-ucraina</w:t>
      </w:r>
      <w:r w:rsidR="00730113" w:rsidRPr="00564325">
        <w:rPr>
          <w:lang w:val="it-IT"/>
        </w:rPr>
        <w:t>)</w:t>
      </w:r>
      <w:r w:rsidR="000C1EFE" w:rsidRPr="00564325">
        <w:rPr>
          <w:lang w:val="it-IT"/>
        </w:rPr>
        <w:t>.</w:t>
      </w:r>
    </w:p>
    <w:p w14:paraId="09F6EDB2" w14:textId="77777777" w:rsidR="00B12664" w:rsidRPr="00564325" w:rsidRDefault="00B12664" w:rsidP="00250855">
      <w:pPr>
        <w:pStyle w:val="aptp"/>
        <w:rPr>
          <w:lang w:val="it-IT"/>
        </w:rPr>
      </w:pPr>
    </w:p>
    <w:p w14:paraId="6AFAE73B" w14:textId="591F0390" w:rsidR="00B12664" w:rsidRPr="00564325" w:rsidRDefault="00B12664" w:rsidP="007B3CB1">
      <w:pPr>
        <w:pStyle w:val="aptdidascalie"/>
      </w:pPr>
      <w:r w:rsidRPr="00564325">
        <w:t xml:space="preserve">Figura 2 – Frontiera efficiente del portafoglio </w:t>
      </w:r>
      <w:r w:rsidRPr="00564325">
        <w:rPr>
          <w:iCs/>
        </w:rPr>
        <w:t>defense</w:t>
      </w:r>
      <w:r w:rsidRPr="00564325">
        <w:t xml:space="preserve"> durante la guerra russo-ucraina</w:t>
      </w:r>
    </w:p>
    <w:p w14:paraId="65EEBB44" w14:textId="1038AF1D" w:rsidR="00525FB4" w:rsidRPr="00564325" w:rsidRDefault="007B3CB1" w:rsidP="00525FB4">
      <w:pPr>
        <w:pStyle w:val="aptp"/>
        <w:rPr>
          <w:lang w:val="it-IT"/>
        </w:rPr>
      </w:pPr>
      <w:r w:rsidRPr="00564325">
        <w:rPr>
          <w:noProof/>
          <w:lang w:val="it-IT"/>
        </w:rPr>
        <w:drawing>
          <wp:inline distT="0" distB="0" distL="0" distR="0" wp14:anchorId="69A292B8" wp14:editId="21E48E6C">
            <wp:extent cx="4308529" cy="3488221"/>
            <wp:effectExtent l="0" t="0" r="0" b="0"/>
            <wp:docPr id="62965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55501" name=""/>
                    <pic:cNvPicPr/>
                  </pic:nvPicPr>
                  <pic:blipFill>
                    <a:blip r:embed="rId16"/>
                    <a:stretch>
                      <a:fillRect/>
                    </a:stretch>
                  </pic:blipFill>
                  <pic:spPr>
                    <a:xfrm>
                      <a:off x="0" y="0"/>
                      <a:ext cx="4364571" cy="3533593"/>
                    </a:xfrm>
                    <a:prstGeom prst="rect">
                      <a:avLst/>
                    </a:prstGeom>
                  </pic:spPr>
                </pic:pic>
              </a:graphicData>
            </a:graphic>
          </wp:inline>
        </w:drawing>
      </w:r>
    </w:p>
    <w:p w14:paraId="31F412C0" w14:textId="77777777" w:rsidR="007B3CB1" w:rsidRPr="00564325" w:rsidRDefault="007B3CB1" w:rsidP="00525FB4">
      <w:pPr>
        <w:pStyle w:val="aptp"/>
        <w:rPr>
          <w:lang w:val="it-IT"/>
        </w:rPr>
      </w:pPr>
    </w:p>
    <w:p w14:paraId="7E4B24A9" w14:textId="23D60E49" w:rsidR="00525FB4" w:rsidRPr="00564325" w:rsidRDefault="00525FB4" w:rsidP="00525FB4">
      <w:pPr>
        <w:pStyle w:val="aptp"/>
        <w:rPr>
          <w:lang w:val="it-IT"/>
        </w:rPr>
      </w:pPr>
      <w:r w:rsidRPr="00564325">
        <w:rPr>
          <w:lang w:val="it-IT"/>
        </w:rPr>
        <w:t xml:space="preserve">Dal modello emerge che il portafoglio con massimo </w:t>
      </w:r>
      <w:r w:rsidRPr="00564325">
        <w:rPr>
          <w:i/>
          <w:iCs/>
          <w:lang w:val="it-IT"/>
        </w:rPr>
        <w:t>Sharpe ratio</w:t>
      </w:r>
      <w:r w:rsidRPr="00564325">
        <w:rPr>
          <w:lang w:val="it-IT"/>
        </w:rPr>
        <w:t>, ovvero che offre la migliore combinazione tra rischio e rendimento (puntino rosso sul grafico), ha un rendimento atteso stimato del 41,45% e rischio stimato del 23,60% circa, mentre il portafoglio con il rischio minimo (puntino blu sul grafico) ha un rendimento atteso stimato al 18,38% e rischio del 15,99%.</w:t>
      </w:r>
    </w:p>
    <w:p w14:paraId="49086957" w14:textId="34787BE3" w:rsidR="00DF55B8" w:rsidRPr="00564325" w:rsidRDefault="00525FB4" w:rsidP="00250855">
      <w:pPr>
        <w:pStyle w:val="aptp"/>
        <w:rPr>
          <w:lang w:val="it-IT"/>
        </w:rPr>
      </w:pPr>
      <w:r w:rsidRPr="00564325">
        <w:rPr>
          <w:lang w:val="it-IT"/>
        </w:rPr>
        <w:t xml:space="preserve">Calcolando la differenza tra le percentuali di rendimento e quelle di rischio, possiamo osservare che il margine di rendimento tra i due portafogli più ottimali è di circa 23 punti percentuali, mentre lo spazio di rischio è di circa 7 punti percentuali. Siccome il margine di rischio è nettamente inferiore rispetto al margine di guadagno, possiamo confermare che entrambi i portafogli sono dominanti, altamente ottimali e con ampio spazio di guadagno rapportato al rischio. </w:t>
      </w:r>
    </w:p>
    <w:p w14:paraId="4B9964FD" w14:textId="3A0236F1" w:rsidR="00364FD8" w:rsidRPr="00564325" w:rsidRDefault="006111AB" w:rsidP="00250855">
      <w:pPr>
        <w:pStyle w:val="aptp"/>
        <w:rPr>
          <w:lang w:val="it-IT"/>
        </w:rPr>
      </w:pPr>
      <w:r w:rsidRPr="00564325">
        <w:rPr>
          <w:lang w:val="it-IT"/>
        </w:rPr>
        <w:t xml:space="preserve">A </w:t>
      </w:r>
      <w:r w:rsidR="00364FD8" w:rsidRPr="00564325">
        <w:rPr>
          <w:lang w:val="it-IT"/>
        </w:rPr>
        <w:t xml:space="preserve">partire dallo scoppio del conflitto, i risultati del modello indicano che investire nel settore della difesa si è dimostrato un'opzione molto profittevole. I portafogli ottimali hanno generato rendimenti elevati, pur mantenendo un rischio gestibile. Questo è dovuto in </w:t>
      </w:r>
      <w:r w:rsidR="00364FD8" w:rsidRPr="00564325">
        <w:rPr>
          <w:lang w:val="it-IT"/>
        </w:rPr>
        <w:lastRenderedPageBreak/>
        <w:t>gran parte all'aumento dei budget per la difesa a livello globale e alla crescente domanda di armamenti e attrezzature militari, fattori che hanno contribuito a un innalzamento strutturale del valore delle azioni del settore e a una relativa stabilità, supportata da meccanismi politici e decisioni strategiche dei governi. Vi è però un rischio sistemico del settore per cui, se le tensioni calassero o i governi riducessero la spesa, i titoli potrebbero crollare insieme</w:t>
      </w:r>
      <w:r w:rsidR="00E129C0" w:rsidRPr="00564325">
        <w:rPr>
          <w:lang w:val="it-IT"/>
        </w:rPr>
        <w:t>, ma questo effetto sarà analizzato in un paragrafo successivo.</w:t>
      </w:r>
    </w:p>
    <w:p w14:paraId="39776000" w14:textId="77777777" w:rsidR="0021031C" w:rsidRPr="00564325" w:rsidRDefault="0021031C" w:rsidP="00250855">
      <w:pPr>
        <w:pStyle w:val="aptp"/>
        <w:rPr>
          <w:lang w:val="it-IT"/>
        </w:rPr>
      </w:pPr>
    </w:p>
    <w:p w14:paraId="7E433BA5" w14:textId="02029E16" w:rsidR="00111EEE" w:rsidRPr="00564325" w:rsidRDefault="007C3F60" w:rsidP="00250855">
      <w:pPr>
        <w:pStyle w:val="aptp"/>
        <w:rPr>
          <w:lang w:val="it-IT"/>
        </w:rPr>
      </w:pPr>
      <w:r w:rsidRPr="00564325">
        <w:rPr>
          <w:lang w:val="it-IT"/>
        </w:rPr>
        <w:t xml:space="preserve">Per completare il commento sulla </w:t>
      </w:r>
      <w:r w:rsidRPr="00564325">
        <w:rPr>
          <w:i/>
          <w:iCs/>
          <w:lang w:val="it-IT"/>
        </w:rPr>
        <w:t>performance</w:t>
      </w:r>
      <w:r w:rsidRPr="00564325">
        <w:rPr>
          <w:lang w:val="it-IT"/>
        </w:rPr>
        <w:t xml:space="preserve">, è necessario </w:t>
      </w:r>
      <w:r w:rsidR="00DC0F80" w:rsidRPr="00564325">
        <w:rPr>
          <w:lang w:val="it-IT"/>
        </w:rPr>
        <w:t xml:space="preserve">fare un confronto con il mercato globale. A tale proposito </w:t>
      </w:r>
      <w:r w:rsidR="00FA2426" w:rsidRPr="00564325">
        <w:rPr>
          <w:lang w:val="it-IT"/>
        </w:rPr>
        <w:t>prendiamo in esam</w:t>
      </w:r>
      <w:r w:rsidR="001D2AE1" w:rsidRPr="00564325">
        <w:rPr>
          <w:lang w:val="it-IT"/>
        </w:rPr>
        <w:t>e</w:t>
      </w:r>
      <w:r w:rsidR="00FA2426" w:rsidRPr="00564325">
        <w:rPr>
          <w:lang w:val="it-IT"/>
        </w:rPr>
        <w:t xml:space="preserve"> due indici: </w:t>
      </w:r>
      <w:r w:rsidR="00FA2426" w:rsidRPr="00564325">
        <w:rPr>
          <w:b/>
          <w:bCs/>
          <w:lang w:val="it-IT"/>
        </w:rPr>
        <w:t>MSCI World</w:t>
      </w:r>
      <w:r w:rsidR="00FA2426" w:rsidRPr="00564325">
        <w:rPr>
          <w:lang w:val="it-IT"/>
        </w:rPr>
        <w:t xml:space="preserve"> index e </w:t>
      </w:r>
      <w:r w:rsidR="003B10B4" w:rsidRPr="00564325">
        <w:rPr>
          <w:b/>
          <w:bCs/>
          <w:lang w:val="it-IT"/>
        </w:rPr>
        <w:t>i</w:t>
      </w:r>
      <w:r w:rsidR="00FA2426" w:rsidRPr="00564325">
        <w:rPr>
          <w:b/>
          <w:bCs/>
          <w:lang w:val="it-IT"/>
        </w:rPr>
        <w:t xml:space="preserve">Shares </w:t>
      </w:r>
      <w:r w:rsidR="003B10B4" w:rsidRPr="00564325">
        <w:rPr>
          <w:b/>
          <w:bCs/>
          <w:lang w:val="it-IT"/>
        </w:rPr>
        <w:t>Aerospace &amp; Defense</w:t>
      </w:r>
      <w:r w:rsidR="003B10B4" w:rsidRPr="00564325">
        <w:rPr>
          <w:lang w:val="it-IT"/>
        </w:rPr>
        <w:t xml:space="preserve"> index. </w:t>
      </w:r>
    </w:p>
    <w:p w14:paraId="0C400D26" w14:textId="49D2EA61" w:rsidR="00FA2426" w:rsidRPr="00564325" w:rsidRDefault="003B10B4" w:rsidP="00250855">
      <w:pPr>
        <w:pStyle w:val="aptp"/>
        <w:rPr>
          <w:lang w:val="it-IT"/>
        </w:rPr>
      </w:pPr>
      <w:r w:rsidRPr="00564325">
        <w:rPr>
          <w:lang w:val="it-IT"/>
        </w:rPr>
        <w:t>Il primo è un indice dell’andamento azionario</w:t>
      </w:r>
      <w:r w:rsidR="003B3862" w:rsidRPr="00564325">
        <w:rPr>
          <w:lang w:val="it-IT"/>
        </w:rPr>
        <w:t xml:space="preserve"> a livello globale, mentre il secondo è un indice dell’andamento globale dell’intero settore della difesa. Utilizzare i presenti indici è utile per confrontare l</w:t>
      </w:r>
      <w:r w:rsidR="00DD2736" w:rsidRPr="00564325">
        <w:rPr>
          <w:lang w:val="it-IT"/>
        </w:rPr>
        <w:t xml:space="preserve">a performance attesa del portafoglio con un </w:t>
      </w:r>
      <w:r w:rsidR="00DD2736" w:rsidRPr="00564325">
        <w:rPr>
          <w:i/>
          <w:iCs/>
          <w:lang w:val="it-IT"/>
        </w:rPr>
        <w:t xml:space="preserve">benchmark </w:t>
      </w:r>
      <w:r w:rsidR="00DD2736" w:rsidRPr="00564325">
        <w:rPr>
          <w:lang w:val="it-IT"/>
        </w:rPr>
        <w:t xml:space="preserve">di riferimento. </w:t>
      </w:r>
      <w:r w:rsidR="00B12664" w:rsidRPr="00564325">
        <w:rPr>
          <w:lang w:val="it-IT"/>
        </w:rPr>
        <w:t xml:space="preserve">In effetti è possibile ricavare rendimento atteso, rischio e </w:t>
      </w:r>
      <w:r w:rsidR="00B12664" w:rsidRPr="00564325">
        <w:rPr>
          <w:i/>
          <w:iCs/>
          <w:lang w:val="it-IT"/>
        </w:rPr>
        <w:t>sharpe ratio</w:t>
      </w:r>
      <w:r w:rsidR="00B12664" w:rsidRPr="00564325">
        <w:rPr>
          <w:lang w:val="it-IT"/>
        </w:rPr>
        <w:t xml:space="preserve"> di entrambi gli indici</w:t>
      </w:r>
      <w:r w:rsidR="00111EEE" w:rsidRPr="00564325">
        <w:rPr>
          <w:lang w:val="it-IT"/>
        </w:rPr>
        <w:t xml:space="preserve"> (</w:t>
      </w:r>
      <w:r w:rsidR="00111EEE" w:rsidRPr="00564325">
        <w:rPr>
          <w:i/>
          <w:iCs/>
          <w:lang w:val="it-IT"/>
        </w:rPr>
        <w:t>Tabella</w:t>
      </w:r>
      <w:r w:rsidR="006374CC" w:rsidRPr="00564325">
        <w:rPr>
          <w:i/>
          <w:iCs/>
          <w:lang w:val="it-IT"/>
        </w:rPr>
        <w:t xml:space="preserve"> 3 – Riepilogo degli output</w:t>
      </w:r>
      <w:r w:rsidR="00342A16" w:rsidRPr="00564325">
        <w:rPr>
          <w:i/>
          <w:iCs/>
          <w:lang w:val="it-IT"/>
        </w:rPr>
        <w:t xml:space="preserve"> del portafoglio e degli indici di confronto</w:t>
      </w:r>
      <w:r w:rsidR="00342A16" w:rsidRPr="00564325">
        <w:rPr>
          <w:lang w:val="it-IT"/>
        </w:rPr>
        <w:t>)</w:t>
      </w:r>
      <w:r w:rsidR="00B12664" w:rsidRPr="00564325">
        <w:rPr>
          <w:lang w:val="it-IT"/>
        </w:rPr>
        <w:t xml:space="preserve">, sempre seguendo </w:t>
      </w:r>
      <w:r w:rsidR="00DF55B8" w:rsidRPr="00564325">
        <w:rPr>
          <w:lang w:val="it-IT"/>
        </w:rPr>
        <w:t xml:space="preserve">lo schema del modello di </w:t>
      </w:r>
      <w:r w:rsidR="00DF55B8" w:rsidRPr="00564325">
        <w:rPr>
          <w:i/>
          <w:iCs/>
          <w:lang w:val="it-IT"/>
        </w:rPr>
        <w:t>Markovitz</w:t>
      </w:r>
      <w:r w:rsidR="00DF55B8" w:rsidRPr="00564325">
        <w:rPr>
          <w:lang w:val="it-IT"/>
        </w:rPr>
        <w:t xml:space="preserve"> secondo cui i pesi sono randomici.</w:t>
      </w:r>
    </w:p>
    <w:p w14:paraId="3CDC7AD3" w14:textId="77777777" w:rsidR="007C3F60" w:rsidRPr="00564325" w:rsidRDefault="007C3F60" w:rsidP="00250855">
      <w:pPr>
        <w:pStyle w:val="aptp"/>
        <w:rPr>
          <w:lang w:val="it-IT"/>
        </w:rPr>
      </w:pPr>
    </w:p>
    <w:p w14:paraId="461698B3" w14:textId="7979B14D" w:rsidR="00342A16" w:rsidRPr="00564325" w:rsidRDefault="00342A16" w:rsidP="006B6FEF">
      <w:pPr>
        <w:pStyle w:val="aptdidascalie"/>
      </w:pPr>
      <w:r w:rsidRPr="00564325">
        <w:t>Tabella 3 – Riepilogo degli output del portafoglio e degli indici di confronto</w:t>
      </w:r>
    </w:p>
    <w:tbl>
      <w:tblPr>
        <w:tblStyle w:val="TableGrid"/>
        <w:tblW w:w="0" w:type="auto"/>
        <w:tblLook w:val="04A0" w:firstRow="1" w:lastRow="0" w:firstColumn="1" w:lastColumn="0" w:noHBand="0" w:noVBand="1"/>
      </w:tblPr>
      <w:tblGrid>
        <w:gridCol w:w="2254"/>
        <w:gridCol w:w="2419"/>
        <w:gridCol w:w="2089"/>
        <w:gridCol w:w="2254"/>
      </w:tblGrid>
      <w:tr w:rsidR="00342A16" w:rsidRPr="00564325" w14:paraId="2496DF1E" w14:textId="77777777" w:rsidTr="0019441C">
        <w:tc>
          <w:tcPr>
            <w:tcW w:w="2254" w:type="dxa"/>
          </w:tcPr>
          <w:p w14:paraId="2C2BF08E" w14:textId="77777777" w:rsidR="00342A16" w:rsidRPr="00564325" w:rsidRDefault="00342A16" w:rsidP="00250855">
            <w:pPr>
              <w:pStyle w:val="aptp"/>
              <w:rPr>
                <w:lang w:val="it-IT"/>
              </w:rPr>
            </w:pPr>
          </w:p>
        </w:tc>
        <w:tc>
          <w:tcPr>
            <w:tcW w:w="2419" w:type="dxa"/>
          </w:tcPr>
          <w:p w14:paraId="2CB83B66" w14:textId="77001A7E" w:rsidR="00342A16" w:rsidRPr="00564325" w:rsidRDefault="00342A16" w:rsidP="00250855">
            <w:pPr>
              <w:pStyle w:val="aptp"/>
              <w:rPr>
                <w:b/>
                <w:bCs/>
                <w:lang w:val="it-IT"/>
              </w:rPr>
            </w:pPr>
            <w:r w:rsidRPr="00564325">
              <w:rPr>
                <w:b/>
                <w:bCs/>
                <w:lang w:val="it-IT"/>
              </w:rPr>
              <w:t>Rendimento atteso</w:t>
            </w:r>
          </w:p>
        </w:tc>
        <w:tc>
          <w:tcPr>
            <w:tcW w:w="2089" w:type="dxa"/>
          </w:tcPr>
          <w:p w14:paraId="32CB7A4B" w14:textId="62051EE0" w:rsidR="00342A16" w:rsidRPr="00564325" w:rsidRDefault="00342A16" w:rsidP="00250855">
            <w:pPr>
              <w:pStyle w:val="aptp"/>
              <w:rPr>
                <w:b/>
                <w:bCs/>
                <w:lang w:val="it-IT"/>
              </w:rPr>
            </w:pPr>
            <w:r w:rsidRPr="00564325">
              <w:rPr>
                <w:b/>
                <w:bCs/>
                <w:lang w:val="it-IT"/>
              </w:rPr>
              <w:t>Rischio</w:t>
            </w:r>
          </w:p>
        </w:tc>
        <w:tc>
          <w:tcPr>
            <w:tcW w:w="2254" w:type="dxa"/>
          </w:tcPr>
          <w:p w14:paraId="431F589A" w14:textId="28A93D8D" w:rsidR="00342A16" w:rsidRPr="00564325" w:rsidRDefault="00342A16" w:rsidP="00250855">
            <w:pPr>
              <w:pStyle w:val="aptp"/>
              <w:rPr>
                <w:b/>
                <w:bCs/>
                <w:lang w:val="it-IT"/>
              </w:rPr>
            </w:pPr>
            <w:r w:rsidRPr="00564325">
              <w:rPr>
                <w:b/>
                <w:bCs/>
                <w:lang w:val="it-IT"/>
              </w:rPr>
              <w:t>Sharpe</w:t>
            </w:r>
            <w:r w:rsidR="004910B0" w:rsidRPr="00564325">
              <w:rPr>
                <w:b/>
                <w:bCs/>
                <w:lang w:val="it-IT"/>
              </w:rPr>
              <w:t xml:space="preserve"> ratio</w:t>
            </w:r>
          </w:p>
        </w:tc>
      </w:tr>
      <w:tr w:rsidR="00342A16" w:rsidRPr="00564325" w14:paraId="19E1E949" w14:textId="77777777" w:rsidTr="0019441C">
        <w:tc>
          <w:tcPr>
            <w:tcW w:w="2254" w:type="dxa"/>
          </w:tcPr>
          <w:p w14:paraId="4AFA4D33" w14:textId="56D859F9" w:rsidR="00342A16" w:rsidRPr="00564325" w:rsidRDefault="004910B0" w:rsidP="00250855">
            <w:pPr>
              <w:pStyle w:val="aptp"/>
              <w:rPr>
                <w:b/>
                <w:bCs/>
                <w:lang w:val="it-IT"/>
              </w:rPr>
            </w:pPr>
            <w:r w:rsidRPr="00564325">
              <w:rPr>
                <w:b/>
                <w:bCs/>
                <w:lang w:val="it-IT"/>
              </w:rPr>
              <w:t>Max sr portfolio</w:t>
            </w:r>
          </w:p>
        </w:tc>
        <w:tc>
          <w:tcPr>
            <w:tcW w:w="2419" w:type="dxa"/>
          </w:tcPr>
          <w:p w14:paraId="7F708C6B" w14:textId="693245F2" w:rsidR="00342A16" w:rsidRPr="00564325" w:rsidRDefault="004910B0" w:rsidP="00250855">
            <w:pPr>
              <w:pStyle w:val="aptp"/>
              <w:rPr>
                <w:lang w:val="it-IT"/>
              </w:rPr>
            </w:pPr>
            <w:r w:rsidRPr="00564325">
              <w:rPr>
                <w:lang w:val="it-IT"/>
              </w:rPr>
              <w:t>41.47%</w:t>
            </w:r>
          </w:p>
        </w:tc>
        <w:tc>
          <w:tcPr>
            <w:tcW w:w="2089" w:type="dxa"/>
          </w:tcPr>
          <w:p w14:paraId="1BC7DE7B" w14:textId="2F0255D3" w:rsidR="00342A16" w:rsidRPr="00564325" w:rsidRDefault="004910B0" w:rsidP="00250855">
            <w:pPr>
              <w:pStyle w:val="aptp"/>
              <w:rPr>
                <w:lang w:val="it-IT"/>
              </w:rPr>
            </w:pPr>
            <w:r w:rsidRPr="00564325">
              <w:rPr>
                <w:lang w:val="it-IT"/>
              </w:rPr>
              <w:t>23.61%</w:t>
            </w:r>
          </w:p>
        </w:tc>
        <w:tc>
          <w:tcPr>
            <w:tcW w:w="2254" w:type="dxa"/>
          </w:tcPr>
          <w:p w14:paraId="5DAEE707" w14:textId="1A53DE72" w:rsidR="00342A16" w:rsidRPr="00564325" w:rsidRDefault="000D0DB4" w:rsidP="00250855">
            <w:pPr>
              <w:pStyle w:val="aptp"/>
              <w:rPr>
                <w:lang w:val="it-IT"/>
              </w:rPr>
            </w:pPr>
            <w:r w:rsidRPr="00564325">
              <w:rPr>
                <w:lang w:val="it-IT"/>
              </w:rPr>
              <w:t>1.67</w:t>
            </w:r>
          </w:p>
        </w:tc>
      </w:tr>
      <w:tr w:rsidR="00342A16" w:rsidRPr="00564325" w14:paraId="133B03C2" w14:textId="77777777" w:rsidTr="0019441C">
        <w:tc>
          <w:tcPr>
            <w:tcW w:w="2254" w:type="dxa"/>
          </w:tcPr>
          <w:p w14:paraId="0ABF6506" w14:textId="146FBB46" w:rsidR="00342A16" w:rsidRPr="00564325" w:rsidRDefault="004910B0" w:rsidP="00250855">
            <w:pPr>
              <w:pStyle w:val="aptp"/>
              <w:rPr>
                <w:b/>
                <w:bCs/>
                <w:lang w:val="it-IT"/>
              </w:rPr>
            </w:pPr>
            <w:r w:rsidRPr="00564325">
              <w:rPr>
                <w:b/>
                <w:bCs/>
                <w:lang w:val="it-IT"/>
              </w:rPr>
              <w:t>Min sr portfolio</w:t>
            </w:r>
          </w:p>
        </w:tc>
        <w:tc>
          <w:tcPr>
            <w:tcW w:w="2419" w:type="dxa"/>
          </w:tcPr>
          <w:p w14:paraId="6B933FF0" w14:textId="6B36472D" w:rsidR="00342A16" w:rsidRPr="00564325" w:rsidRDefault="000D0DB4" w:rsidP="00250855">
            <w:pPr>
              <w:pStyle w:val="aptp"/>
              <w:rPr>
                <w:lang w:val="it-IT"/>
              </w:rPr>
            </w:pPr>
            <w:r w:rsidRPr="00564325">
              <w:rPr>
                <w:lang w:val="it-IT"/>
              </w:rPr>
              <w:t>17.78%</w:t>
            </w:r>
          </w:p>
        </w:tc>
        <w:tc>
          <w:tcPr>
            <w:tcW w:w="2089" w:type="dxa"/>
          </w:tcPr>
          <w:p w14:paraId="0B08D333" w14:textId="3E4EF621" w:rsidR="00342A16" w:rsidRPr="00564325" w:rsidRDefault="000D0DB4" w:rsidP="00250855">
            <w:pPr>
              <w:pStyle w:val="aptp"/>
              <w:rPr>
                <w:lang w:val="it-IT"/>
              </w:rPr>
            </w:pPr>
            <w:r w:rsidRPr="00564325">
              <w:rPr>
                <w:lang w:val="it-IT"/>
              </w:rPr>
              <w:t>16.01%</w:t>
            </w:r>
          </w:p>
        </w:tc>
        <w:tc>
          <w:tcPr>
            <w:tcW w:w="2254" w:type="dxa"/>
          </w:tcPr>
          <w:p w14:paraId="6C9B0C7D" w14:textId="168AC402" w:rsidR="00342A16" w:rsidRPr="00564325" w:rsidRDefault="000D0DB4" w:rsidP="00250855">
            <w:pPr>
              <w:pStyle w:val="aptp"/>
              <w:rPr>
                <w:lang w:val="it-IT"/>
              </w:rPr>
            </w:pPr>
            <w:r w:rsidRPr="00564325">
              <w:rPr>
                <w:lang w:val="it-IT"/>
              </w:rPr>
              <w:t>1.02</w:t>
            </w:r>
          </w:p>
        </w:tc>
      </w:tr>
      <w:tr w:rsidR="00342A16" w:rsidRPr="00564325" w14:paraId="158489E3" w14:textId="77777777" w:rsidTr="0019441C">
        <w:tc>
          <w:tcPr>
            <w:tcW w:w="2254" w:type="dxa"/>
          </w:tcPr>
          <w:p w14:paraId="5A0BF620" w14:textId="205DC3D8" w:rsidR="00342A16" w:rsidRPr="00564325" w:rsidRDefault="004910B0" w:rsidP="00250855">
            <w:pPr>
              <w:pStyle w:val="aptp"/>
              <w:rPr>
                <w:b/>
                <w:bCs/>
                <w:lang w:val="it-IT"/>
              </w:rPr>
            </w:pPr>
            <w:r w:rsidRPr="00564325">
              <w:rPr>
                <w:b/>
                <w:bCs/>
                <w:lang w:val="it-IT"/>
              </w:rPr>
              <w:t>MSCI World</w:t>
            </w:r>
          </w:p>
        </w:tc>
        <w:tc>
          <w:tcPr>
            <w:tcW w:w="2419" w:type="dxa"/>
          </w:tcPr>
          <w:p w14:paraId="17EE22DD" w14:textId="338DA230" w:rsidR="00342A16" w:rsidRPr="00564325" w:rsidRDefault="000D0DB4" w:rsidP="00250855">
            <w:pPr>
              <w:pStyle w:val="aptp"/>
              <w:rPr>
                <w:lang w:val="it-IT"/>
              </w:rPr>
            </w:pPr>
            <w:r w:rsidRPr="00564325">
              <w:rPr>
                <w:lang w:val="it-IT"/>
              </w:rPr>
              <w:t>12.27%</w:t>
            </w:r>
          </w:p>
        </w:tc>
        <w:tc>
          <w:tcPr>
            <w:tcW w:w="2089" w:type="dxa"/>
          </w:tcPr>
          <w:p w14:paraId="25BC27B7" w14:textId="68ABFF6D" w:rsidR="00342A16" w:rsidRPr="00564325" w:rsidRDefault="000D0DB4" w:rsidP="00250855">
            <w:pPr>
              <w:pStyle w:val="aptp"/>
              <w:rPr>
                <w:lang w:val="it-IT"/>
              </w:rPr>
            </w:pPr>
            <w:r w:rsidRPr="00564325">
              <w:rPr>
                <w:lang w:val="it-IT"/>
              </w:rPr>
              <w:t>16.53%</w:t>
            </w:r>
          </w:p>
        </w:tc>
        <w:tc>
          <w:tcPr>
            <w:tcW w:w="2254" w:type="dxa"/>
          </w:tcPr>
          <w:p w14:paraId="3E4C707F" w14:textId="4F6BFE87" w:rsidR="00342A16" w:rsidRPr="00564325" w:rsidRDefault="006B6FEF" w:rsidP="00250855">
            <w:pPr>
              <w:pStyle w:val="aptp"/>
              <w:rPr>
                <w:lang w:val="it-IT"/>
              </w:rPr>
            </w:pPr>
            <w:r w:rsidRPr="00564325">
              <w:rPr>
                <w:lang w:val="it-IT"/>
              </w:rPr>
              <w:t>0.796</w:t>
            </w:r>
          </w:p>
        </w:tc>
      </w:tr>
      <w:tr w:rsidR="004910B0" w:rsidRPr="00564325" w14:paraId="37BEE330" w14:textId="77777777" w:rsidTr="0019441C">
        <w:tc>
          <w:tcPr>
            <w:tcW w:w="2254" w:type="dxa"/>
          </w:tcPr>
          <w:p w14:paraId="66521AFB" w14:textId="7EBEB2AD" w:rsidR="004910B0" w:rsidRPr="00564325" w:rsidRDefault="004910B0" w:rsidP="00250855">
            <w:pPr>
              <w:pStyle w:val="aptp"/>
              <w:rPr>
                <w:b/>
                <w:bCs/>
                <w:lang w:val="it-IT"/>
              </w:rPr>
            </w:pPr>
            <w:r w:rsidRPr="00564325">
              <w:rPr>
                <w:b/>
                <w:bCs/>
                <w:lang w:val="it-IT"/>
              </w:rPr>
              <w:t>Aereo &amp; Defense</w:t>
            </w:r>
          </w:p>
        </w:tc>
        <w:tc>
          <w:tcPr>
            <w:tcW w:w="2419" w:type="dxa"/>
          </w:tcPr>
          <w:p w14:paraId="76E1FEAD" w14:textId="1BCB8C10" w:rsidR="004910B0" w:rsidRPr="00564325" w:rsidRDefault="006B6FEF" w:rsidP="00250855">
            <w:pPr>
              <w:pStyle w:val="aptp"/>
              <w:rPr>
                <w:lang w:val="it-IT"/>
              </w:rPr>
            </w:pPr>
            <w:r w:rsidRPr="00564325">
              <w:rPr>
                <w:lang w:val="it-IT"/>
              </w:rPr>
              <w:t>14.68%</w:t>
            </w:r>
          </w:p>
        </w:tc>
        <w:tc>
          <w:tcPr>
            <w:tcW w:w="2089" w:type="dxa"/>
          </w:tcPr>
          <w:p w14:paraId="56F4177A" w14:textId="695A0D24" w:rsidR="004910B0" w:rsidRPr="00564325" w:rsidRDefault="006B6FEF" w:rsidP="00250855">
            <w:pPr>
              <w:pStyle w:val="aptp"/>
              <w:rPr>
                <w:lang w:val="it-IT"/>
              </w:rPr>
            </w:pPr>
            <w:r w:rsidRPr="00564325">
              <w:rPr>
                <w:lang w:val="it-IT"/>
              </w:rPr>
              <w:t>18.45%</w:t>
            </w:r>
          </w:p>
        </w:tc>
        <w:tc>
          <w:tcPr>
            <w:tcW w:w="2254" w:type="dxa"/>
          </w:tcPr>
          <w:p w14:paraId="6D357B0F" w14:textId="7F085B79" w:rsidR="004910B0" w:rsidRPr="00564325" w:rsidRDefault="006B6FEF" w:rsidP="00250855">
            <w:pPr>
              <w:pStyle w:val="aptp"/>
              <w:rPr>
                <w:lang w:val="it-IT"/>
              </w:rPr>
            </w:pPr>
            <w:r w:rsidRPr="00564325">
              <w:rPr>
                <w:lang w:val="it-IT"/>
              </w:rPr>
              <w:t>0.742</w:t>
            </w:r>
          </w:p>
        </w:tc>
      </w:tr>
    </w:tbl>
    <w:p w14:paraId="5D7C390F" w14:textId="77777777" w:rsidR="00342A16" w:rsidRPr="00564325" w:rsidRDefault="00342A16" w:rsidP="00250855">
      <w:pPr>
        <w:pStyle w:val="aptp"/>
        <w:rPr>
          <w:lang w:val="it-IT"/>
        </w:rPr>
      </w:pPr>
    </w:p>
    <w:p w14:paraId="6CF32A26" w14:textId="2794D629" w:rsidR="005F391C" w:rsidRPr="00564325" w:rsidRDefault="005F391C" w:rsidP="00250855">
      <w:pPr>
        <w:pStyle w:val="aptp"/>
        <w:rPr>
          <w:lang w:val="it-IT"/>
        </w:rPr>
      </w:pPr>
      <w:r w:rsidRPr="00564325">
        <w:rPr>
          <w:lang w:val="it-IT"/>
        </w:rPr>
        <w:t xml:space="preserve">Dai risultati ricavati è evidente che a livello teorico il portafoglio </w:t>
      </w:r>
      <w:r w:rsidRPr="00564325">
        <w:rPr>
          <w:i/>
          <w:iCs/>
          <w:lang w:val="it-IT"/>
        </w:rPr>
        <w:t>defense</w:t>
      </w:r>
      <w:r w:rsidRPr="00564325">
        <w:rPr>
          <w:lang w:val="it-IT"/>
        </w:rPr>
        <w:t xml:space="preserve"> è in ogni caso più performante degli indici globali poiché anche il portafoglio più prudente </w:t>
      </w:r>
      <w:r w:rsidR="00A9252D" w:rsidRPr="00564325">
        <w:rPr>
          <w:lang w:val="it-IT"/>
        </w:rPr>
        <w:t>ha un rendimento atteso maggiore dell’indice sia azionario che della difesa internazionale</w:t>
      </w:r>
      <w:r w:rsidR="00C6484C" w:rsidRPr="00564325">
        <w:rPr>
          <w:lang w:val="it-IT"/>
        </w:rPr>
        <w:t xml:space="preserve"> e un rischio minore dei due indici. Il rischio aumenta solo per gli investitori </w:t>
      </w:r>
      <w:r w:rsidR="00365AC1" w:rsidRPr="00564325">
        <w:rPr>
          <w:lang w:val="it-IT"/>
        </w:rPr>
        <w:t>più propensi al rendimento</w:t>
      </w:r>
      <w:r w:rsidR="000E33F0" w:rsidRPr="00564325">
        <w:rPr>
          <w:lang w:val="it-IT"/>
        </w:rPr>
        <w:t>,</w:t>
      </w:r>
      <w:r w:rsidR="00365AC1" w:rsidRPr="00564325">
        <w:rPr>
          <w:lang w:val="it-IT"/>
        </w:rPr>
        <w:t xml:space="preserve"> </w:t>
      </w:r>
      <w:r w:rsidR="005C252A" w:rsidRPr="00564325">
        <w:rPr>
          <w:lang w:val="it-IT"/>
        </w:rPr>
        <w:t xml:space="preserve">di circa </w:t>
      </w:r>
      <w:r w:rsidR="00F93DA7" w:rsidRPr="00564325">
        <w:rPr>
          <w:lang w:val="it-IT"/>
        </w:rPr>
        <w:t>dieci</w:t>
      </w:r>
      <w:r w:rsidR="005C252A" w:rsidRPr="00564325">
        <w:rPr>
          <w:lang w:val="it-IT"/>
        </w:rPr>
        <w:t xml:space="preserve"> punti percentuali</w:t>
      </w:r>
      <w:r w:rsidR="000E33F0" w:rsidRPr="00564325">
        <w:rPr>
          <w:lang w:val="it-IT"/>
        </w:rPr>
        <w:t xml:space="preserve"> rispetto al rischio dei due indici</w:t>
      </w:r>
      <w:r w:rsidR="004E5BFA" w:rsidRPr="00564325">
        <w:rPr>
          <w:lang w:val="it-IT"/>
        </w:rPr>
        <w:t>.</w:t>
      </w:r>
    </w:p>
    <w:p w14:paraId="03883DA1" w14:textId="77777777" w:rsidR="00086589" w:rsidRPr="00564325" w:rsidRDefault="00086589" w:rsidP="00250855">
      <w:pPr>
        <w:pStyle w:val="aptp"/>
        <w:rPr>
          <w:lang w:val="it-IT"/>
        </w:rPr>
      </w:pPr>
    </w:p>
    <w:p w14:paraId="4F97425D" w14:textId="00C3931E" w:rsidR="00086589" w:rsidRPr="00564325" w:rsidRDefault="00086589" w:rsidP="00086589">
      <w:pPr>
        <w:pStyle w:val="apth3"/>
      </w:pPr>
      <w:bookmarkStart w:id="16" w:name="_Toc207820533"/>
      <w:r w:rsidRPr="00564325">
        <w:t>Diversificazione e correlazione</w:t>
      </w:r>
      <w:bookmarkEnd w:id="16"/>
    </w:p>
    <w:p w14:paraId="3E6C6861" w14:textId="59D3A4EB" w:rsidR="0082069F" w:rsidRPr="00564325" w:rsidRDefault="0082069F" w:rsidP="00250855">
      <w:pPr>
        <w:pStyle w:val="aptp"/>
        <w:rPr>
          <w:lang w:val="it-IT"/>
        </w:rPr>
      </w:pPr>
      <w:r w:rsidRPr="00564325">
        <w:rPr>
          <w:lang w:val="it-IT"/>
        </w:rPr>
        <w:t xml:space="preserve">Per quanto riguarda la diversificazione del portafoglio e l’influenza esercitata sui risultati, osservando la matrice di correlazione </w:t>
      </w:r>
      <w:r w:rsidR="00C65D39" w:rsidRPr="00564325">
        <w:rPr>
          <w:lang w:val="it-IT"/>
        </w:rPr>
        <w:t>(</w:t>
      </w:r>
      <w:r w:rsidR="00C65D39" w:rsidRPr="00564325">
        <w:rPr>
          <w:i/>
          <w:iCs/>
          <w:lang w:val="it-IT"/>
        </w:rPr>
        <w:t>Figura 3 – Matrice di correlazione del portafoglio defense durante la guerra russo-ucraina</w:t>
      </w:r>
      <w:r w:rsidR="00C65D39" w:rsidRPr="00564325">
        <w:rPr>
          <w:lang w:val="it-IT"/>
        </w:rPr>
        <w:t xml:space="preserve">), </w:t>
      </w:r>
      <w:r w:rsidRPr="00564325">
        <w:rPr>
          <w:lang w:val="it-IT"/>
        </w:rPr>
        <w:t xml:space="preserve">possiamo osservare che </w:t>
      </w:r>
      <w:r w:rsidR="00BA5630" w:rsidRPr="00564325">
        <w:rPr>
          <w:lang w:val="it-IT"/>
        </w:rPr>
        <w:t>la maggior parte di titoli non sono soggett</w:t>
      </w:r>
      <w:r w:rsidR="009C26DA" w:rsidRPr="00564325">
        <w:rPr>
          <w:lang w:val="it-IT"/>
        </w:rPr>
        <w:t>i</w:t>
      </w:r>
      <w:r w:rsidR="00BA5630" w:rsidRPr="00564325">
        <w:rPr>
          <w:lang w:val="it-IT"/>
        </w:rPr>
        <w:t xml:space="preserve"> a un significativo grado di correlazione</w:t>
      </w:r>
      <w:r w:rsidR="009C26DA" w:rsidRPr="00564325">
        <w:rPr>
          <w:lang w:val="it-IT"/>
        </w:rPr>
        <w:t>, tant’è che alcuni hanno correlazione negativa</w:t>
      </w:r>
      <w:r w:rsidR="00BA5630" w:rsidRPr="00564325">
        <w:rPr>
          <w:lang w:val="it-IT"/>
        </w:rPr>
        <w:t>,</w:t>
      </w:r>
      <w:r w:rsidR="00D166E4" w:rsidRPr="00564325">
        <w:rPr>
          <w:lang w:val="it-IT"/>
        </w:rPr>
        <w:t xml:space="preserve"> ad eccezione di </w:t>
      </w:r>
      <w:r w:rsidRPr="00564325">
        <w:rPr>
          <w:b/>
          <w:bCs/>
          <w:lang w:val="it-IT"/>
        </w:rPr>
        <w:t>Northrop Gr</w:t>
      </w:r>
      <w:r w:rsidR="00FE5A6F" w:rsidRPr="00564325">
        <w:rPr>
          <w:b/>
          <w:bCs/>
          <w:lang w:val="it-IT"/>
        </w:rPr>
        <w:t>umman</w:t>
      </w:r>
      <w:r w:rsidRPr="00564325">
        <w:rPr>
          <w:lang w:val="it-IT"/>
        </w:rPr>
        <w:t xml:space="preserve"> e </w:t>
      </w:r>
      <w:r w:rsidRPr="00564325">
        <w:rPr>
          <w:b/>
          <w:bCs/>
          <w:lang w:val="it-IT"/>
        </w:rPr>
        <w:t>Lockheed Martin</w:t>
      </w:r>
      <w:r w:rsidRPr="00564325">
        <w:rPr>
          <w:lang w:val="it-IT"/>
        </w:rPr>
        <w:t xml:space="preserve"> </w:t>
      </w:r>
      <w:r w:rsidR="00D166E4" w:rsidRPr="00564325">
        <w:rPr>
          <w:lang w:val="it-IT"/>
        </w:rPr>
        <w:t xml:space="preserve">che </w:t>
      </w:r>
      <w:r w:rsidRPr="00564325">
        <w:rPr>
          <w:lang w:val="it-IT"/>
        </w:rPr>
        <w:t xml:space="preserve">sono correlate al 78%. </w:t>
      </w:r>
      <w:r w:rsidR="00AD3578" w:rsidRPr="00564325">
        <w:rPr>
          <w:lang w:val="it-IT"/>
        </w:rPr>
        <w:t>In effetti, n</w:t>
      </w:r>
      <w:r w:rsidR="00D166E4" w:rsidRPr="00564325">
        <w:rPr>
          <w:lang w:val="it-IT"/>
        </w:rPr>
        <w:t xml:space="preserve">onostante le due aziende siano specializzate </w:t>
      </w:r>
      <w:r w:rsidR="00AE0DDB" w:rsidRPr="00564325">
        <w:rPr>
          <w:lang w:val="it-IT"/>
        </w:rPr>
        <w:t xml:space="preserve">in ambiti diversi, entrambe hanno sede negli Stati Uniti, e per questo sono sottoposte agli stessi regolamenti </w:t>
      </w:r>
      <w:r w:rsidR="00F968BC" w:rsidRPr="00564325">
        <w:rPr>
          <w:lang w:val="it-IT"/>
        </w:rPr>
        <w:t>e allo stesso mercato</w:t>
      </w:r>
      <w:r w:rsidR="00FF4162" w:rsidRPr="00564325">
        <w:rPr>
          <w:lang w:val="it-IT"/>
        </w:rPr>
        <w:t>, nonché influenzate dai medesimi meccanismi nazionali.</w:t>
      </w:r>
    </w:p>
    <w:p w14:paraId="5528E61F" w14:textId="38758BAC" w:rsidR="00627A3B" w:rsidRPr="00564325" w:rsidRDefault="003868BF" w:rsidP="00250855">
      <w:pPr>
        <w:pStyle w:val="aptp"/>
        <w:rPr>
          <w:lang w:val="it-IT"/>
        </w:rPr>
      </w:pPr>
      <w:r w:rsidRPr="00564325">
        <w:rPr>
          <w:lang w:val="it-IT"/>
        </w:rPr>
        <w:lastRenderedPageBreak/>
        <w:t>Nel complesso possiamo comunque affermare che il portafoglio sia sufficientemente diversificato per fronteggiare</w:t>
      </w:r>
      <w:r w:rsidR="0065260B" w:rsidRPr="00564325">
        <w:rPr>
          <w:lang w:val="it-IT"/>
        </w:rPr>
        <w:t xml:space="preserve"> il rischio complessivo senza sacrificare il rendimento</w:t>
      </w:r>
      <w:r w:rsidR="00A21FDE" w:rsidRPr="00564325">
        <w:rPr>
          <w:lang w:val="it-IT"/>
        </w:rPr>
        <w:t xml:space="preserve">, ma </w:t>
      </w:r>
      <w:r w:rsidR="008A2497" w:rsidRPr="00564325">
        <w:rPr>
          <w:lang w:val="it-IT"/>
        </w:rPr>
        <w:t xml:space="preserve">è necessario fare presente che, essendo i cinque titoli parte di un portafoglio </w:t>
      </w:r>
      <w:r w:rsidR="008A2497" w:rsidRPr="00564325">
        <w:rPr>
          <w:i/>
          <w:iCs/>
          <w:lang w:val="it-IT"/>
        </w:rPr>
        <w:t>defense</w:t>
      </w:r>
      <w:r w:rsidR="008A2497" w:rsidRPr="00564325">
        <w:rPr>
          <w:lang w:val="it-IT"/>
        </w:rPr>
        <w:t xml:space="preserve">, </w:t>
      </w:r>
      <w:r w:rsidR="0058117D" w:rsidRPr="00564325">
        <w:rPr>
          <w:lang w:val="it-IT"/>
        </w:rPr>
        <w:t xml:space="preserve">l’andamento del </w:t>
      </w:r>
      <w:r w:rsidR="008A2497" w:rsidRPr="00564325">
        <w:rPr>
          <w:lang w:val="it-IT"/>
        </w:rPr>
        <w:t xml:space="preserve">settore generale della difesa </w:t>
      </w:r>
      <w:r w:rsidR="0058117D" w:rsidRPr="00564325">
        <w:rPr>
          <w:lang w:val="it-IT"/>
        </w:rPr>
        <w:t>ha ripercussioni importanti sul portafoglio. Infatti, come il settore</w:t>
      </w:r>
      <w:r w:rsidR="00BF1F98" w:rsidRPr="00564325">
        <w:rPr>
          <w:lang w:val="it-IT"/>
        </w:rPr>
        <w:t xml:space="preserve"> stimolato dalle forti tensioni politiche</w:t>
      </w:r>
      <w:r w:rsidR="0058117D" w:rsidRPr="00564325">
        <w:rPr>
          <w:lang w:val="it-IT"/>
        </w:rPr>
        <w:t xml:space="preserve"> ha </w:t>
      </w:r>
      <w:r w:rsidR="00BF1F98" w:rsidRPr="00564325">
        <w:rPr>
          <w:lang w:val="it-IT"/>
        </w:rPr>
        <w:t>contribuito a un aumento del rendimento</w:t>
      </w:r>
      <w:r w:rsidR="005B01EA" w:rsidRPr="00564325">
        <w:rPr>
          <w:lang w:val="it-IT"/>
        </w:rPr>
        <w:t>, la diminuzione di tali tensioni</w:t>
      </w:r>
      <w:r w:rsidR="00207EB1" w:rsidRPr="00564325">
        <w:rPr>
          <w:lang w:val="it-IT"/>
        </w:rPr>
        <w:t xml:space="preserve"> (o</w:t>
      </w:r>
      <w:r w:rsidR="00C9041D" w:rsidRPr="00564325">
        <w:rPr>
          <w:lang w:val="it-IT"/>
        </w:rPr>
        <w:t xml:space="preserve"> addirittura la fine dei conflitti</w:t>
      </w:r>
      <w:r w:rsidR="00207EB1" w:rsidRPr="00564325">
        <w:rPr>
          <w:lang w:val="it-IT"/>
        </w:rPr>
        <w:t xml:space="preserve">) </w:t>
      </w:r>
      <w:r w:rsidR="005B01EA" w:rsidRPr="00564325">
        <w:rPr>
          <w:lang w:val="it-IT"/>
        </w:rPr>
        <w:t>può provocare un</w:t>
      </w:r>
      <w:r w:rsidR="00C9041D" w:rsidRPr="00564325">
        <w:rPr>
          <w:lang w:val="it-IT"/>
        </w:rPr>
        <w:t xml:space="preserve"> crollo del settor</w:t>
      </w:r>
      <w:r w:rsidR="00207EB1" w:rsidRPr="00564325">
        <w:rPr>
          <w:lang w:val="it-IT"/>
        </w:rPr>
        <w:t>e.</w:t>
      </w:r>
    </w:p>
    <w:p w14:paraId="62480155" w14:textId="77777777" w:rsidR="0082069F" w:rsidRPr="00564325" w:rsidRDefault="0082069F" w:rsidP="00250855">
      <w:pPr>
        <w:pStyle w:val="aptp"/>
        <w:rPr>
          <w:lang w:val="it-IT"/>
        </w:rPr>
      </w:pPr>
    </w:p>
    <w:p w14:paraId="5251DE91" w14:textId="77777777" w:rsidR="0082069F" w:rsidRPr="00564325" w:rsidRDefault="0082069F" w:rsidP="0082069F">
      <w:pPr>
        <w:pStyle w:val="aptdidascalie"/>
      </w:pPr>
      <w:r w:rsidRPr="00564325">
        <w:t>Figura 3 – Matrice di correlazione del portafoglio defense durante la guerra russo-ucraina</w:t>
      </w:r>
    </w:p>
    <w:p w14:paraId="29D437BE" w14:textId="6A890A1F" w:rsidR="0082069F" w:rsidRPr="00564325" w:rsidRDefault="00F775A2" w:rsidP="0082069F">
      <w:pPr>
        <w:pStyle w:val="aptp"/>
        <w:rPr>
          <w:lang w:val="it-IT"/>
        </w:rPr>
      </w:pPr>
      <w:r w:rsidRPr="00564325">
        <w:rPr>
          <w:noProof/>
          <w:lang w:val="it-IT"/>
        </w:rPr>
        <w:drawing>
          <wp:inline distT="0" distB="0" distL="0" distR="0" wp14:anchorId="4FD1A93C" wp14:editId="2FDC9CB6">
            <wp:extent cx="4337141" cy="3688597"/>
            <wp:effectExtent l="0" t="0" r="6350" b="7620"/>
            <wp:docPr id="33750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03138" name=""/>
                    <pic:cNvPicPr/>
                  </pic:nvPicPr>
                  <pic:blipFill>
                    <a:blip r:embed="rId17"/>
                    <a:stretch>
                      <a:fillRect/>
                    </a:stretch>
                  </pic:blipFill>
                  <pic:spPr>
                    <a:xfrm>
                      <a:off x="0" y="0"/>
                      <a:ext cx="4363255" cy="3710806"/>
                    </a:xfrm>
                    <a:prstGeom prst="rect">
                      <a:avLst/>
                    </a:prstGeom>
                  </pic:spPr>
                </pic:pic>
              </a:graphicData>
            </a:graphic>
          </wp:inline>
        </w:drawing>
      </w:r>
    </w:p>
    <w:p w14:paraId="37969F49" w14:textId="77777777" w:rsidR="004D75B9" w:rsidRPr="00564325" w:rsidRDefault="004D75B9" w:rsidP="00250855">
      <w:pPr>
        <w:pStyle w:val="aptp"/>
        <w:rPr>
          <w:lang w:val="it-IT"/>
        </w:rPr>
      </w:pPr>
    </w:p>
    <w:p w14:paraId="4231E21A" w14:textId="77777777" w:rsidR="0085559B" w:rsidRPr="00564325" w:rsidRDefault="008C1112" w:rsidP="0072280F">
      <w:pPr>
        <w:pStyle w:val="aptp"/>
        <w:rPr>
          <w:lang w:val="it-IT"/>
        </w:rPr>
      </w:pPr>
      <w:r w:rsidRPr="00564325">
        <w:rPr>
          <w:lang w:val="it-IT"/>
        </w:rPr>
        <w:t>Al fine di prevenire tale rischio, si prosegue rapidamente con la cost</w:t>
      </w:r>
      <w:r w:rsidR="0085559B" w:rsidRPr="00564325">
        <w:rPr>
          <w:lang w:val="it-IT"/>
        </w:rPr>
        <w:t>ruzione</w:t>
      </w:r>
      <w:r w:rsidRPr="00564325">
        <w:rPr>
          <w:lang w:val="it-IT"/>
        </w:rPr>
        <w:t xml:space="preserve"> di un nuovo</w:t>
      </w:r>
      <w:r w:rsidR="002F50AA" w:rsidRPr="00564325">
        <w:rPr>
          <w:lang w:val="it-IT"/>
        </w:rPr>
        <w:t xml:space="preserve"> portafoglio più diversificato</w:t>
      </w:r>
      <w:r w:rsidR="0072280F" w:rsidRPr="00564325">
        <w:rPr>
          <w:lang w:val="it-IT"/>
        </w:rPr>
        <w:t xml:space="preserve"> per settore, per aziende e nazionalità</w:t>
      </w:r>
      <w:r w:rsidR="00F374F5" w:rsidRPr="00564325">
        <w:rPr>
          <w:lang w:val="it-IT"/>
        </w:rPr>
        <w:t xml:space="preserve"> (</w:t>
      </w:r>
      <w:r w:rsidR="001A1D91" w:rsidRPr="00564325">
        <w:rPr>
          <w:i/>
          <w:iCs/>
          <w:lang w:val="it-IT"/>
        </w:rPr>
        <w:t xml:space="preserve">Tabella 4 </w:t>
      </w:r>
      <w:r w:rsidR="00107028" w:rsidRPr="00564325">
        <w:rPr>
          <w:i/>
          <w:iCs/>
          <w:lang w:val="it-IT"/>
        </w:rPr>
        <w:t>–</w:t>
      </w:r>
      <w:r w:rsidR="001A1D91" w:rsidRPr="00564325">
        <w:rPr>
          <w:i/>
          <w:iCs/>
          <w:lang w:val="it-IT"/>
        </w:rPr>
        <w:t xml:space="preserve"> Titoli</w:t>
      </w:r>
      <w:r w:rsidR="00107028" w:rsidRPr="00564325">
        <w:rPr>
          <w:i/>
          <w:iCs/>
          <w:lang w:val="it-IT"/>
        </w:rPr>
        <w:t xml:space="preserve"> del portafoglio diversificato)</w:t>
      </w:r>
      <w:r w:rsidR="00E5670D" w:rsidRPr="00564325">
        <w:rPr>
          <w:lang w:val="it-IT"/>
        </w:rPr>
        <w:t xml:space="preserve">. </w:t>
      </w:r>
    </w:p>
    <w:p w14:paraId="3C65E7C5" w14:textId="77777777" w:rsidR="00107028" w:rsidRPr="00564325" w:rsidRDefault="00107028" w:rsidP="006013B4">
      <w:pPr>
        <w:pStyle w:val="aptdidascalie"/>
      </w:pPr>
    </w:p>
    <w:p w14:paraId="181C6C19" w14:textId="600E8A5E" w:rsidR="006013B4" w:rsidRPr="00564325" w:rsidRDefault="006013B4" w:rsidP="006013B4">
      <w:pPr>
        <w:pStyle w:val="aptdidascalie"/>
      </w:pPr>
      <w:r w:rsidRPr="00564325">
        <w:rPr>
          <w:iCs/>
        </w:rPr>
        <w:t>Tabella 4 – Titoli del portafoglio diversificato</w:t>
      </w:r>
    </w:p>
    <w:tbl>
      <w:tblPr>
        <w:tblStyle w:val="TableGrid"/>
        <w:tblW w:w="0" w:type="auto"/>
        <w:tblLook w:val="04A0" w:firstRow="1" w:lastRow="0" w:firstColumn="1" w:lastColumn="0" w:noHBand="0" w:noVBand="1"/>
      </w:tblPr>
      <w:tblGrid>
        <w:gridCol w:w="420"/>
        <w:gridCol w:w="1418"/>
        <w:gridCol w:w="2096"/>
        <w:gridCol w:w="1590"/>
        <w:gridCol w:w="3492"/>
      </w:tblGrid>
      <w:tr w:rsidR="00107028" w:rsidRPr="00564325" w14:paraId="1E5533BF" w14:textId="77777777" w:rsidTr="006013B4">
        <w:tc>
          <w:tcPr>
            <w:tcW w:w="420" w:type="dxa"/>
          </w:tcPr>
          <w:p w14:paraId="1CC46F14" w14:textId="77777777" w:rsidR="00107028" w:rsidRPr="00564325" w:rsidRDefault="00107028" w:rsidP="00893FDD">
            <w:pPr>
              <w:pStyle w:val="aptp"/>
              <w:rPr>
                <w:lang w:val="it-IT"/>
              </w:rPr>
            </w:pPr>
          </w:p>
        </w:tc>
        <w:tc>
          <w:tcPr>
            <w:tcW w:w="1418" w:type="dxa"/>
          </w:tcPr>
          <w:p w14:paraId="36E6037F" w14:textId="77777777" w:rsidR="00107028" w:rsidRPr="00564325" w:rsidRDefault="00107028" w:rsidP="00893FDD">
            <w:pPr>
              <w:pStyle w:val="aptp"/>
              <w:rPr>
                <w:b/>
                <w:bCs/>
                <w:lang w:val="it-IT"/>
              </w:rPr>
            </w:pPr>
            <w:r w:rsidRPr="00564325">
              <w:rPr>
                <w:b/>
                <w:bCs/>
                <w:lang w:val="it-IT"/>
              </w:rPr>
              <w:t>Ticker</w:t>
            </w:r>
            <w:r w:rsidRPr="00564325">
              <w:rPr>
                <w:rStyle w:val="FootnoteReference"/>
                <w:b/>
                <w:bCs/>
                <w:lang w:val="it-IT"/>
              </w:rPr>
              <w:footnoteReference w:id="7"/>
            </w:r>
          </w:p>
        </w:tc>
        <w:tc>
          <w:tcPr>
            <w:tcW w:w="2096" w:type="dxa"/>
          </w:tcPr>
          <w:p w14:paraId="3120DF94" w14:textId="77777777" w:rsidR="00107028" w:rsidRPr="00564325" w:rsidRDefault="00107028" w:rsidP="00893FDD">
            <w:pPr>
              <w:pStyle w:val="aptp"/>
              <w:rPr>
                <w:b/>
                <w:bCs/>
                <w:lang w:val="it-IT"/>
              </w:rPr>
            </w:pPr>
            <w:r w:rsidRPr="00564325">
              <w:rPr>
                <w:b/>
                <w:bCs/>
                <w:lang w:val="it-IT"/>
              </w:rPr>
              <w:t>Azienda</w:t>
            </w:r>
          </w:p>
        </w:tc>
        <w:tc>
          <w:tcPr>
            <w:tcW w:w="1590" w:type="dxa"/>
          </w:tcPr>
          <w:p w14:paraId="552DEC55" w14:textId="77777777" w:rsidR="00107028" w:rsidRPr="00564325" w:rsidRDefault="00107028" w:rsidP="00893FDD">
            <w:pPr>
              <w:pStyle w:val="aptp"/>
              <w:rPr>
                <w:b/>
                <w:bCs/>
                <w:lang w:val="it-IT"/>
              </w:rPr>
            </w:pPr>
            <w:r w:rsidRPr="00564325">
              <w:rPr>
                <w:b/>
                <w:bCs/>
                <w:lang w:val="it-IT"/>
              </w:rPr>
              <w:t>Stato</w:t>
            </w:r>
          </w:p>
        </w:tc>
        <w:tc>
          <w:tcPr>
            <w:tcW w:w="3492" w:type="dxa"/>
          </w:tcPr>
          <w:p w14:paraId="5DD0623A" w14:textId="77777777" w:rsidR="00107028" w:rsidRPr="00564325" w:rsidRDefault="00107028" w:rsidP="00893FDD">
            <w:pPr>
              <w:pStyle w:val="aptp"/>
              <w:rPr>
                <w:b/>
                <w:bCs/>
                <w:lang w:val="it-IT"/>
              </w:rPr>
            </w:pPr>
            <w:r w:rsidRPr="00564325">
              <w:rPr>
                <w:b/>
                <w:bCs/>
                <w:lang w:val="it-IT"/>
              </w:rPr>
              <w:t>Settore</w:t>
            </w:r>
          </w:p>
        </w:tc>
      </w:tr>
      <w:tr w:rsidR="00107028" w:rsidRPr="00564325" w14:paraId="5B3A9195" w14:textId="77777777" w:rsidTr="006013B4">
        <w:tc>
          <w:tcPr>
            <w:tcW w:w="420" w:type="dxa"/>
          </w:tcPr>
          <w:p w14:paraId="45AEF6B6" w14:textId="77777777" w:rsidR="00107028" w:rsidRPr="00564325" w:rsidRDefault="00107028" w:rsidP="00893FDD">
            <w:pPr>
              <w:pStyle w:val="aptp"/>
              <w:rPr>
                <w:lang w:val="it-IT"/>
              </w:rPr>
            </w:pPr>
            <w:r w:rsidRPr="00564325">
              <w:rPr>
                <w:lang w:val="it-IT"/>
              </w:rPr>
              <w:t>1</w:t>
            </w:r>
          </w:p>
        </w:tc>
        <w:tc>
          <w:tcPr>
            <w:tcW w:w="1418" w:type="dxa"/>
          </w:tcPr>
          <w:p w14:paraId="643B732A" w14:textId="680AE784" w:rsidR="00107028" w:rsidRPr="00564325" w:rsidRDefault="00107028" w:rsidP="00893FDD">
            <w:pPr>
              <w:pStyle w:val="aptp"/>
              <w:rPr>
                <w:lang w:val="it-IT"/>
              </w:rPr>
            </w:pPr>
            <w:r w:rsidRPr="00564325">
              <w:rPr>
                <w:lang w:val="it-IT"/>
              </w:rPr>
              <w:t>UCG.MI</w:t>
            </w:r>
          </w:p>
        </w:tc>
        <w:tc>
          <w:tcPr>
            <w:tcW w:w="2096" w:type="dxa"/>
          </w:tcPr>
          <w:p w14:paraId="57BE044C" w14:textId="3DF3B3BB" w:rsidR="00107028" w:rsidRPr="00564325" w:rsidRDefault="00107028" w:rsidP="00893FDD">
            <w:pPr>
              <w:pStyle w:val="aptp"/>
              <w:rPr>
                <w:lang w:val="it-IT"/>
              </w:rPr>
            </w:pPr>
            <w:r w:rsidRPr="00564325">
              <w:rPr>
                <w:lang w:val="it-IT"/>
              </w:rPr>
              <w:t xml:space="preserve">Unicredit </w:t>
            </w:r>
          </w:p>
        </w:tc>
        <w:tc>
          <w:tcPr>
            <w:tcW w:w="1590" w:type="dxa"/>
          </w:tcPr>
          <w:p w14:paraId="2FB7C2FC" w14:textId="6FA4969E" w:rsidR="00107028" w:rsidRPr="00564325" w:rsidRDefault="00F83C76" w:rsidP="00893FDD">
            <w:pPr>
              <w:pStyle w:val="aptp"/>
              <w:rPr>
                <w:lang w:val="it-IT"/>
              </w:rPr>
            </w:pPr>
            <w:r w:rsidRPr="00564325">
              <w:rPr>
                <w:lang w:val="it-IT"/>
              </w:rPr>
              <w:t>ITA</w:t>
            </w:r>
          </w:p>
        </w:tc>
        <w:tc>
          <w:tcPr>
            <w:tcW w:w="3492" w:type="dxa"/>
          </w:tcPr>
          <w:p w14:paraId="37BFFC30" w14:textId="3D9FEE99" w:rsidR="00107028" w:rsidRPr="00564325" w:rsidRDefault="00F83C76" w:rsidP="00893FDD">
            <w:pPr>
              <w:pStyle w:val="aptp"/>
              <w:rPr>
                <w:lang w:val="it-IT"/>
              </w:rPr>
            </w:pPr>
            <w:r w:rsidRPr="00564325">
              <w:rPr>
                <w:lang w:val="it-IT"/>
              </w:rPr>
              <w:t xml:space="preserve">Bancario </w:t>
            </w:r>
          </w:p>
        </w:tc>
      </w:tr>
      <w:tr w:rsidR="00107028" w:rsidRPr="00564325" w14:paraId="547BC2A4" w14:textId="77777777" w:rsidTr="006013B4">
        <w:tc>
          <w:tcPr>
            <w:tcW w:w="420" w:type="dxa"/>
          </w:tcPr>
          <w:p w14:paraId="70EFDA4A" w14:textId="77777777" w:rsidR="00107028" w:rsidRPr="00564325" w:rsidRDefault="00107028" w:rsidP="00893FDD">
            <w:pPr>
              <w:pStyle w:val="aptp"/>
              <w:rPr>
                <w:lang w:val="it-IT"/>
              </w:rPr>
            </w:pPr>
            <w:r w:rsidRPr="00564325">
              <w:rPr>
                <w:lang w:val="it-IT"/>
              </w:rPr>
              <w:t>2</w:t>
            </w:r>
          </w:p>
        </w:tc>
        <w:tc>
          <w:tcPr>
            <w:tcW w:w="1418" w:type="dxa"/>
          </w:tcPr>
          <w:p w14:paraId="3C964EEE" w14:textId="77777777" w:rsidR="00107028" w:rsidRPr="00564325" w:rsidRDefault="00107028" w:rsidP="00893FDD">
            <w:pPr>
              <w:pStyle w:val="aptp"/>
              <w:rPr>
                <w:lang w:val="it-IT"/>
              </w:rPr>
            </w:pPr>
            <w:r w:rsidRPr="00564325">
              <w:rPr>
                <w:lang w:val="it-IT"/>
              </w:rPr>
              <w:t>RHM</w:t>
            </w:r>
          </w:p>
        </w:tc>
        <w:tc>
          <w:tcPr>
            <w:tcW w:w="2096" w:type="dxa"/>
          </w:tcPr>
          <w:p w14:paraId="6D5ED8A6" w14:textId="77777777" w:rsidR="00107028" w:rsidRPr="00564325" w:rsidRDefault="00107028" w:rsidP="00893FDD">
            <w:pPr>
              <w:pStyle w:val="aptp"/>
              <w:rPr>
                <w:lang w:val="it-IT"/>
              </w:rPr>
            </w:pPr>
            <w:r w:rsidRPr="00564325">
              <w:rPr>
                <w:lang w:val="it-IT"/>
              </w:rPr>
              <w:t>Rheinmetall</w:t>
            </w:r>
          </w:p>
        </w:tc>
        <w:tc>
          <w:tcPr>
            <w:tcW w:w="1590" w:type="dxa"/>
          </w:tcPr>
          <w:p w14:paraId="6AAA507D" w14:textId="77777777" w:rsidR="00107028" w:rsidRPr="00564325" w:rsidRDefault="00107028" w:rsidP="00893FDD">
            <w:pPr>
              <w:pStyle w:val="aptp"/>
              <w:rPr>
                <w:lang w:val="it-IT"/>
              </w:rPr>
            </w:pPr>
            <w:r w:rsidRPr="00564325">
              <w:rPr>
                <w:lang w:val="it-IT"/>
              </w:rPr>
              <w:t>GER</w:t>
            </w:r>
          </w:p>
        </w:tc>
        <w:tc>
          <w:tcPr>
            <w:tcW w:w="3492" w:type="dxa"/>
          </w:tcPr>
          <w:p w14:paraId="22DEB2BD" w14:textId="1A335065" w:rsidR="00107028" w:rsidRPr="00564325" w:rsidRDefault="00107028" w:rsidP="00893FDD">
            <w:pPr>
              <w:pStyle w:val="aptp"/>
              <w:rPr>
                <w:lang w:val="it-IT"/>
              </w:rPr>
            </w:pPr>
            <w:r w:rsidRPr="00564325">
              <w:rPr>
                <w:lang w:val="it-IT"/>
              </w:rPr>
              <w:t xml:space="preserve">Difesa </w:t>
            </w:r>
          </w:p>
        </w:tc>
      </w:tr>
      <w:tr w:rsidR="00107028" w:rsidRPr="00564325" w14:paraId="007E7BB6" w14:textId="77777777" w:rsidTr="006013B4">
        <w:tc>
          <w:tcPr>
            <w:tcW w:w="420" w:type="dxa"/>
          </w:tcPr>
          <w:p w14:paraId="2AE70072" w14:textId="77777777" w:rsidR="00107028" w:rsidRPr="00564325" w:rsidRDefault="00107028" w:rsidP="00893FDD">
            <w:pPr>
              <w:pStyle w:val="aptp"/>
              <w:rPr>
                <w:lang w:val="it-IT"/>
              </w:rPr>
            </w:pPr>
            <w:r w:rsidRPr="00564325">
              <w:rPr>
                <w:lang w:val="it-IT"/>
              </w:rPr>
              <w:t>3</w:t>
            </w:r>
          </w:p>
        </w:tc>
        <w:tc>
          <w:tcPr>
            <w:tcW w:w="1418" w:type="dxa"/>
          </w:tcPr>
          <w:p w14:paraId="7B08DA58" w14:textId="06A75B12" w:rsidR="00107028" w:rsidRPr="00564325" w:rsidRDefault="00C53B3C" w:rsidP="00893FDD">
            <w:pPr>
              <w:pStyle w:val="aptp"/>
              <w:rPr>
                <w:lang w:val="it-IT"/>
              </w:rPr>
            </w:pPr>
            <w:r w:rsidRPr="00564325">
              <w:rPr>
                <w:lang w:val="it-IT"/>
              </w:rPr>
              <w:t>AMZN</w:t>
            </w:r>
          </w:p>
        </w:tc>
        <w:tc>
          <w:tcPr>
            <w:tcW w:w="2096" w:type="dxa"/>
          </w:tcPr>
          <w:p w14:paraId="1DAD665F" w14:textId="192BF33D" w:rsidR="00107028" w:rsidRPr="00564325" w:rsidRDefault="006013B4" w:rsidP="00893FDD">
            <w:pPr>
              <w:pStyle w:val="aptp"/>
              <w:rPr>
                <w:lang w:val="it-IT"/>
              </w:rPr>
            </w:pPr>
            <w:r w:rsidRPr="00564325">
              <w:rPr>
                <w:lang w:val="it-IT"/>
              </w:rPr>
              <w:t>Amazon</w:t>
            </w:r>
          </w:p>
        </w:tc>
        <w:tc>
          <w:tcPr>
            <w:tcW w:w="1590" w:type="dxa"/>
          </w:tcPr>
          <w:p w14:paraId="203CFC7E" w14:textId="565B8517" w:rsidR="00107028" w:rsidRPr="00564325" w:rsidRDefault="00C53B3C" w:rsidP="00893FDD">
            <w:pPr>
              <w:pStyle w:val="aptp"/>
              <w:rPr>
                <w:lang w:val="it-IT"/>
              </w:rPr>
            </w:pPr>
            <w:r w:rsidRPr="00564325">
              <w:rPr>
                <w:lang w:val="it-IT"/>
              </w:rPr>
              <w:t>USA</w:t>
            </w:r>
          </w:p>
        </w:tc>
        <w:tc>
          <w:tcPr>
            <w:tcW w:w="3492" w:type="dxa"/>
          </w:tcPr>
          <w:p w14:paraId="5EAF272B" w14:textId="24382D6C" w:rsidR="00107028" w:rsidRPr="00564325" w:rsidRDefault="006013B4" w:rsidP="00893FDD">
            <w:pPr>
              <w:pStyle w:val="aptp"/>
              <w:rPr>
                <w:lang w:val="it-IT"/>
              </w:rPr>
            </w:pPr>
            <w:r w:rsidRPr="00564325">
              <w:rPr>
                <w:lang w:val="it-IT"/>
              </w:rPr>
              <w:t>Tecnologia</w:t>
            </w:r>
          </w:p>
        </w:tc>
      </w:tr>
      <w:tr w:rsidR="00107028" w:rsidRPr="00564325" w14:paraId="24CC50A7" w14:textId="77777777" w:rsidTr="006013B4">
        <w:tc>
          <w:tcPr>
            <w:tcW w:w="420" w:type="dxa"/>
          </w:tcPr>
          <w:p w14:paraId="0F5C957D" w14:textId="77777777" w:rsidR="00107028" w:rsidRPr="00564325" w:rsidRDefault="00107028" w:rsidP="00893FDD">
            <w:pPr>
              <w:pStyle w:val="aptp"/>
              <w:rPr>
                <w:lang w:val="it-IT"/>
              </w:rPr>
            </w:pPr>
            <w:r w:rsidRPr="00564325">
              <w:rPr>
                <w:lang w:val="it-IT"/>
              </w:rPr>
              <w:t>4</w:t>
            </w:r>
          </w:p>
        </w:tc>
        <w:tc>
          <w:tcPr>
            <w:tcW w:w="1418" w:type="dxa"/>
          </w:tcPr>
          <w:p w14:paraId="6DDFA1DE" w14:textId="3456895A" w:rsidR="00107028" w:rsidRPr="00564325" w:rsidRDefault="00C53B3C" w:rsidP="00893FDD">
            <w:pPr>
              <w:pStyle w:val="aptp"/>
              <w:rPr>
                <w:lang w:val="it-IT"/>
              </w:rPr>
            </w:pPr>
            <w:r w:rsidRPr="00564325">
              <w:rPr>
                <w:lang w:val="it-IT"/>
              </w:rPr>
              <w:t>SHEL</w:t>
            </w:r>
          </w:p>
        </w:tc>
        <w:tc>
          <w:tcPr>
            <w:tcW w:w="2096" w:type="dxa"/>
          </w:tcPr>
          <w:p w14:paraId="3751B59A" w14:textId="2E8D40C1" w:rsidR="00107028" w:rsidRPr="00564325" w:rsidRDefault="006013B4" w:rsidP="00893FDD">
            <w:pPr>
              <w:pStyle w:val="aptp"/>
              <w:rPr>
                <w:lang w:val="it-IT"/>
              </w:rPr>
            </w:pPr>
            <w:r w:rsidRPr="00564325">
              <w:rPr>
                <w:lang w:val="it-IT"/>
              </w:rPr>
              <w:t>Shell</w:t>
            </w:r>
          </w:p>
        </w:tc>
        <w:tc>
          <w:tcPr>
            <w:tcW w:w="1590" w:type="dxa"/>
          </w:tcPr>
          <w:p w14:paraId="54B09F0C" w14:textId="5D5EACB2" w:rsidR="00107028" w:rsidRPr="00564325" w:rsidRDefault="00C53B3C" w:rsidP="00893FDD">
            <w:pPr>
              <w:pStyle w:val="aptp"/>
              <w:rPr>
                <w:lang w:val="it-IT"/>
              </w:rPr>
            </w:pPr>
            <w:r w:rsidRPr="00564325">
              <w:rPr>
                <w:lang w:val="it-IT"/>
              </w:rPr>
              <w:t>ENG</w:t>
            </w:r>
          </w:p>
        </w:tc>
        <w:tc>
          <w:tcPr>
            <w:tcW w:w="3492" w:type="dxa"/>
          </w:tcPr>
          <w:p w14:paraId="16D281DA" w14:textId="52C82C55" w:rsidR="00107028" w:rsidRPr="00564325" w:rsidRDefault="006013B4" w:rsidP="00893FDD">
            <w:pPr>
              <w:pStyle w:val="aptp"/>
              <w:rPr>
                <w:lang w:val="it-IT"/>
              </w:rPr>
            </w:pPr>
            <w:r w:rsidRPr="00564325">
              <w:rPr>
                <w:lang w:val="it-IT"/>
              </w:rPr>
              <w:t>Benzina</w:t>
            </w:r>
          </w:p>
        </w:tc>
      </w:tr>
      <w:tr w:rsidR="00107028" w:rsidRPr="00564325" w14:paraId="650C533F" w14:textId="77777777" w:rsidTr="006013B4">
        <w:tc>
          <w:tcPr>
            <w:tcW w:w="420" w:type="dxa"/>
          </w:tcPr>
          <w:p w14:paraId="4D3EE2F2" w14:textId="77777777" w:rsidR="00107028" w:rsidRPr="00564325" w:rsidRDefault="00107028" w:rsidP="00893FDD">
            <w:pPr>
              <w:pStyle w:val="aptp"/>
              <w:rPr>
                <w:lang w:val="it-IT"/>
              </w:rPr>
            </w:pPr>
            <w:r w:rsidRPr="00564325">
              <w:rPr>
                <w:lang w:val="it-IT"/>
              </w:rPr>
              <w:t>5</w:t>
            </w:r>
          </w:p>
        </w:tc>
        <w:tc>
          <w:tcPr>
            <w:tcW w:w="1418" w:type="dxa"/>
          </w:tcPr>
          <w:p w14:paraId="00953450" w14:textId="376E5E19" w:rsidR="00107028" w:rsidRPr="00564325" w:rsidRDefault="00C53B3C" w:rsidP="00893FDD">
            <w:pPr>
              <w:pStyle w:val="aptp"/>
              <w:rPr>
                <w:lang w:val="it-IT"/>
              </w:rPr>
            </w:pPr>
            <w:r w:rsidRPr="00564325">
              <w:rPr>
                <w:lang w:val="it-IT"/>
              </w:rPr>
              <w:t>7203.T</w:t>
            </w:r>
          </w:p>
        </w:tc>
        <w:tc>
          <w:tcPr>
            <w:tcW w:w="2096" w:type="dxa"/>
          </w:tcPr>
          <w:p w14:paraId="77047EBB" w14:textId="3CC52960" w:rsidR="00107028" w:rsidRPr="00564325" w:rsidRDefault="00C53B3C" w:rsidP="00893FDD">
            <w:pPr>
              <w:pStyle w:val="aptp"/>
              <w:rPr>
                <w:lang w:val="it-IT"/>
              </w:rPr>
            </w:pPr>
            <w:r w:rsidRPr="00564325">
              <w:rPr>
                <w:lang w:val="it-IT"/>
              </w:rPr>
              <w:t>Toyota</w:t>
            </w:r>
          </w:p>
        </w:tc>
        <w:tc>
          <w:tcPr>
            <w:tcW w:w="1590" w:type="dxa"/>
          </w:tcPr>
          <w:p w14:paraId="027EC972" w14:textId="1E940368" w:rsidR="00107028" w:rsidRPr="00564325" w:rsidRDefault="00C53B3C" w:rsidP="00893FDD">
            <w:pPr>
              <w:pStyle w:val="aptp"/>
              <w:rPr>
                <w:lang w:val="it-IT"/>
              </w:rPr>
            </w:pPr>
            <w:r w:rsidRPr="00564325">
              <w:rPr>
                <w:lang w:val="it-IT"/>
              </w:rPr>
              <w:t>JPN</w:t>
            </w:r>
          </w:p>
        </w:tc>
        <w:tc>
          <w:tcPr>
            <w:tcW w:w="3492" w:type="dxa"/>
          </w:tcPr>
          <w:p w14:paraId="5502BCA8" w14:textId="3B9132BF" w:rsidR="00107028" w:rsidRPr="00564325" w:rsidRDefault="00C53B3C" w:rsidP="00893FDD">
            <w:pPr>
              <w:pStyle w:val="aptp"/>
              <w:rPr>
                <w:lang w:val="it-IT"/>
              </w:rPr>
            </w:pPr>
            <w:r w:rsidRPr="00564325">
              <w:rPr>
                <w:lang w:val="it-IT"/>
              </w:rPr>
              <w:t xml:space="preserve">Automobilistico </w:t>
            </w:r>
          </w:p>
        </w:tc>
      </w:tr>
    </w:tbl>
    <w:p w14:paraId="750A073C" w14:textId="77777777" w:rsidR="00107028" w:rsidRPr="00564325" w:rsidRDefault="00107028" w:rsidP="0072280F">
      <w:pPr>
        <w:pStyle w:val="aptp"/>
        <w:rPr>
          <w:lang w:val="it-IT"/>
        </w:rPr>
      </w:pPr>
    </w:p>
    <w:p w14:paraId="0AD53242" w14:textId="05D49A09" w:rsidR="0085559B" w:rsidRPr="00564325" w:rsidRDefault="0085559B" w:rsidP="0085559B">
      <w:pPr>
        <w:pStyle w:val="aptp"/>
        <w:rPr>
          <w:lang w:val="it-IT"/>
        </w:rPr>
      </w:pPr>
      <w:r w:rsidRPr="00564325">
        <w:rPr>
          <w:lang w:val="it-IT"/>
        </w:rPr>
        <w:lastRenderedPageBreak/>
        <w:t>Per osservare se la scelta di titoli più diversificati sia stato di aiuto, osserviamo</w:t>
      </w:r>
      <w:r w:rsidR="00635435" w:rsidRPr="00564325">
        <w:rPr>
          <w:lang w:val="it-IT"/>
        </w:rPr>
        <w:t xml:space="preserve"> la tab</w:t>
      </w:r>
      <w:r w:rsidR="001744CC" w:rsidRPr="00564325">
        <w:rPr>
          <w:lang w:val="it-IT"/>
        </w:rPr>
        <w:t>e</w:t>
      </w:r>
      <w:r w:rsidR="00635435" w:rsidRPr="00564325">
        <w:rPr>
          <w:lang w:val="it-IT"/>
        </w:rPr>
        <w:t>ll</w:t>
      </w:r>
      <w:r w:rsidR="001744CC" w:rsidRPr="00564325">
        <w:rPr>
          <w:lang w:val="it-IT"/>
        </w:rPr>
        <w:t>a</w:t>
      </w:r>
      <w:r w:rsidR="00635435" w:rsidRPr="00564325">
        <w:rPr>
          <w:lang w:val="it-IT"/>
        </w:rPr>
        <w:t xml:space="preserve"> di riepilogo dell’output (</w:t>
      </w:r>
      <w:r w:rsidR="001744CC" w:rsidRPr="00564325">
        <w:rPr>
          <w:i/>
          <w:iCs/>
          <w:lang w:val="it-IT"/>
        </w:rPr>
        <w:t xml:space="preserve">Tabella 5 – Riepilogo output del portafoglio </w:t>
      </w:r>
      <w:r w:rsidR="00693026" w:rsidRPr="00564325">
        <w:rPr>
          <w:i/>
          <w:iCs/>
          <w:lang w:val="it-IT"/>
        </w:rPr>
        <w:t>diversificato),</w:t>
      </w:r>
      <w:r w:rsidRPr="00564325">
        <w:rPr>
          <w:lang w:val="it-IT"/>
        </w:rPr>
        <w:t xml:space="preserve"> la frontiera efficiente (</w:t>
      </w:r>
      <w:r w:rsidRPr="00564325">
        <w:rPr>
          <w:i/>
          <w:iCs/>
          <w:lang w:val="it-IT"/>
        </w:rPr>
        <w:t>Figura 4 – Frontiera efficiente del portafoglio diversificato)</w:t>
      </w:r>
      <w:r w:rsidRPr="00564325">
        <w:rPr>
          <w:lang w:val="it-IT"/>
        </w:rPr>
        <w:t xml:space="preserve"> e la matrice di correlazione (</w:t>
      </w:r>
      <w:r w:rsidRPr="00564325">
        <w:rPr>
          <w:i/>
          <w:iCs/>
          <w:lang w:val="it-IT"/>
        </w:rPr>
        <w:t>Figura 5 – Matrice di correlazione del portafoglio diversificato</w:t>
      </w:r>
      <w:r w:rsidRPr="00564325">
        <w:rPr>
          <w:lang w:val="it-IT"/>
        </w:rPr>
        <w:t>).</w:t>
      </w:r>
    </w:p>
    <w:p w14:paraId="3648D309" w14:textId="7F45171B" w:rsidR="001D6084" w:rsidRPr="00564325" w:rsidRDefault="00C61F29" w:rsidP="0085559B">
      <w:pPr>
        <w:pStyle w:val="aptp"/>
        <w:rPr>
          <w:lang w:val="it-IT"/>
        </w:rPr>
      </w:pPr>
      <w:r w:rsidRPr="00564325">
        <w:rPr>
          <w:lang w:val="it-IT"/>
        </w:rPr>
        <w:t xml:space="preserve">Dai risultati possiamo cogliere un lieve miglioramento del rischio, poiché il portafoglio </w:t>
      </w:r>
      <w:r w:rsidR="005A7DF8" w:rsidRPr="00564325">
        <w:rPr>
          <w:lang w:val="it-IT"/>
        </w:rPr>
        <w:t>diversificato più prudente presenta un tasso di rischio del 16.01% contro il 16.03% del portafoglio defense</w:t>
      </w:r>
      <w:r w:rsidR="00B40FA7" w:rsidRPr="00564325">
        <w:rPr>
          <w:lang w:val="it-IT"/>
        </w:rPr>
        <w:t>, sebbene abbia un rendimento atteso inferiore</w:t>
      </w:r>
      <w:r w:rsidR="005A7DF8" w:rsidRPr="00564325">
        <w:rPr>
          <w:lang w:val="it-IT"/>
        </w:rPr>
        <w:t>. Tuttavia</w:t>
      </w:r>
      <w:r w:rsidR="00B40FA7" w:rsidRPr="00564325">
        <w:rPr>
          <w:lang w:val="it-IT"/>
        </w:rPr>
        <w:t>,</w:t>
      </w:r>
      <w:r w:rsidR="005A7DF8" w:rsidRPr="00564325">
        <w:rPr>
          <w:lang w:val="it-IT"/>
        </w:rPr>
        <w:t xml:space="preserve"> così non è per il portafoglio ottimizzato più redditizio</w:t>
      </w:r>
      <w:r w:rsidR="005E1F73" w:rsidRPr="00564325">
        <w:rPr>
          <w:lang w:val="it-IT"/>
        </w:rPr>
        <w:t>, che presenta un rischio superiore del portafoglio defense e una rendita minore di circa 5 punti percentuali.</w:t>
      </w:r>
    </w:p>
    <w:p w14:paraId="0BFA9E31" w14:textId="77777777" w:rsidR="00AE0FE9" w:rsidRPr="00564325" w:rsidRDefault="00AE0FE9" w:rsidP="0085559B">
      <w:pPr>
        <w:pStyle w:val="aptp"/>
        <w:rPr>
          <w:lang w:val="it-IT"/>
        </w:rPr>
      </w:pPr>
    </w:p>
    <w:p w14:paraId="753C170B" w14:textId="041C495C" w:rsidR="00693026" w:rsidRPr="00564325" w:rsidRDefault="00693026" w:rsidP="00693026">
      <w:pPr>
        <w:pStyle w:val="aptdidascalie"/>
      </w:pPr>
      <w:r w:rsidRPr="00564325">
        <w:t>Tabella 5 – Riepilogo output del portafoglio diversificato</w:t>
      </w:r>
      <w:r w:rsidR="003636E2" w:rsidRPr="00564325">
        <w:t xml:space="preserve"> a confronto con il portafoglio defense</w:t>
      </w:r>
    </w:p>
    <w:tbl>
      <w:tblPr>
        <w:tblStyle w:val="TableGrid"/>
        <w:tblW w:w="0" w:type="auto"/>
        <w:tblLook w:val="04A0" w:firstRow="1" w:lastRow="0" w:firstColumn="1" w:lastColumn="0" w:noHBand="0" w:noVBand="1"/>
      </w:tblPr>
      <w:tblGrid>
        <w:gridCol w:w="1696"/>
        <w:gridCol w:w="993"/>
        <w:gridCol w:w="2746"/>
        <w:gridCol w:w="1735"/>
        <w:gridCol w:w="1846"/>
      </w:tblGrid>
      <w:tr w:rsidR="003636E2" w:rsidRPr="00564325" w14:paraId="53667CCD" w14:textId="77777777" w:rsidTr="00432916">
        <w:tc>
          <w:tcPr>
            <w:tcW w:w="2689" w:type="dxa"/>
            <w:gridSpan w:val="2"/>
          </w:tcPr>
          <w:p w14:paraId="5462616D" w14:textId="77777777" w:rsidR="003636E2" w:rsidRPr="00564325" w:rsidRDefault="003636E2" w:rsidP="00893FDD">
            <w:pPr>
              <w:pStyle w:val="aptp"/>
              <w:rPr>
                <w:b/>
                <w:bCs/>
                <w:lang w:val="it-IT"/>
              </w:rPr>
            </w:pPr>
          </w:p>
        </w:tc>
        <w:tc>
          <w:tcPr>
            <w:tcW w:w="2746" w:type="dxa"/>
          </w:tcPr>
          <w:p w14:paraId="6D8BF6A3" w14:textId="49C98E3C" w:rsidR="003636E2" w:rsidRPr="00564325" w:rsidRDefault="003636E2" w:rsidP="00893FDD">
            <w:pPr>
              <w:pStyle w:val="aptp"/>
              <w:rPr>
                <w:b/>
                <w:bCs/>
                <w:lang w:val="it-IT"/>
              </w:rPr>
            </w:pPr>
            <w:r w:rsidRPr="00564325">
              <w:rPr>
                <w:b/>
                <w:bCs/>
                <w:lang w:val="it-IT"/>
              </w:rPr>
              <w:t>Rendimento atteso</w:t>
            </w:r>
          </w:p>
        </w:tc>
        <w:tc>
          <w:tcPr>
            <w:tcW w:w="1735" w:type="dxa"/>
          </w:tcPr>
          <w:p w14:paraId="2D81CE0B" w14:textId="77777777" w:rsidR="003636E2" w:rsidRPr="00564325" w:rsidRDefault="003636E2" w:rsidP="00893FDD">
            <w:pPr>
              <w:pStyle w:val="aptp"/>
              <w:rPr>
                <w:b/>
                <w:bCs/>
                <w:lang w:val="it-IT"/>
              </w:rPr>
            </w:pPr>
            <w:r w:rsidRPr="00564325">
              <w:rPr>
                <w:b/>
                <w:bCs/>
                <w:lang w:val="it-IT"/>
              </w:rPr>
              <w:t>Rischio</w:t>
            </w:r>
          </w:p>
        </w:tc>
        <w:tc>
          <w:tcPr>
            <w:tcW w:w="1846" w:type="dxa"/>
          </w:tcPr>
          <w:p w14:paraId="67CA352A" w14:textId="77777777" w:rsidR="003636E2" w:rsidRPr="00564325" w:rsidRDefault="003636E2" w:rsidP="00893FDD">
            <w:pPr>
              <w:pStyle w:val="aptp"/>
              <w:rPr>
                <w:b/>
                <w:bCs/>
                <w:lang w:val="it-IT"/>
              </w:rPr>
            </w:pPr>
            <w:r w:rsidRPr="00564325">
              <w:rPr>
                <w:b/>
                <w:bCs/>
                <w:lang w:val="it-IT"/>
              </w:rPr>
              <w:t>Sharpe ratio</w:t>
            </w:r>
          </w:p>
        </w:tc>
      </w:tr>
      <w:tr w:rsidR="003636E2" w:rsidRPr="00564325" w14:paraId="352A06CD" w14:textId="77777777" w:rsidTr="003636E2">
        <w:tc>
          <w:tcPr>
            <w:tcW w:w="1696" w:type="dxa"/>
            <w:vMerge w:val="restart"/>
          </w:tcPr>
          <w:p w14:paraId="1DCE9792" w14:textId="3E07403C" w:rsidR="003636E2" w:rsidRPr="00564325" w:rsidRDefault="003636E2" w:rsidP="003636E2">
            <w:pPr>
              <w:pStyle w:val="aptp"/>
              <w:rPr>
                <w:b/>
                <w:bCs/>
                <w:lang w:val="it-IT"/>
              </w:rPr>
            </w:pPr>
            <w:r w:rsidRPr="00564325">
              <w:rPr>
                <w:b/>
                <w:bCs/>
                <w:lang w:val="it-IT"/>
              </w:rPr>
              <w:t>Portafoglio diversificato</w:t>
            </w:r>
          </w:p>
        </w:tc>
        <w:tc>
          <w:tcPr>
            <w:tcW w:w="993" w:type="dxa"/>
          </w:tcPr>
          <w:p w14:paraId="28C772E0" w14:textId="6D6742D5" w:rsidR="003636E2" w:rsidRPr="00564325" w:rsidRDefault="003636E2" w:rsidP="003636E2">
            <w:pPr>
              <w:pStyle w:val="aptp"/>
              <w:rPr>
                <w:lang w:val="it-IT"/>
              </w:rPr>
            </w:pPr>
            <w:r w:rsidRPr="00564325">
              <w:rPr>
                <w:lang w:val="it-IT"/>
              </w:rPr>
              <w:t xml:space="preserve">Max sr </w:t>
            </w:r>
          </w:p>
        </w:tc>
        <w:tc>
          <w:tcPr>
            <w:tcW w:w="2746" w:type="dxa"/>
          </w:tcPr>
          <w:p w14:paraId="19998060" w14:textId="07F3A32C" w:rsidR="003636E2" w:rsidRPr="00564325" w:rsidRDefault="003636E2" w:rsidP="003636E2">
            <w:pPr>
              <w:pStyle w:val="aptp"/>
              <w:rPr>
                <w:lang w:val="it-IT"/>
              </w:rPr>
            </w:pPr>
            <w:r w:rsidRPr="00564325">
              <w:rPr>
                <w:lang w:val="it-IT"/>
              </w:rPr>
              <w:t>35.03%</w:t>
            </w:r>
          </w:p>
        </w:tc>
        <w:tc>
          <w:tcPr>
            <w:tcW w:w="1735" w:type="dxa"/>
          </w:tcPr>
          <w:p w14:paraId="30DEAF87" w14:textId="0A619DBE" w:rsidR="003636E2" w:rsidRPr="00564325" w:rsidRDefault="003636E2" w:rsidP="003636E2">
            <w:pPr>
              <w:pStyle w:val="aptp"/>
              <w:rPr>
                <w:lang w:val="it-IT"/>
              </w:rPr>
            </w:pPr>
            <w:r w:rsidRPr="00564325">
              <w:rPr>
                <w:lang w:val="it-IT"/>
              </w:rPr>
              <w:t>20.77%</w:t>
            </w:r>
          </w:p>
        </w:tc>
        <w:tc>
          <w:tcPr>
            <w:tcW w:w="1846" w:type="dxa"/>
          </w:tcPr>
          <w:p w14:paraId="6A00A0E9" w14:textId="4DF79563" w:rsidR="003636E2" w:rsidRPr="00564325" w:rsidRDefault="003636E2" w:rsidP="003636E2">
            <w:pPr>
              <w:pStyle w:val="aptp"/>
              <w:rPr>
                <w:lang w:val="it-IT"/>
              </w:rPr>
            </w:pPr>
            <w:r w:rsidRPr="00564325">
              <w:rPr>
                <w:lang w:val="it-IT"/>
              </w:rPr>
              <w:t>1.67</w:t>
            </w:r>
          </w:p>
        </w:tc>
      </w:tr>
      <w:tr w:rsidR="003636E2" w:rsidRPr="00564325" w14:paraId="282B3EF4" w14:textId="77777777" w:rsidTr="003636E2">
        <w:tc>
          <w:tcPr>
            <w:tcW w:w="1696" w:type="dxa"/>
            <w:vMerge/>
          </w:tcPr>
          <w:p w14:paraId="2853BF7D" w14:textId="38020A0B" w:rsidR="003636E2" w:rsidRPr="00564325" w:rsidRDefault="003636E2" w:rsidP="003636E2">
            <w:pPr>
              <w:pStyle w:val="aptp"/>
              <w:rPr>
                <w:b/>
                <w:bCs/>
                <w:lang w:val="it-IT"/>
              </w:rPr>
            </w:pPr>
          </w:p>
        </w:tc>
        <w:tc>
          <w:tcPr>
            <w:tcW w:w="993" w:type="dxa"/>
          </w:tcPr>
          <w:p w14:paraId="67C44E48" w14:textId="2D7BCF1B" w:rsidR="003636E2" w:rsidRPr="00564325" w:rsidRDefault="003636E2" w:rsidP="003636E2">
            <w:pPr>
              <w:pStyle w:val="aptp"/>
              <w:rPr>
                <w:lang w:val="it-IT"/>
              </w:rPr>
            </w:pPr>
            <w:r w:rsidRPr="00564325">
              <w:rPr>
                <w:lang w:val="it-IT"/>
              </w:rPr>
              <w:t xml:space="preserve">Min sr </w:t>
            </w:r>
          </w:p>
        </w:tc>
        <w:tc>
          <w:tcPr>
            <w:tcW w:w="2746" w:type="dxa"/>
          </w:tcPr>
          <w:p w14:paraId="2FE5F029" w14:textId="613FCDBA" w:rsidR="003636E2" w:rsidRPr="00564325" w:rsidRDefault="003636E2" w:rsidP="003636E2">
            <w:pPr>
              <w:pStyle w:val="aptp"/>
              <w:rPr>
                <w:lang w:val="it-IT"/>
              </w:rPr>
            </w:pPr>
            <w:r w:rsidRPr="00564325">
              <w:rPr>
                <w:lang w:val="it-IT"/>
              </w:rPr>
              <w:t>19.36%</w:t>
            </w:r>
          </w:p>
        </w:tc>
        <w:tc>
          <w:tcPr>
            <w:tcW w:w="1735" w:type="dxa"/>
          </w:tcPr>
          <w:p w14:paraId="233B0EE4" w14:textId="53699DC9" w:rsidR="003636E2" w:rsidRPr="00564325" w:rsidRDefault="003636E2" w:rsidP="003636E2">
            <w:pPr>
              <w:pStyle w:val="aptp"/>
              <w:rPr>
                <w:lang w:val="it-IT"/>
              </w:rPr>
            </w:pPr>
            <w:r w:rsidRPr="00564325">
              <w:rPr>
                <w:lang w:val="it-IT"/>
              </w:rPr>
              <w:t>16.03%</w:t>
            </w:r>
          </w:p>
        </w:tc>
        <w:tc>
          <w:tcPr>
            <w:tcW w:w="1846" w:type="dxa"/>
          </w:tcPr>
          <w:p w14:paraId="2BB70AEF" w14:textId="77777777" w:rsidR="003636E2" w:rsidRPr="00564325" w:rsidRDefault="003636E2" w:rsidP="003636E2">
            <w:pPr>
              <w:pStyle w:val="aptp"/>
              <w:rPr>
                <w:lang w:val="it-IT"/>
              </w:rPr>
            </w:pPr>
            <w:r w:rsidRPr="00564325">
              <w:rPr>
                <w:lang w:val="it-IT"/>
              </w:rPr>
              <w:t>1.02</w:t>
            </w:r>
          </w:p>
        </w:tc>
      </w:tr>
      <w:tr w:rsidR="003636E2" w:rsidRPr="00564325" w14:paraId="4EDD8810" w14:textId="77777777" w:rsidTr="003636E2">
        <w:tc>
          <w:tcPr>
            <w:tcW w:w="1696" w:type="dxa"/>
            <w:vMerge w:val="restart"/>
          </w:tcPr>
          <w:p w14:paraId="456A25B4" w14:textId="7C63DFB0" w:rsidR="003636E2" w:rsidRPr="00564325" w:rsidRDefault="003636E2" w:rsidP="003636E2">
            <w:pPr>
              <w:pStyle w:val="aptp"/>
              <w:rPr>
                <w:b/>
                <w:bCs/>
                <w:lang w:val="it-IT"/>
              </w:rPr>
            </w:pPr>
            <w:r w:rsidRPr="00564325">
              <w:rPr>
                <w:b/>
                <w:bCs/>
                <w:lang w:val="it-IT"/>
              </w:rPr>
              <w:t>Portafoglio defense</w:t>
            </w:r>
          </w:p>
        </w:tc>
        <w:tc>
          <w:tcPr>
            <w:tcW w:w="993" w:type="dxa"/>
          </w:tcPr>
          <w:p w14:paraId="27DC403C" w14:textId="01C4FDAD" w:rsidR="003636E2" w:rsidRPr="00564325" w:rsidRDefault="003636E2" w:rsidP="003636E2">
            <w:pPr>
              <w:pStyle w:val="aptp"/>
              <w:rPr>
                <w:lang w:val="it-IT"/>
              </w:rPr>
            </w:pPr>
            <w:r w:rsidRPr="00564325">
              <w:rPr>
                <w:lang w:val="it-IT"/>
              </w:rPr>
              <w:t xml:space="preserve">Max sr </w:t>
            </w:r>
          </w:p>
        </w:tc>
        <w:tc>
          <w:tcPr>
            <w:tcW w:w="2746" w:type="dxa"/>
          </w:tcPr>
          <w:p w14:paraId="1435511F" w14:textId="077ED5C9" w:rsidR="003636E2" w:rsidRPr="00564325" w:rsidRDefault="003636E2" w:rsidP="003636E2">
            <w:pPr>
              <w:pStyle w:val="aptp"/>
              <w:rPr>
                <w:lang w:val="it-IT"/>
              </w:rPr>
            </w:pPr>
            <w:r w:rsidRPr="00564325">
              <w:rPr>
                <w:lang w:val="it-IT"/>
              </w:rPr>
              <w:t>41.47%</w:t>
            </w:r>
          </w:p>
        </w:tc>
        <w:tc>
          <w:tcPr>
            <w:tcW w:w="1735" w:type="dxa"/>
          </w:tcPr>
          <w:p w14:paraId="5C75DDDD" w14:textId="77777777" w:rsidR="003636E2" w:rsidRPr="00564325" w:rsidRDefault="003636E2" w:rsidP="003636E2">
            <w:pPr>
              <w:pStyle w:val="aptp"/>
              <w:rPr>
                <w:lang w:val="it-IT"/>
              </w:rPr>
            </w:pPr>
            <w:r w:rsidRPr="00564325">
              <w:rPr>
                <w:lang w:val="it-IT"/>
              </w:rPr>
              <w:t>23.61%</w:t>
            </w:r>
          </w:p>
        </w:tc>
        <w:tc>
          <w:tcPr>
            <w:tcW w:w="1846" w:type="dxa"/>
          </w:tcPr>
          <w:p w14:paraId="30CD4BB1" w14:textId="77777777" w:rsidR="003636E2" w:rsidRPr="00564325" w:rsidRDefault="003636E2" w:rsidP="003636E2">
            <w:pPr>
              <w:pStyle w:val="aptp"/>
              <w:rPr>
                <w:lang w:val="it-IT"/>
              </w:rPr>
            </w:pPr>
            <w:r w:rsidRPr="00564325">
              <w:rPr>
                <w:lang w:val="it-IT"/>
              </w:rPr>
              <w:t>1.67</w:t>
            </w:r>
          </w:p>
        </w:tc>
      </w:tr>
      <w:tr w:rsidR="003636E2" w:rsidRPr="00564325" w14:paraId="54D63A26" w14:textId="77777777" w:rsidTr="003636E2">
        <w:tc>
          <w:tcPr>
            <w:tcW w:w="1696" w:type="dxa"/>
            <w:vMerge/>
          </w:tcPr>
          <w:p w14:paraId="23B9A196" w14:textId="03DD07BC" w:rsidR="003636E2" w:rsidRPr="00564325" w:rsidRDefault="003636E2" w:rsidP="003636E2">
            <w:pPr>
              <w:pStyle w:val="aptp"/>
              <w:rPr>
                <w:b/>
                <w:bCs/>
                <w:lang w:val="it-IT"/>
              </w:rPr>
            </w:pPr>
          </w:p>
        </w:tc>
        <w:tc>
          <w:tcPr>
            <w:tcW w:w="993" w:type="dxa"/>
          </w:tcPr>
          <w:p w14:paraId="4201771C" w14:textId="7D449888" w:rsidR="003636E2" w:rsidRPr="00564325" w:rsidRDefault="003636E2" w:rsidP="003636E2">
            <w:pPr>
              <w:pStyle w:val="aptp"/>
              <w:rPr>
                <w:lang w:val="it-IT"/>
              </w:rPr>
            </w:pPr>
            <w:r w:rsidRPr="00564325">
              <w:rPr>
                <w:lang w:val="it-IT"/>
              </w:rPr>
              <w:t xml:space="preserve">Min sr </w:t>
            </w:r>
          </w:p>
        </w:tc>
        <w:tc>
          <w:tcPr>
            <w:tcW w:w="2746" w:type="dxa"/>
          </w:tcPr>
          <w:p w14:paraId="2378ADD1" w14:textId="3C0FB78D" w:rsidR="003636E2" w:rsidRPr="00564325" w:rsidRDefault="003636E2" w:rsidP="003636E2">
            <w:pPr>
              <w:pStyle w:val="aptp"/>
              <w:rPr>
                <w:lang w:val="it-IT"/>
              </w:rPr>
            </w:pPr>
            <w:r w:rsidRPr="00564325">
              <w:rPr>
                <w:lang w:val="it-IT"/>
              </w:rPr>
              <w:t>17.78%</w:t>
            </w:r>
          </w:p>
        </w:tc>
        <w:tc>
          <w:tcPr>
            <w:tcW w:w="1735" w:type="dxa"/>
          </w:tcPr>
          <w:p w14:paraId="67B0F8D9" w14:textId="77777777" w:rsidR="003636E2" w:rsidRPr="00564325" w:rsidRDefault="003636E2" w:rsidP="003636E2">
            <w:pPr>
              <w:pStyle w:val="aptp"/>
              <w:rPr>
                <w:lang w:val="it-IT"/>
              </w:rPr>
            </w:pPr>
            <w:r w:rsidRPr="00564325">
              <w:rPr>
                <w:lang w:val="it-IT"/>
              </w:rPr>
              <w:t>16.01%</w:t>
            </w:r>
          </w:p>
        </w:tc>
        <w:tc>
          <w:tcPr>
            <w:tcW w:w="1846" w:type="dxa"/>
          </w:tcPr>
          <w:p w14:paraId="0B479971" w14:textId="77777777" w:rsidR="003636E2" w:rsidRPr="00564325" w:rsidRDefault="003636E2" w:rsidP="003636E2">
            <w:pPr>
              <w:pStyle w:val="aptp"/>
              <w:rPr>
                <w:lang w:val="it-IT"/>
              </w:rPr>
            </w:pPr>
            <w:r w:rsidRPr="00564325">
              <w:rPr>
                <w:lang w:val="it-IT"/>
              </w:rPr>
              <w:t>1.02</w:t>
            </w:r>
          </w:p>
        </w:tc>
      </w:tr>
    </w:tbl>
    <w:p w14:paraId="3089EC43" w14:textId="77777777" w:rsidR="003636E2" w:rsidRPr="00564325" w:rsidRDefault="003636E2" w:rsidP="0072280F">
      <w:pPr>
        <w:pStyle w:val="aptp"/>
        <w:rPr>
          <w:lang w:val="it-IT"/>
        </w:rPr>
      </w:pPr>
    </w:p>
    <w:p w14:paraId="25C0BEF5" w14:textId="5E76406F" w:rsidR="00D25BC7" w:rsidRPr="00564325" w:rsidRDefault="00D25BC7" w:rsidP="00D25BC7">
      <w:pPr>
        <w:pStyle w:val="aptdidascalie"/>
      </w:pPr>
      <w:r w:rsidRPr="00564325">
        <w:t>Figura 4 – Frontiera efficiente del portafoglio diversificato</w:t>
      </w:r>
    </w:p>
    <w:p w14:paraId="6C8DB00D" w14:textId="289354A7" w:rsidR="0085559B" w:rsidRPr="00564325" w:rsidRDefault="00EC0808" w:rsidP="0072280F">
      <w:pPr>
        <w:pStyle w:val="aptp"/>
        <w:rPr>
          <w:lang w:val="it-IT"/>
        </w:rPr>
      </w:pPr>
      <w:r w:rsidRPr="00564325">
        <w:rPr>
          <w:noProof/>
          <w:lang w:val="it-IT"/>
        </w:rPr>
        <w:drawing>
          <wp:inline distT="0" distB="0" distL="0" distR="0" wp14:anchorId="37235C1E" wp14:editId="6DDAC25A">
            <wp:extent cx="4308529" cy="3433241"/>
            <wp:effectExtent l="0" t="0" r="0" b="0"/>
            <wp:docPr id="146058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81954" name=""/>
                    <pic:cNvPicPr/>
                  </pic:nvPicPr>
                  <pic:blipFill>
                    <a:blip r:embed="rId18"/>
                    <a:stretch>
                      <a:fillRect/>
                    </a:stretch>
                  </pic:blipFill>
                  <pic:spPr>
                    <a:xfrm>
                      <a:off x="0" y="0"/>
                      <a:ext cx="4331917" cy="3451877"/>
                    </a:xfrm>
                    <a:prstGeom prst="rect">
                      <a:avLst/>
                    </a:prstGeom>
                  </pic:spPr>
                </pic:pic>
              </a:graphicData>
            </a:graphic>
          </wp:inline>
        </w:drawing>
      </w:r>
    </w:p>
    <w:p w14:paraId="292090DC" w14:textId="77777777" w:rsidR="00EE5CF8" w:rsidRPr="00564325" w:rsidRDefault="00EE5CF8" w:rsidP="0072280F">
      <w:pPr>
        <w:pStyle w:val="aptp"/>
        <w:rPr>
          <w:lang w:val="it-IT"/>
        </w:rPr>
      </w:pPr>
    </w:p>
    <w:p w14:paraId="2553A80B" w14:textId="5CF8AF50" w:rsidR="001D6084" w:rsidRPr="00564325" w:rsidRDefault="00614E30" w:rsidP="0072280F">
      <w:pPr>
        <w:pStyle w:val="aptp"/>
        <w:rPr>
          <w:lang w:val="it-IT"/>
        </w:rPr>
      </w:pPr>
      <w:r w:rsidRPr="00564325">
        <w:rPr>
          <w:lang w:val="it-IT"/>
        </w:rPr>
        <w:t xml:space="preserve">Ponendo uno sguardo sulla matrice di correlazione, è possibile invece osservare come il portafoglio diversificato sia meno </w:t>
      </w:r>
      <w:r w:rsidR="003636E2" w:rsidRPr="00564325">
        <w:rPr>
          <w:lang w:val="it-IT"/>
        </w:rPr>
        <w:t xml:space="preserve">correlato rispetto al portafoglio precedente, poiché i titoli sono stati scelti appositamente per ottenere questo effetto. </w:t>
      </w:r>
    </w:p>
    <w:p w14:paraId="5138FD5E" w14:textId="28DEAA95" w:rsidR="003636E2" w:rsidRPr="00564325" w:rsidRDefault="003636E2" w:rsidP="0072280F">
      <w:pPr>
        <w:pStyle w:val="aptp"/>
        <w:rPr>
          <w:lang w:val="it-IT"/>
        </w:rPr>
      </w:pPr>
      <w:r w:rsidRPr="00564325">
        <w:rPr>
          <w:lang w:val="it-IT"/>
        </w:rPr>
        <w:t xml:space="preserve">Ciò significa che, nonostante il portafoglio sia </w:t>
      </w:r>
      <w:r w:rsidR="0093790F" w:rsidRPr="00564325">
        <w:rPr>
          <w:lang w:val="it-IT"/>
        </w:rPr>
        <w:t xml:space="preserve">meno redditizio nel periodo di instabilità e con una soglia del rischio quasi pari a quella del settore defense, </w:t>
      </w:r>
      <w:r w:rsidR="002811B6" w:rsidRPr="00564325">
        <w:rPr>
          <w:lang w:val="it-IT"/>
        </w:rPr>
        <w:t xml:space="preserve">il portafoglio diversificato è maggiormente propenso a fronteggiare rischi specifici e in alcuni casi </w:t>
      </w:r>
      <w:r w:rsidR="004832F3" w:rsidRPr="00564325">
        <w:rPr>
          <w:lang w:val="it-IT"/>
        </w:rPr>
        <w:t>anche i rischi sistemici</w:t>
      </w:r>
      <w:r w:rsidR="00D41D6D" w:rsidRPr="00564325">
        <w:rPr>
          <w:lang w:val="it-IT"/>
        </w:rPr>
        <w:t xml:space="preserve"> che non siano di espansione globale.</w:t>
      </w:r>
    </w:p>
    <w:p w14:paraId="58657050" w14:textId="77777777" w:rsidR="00614E30" w:rsidRPr="00564325" w:rsidRDefault="00614E30" w:rsidP="0072280F">
      <w:pPr>
        <w:pStyle w:val="aptp"/>
        <w:rPr>
          <w:lang w:val="it-IT"/>
        </w:rPr>
      </w:pPr>
    </w:p>
    <w:p w14:paraId="61B9ECBB" w14:textId="1E119D70" w:rsidR="00D25BC7" w:rsidRPr="00564325" w:rsidRDefault="00D25BC7" w:rsidP="00D25BC7">
      <w:pPr>
        <w:pStyle w:val="aptdidascalie"/>
      </w:pPr>
      <w:r w:rsidRPr="00564325">
        <w:t>Figura 5 – Matrice di correlazione del portafoglio diversificato</w:t>
      </w:r>
    </w:p>
    <w:p w14:paraId="0B65B6A5" w14:textId="3DD3DF5D" w:rsidR="00EE5CF8" w:rsidRPr="00564325" w:rsidRDefault="00EE5CF8" w:rsidP="0072280F">
      <w:pPr>
        <w:pStyle w:val="aptp"/>
        <w:rPr>
          <w:lang w:val="it-IT"/>
        </w:rPr>
      </w:pPr>
      <w:r w:rsidRPr="00564325">
        <w:rPr>
          <w:noProof/>
          <w:lang w:val="it-IT"/>
        </w:rPr>
        <w:drawing>
          <wp:inline distT="0" distB="0" distL="0" distR="0" wp14:anchorId="042CB6AD" wp14:editId="202C1540">
            <wp:extent cx="4364476" cy="3711844"/>
            <wp:effectExtent l="0" t="0" r="0" b="3175"/>
            <wp:docPr id="199281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15136" name=""/>
                    <pic:cNvPicPr/>
                  </pic:nvPicPr>
                  <pic:blipFill>
                    <a:blip r:embed="rId19"/>
                    <a:stretch>
                      <a:fillRect/>
                    </a:stretch>
                  </pic:blipFill>
                  <pic:spPr>
                    <a:xfrm>
                      <a:off x="0" y="0"/>
                      <a:ext cx="4379283" cy="3724437"/>
                    </a:xfrm>
                    <a:prstGeom prst="rect">
                      <a:avLst/>
                    </a:prstGeom>
                  </pic:spPr>
                </pic:pic>
              </a:graphicData>
            </a:graphic>
          </wp:inline>
        </w:drawing>
      </w:r>
    </w:p>
    <w:p w14:paraId="34EFD92B" w14:textId="6171F42D" w:rsidR="003632BC" w:rsidRPr="00564325" w:rsidRDefault="0072280F" w:rsidP="00250855">
      <w:pPr>
        <w:pStyle w:val="aptp"/>
        <w:rPr>
          <w:lang w:val="it-IT"/>
        </w:rPr>
      </w:pPr>
      <w:r w:rsidRPr="00564325">
        <w:rPr>
          <w:lang w:val="it-IT"/>
        </w:rPr>
        <w:t xml:space="preserve"> </w:t>
      </w:r>
      <w:r w:rsidR="002F50AA" w:rsidRPr="00564325">
        <w:rPr>
          <w:lang w:val="it-IT"/>
        </w:rPr>
        <w:t xml:space="preserve"> </w:t>
      </w:r>
    </w:p>
    <w:p w14:paraId="177CECA2" w14:textId="600918F3" w:rsidR="00AE08F8" w:rsidRPr="00564325" w:rsidRDefault="00DC4372" w:rsidP="00AE08F8">
      <w:pPr>
        <w:pStyle w:val="apth3"/>
      </w:pPr>
      <w:bookmarkStart w:id="17" w:name="_Toc207820534"/>
      <w:r w:rsidRPr="00564325">
        <w:t>Stabilità</w:t>
      </w:r>
      <w:r w:rsidR="00382A86" w:rsidRPr="00564325">
        <w:t xml:space="preserve"> </w:t>
      </w:r>
      <w:r w:rsidRPr="00564325">
        <w:t xml:space="preserve">economica </w:t>
      </w:r>
      <w:r w:rsidR="00382A86" w:rsidRPr="00564325">
        <w:t xml:space="preserve">vs </w:t>
      </w:r>
      <w:r w:rsidRPr="00564325">
        <w:t>p</w:t>
      </w:r>
      <w:r w:rsidR="00382A86" w:rsidRPr="00564325">
        <w:t>eriodo di stress economico</w:t>
      </w:r>
      <w:bookmarkEnd w:id="17"/>
    </w:p>
    <w:p w14:paraId="494439BD" w14:textId="77777777" w:rsidR="00C46E9D" w:rsidRPr="00564325" w:rsidRDefault="00DC4372" w:rsidP="00AE08F8">
      <w:pPr>
        <w:pStyle w:val="aptp"/>
        <w:rPr>
          <w:lang w:val="it-IT"/>
        </w:rPr>
      </w:pPr>
      <w:r w:rsidRPr="00564325">
        <w:rPr>
          <w:lang w:val="it-IT"/>
        </w:rPr>
        <w:t xml:space="preserve">Nei paragrafi precedenti abbiamo analizzato il portafoglio </w:t>
      </w:r>
      <w:r w:rsidRPr="00564325">
        <w:rPr>
          <w:i/>
          <w:iCs/>
          <w:lang w:val="it-IT"/>
        </w:rPr>
        <w:t xml:space="preserve">defense </w:t>
      </w:r>
      <w:r w:rsidRPr="00564325">
        <w:rPr>
          <w:lang w:val="it-IT"/>
        </w:rPr>
        <w:t>in un periodo di forte instabilità economica causata da</w:t>
      </w:r>
      <w:r w:rsidR="00694820" w:rsidRPr="00564325">
        <w:rPr>
          <w:lang w:val="it-IT"/>
        </w:rPr>
        <w:t>l conflitto in Ucraina, che ha contribuito alla redditività del settore della difesa.</w:t>
      </w:r>
      <w:r w:rsidR="0078473C" w:rsidRPr="00564325">
        <w:rPr>
          <w:lang w:val="it-IT"/>
        </w:rPr>
        <w:t xml:space="preserve"> </w:t>
      </w:r>
    </w:p>
    <w:p w14:paraId="65D1DB1A" w14:textId="0C9B9F8A" w:rsidR="00D2160D" w:rsidRPr="00564325" w:rsidRDefault="0078473C" w:rsidP="00AE08F8">
      <w:pPr>
        <w:pStyle w:val="aptp"/>
        <w:rPr>
          <w:lang w:val="it-IT"/>
        </w:rPr>
      </w:pPr>
      <w:r w:rsidRPr="00564325">
        <w:rPr>
          <w:lang w:val="it-IT"/>
        </w:rPr>
        <w:t xml:space="preserve">Osserviamo ora come si comporta il portafoglio in un periodo di stabilità economica, e anzi di ripresa </w:t>
      </w:r>
      <w:r w:rsidR="00054AAE" w:rsidRPr="00564325">
        <w:rPr>
          <w:lang w:val="it-IT"/>
        </w:rPr>
        <w:t xml:space="preserve">economica come quella </w:t>
      </w:r>
      <w:r w:rsidR="00D2160D" w:rsidRPr="00564325">
        <w:rPr>
          <w:lang w:val="it-IT"/>
        </w:rPr>
        <w:t>avvenuta post Covid-19.</w:t>
      </w:r>
    </w:p>
    <w:p w14:paraId="4E1ED15A" w14:textId="403935E6" w:rsidR="00904C38" w:rsidRPr="00564325" w:rsidRDefault="00D2160D" w:rsidP="00AE08F8">
      <w:pPr>
        <w:pStyle w:val="aptp"/>
        <w:rPr>
          <w:lang w:val="it-IT"/>
        </w:rPr>
      </w:pPr>
      <w:r w:rsidRPr="00564325">
        <w:rPr>
          <w:lang w:val="it-IT"/>
        </w:rPr>
        <w:t>Dal grafico della frontiera efficiente</w:t>
      </w:r>
      <w:r w:rsidR="009C1E8E" w:rsidRPr="00564325">
        <w:rPr>
          <w:lang w:val="it-IT"/>
        </w:rPr>
        <w:t xml:space="preserve"> (</w:t>
      </w:r>
      <w:r w:rsidR="009C1E8E" w:rsidRPr="00564325">
        <w:rPr>
          <w:i/>
          <w:iCs/>
          <w:lang w:val="it-IT"/>
        </w:rPr>
        <w:t>Figura 6</w:t>
      </w:r>
      <w:r w:rsidR="009C1E8E" w:rsidRPr="00564325">
        <w:rPr>
          <w:lang w:val="it-IT"/>
        </w:rPr>
        <w:t xml:space="preserve"> - </w:t>
      </w:r>
      <w:r w:rsidR="009C1E8E" w:rsidRPr="00564325">
        <w:rPr>
          <w:i/>
          <w:iCs/>
          <w:lang w:val="it-IT"/>
        </w:rPr>
        <w:t>Frontiera efficiente del portafoglio defense nel periodo anteguerra</w:t>
      </w:r>
      <w:r w:rsidR="009C1E8E" w:rsidRPr="00564325">
        <w:rPr>
          <w:lang w:val="it-IT"/>
        </w:rPr>
        <w:t>)</w:t>
      </w:r>
      <w:r w:rsidRPr="00564325">
        <w:rPr>
          <w:lang w:val="it-IT"/>
        </w:rPr>
        <w:t xml:space="preserve"> è ben evidente come la linea della frontiera efficiente sia distorta e poco consistente</w:t>
      </w:r>
      <w:r w:rsidR="008734ED" w:rsidRPr="00564325">
        <w:rPr>
          <w:lang w:val="it-IT"/>
        </w:rPr>
        <w:t>, questo perché delle 10</w:t>
      </w:r>
      <w:r w:rsidR="008F6039" w:rsidRPr="00564325">
        <w:rPr>
          <w:lang w:val="it-IT"/>
        </w:rPr>
        <w:t>.</w:t>
      </w:r>
      <w:r w:rsidR="008734ED" w:rsidRPr="00564325">
        <w:rPr>
          <w:lang w:val="it-IT"/>
        </w:rPr>
        <w:t>000 simulazioni del portafoglio, poche riescono effettivamente a essere ottimizzate e</w:t>
      </w:r>
      <w:r w:rsidR="00D333AA" w:rsidRPr="00564325">
        <w:rPr>
          <w:lang w:val="it-IT"/>
        </w:rPr>
        <w:t xml:space="preserve"> dunque a risiedere sulla frontiera. È anche facile notare il basso rischio </w:t>
      </w:r>
      <w:r w:rsidR="0012212D" w:rsidRPr="00564325">
        <w:rPr>
          <w:lang w:val="it-IT"/>
        </w:rPr>
        <w:t xml:space="preserve">e l’ancora più basso reddito </w:t>
      </w:r>
      <w:r w:rsidR="00685D48" w:rsidRPr="00564325">
        <w:rPr>
          <w:lang w:val="it-IT"/>
        </w:rPr>
        <w:t xml:space="preserve">prodotti </w:t>
      </w:r>
      <w:r w:rsidR="0012212D" w:rsidRPr="00564325">
        <w:rPr>
          <w:lang w:val="it-IT"/>
        </w:rPr>
        <w:t>da tale portafoglio in un periodo di quasi stabilità economica</w:t>
      </w:r>
      <w:r w:rsidR="00A33D75" w:rsidRPr="00564325">
        <w:rPr>
          <w:lang w:val="it-IT"/>
        </w:rPr>
        <w:t>, nonché il fatto che, nonostante si tratti di portafogli ottimizzati dal modello, vi siano portafogli a redditività negativa.</w:t>
      </w:r>
    </w:p>
    <w:p w14:paraId="341EA7EA" w14:textId="73DB9B78" w:rsidR="00D91567" w:rsidRPr="00564325" w:rsidRDefault="00C53DAE" w:rsidP="00D91567">
      <w:pPr>
        <w:pStyle w:val="aptp"/>
        <w:rPr>
          <w:lang w:val="it-IT"/>
        </w:rPr>
      </w:pPr>
      <w:r w:rsidRPr="00564325">
        <w:rPr>
          <w:lang w:val="it-IT"/>
        </w:rPr>
        <w:t>Anche in questo caso l</w:t>
      </w:r>
      <w:r w:rsidR="00B46EE3" w:rsidRPr="00564325">
        <w:rPr>
          <w:lang w:val="it-IT"/>
        </w:rPr>
        <w:t xml:space="preserve">a matrice di correlazione </w:t>
      </w:r>
      <w:r w:rsidR="00D91567" w:rsidRPr="00564325">
        <w:rPr>
          <w:lang w:val="it-IT"/>
        </w:rPr>
        <w:t>(</w:t>
      </w:r>
      <w:r w:rsidR="00D91567" w:rsidRPr="00564325">
        <w:rPr>
          <w:i/>
          <w:iCs/>
          <w:lang w:val="it-IT"/>
        </w:rPr>
        <w:t>Figura 7 – Matrice di correla</w:t>
      </w:r>
      <w:r w:rsidR="009D6C8D" w:rsidRPr="00564325">
        <w:rPr>
          <w:i/>
          <w:iCs/>
          <w:lang w:val="it-IT"/>
        </w:rPr>
        <w:t>zione</w:t>
      </w:r>
      <w:r w:rsidR="00D91567" w:rsidRPr="00564325">
        <w:rPr>
          <w:i/>
          <w:iCs/>
          <w:lang w:val="it-IT"/>
        </w:rPr>
        <w:t xml:space="preserve"> del portafoglio defense nel periodo anteguerra</w:t>
      </w:r>
      <w:r w:rsidR="00D91567" w:rsidRPr="00564325">
        <w:rPr>
          <w:lang w:val="it-IT"/>
        </w:rPr>
        <w:t xml:space="preserve">) </w:t>
      </w:r>
      <w:r w:rsidRPr="00564325">
        <w:rPr>
          <w:lang w:val="it-IT"/>
        </w:rPr>
        <w:t xml:space="preserve">presenta il più elevato tasso di correlazione tra </w:t>
      </w:r>
      <w:r w:rsidR="00EA4973" w:rsidRPr="00564325">
        <w:rPr>
          <w:b/>
          <w:bCs/>
          <w:lang w:val="it-IT"/>
        </w:rPr>
        <w:t xml:space="preserve">Northrop Grumman </w:t>
      </w:r>
      <w:r w:rsidR="00EA4973" w:rsidRPr="00564325">
        <w:rPr>
          <w:lang w:val="it-IT"/>
        </w:rPr>
        <w:t xml:space="preserve">e </w:t>
      </w:r>
      <w:r w:rsidR="00EA4973" w:rsidRPr="00564325">
        <w:rPr>
          <w:b/>
          <w:bCs/>
          <w:lang w:val="it-IT"/>
        </w:rPr>
        <w:t>Lockheed Martin</w:t>
      </w:r>
      <w:r w:rsidR="00EA4973" w:rsidRPr="00564325">
        <w:rPr>
          <w:lang w:val="it-IT"/>
        </w:rPr>
        <w:t xml:space="preserve">, seppure con un tasso inferiore </w:t>
      </w:r>
      <w:r w:rsidR="00041C9B" w:rsidRPr="00564325">
        <w:rPr>
          <w:lang w:val="it-IT"/>
        </w:rPr>
        <w:t>(</w:t>
      </w:r>
      <w:r w:rsidR="00EA4973" w:rsidRPr="00564325">
        <w:rPr>
          <w:lang w:val="it-IT"/>
        </w:rPr>
        <w:t>al 53%</w:t>
      </w:r>
      <w:r w:rsidR="00041C9B" w:rsidRPr="00564325">
        <w:rPr>
          <w:lang w:val="it-IT"/>
        </w:rPr>
        <w:t xml:space="preserve"> contro il 78% in periodo bellico)</w:t>
      </w:r>
      <w:r w:rsidR="00A3363E" w:rsidRPr="00564325">
        <w:rPr>
          <w:lang w:val="it-IT"/>
        </w:rPr>
        <w:t xml:space="preserve">, mentre </w:t>
      </w:r>
      <w:r w:rsidR="00A3363E" w:rsidRPr="00564325">
        <w:rPr>
          <w:b/>
          <w:bCs/>
          <w:lang w:val="it-IT"/>
        </w:rPr>
        <w:t xml:space="preserve">Rheinmetall </w:t>
      </w:r>
      <w:r w:rsidR="00A3363E" w:rsidRPr="00564325">
        <w:rPr>
          <w:lang w:val="it-IT"/>
        </w:rPr>
        <w:t xml:space="preserve">e </w:t>
      </w:r>
      <w:r w:rsidR="00A3363E" w:rsidRPr="00564325">
        <w:rPr>
          <w:b/>
          <w:bCs/>
          <w:lang w:val="it-IT"/>
        </w:rPr>
        <w:t xml:space="preserve">Leonardo </w:t>
      </w:r>
      <w:r w:rsidR="00A3363E" w:rsidRPr="00564325">
        <w:rPr>
          <w:lang w:val="it-IT"/>
        </w:rPr>
        <w:t>hanno una correlazione negativa, ovvero quasi inversa</w:t>
      </w:r>
      <w:r w:rsidR="00996990" w:rsidRPr="00564325">
        <w:rPr>
          <w:lang w:val="it-IT"/>
        </w:rPr>
        <w:t>, d</w:t>
      </w:r>
      <w:r w:rsidR="00C0767A" w:rsidRPr="00564325">
        <w:rPr>
          <w:lang w:val="it-IT"/>
        </w:rPr>
        <w:t>el</w:t>
      </w:r>
      <w:r w:rsidR="00996990" w:rsidRPr="00564325">
        <w:rPr>
          <w:lang w:val="it-IT"/>
        </w:rPr>
        <w:t xml:space="preserve"> -11%. Ciò significa che la correlazione tra i titoli del portafoglio a livello teorico nei tre anni precedenti allo scoppio della guerra in Ucraina </w:t>
      </w:r>
      <w:r w:rsidR="00E95F9E" w:rsidRPr="00564325">
        <w:rPr>
          <w:lang w:val="it-IT"/>
        </w:rPr>
        <w:t xml:space="preserve">è </w:t>
      </w:r>
      <w:r w:rsidR="00E95F9E" w:rsidRPr="00564325">
        <w:rPr>
          <w:lang w:val="it-IT"/>
        </w:rPr>
        <w:lastRenderedPageBreak/>
        <w:t>stata minore, e che solo in seguito i titoli defense hanno iniziato ad andare nella stessa direzione.</w:t>
      </w:r>
    </w:p>
    <w:p w14:paraId="4FD68642" w14:textId="77777777" w:rsidR="00D91567" w:rsidRPr="00564325" w:rsidRDefault="00D91567" w:rsidP="00AE08F8">
      <w:pPr>
        <w:pStyle w:val="aptp"/>
        <w:rPr>
          <w:lang w:val="it-IT"/>
        </w:rPr>
      </w:pPr>
    </w:p>
    <w:p w14:paraId="6622DCDB" w14:textId="00E03535" w:rsidR="00904C38" w:rsidRPr="00564325" w:rsidRDefault="00904C38" w:rsidP="00904C38">
      <w:pPr>
        <w:pStyle w:val="aptdidascalie"/>
      </w:pPr>
      <w:r w:rsidRPr="00564325">
        <w:t xml:space="preserve">Figura </w:t>
      </w:r>
      <w:r w:rsidR="00BC7D4F" w:rsidRPr="00564325">
        <w:t>6</w:t>
      </w:r>
      <w:r w:rsidRPr="00564325">
        <w:t xml:space="preserve"> - Frontiera efficiente del portafoglio defense nel periodo anteguerra</w:t>
      </w:r>
    </w:p>
    <w:p w14:paraId="153D278C" w14:textId="648BC02A" w:rsidR="00904C38" w:rsidRPr="00564325" w:rsidRDefault="00904C38" w:rsidP="00AE08F8">
      <w:pPr>
        <w:pStyle w:val="aptp"/>
        <w:rPr>
          <w:lang w:val="it-IT"/>
        </w:rPr>
      </w:pPr>
      <w:r w:rsidRPr="00564325">
        <w:rPr>
          <w:noProof/>
          <w:lang w:val="it-IT"/>
        </w:rPr>
        <w:drawing>
          <wp:inline distT="0" distB="0" distL="0" distR="0" wp14:anchorId="6057EE16" wp14:editId="2855B23D">
            <wp:extent cx="4339968" cy="3324386"/>
            <wp:effectExtent l="0" t="0" r="3810" b="0"/>
            <wp:docPr id="168485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58989" name=""/>
                    <pic:cNvPicPr/>
                  </pic:nvPicPr>
                  <pic:blipFill>
                    <a:blip r:embed="rId20"/>
                    <a:stretch>
                      <a:fillRect/>
                    </a:stretch>
                  </pic:blipFill>
                  <pic:spPr>
                    <a:xfrm>
                      <a:off x="0" y="0"/>
                      <a:ext cx="4360157" cy="3339850"/>
                    </a:xfrm>
                    <a:prstGeom prst="rect">
                      <a:avLst/>
                    </a:prstGeom>
                  </pic:spPr>
                </pic:pic>
              </a:graphicData>
            </a:graphic>
          </wp:inline>
        </w:drawing>
      </w:r>
    </w:p>
    <w:p w14:paraId="4A7A6B4A" w14:textId="2A9D183C" w:rsidR="00B31425" w:rsidRPr="00564325" w:rsidRDefault="00B31425" w:rsidP="00AE08F8">
      <w:pPr>
        <w:pStyle w:val="aptp"/>
        <w:rPr>
          <w:lang w:val="it-IT"/>
        </w:rPr>
      </w:pPr>
    </w:p>
    <w:p w14:paraId="6A6198E2" w14:textId="4952A2CC" w:rsidR="00F82400" w:rsidRPr="00564325" w:rsidRDefault="00F82400" w:rsidP="00D91567">
      <w:pPr>
        <w:pStyle w:val="aptdidascalie"/>
      </w:pPr>
      <w:r w:rsidRPr="00564325">
        <w:t xml:space="preserve">Figura 7 </w:t>
      </w:r>
      <w:r w:rsidR="00E0336E" w:rsidRPr="00564325">
        <w:t>–</w:t>
      </w:r>
      <w:r w:rsidRPr="00564325">
        <w:t xml:space="preserve"> </w:t>
      </w:r>
      <w:r w:rsidR="00E0336E" w:rsidRPr="00564325">
        <w:t>Matrice di correla</w:t>
      </w:r>
      <w:r w:rsidR="009D6C8D" w:rsidRPr="00564325">
        <w:t>zione</w:t>
      </w:r>
      <w:r w:rsidR="00E0336E" w:rsidRPr="00564325">
        <w:t xml:space="preserve"> del portafoglio defense nel periodo anteguerra</w:t>
      </w:r>
    </w:p>
    <w:p w14:paraId="2E8115EF" w14:textId="6D840994" w:rsidR="00B31425" w:rsidRPr="00564325" w:rsidRDefault="00B31425" w:rsidP="00AE08F8">
      <w:pPr>
        <w:pStyle w:val="aptp"/>
        <w:rPr>
          <w:lang w:val="it-IT"/>
        </w:rPr>
      </w:pPr>
      <w:r w:rsidRPr="00564325">
        <w:rPr>
          <w:noProof/>
          <w:lang w:val="it-IT"/>
        </w:rPr>
        <w:drawing>
          <wp:inline distT="0" distB="0" distL="0" distR="0" wp14:anchorId="7D706D92" wp14:editId="2BA230A6">
            <wp:extent cx="4337142" cy="3688597"/>
            <wp:effectExtent l="0" t="0" r="6350" b="7620"/>
            <wp:docPr id="208609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94505" name=""/>
                    <pic:cNvPicPr/>
                  </pic:nvPicPr>
                  <pic:blipFill>
                    <a:blip r:embed="rId21"/>
                    <a:stretch>
                      <a:fillRect/>
                    </a:stretch>
                  </pic:blipFill>
                  <pic:spPr>
                    <a:xfrm>
                      <a:off x="0" y="0"/>
                      <a:ext cx="4346011" cy="3696140"/>
                    </a:xfrm>
                    <a:prstGeom prst="rect">
                      <a:avLst/>
                    </a:prstGeom>
                  </pic:spPr>
                </pic:pic>
              </a:graphicData>
            </a:graphic>
          </wp:inline>
        </w:drawing>
      </w:r>
    </w:p>
    <w:p w14:paraId="30DA1A57" w14:textId="77777777" w:rsidR="00AE08F8" w:rsidRPr="00564325" w:rsidRDefault="00AE08F8" w:rsidP="00AE08F8">
      <w:pPr>
        <w:pStyle w:val="aptp"/>
        <w:rPr>
          <w:lang w:val="it-IT"/>
        </w:rPr>
      </w:pPr>
    </w:p>
    <w:p w14:paraId="5C4DD1C8" w14:textId="2B88C7B2" w:rsidR="00E31F3A" w:rsidRPr="00564325" w:rsidRDefault="00E31F3A" w:rsidP="00E31F3A">
      <w:pPr>
        <w:pStyle w:val="aptp"/>
        <w:rPr>
          <w:lang w:val="it-IT"/>
        </w:rPr>
      </w:pPr>
      <w:r w:rsidRPr="00564325">
        <w:rPr>
          <w:lang w:val="it-IT"/>
        </w:rPr>
        <w:lastRenderedPageBreak/>
        <w:t xml:space="preserve">In </w:t>
      </w:r>
      <w:r w:rsidRPr="00564325">
        <w:rPr>
          <w:lang w:val="it-IT"/>
        </w:rPr>
        <w:t>effetti, dopo la crisi mondiale da epidemia di Covid-19, le principali preoccupazioni della maggior parte dei governi al mondo erano concentrate su altri ambiti, come problemi sociali, la ripresa del welfare e degli indicatori di ricchezza come il PIL, e solo in seguito allo scoppio della guerra in Ucraina i governi mondiali si sono mobilitati al riarmo a causa delle tensioni geopolitiche sparse in tutto il globo.</w:t>
      </w:r>
    </w:p>
    <w:p w14:paraId="484FF67B" w14:textId="5E4F0176" w:rsidR="00EB1704" w:rsidRPr="00564325" w:rsidRDefault="004833EA" w:rsidP="00AE08F8">
      <w:pPr>
        <w:pStyle w:val="aptp"/>
        <w:rPr>
          <w:lang w:val="it-IT"/>
        </w:rPr>
      </w:pPr>
      <w:r w:rsidRPr="00564325">
        <w:rPr>
          <w:lang w:val="it-IT"/>
        </w:rPr>
        <w:t xml:space="preserve">Svolgendo un confronto con gli indici </w:t>
      </w:r>
      <w:r w:rsidRPr="00564325">
        <w:rPr>
          <w:i/>
          <w:iCs/>
          <w:lang w:val="it-IT"/>
        </w:rPr>
        <w:t>benchmark</w:t>
      </w:r>
      <w:r w:rsidR="005360CD" w:rsidRPr="00564325">
        <w:rPr>
          <w:lang w:val="it-IT"/>
        </w:rPr>
        <w:t xml:space="preserve"> (</w:t>
      </w:r>
      <w:r w:rsidR="005360CD" w:rsidRPr="00564325">
        <w:rPr>
          <w:i/>
          <w:iCs/>
          <w:lang w:val="it-IT"/>
        </w:rPr>
        <w:t xml:space="preserve">Tabella 6 – Riepilogo output del confronto con benchmark anteguerra) </w:t>
      </w:r>
      <w:r w:rsidR="005360CD" w:rsidRPr="00564325">
        <w:rPr>
          <w:lang w:val="it-IT"/>
        </w:rPr>
        <w:t xml:space="preserve">è facile notare </w:t>
      </w:r>
      <w:r w:rsidR="00A86E0B" w:rsidRPr="00564325">
        <w:rPr>
          <w:lang w:val="it-IT"/>
        </w:rPr>
        <w:t xml:space="preserve">la bassa redditività </w:t>
      </w:r>
      <w:r w:rsidR="00F50B7A" w:rsidRPr="00564325">
        <w:rPr>
          <w:lang w:val="it-IT"/>
        </w:rPr>
        <w:t xml:space="preserve">e l’alto livello di rischio sia </w:t>
      </w:r>
      <w:r w:rsidR="00A86E0B" w:rsidRPr="00564325">
        <w:rPr>
          <w:lang w:val="it-IT"/>
        </w:rPr>
        <w:t xml:space="preserve">del portafoglio </w:t>
      </w:r>
      <w:r w:rsidR="00A86E0B" w:rsidRPr="00564325">
        <w:rPr>
          <w:i/>
          <w:iCs/>
          <w:lang w:val="it-IT"/>
        </w:rPr>
        <w:t xml:space="preserve">defense </w:t>
      </w:r>
      <w:r w:rsidR="00F50B7A" w:rsidRPr="00564325">
        <w:rPr>
          <w:lang w:val="it-IT"/>
        </w:rPr>
        <w:t xml:space="preserve">che dell’intero settore </w:t>
      </w:r>
      <w:r w:rsidR="00A86E0B" w:rsidRPr="00564325">
        <w:rPr>
          <w:lang w:val="it-IT"/>
        </w:rPr>
        <w:t>rispetto agli indici globali</w:t>
      </w:r>
      <w:r w:rsidR="00EB1704" w:rsidRPr="00564325">
        <w:rPr>
          <w:lang w:val="it-IT"/>
        </w:rPr>
        <w:t>.</w:t>
      </w:r>
    </w:p>
    <w:p w14:paraId="1CA15D84" w14:textId="77777777" w:rsidR="003911AE" w:rsidRPr="00564325" w:rsidRDefault="003911AE" w:rsidP="00AE08F8">
      <w:pPr>
        <w:pStyle w:val="aptp"/>
        <w:rPr>
          <w:lang w:val="it-IT"/>
        </w:rPr>
      </w:pPr>
    </w:p>
    <w:p w14:paraId="747CB928" w14:textId="0CD12AAB" w:rsidR="00F55B76" w:rsidRPr="00564325" w:rsidRDefault="00F55B76" w:rsidP="005E5618">
      <w:pPr>
        <w:pStyle w:val="aptdidascalie"/>
      </w:pPr>
      <w:r w:rsidRPr="00564325">
        <w:t xml:space="preserve">Tabella 6 – Riepilogo output </w:t>
      </w:r>
      <w:r w:rsidR="005360CD" w:rsidRPr="00564325">
        <w:t>del confronto con benchmark anteguerra</w:t>
      </w:r>
    </w:p>
    <w:tbl>
      <w:tblPr>
        <w:tblStyle w:val="TableGrid"/>
        <w:tblW w:w="0" w:type="auto"/>
        <w:tblLook w:val="04A0" w:firstRow="1" w:lastRow="0" w:firstColumn="1" w:lastColumn="0" w:noHBand="0" w:noVBand="1"/>
      </w:tblPr>
      <w:tblGrid>
        <w:gridCol w:w="2254"/>
        <w:gridCol w:w="2419"/>
        <w:gridCol w:w="2089"/>
        <w:gridCol w:w="2254"/>
      </w:tblGrid>
      <w:tr w:rsidR="00F55B76" w:rsidRPr="00564325" w14:paraId="765855B4" w14:textId="77777777" w:rsidTr="00893FDD">
        <w:tc>
          <w:tcPr>
            <w:tcW w:w="2254" w:type="dxa"/>
          </w:tcPr>
          <w:p w14:paraId="7979B1D5" w14:textId="77777777" w:rsidR="00F55B76" w:rsidRPr="00564325" w:rsidRDefault="00F55B76" w:rsidP="00893FDD">
            <w:pPr>
              <w:pStyle w:val="aptp"/>
              <w:rPr>
                <w:lang w:val="it-IT"/>
              </w:rPr>
            </w:pPr>
          </w:p>
        </w:tc>
        <w:tc>
          <w:tcPr>
            <w:tcW w:w="2419" w:type="dxa"/>
          </w:tcPr>
          <w:p w14:paraId="4CA83FB3" w14:textId="77777777" w:rsidR="00F55B76" w:rsidRPr="00564325" w:rsidRDefault="00F55B76" w:rsidP="00893FDD">
            <w:pPr>
              <w:pStyle w:val="aptp"/>
              <w:rPr>
                <w:b/>
                <w:bCs/>
                <w:lang w:val="it-IT"/>
              </w:rPr>
            </w:pPr>
            <w:r w:rsidRPr="00564325">
              <w:rPr>
                <w:b/>
                <w:bCs/>
                <w:lang w:val="it-IT"/>
              </w:rPr>
              <w:t>Rendimento atteso</w:t>
            </w:r>
          </w:p>
        </w:tc>
        <w:tc>
          <w:tcPr>
            <w:tcW w:w="2089" w:type="dxa"/>
          </w:tcPr>
          <w:p w14:paraId="6DA091AA" w14:textId="77777777" w:rsidR="00F55B76" w:rsidRPr="00564325" w:rsidRDefault="00F55B76" w:rsidP="00893FDD">
            <w:pPr>
              <w:pStyle w:val="aptp"/>
              <w:rPr>
                <w:b/>
                <w:bCs/>
                <w:lang w:val="it-IT"/>
              </w:rPr>
            </w:pPr>
            <w:r w:rsidRPr="00564325">
              <w:rPr>
                <w:b/>
                <w:bCs/>
                <w:lang w:val="it-IT"/>
              </w:rPr>
              <w:t>Rischio</w:t>
            </w:r>
          </w:p>
        </w:tc>
        <w:tc>
          <w:tcPr>
            <w:tcW w:w="2254" w:type="dxa"/>
          </w:tcPr>
          <w:p w14:paraId="44010637" w14:textId="77777777" w:rsidR="00F55B76" w:rsidRPr="00564325" w:rsidRDefault="00F55B76" w:rsidP="00893FDD">
            <w:pPr>
              <w:pStyle w:val="aptp"/>
              <w:rPr>
                <w:b/>
                <w:bCs/>
                <w:lang w:val="it-IT"/>
              </w:rPr>
            </w:pPr>
            <w:r w:rsidRPr="00564325">
              <w:rPr>
                <w:b/>
                <w:bCs/>
                <w:lang w:val="it-IT"/>
              </w:rPr>
              <w:t>Sharpe ratio</w:t>
            </w:r>
          </w:p>
        </w:tc>
      </w:tr>
      <w:tr w:rsidR="00F55B76" w:rsidRPr="00564325" w14:paraId="026498BC" w14:textId="77777777" w:rsidTr="00893FDD">
        <w:tc>
          <w:tcPr>
            <w:tcW w:w="2254" w:type="dxa"/>
          </w:tcPr>
          <w:p w14:paraId="35DCBF8B" w14:textId="77777777" w:rsidR="00F55B76" w:rsidRPr="00564325" w:rsidRDefault="00F55B76" w:rsidP="00893FDD">
            <w:pPr>
              <w:pStyle w:val="aptp"/>
              <w:rPr>
                <w:b/>
                <w:bCs/>
                <w:lang w:val="it-IT"/>
              </w:rPr>
            </w:pPr>
            <w:r w:rsidRPr="00564325">
              <w:rPr>
                <w:b/>
                <w:bCs/>
                <w:lang w:val="it-IT"/>
              </w:rPr>
              <w:t>Max sr portfolio</w:t>
            </w:r>
          </w:p>
        </w:tc>
        <w:tc>
          <w:tcPr>
            <w:tcW w:w="2419" w:type="dxa"/>
          </w:tcPr>
          <w:p w14:paraId="70AD19B9" w14:textId="52943478" w:rsidR="00F55B76" w:rsidRPr="00564325" w:rsidRDefault="001F008B" w:rsidP="00893FDD">
            <w:pPr>
              <w:pStyle w:val="aptp"/>
              <w:rPr>
                <w:lang w:val="it-IT"/>
              </w:rPr>
            </w:pPr>
            <w:r w:rsidRPr="00564325">
              <w:rPr>
                <w:lang w:val="it-IT"/>
              </w:rPr>
              <w:t>3.54%</w:t>
            </w:r>
          </w:p>
        </w:tc>
        <w:tc>
          <w:tcPr>
            <w:tcW w:w="2089" w:type="dxa"/>
          </w:tcPr>
          <w:p w14:paraId="3BC0D36E" w14:textId="466A2AEC" w:rsidR="00F55B76" w:rsidRPr="00564325" w:rsidRDefault="001F008B" w:rsidP="00893FDD">
            <w:pPr>
              <w:pStyle w:val="aptp"/>
              <w:rPr>
                <w:lang w:val="it-IT"/>
              </w:rPr>
            </w:pPr>
            <w:r w:rsidRPr="00564325">
              <w:rPr>
                <w:lang w:val="it-IT"/>
              </w:rPr>
              <w:t>6.55%</w:t>
            </w:r>
          </w:p>
        </w:tc>
        <w:tc>
          <w:tcPr>
            <w:tcW w:w="2254" w:type="dxa"/>
          </w:tcPr>
          <w:p w14:paraId="6F7BFB4C" w14:textId="0398F045" w:rsidR="00F55B76" w:rsidRPr="00564325" w:rsidRDefault="001F008B" w:rsidP="00893FDD">
            <w:pPr>
              <w:pStyle w:val="aptp"/>
              <w:rPr>
                <w:lang w:val="it-IT"/>
              </w:rPr>
            </w:pPr>
            <w:r w:rsidRPr="00564325">
              <w:rPr>
                <w:lang w:val="it-IT"/>
              </w:rPr>
              <w:t>1.67</w:t>
            </w:r>
          </w:p>
        </w:tc>
      </w:tr>
      <w:tr w:rsidR="00F55B76" w:rsidRPr="00564325" w14:paraId="2CE9F059" w14:textId="77777777" w:rsidTr="00893FDD">
        <w:tc>
          <w:tcPr>
            <w:tcW w:w="2254" w:type="dxa"/>
          </w:tcPr>
          <w:p w14:paraId="68441D2A" w14:textId="77777777" w:rsidR="00F55B76" w:rsidRPr="00564325" w:rsidRDefault="00F55B76" w:rsidP="00893FDD">
            <w:pPr>
              <w:pStyle w:val="aptp"/>
              <w:rPr>
                <w:b/>
                <w:bCs/>
                <w:lang w:val="it-IT"/>
              </w:rPr>
            </w:pPr>
            <w:r w:rsidRPr="00564325">
              <w:rPr>
                <w:b/>
                <w:bCs/>
                <w:lang w:val="it-IT"/>
              </w:rPr>
              <w:t>Min sr portfolio</w:t>
            </w:r>
          </w:p>
        </w:tc>
        <w:tc>
          <w:tcPr>
            <w:tcW w:w="2419" w:type="dxa"/>
          </w:tcPr>
          <w:p w14:paraId="181FCF4C" w14:textId="2D2CF37E" w:rsidR="00F55B76" w:rsidRPr="00564325" w:rsidRDefault="001F008B" w:rsidP="00893FDD">
            <w:pPr>
              <w:pStyle w:val="aptp"/>
              <w:rPr>
                <w:lang w:val="it-IT"/>
              </w:rPr>
            </w:pPr>
            <w:r w:rsidRPr="00564325">
              <w:rPr>
                <w:lang w:val="it-IT"/>
              </w:rPr>
              <w:t>0.99%</w:t>
            </w:r>
          </w:p>
        </w:tc>
        <w:tc>
          <w:tcPr>
            <w:tcW w:w="2089" w:type="dxa"/>
          </w:tcPr>
          <w:p w14:paraId="17604478" w14:textId="06E5AED6" w:rsidR="00F55B76" w:rsidRPr="00564325" w:rsidRDefault="001F008B" w:rsidP="00893FDD">
            <w:pPr>
              <w:pStyle w:val="aptp"/>
              <w:rPr>
                <w:lang w:val="it-IT"/>
              </w:rPr>
            </w:pPr>
            <w:r w:rsidRPr="00564325">
              <w:rPr>
                <w:lang w:val="it-IT"/>
              </w:rPr>
              <w:t>4.14%</w:t>
            </w:r>
          </w:p>
        </w:tc>
        <w:tc>
          <w:tcPr>
            <w:tcW w:w="2254" w:type="dxa"/>
          </w:tcPr>
          <w:p w14:paraId="632F695D" w14:textId="63716E8B" w:rsidR="00F55B76" w:rsidRPr="00564325" w:rsidRDefault="001F008B" w:rsidP="00893FDD">
            <w:pPr>
              <w:pStyle w:val="aptp"/>
              <w:rPr>
                <w:lang w:val="it-IT"/>
              </w:rPr>
            </w:pPr>
            <w:r w:rsidRPr="00564325">
              <w:rPr>
                <w:lang w:val="it-IT"/>
              </w:rPr>
              <w:t>1.02</w:t>
            </w:r>
          </w:p>
        </w:tc>
      </w:tr>
      <w:tr w:rsidR="00F55B76" w:rsidRPr="00564325" w14:paraId="0F1B6222" w14:textId="77777777" w:rsidTr="00893FDD">
        <w:tc>
          <w:tcPr>
            <w:tcW w:w="2254" w:type="dxa"/>
          </w:tcPr>
          <w:p w14:paraId="25B65ED3" w14:textId="77777777" w:rsidR="00F55B76" w:rsidRPr="00564325" w:rsidRDefault="00F55B76" w:rsidP="00893FDD">
            <w:pPr>
              <w:pStyle w:val="aptp"/>
              <w:rPr>
                <w:b/>
                <w:bCs/>
                <w:lang w:val="it-IT"/>
              </w:rPr>
            </w:pPr>
            <w:r w:rsidRPr="00564325">
              <w:rPr>
                <w:b/>
                <w:bCs/>
                <w:lang w:val="it-IT"/>
              </w:rPr>
              <w:t>MSCI World</w:t>
            </w:r>
          </w:p>
        </w:tc>
        <w:tc>
          <w:tcPr>
            <w:tcW w:w="2419" w:type="dxa"/>
          </w:tcPr>
          <w:p w14:paraId="60608BFC" w14:textId="0BFA28FE" w:rsidR="00F55B76" w:rsidRPr="00564325" w:rsidRDefault="001F008B" w:rsidP="00893FDD">
            <w:pPr>
              <w:pStyle w:val="aptp"/>
              <w:rPr>
                <w:lang w:val="it-IT"/>
              </w:rPr>
            </w:pPr>
            <w:r w:rsidRPr="00564325">
              <w:rPr>
                <w:lang w:val="it-IT"/>
              </w:rPr>
              <w:t>13.77%</w:t>
            </w:r>
          </w:p>
        </w:tc>
        <w:tc>
          <w:tcPr>
            <w:tcW w:w="2089" w:type="dxa"/>
          </w:tcPr>
          <w:p w14:paraId="72E71963" w14:textId="62FA3AC7" w:rsidR="00F55B76" w:rsidRPr="00564325" w:rsidRDefault="001F008B" w:rsidP="00893FDD">
            <w:pPr>
              <w:pStyle w:val="aptp"/>
              <w:rPr>
                <w:lang w:val="it-IT"/>
              </w:rPr>
            </w:pPr>
            <w:r w:rsidRPr="00564325">
              <w:rPr>
                <w:lang w:val="it-IT"/>
              </w:rPr>
              <w:t>19.19%</w:t>
            </w:r>
          </w:p>
        </w:tc>
        <w:tc>
          <w:tcPr>
            <w:tcW w:w="2254" w:type="dxa"/>
          </w:tcPr>
          <w:p w14:paraId="26C5D8D0" w14:textId="69BF2BB7" w:rsidR="00F55B76" w:rsidRPr="00564325" w:rsidRDefault="00AD0CE4" w:rsidP="00893FDD">
            <w:pPr>
              <w:pStyle w:val="aptp"/>
              <w:rPr>
                <w:lang w:val="it-IT"/>
              </w:rPr>
            </w:pPr>
            <w:r w:rsidRPr="00564325">
              <w:rPr>
                <w:lang w:val="it-IT"/>
              </w:rPr>
              <w:t>0.40</w:t>
            </w:r>
          </w:p>
        </w:tc>
      </w:tr>
      <w:tr w:rsidR="00F55B76" w:rsidRPr="00564325" w14:paraId="7B818F6A" w14:textId="77777777" w:rsidTr="00893FDD">
        <w:tc>
          <w:tcPr>
            <w:tcW w:w="2254" w:type="dxa"/>
          </w:tcPr>
          <w:p w14:paraId="2890592B" w14:textId="77777777" w:rsidR="00F55B76" w:rsidRPr="00564325" w:rsidRDefault="00F55B76" w:rsidP="00893FDD">
            <w:pPr>
              <w:pStyle w:val="aptp"/>
              <w:rPr>
                <w:b/>
                <w:bCs/>
                <w:lang w:val="it-IT"/>
              </w:rPr>
            </w:pPr>
            <w:r w:rsidRPr="00564325">
              <w:rPr>
                <w:b/>
                <w:bCs/>
                <w:lang w:val="it-IT"/>
              </w:rPr>
              <w:t>Aereo &amp; Defense</w:t>
            </w:r>
          </w:p>
        </w:tc>
        <w:tc>
          <w:tcPr>
            <w:tcW w:w="2419" w:type="dxa"/>
          </w:tcPr>
          <w:p w14:paraId="44B97D8B" w14:textId="2B904EA3" w:rsidR="00F55B76" w:rsidRPr="00564325" w:rsidRDefault="00AD0CE4" w:rsidP="00893FDD">
            <w:pPr>
              <w:pStyle w:val="aptp"/>
              <w:rPr>
                <w:lang w:val="it-IT"/>
              </w:rPr>
            </w:pPr>
            <w:r w:rsidRPr="00564325">
              <w:rPr>
                <w:lang w:val="it-IT"/>
              </w:rPr>
              <w:t>10.38%</w:t>
            </w:r>
          </w:p>
        </w:tc>
        <w:tc>
          <w:tcPr>
            <w:tcW w:w="2089" w:type="dxa"/>
          </w:tcPr>
          <w:p w14:paraId="1B121CCF" w14:textId="4BCC3033" w:rsidR="00F55B76" w:rsidRPr="00564325" w:rsidRDefault="00AD0CE4" w:rsidP="00893FDD">
            <w:pPr>
              <w:pStyle w:val="aptp"/>
              <w:rPr>
                <w:lang w:val="it-IT"/>
              </w:rPr>
            </w:pPr>
            <w:r w:rsidRPr="00564325">
              <w:rPr>
                <w:lang w:val="it-IT"/>
              </w:rPr>
              <w:t>25.75%</w:t>
            </w:r>
          </w:p>
        </w:tc>
        <w:tc>
          <w:tcPr>
            <w:tcW w:w="2254" w:type="dxa"/>
          </w:tcPr>
          <w:p w14:paraId="20E7E67A" w14:textId="7439D577" w:rsidR="00F55B76" w:rsidRPr="00564325" w:rsidRDefault="00AD0CE4" w:rsidP="00893FDD">
            <w:pPr>
              <w:pStyle w:val="aptp"/>
              <w:rPr>
                <w:lang w:val="it-IT"/>
              </w:rPr>
            </w:pPr>
            <w:r w:rsidRPr="00564325">
              <w:rPr>
                <w:lang w:val="it-IT"/>
              </w:rPr>
              <w:t>0.72</w:t>
            </w:r>
          </w:p>
        </w:tc>
      </w:tr>
    </w:tbl>
    <w:p w14:paraId="3C629FA6" w14:textId="77777777" w:rsidR="009146E5" w:rsidRPr="00564325" w:rsidRDefault="009146E5" w:rsidP="00AE08F8">
      <w:pPr>
        <w:pStyle w:val="aptp"/>
        <w:rPr>
          <w:lang w:val="it-IT"/>
        </w:rPr>
      </w:pPr>
    </w:p>
    <w:p w14:paraId="0783DF06" w14:textId="57D0809A" w:rsidR="003911AE" w:rsidRPr="00564325" w:rsidRDefault="003911AE" w:rsidP="003911AE">
      <w:pPr>
        <w:pStyle w:val="aptp"/>
        <w:rPr>
          <w:lang w:val="it-IT"/>
        </w:rPr>
      </w:pPr>
      <w:r w:rsidRPr="00564325">
        <w:rPr>
          <w:lang w:val="it-IT"/>
        </w:rPr>
        <w:t xml:space="preserve">Questo enorme divario di risultati dal periodo anteguerra al periodo postguerra coglie perfettamente la logica per cui, allo scaturire di un conflitto, investire </w:t>
      </w:r>
      <w:r w:rsidR="005968E0" w:rsidRPr="00564325">
        <w:rPr>
          <w:lang w:val="it-IT"/>
        </w:rPr>
        <w:t xml:space="preserve">ampiamente </w:t>
      </w:r>
      <w:r w:rsidRPr="00564325">
        <w:rPr>
          <w:lang w:val="it-IT"/>
        </w:rPr>
        <w:t>negli armamenti sia una scelta redditizia in termini di lucro rapportato al rischio.</w:t>
      </w:r>
    </w:p>
    <w:p w14:paraId="4117382F" w14:textId="77777777" w:rsidR="00C83682" w:rsidRPr="00564325" w:rsidRDefault="00C83682" w:rsidP="003911AE">
      <w:pPr>
        <w:pStyle w:val="aptp"/>
        <w:rPr>
          <w:lang w:val="it-IT"/>
        </w:rPr>
      </w:pPr>
    </w:p>
    <w:p w14:paraId="6E10E074" w14:textId="09F94BC4" w:rsidR="00C83682" w:rsidRPr="00564325" w:rsidRDefault="00C83682" w:rsidP="00C83682">
      <w:pPr>
        <w:pStyle w:val="apth1"/>
      </w:pPr>
      <w:r w:rsidRPr="00564325">
        <w:t xml:space="preserve">3. Backtest: Portafoglio </w:t>
      </w:r>
      <w:r w:rsidRPr="00564325">
        <w:rPr>
          <w:i/>
          <w:iCs/>
        </w:rPr>
        <w:t>Defense</w:t>
      </w:r>
      <w:r w:rsidRPr="00564325">
        <w:t xml:space="preserve"> vs Benchmark</w:t>
      </w:r>
    </w:p>
    <w:p w14:paraId="6DA9A034" w14:textId="7A6E0D5E" w:rsidR="006A502D" w:rsidRDefault="00564325" w:rsidP="00AE08F8">
      <w:pPr>
        <w:pStyle w:val="aptp"/>
        <w:rPr>
          <w:lang w:val="it-IT"/>
        </w:rPr>
      </w:pPr>
      <w:r w:rsidRPr="00564325">
        <w:rPr>
          <w:lang w:val="it-IT"/>
        </w:rPr>
        <w:t xml:space="preserve">L’ultimo capitolo </w:t>
      </w:r>
      <w:r>
        <w:rPr>
          <w:lang w:val="it-IT"/>
        </w:rPr>
        <w:t xml:space="preserve">di questo </w:t>
      </w:r>
      <w:r w:rsidR="00F408BC">
        <w:rPr>
          <w:lang w:val="it-IT"/>
        </w:rPr>
        <w:t>elaborato</w:t>
      </w:r>
      <w:r>
        <w:rPr>
          <w:lang w:val="it-IT"/>
        </w:rPr>
        <w:t xml:space="preserve"> si concentra sull’analisi dei dati storici effettivi </w:t>
      </w:r>
      <w:r w:rsidR="00F408BC">
        <w:rPr>
          <w:lang w:val="it-IT"/>
        </w:rPr>
        <w:t>dei due indici MSCI World e iShares Aereo &amp; Defense</w:t>
      </w:r>
      <w:r w:rsidR="00493254">
        <w:rPr>
          <w:lang w:val="it-IT"/>
        </w:rPr>
        <w:t xml:space="preserve">, confrontato con il portafoglio </w:t>
      </w:r>
      <w:r w:rsidR="00493254">
        <w:rPr>
          <w:i/>
          <w:iCs/>
          <w:lang w:val="it-IT"/>
        </w:rPr>
        <w:t>defense</w:t>
      </w:r>
      <w:r w:rsidR="00493254">
        <w:rPr>
          <w:lang w:val="it-IT"/>
        </w:rPr>
        <w:t xml:space="preserve"> con i pesi ottimizzati dal modello di </w:t>
      </w:r>
      <w:r w:rsidR="00493254">
        <w:rPr>
          <w:i/>
          <w:iCs/>
          <w:lang w:val="it-IT"/>
        </w:rPr>
        <w:t>Markovitz</w:t>
      </w:r>
      <w:r w:rsidR="00493254">
        <w:rPr>
          <w:lang w:val="it-IT"/>
        </w:rPr>
        <w:t xml:space="preserve"> al fine di comprendere quanto </w:t>
      </w:r>
      <w:r w:rsidR="00415216">
        <w:rPr>
          <w:lang w:val="it-IT"/>
        </w:rPr>
        <w:t xml:space="preserve">nel </w:t>
      </w:r>
      <w:r w:rsidR="00475274">
        <w:rPr>
          <w:lang w:val="it-IT"/>
        </w:rPr>
        <w:t xml:space="preserve">corso dei tre anni successivi allo scoppio della guerra in Ucraina </w:t>
      </w:r>
      <w:r w:rsidR="00415216">
        <w:rPr>
          <w:lang w:val="it-IT"/>
        </w:rPr>
        <w:t xml:space="preserve">sia stato redditizio investire nelle armi. </w:t>
      </w:r>
    </w:p>
    <w:p w14:paraId="0B4A5B2E" w14:textId="7056FD05" w:rsidR="00204ABC" w:rsidRPr="004B6113" w:rsidRDefault="00415216" w:rsidP="00CF4365">
      <w:pPr>
        <w:pStyle w:val="aptp"/>
        <w:tabs>
          <w:tab w:val="left" w:pos="2831"/>
        </w:tabs>
        <w:rPr>
          <w:lang w:val="it-IT"/>
        </w:rPr>
      </w:pPr>
      <w:r>
        <w:rPr>
          <w:lang w:val="it-IT"/>
        </w:rPr>
        <w:t xml:space="preserve">Osservando </w:t>
      </w:r>
      <w:r w:rsidR="008B4BCA">
        <w:rPr>
          <w:lang w:val="it-IT"/>
        </w:rPr>
        <w:t>il grafico dei rendimenti cumulati (</w:t>
      </w:r>
      <w:r w:rsidR="008B4BCA">
        <w:rPr>
          <w:i/>
          <w:iCs/>
          <w:lang w:val="it-IT"/>
        </w:rPr>
        <w:t>Figura 8 – Confronto degli indici globali con il portafoglio defense)</w:t>
      </w:r>
      <w:r w:rsidR="008B4BCA">
        <w:rPr>
          <w:lang w:val="it-IT"/>
        </w:rPr>
        <w:t xml:space="preserve"> </w:t>
      </w:r>
      <w:r w:rsidR="00475274">
        <w:rPr>
          <w:lang w:val="it-IT"/>
        </w:rPr>
        <w:t xml:space="preserve">possiamo notare come </w:t>
      </w:r>
      <w:r w:rsidR="00AB2424">
        <w:rPr>
          <w:lang w:val="it-IT"/>
        </w:rPr>
        <w:t>il rendimento del portafoglio si sia distaccato da</w:t>
      </w:r>
      <w:r w:rsidR="00EE2720">
        <w:rPr>
          <w:lang w:val="it-IT"/>
        </w:rPr>
        <w:t>i rendimenti degli indic</w:t>
      </w:r>
      <w:r w:rsidR="00204ABC">
        <w:rPr>
          <w:lang w:val="it-IT"/>
        </w:rPr>
        <w:t>i globali</w:t>
      </w:r>
      <w:r w:rsidR="00E65932">
        <w:rPr>
          <w:lang w:val="it-IT"/>
        </w:rPr>
        <w:t xml:space="preserve">, sviluppando </w:t>
      </w:r>
      <w:r w:rsidR="00A14429">
        <w:rPr>
          <w:lang w:val="it-IT"/>
        </w:rPr>
        <w:t>un rendimento cumulato più elevato rispetto a entrambi gli indici.</w:t>
      </w:r>
      <w:r w:rsidR="004B6113">
        <w:rPr>
          <w:lang w:val="it-IT"/>
        </w:rPr>
        <w:t xml:space="preserve"> Questo </w:t>
      </w:r>
      <w:r w:rsidR="00106266">
        <w:rPr>
          <w:lang w:val="it-IT"/>
        </w:rPr>
        <w:t>perché l’allocazione ottimale dei pesi</w:t>
      </w:r>
      <w:r w:rsidR="004B6113">
        <w:rPr>
          <w:lang w:val="it-IT"/>
        </w:rPr>
        <w:t xml:space="preserve"> d</w:t>
      </w:r>
      <w:r w:rsidR="00441900">
        <w:rPr>
          <w:lang w:val="it-IT"/>
        </w:rPr>
        <w:t>ei</w:t>
      </w:r>
      <w:r w:rsidR="004B6113">
        <w:rPr>
          <w:lang w:val="it-IT"/>
        </w:rPr>
        <w:t xml:space="preserve"> titoli ha comportato un’</w:t>
      </w:r>
      <w:r w:rsidR="004B6113">
        <w:rPr>
          <w:i/>
          <w:iCs/>
          <w:lang w:val="it-IT"/>
        </w:rPr>
        <w:t>outperfomance</w:t>
      </w:r>
      <w:r w:rsidR="004B6113">
        <w:rPr>
          <w:lang w:val="it-IT"/>
        </w:rPr>
        <w:t xml:space="preserve"> </w:t>
      </w:r>
      <w:r w:rsidR="00106266">
        <w:rPr>
          <w:lang w:val="it-IT"/>
        </w:rPr>
        <w:t>non solo gli indici azionari globali ma addirittura quelli del settore di riferimento.</w:t>
      </w:r>
    </w:p>
    <w:p w14:paraId="0104AA07" w14:textId="3B890BB8" w:rsidR="006A21CD" w:rsidRPr="009802E6" w:rsidRDefault="00CF4365" w:rsidP="00CF4365">
      <w:pPr>
        <w:pStyle w:val="aptp"/>
        <w:tabs>
          <w:tab w:val="left" w:pos="2831"/>
        </w:tabs>
        <w:rPr>
          <w:lang w:val="it-IT"/>
        </w:rPr>
      </w:pPr>
      <w:r>
        <w:rPr>
          <w:lang w:val="it-IT"/>
        </w:rPr>
        <w:t xml:space="preserve">Nel periodo iniziale </w:t>
      </w:r>
      <w:r w:rsidR="001D3A2C">
        <w:rPr>
          <w:lang w:val="it-IT"/>
        </w:rPr>
        <w:t xml:space="preserve">seguente allo scoppio del conflitto, è evidente il discostamento tra gli indici e il portafoglio. In effetti il mondo della finanza in generale </w:t>
      </w:r>
      <w:r w:rsidR="00664725">
        <w:rPr>
          <w:lang w:val="it-IT"/>
        </w:rPr>
        <w:t>viene scosso da eventi globali come le guerre, poiché causano periodi di instabilità politica ed economica (rammentiamo l’aumento dell’inflazione dato da</w:t>
      </w:r>
      <w:r w:rsidR="002F4BE7">
        <w:rPr>
          <w:lang w:val="it-IT"/>
        </w:rPr>
        <w:t xml:space="preserve">l blocco delle esportazioni di grano dall’Ucraina) </w:t>
      </w:r>
      <w:r w:rsidR="008542CA">
        <w:rPr>
          <w:lang w:val="it-IT"/>
        </w:rPr>
        <w:t xml:space="preserve">che influenzano gli investitori a ritirare il capitale </w:t>
      </w:r>
      <w:r w:rsidR="000E3B63">
        <w:rPr>
          <w:lang w:val="it-IT"/>
        </w:rPr>
        <w:t xml:space="preserve">dall’azionario (mercato </w:t>
      </w:r>
      <w:r w:rsidR="00D537D3">
        <w:rPr>
          <w:lang w:val="it-IT"/>
        </w:rPr>
        <w:t xml:space="preserve">altamente </w:t>
      </w:r>
      <w:r w:rsidR="00F33239">
        <w:rPr>
          <w:lang w:val="it-IT"/>
        </w:rPr>
        <w:t>sensibil</w:t>
      </w:r>
      <w:r w:rsidR="00D537D3">
        <w:rPr>
          <w:lang w:val="it-IT"/>
        </w:rPr>
        <w:t>e</w:t>
      </w:r>
      <w:r w:rsidR="000E3B63">
        <w:rPr>
          <w:lang w:val="it-IT"/>
        </w:rPr>
        <w:t>) e spinge gli speculatori</w:t>
      </w:r>
      <w:r w:rsidR="004C287D">
        <w:rPr>
          <w:lang w:val="it-IT"/>
        </w:rPr>
        <w:t xml:space="preserve">, coscienti dell’elevata volatilità </w:t>
      </w:r>
      <w:r w:rsidR="008A19B2">
        <w:rPr>
          <w:lang w:val="it-IT"/>
        </w:rPr>
        <w:t xml:space="preserve">del settore </w:t>
      </w:r>
      <w:r w:rsidR="0033734E">
        <w:rPr>
          <w:lang w:val="it-IT"/>
        </w:rPr>
        <w:t xml:space="preserve">ma </w:t>
      </w:r>
      <w:r w:rsidR="0033734E">
        <w:rPr>
          <w:i/>
          <w:iCs/>
          <w:lang w:val="it-IT"/>
        </w:rPr>
        <w:t xml:space="preserve">Sharpe ratio </w:t>
      </w:r>
      <w:r w:rsidR="0033734E">
        <w:rPr>
          <w:lang w:val="it-IT"/>
        </w:rPr>
        <w:t xml:space="preserve">interessante, </w:t>
      </w:r>
      <w:r w:rsidR="000E3B63">
        <w:rPr>
          <w:lang w:val="it-IT"/>
        </w:rPr>
        <w:t>a effettuare investimenti più rischiosi come quelli nelle armi</w:t>
      </w:r>
      <w:r w:rsidR="00483A21">
        <w:rPr>
          <w:lang w:val="it-IT"/>
        </w:rPr>
        <w:t>.</w:t>
      </w:r>
      <w:r w:rsidR="009708E8">
        <w:rPr>
          <w:lang w:val="it-IT"/>
        </w:rPr>
        <w:t xml:space="preserve"> </w:t>
      </w:r>
    </w:p>
    <w:p w14:paraId="32B4A433" w14:textId="77777777" w:rsidR="004A3B49" w:rsidRDefault="004A3B49" w:rsidP="00CF4365">
      <w:pPr>
        <w:pStyle w:val="aptp"/>
        <w:tabs>
          <w:tab w:val="left" w:pos="2831"/>
        </w:tabs>
        <w:rPr>
          <w:lang w:val="it-IT"/>
        </w:rPr>
      </w:pPr>
    </w:p>
    <w:p w14:paraId="1FBDAE95" w14:textId="4ADF5847" w:rsidR="008B4BCA" w:rsidRPr="008B4BCA" w:rsidRDefault="008B4BCA" w:rsidP="008B4BCA">
      <w:pPr>
        <w:pStyle w:val="aptdidascalie"/>
      </w:pPr>
      <w:r>
        <w:lastRenderedPageBreak/>
        <w:t>Figura 8 – Confronto degli indici globali con il portafoglio defense</w:t>
      </w:r>
    </w:p>
    <w:p w14:paraId="41824539" w14:textId="67AF2376" w:rsidR="00564325" w:rsidRPr="00564325" w:rsidRDefault="00475274" w:rsidP="00AE08F8">
      <w:pPr>
        <w:pStyle w:val="aptp"/>
        <w:rPr>
          <w:lang w:val="it-IT"/>
        </w:rPr>
      </w:pPr>
      <w:r w:rsidRPr="00475274">
        <w:rPr>
          <w:lang w:val="it-IT"/>
        </w:rPr>
        <w:drawing>
          <wp:inline distT="0" distB="0" distL="0" distR="0" wp14:anchorId="5C44EAB3" wp14:editId="337FE755">
            <wp:extent cx="4350517" cy="2812942"/>
            <wp:effectExtent l="0" t="0" r="0" b="6985"/>
            <wp:docPr id="2144292703" name="Picture 1" descr="A graph of 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92703" name="Picture 1" descr="A graph of a graph with numbers and lines&#10;&#10;AI-generated content may be incorrect."/>
                    <pic:cNvPicPr/>
                  </pic:nvPicPr>
                  <pic:blipFill>
                    <a:blip r:embed="rId22"/>
                    <a:stretch>
                      <a:fillRect/>
                    </a:stretch>
                  </pic:blipFill>
                  <pic:spPr>
                    <a:xfrm>
                      <a:off x="0" y="0"/>
                      <a:ext cx="4361106" cy="2819788"/>
                    </a:xfrm>
                    <a:prstGeom prst="rect">
                      <a:avLst/>
                    </a:prstGeom>
                  </pic:spPr>
                </pic:pic>
              </a:graphicData>
            </a:graphic>
          </wp:inline>
        </w:drawing>
      </w:r>
    </w:p>
    <w:p w14:paraId="65CF8458" w14:textId="77777777" w:rsidR="006A21CD" w:rsidRDefault="006A21CD" w:rsidP="006A21CD">
      <w:pPr>
        <w:pStyle w:val="aptp"/>
      </w:pPr>
      <w:bookmarkStart w:id="18" w:name="_Toc207820535"/>
    </w:p>
    <w:p w14:paraId="29C9A279" w14:textId="7F51CDDF" w:rsidR="00D537D3" w:rsidRDefault="00D537D3" w:rsidP="006A21CD">
      <w:pPr>
        <w:pStyle w:val="aptp"/>
        <w:rPr>
          <w:lang w:val="it-IT"/>
        </w:rPr>
      </w:pPr>
      <w:r>
        <w:rPr>
          <w:lang w:val="it-IT"/>
        </w:rPr>
        <w:t xml:space="preserve">Tali investimenti, che hanno dato il via al </w:t>
      </w:r>
      <w:r>
        <w:rPr>
          <w:b/>
          <w:bCs/>
          <w:lang w:val="it-IT"/>
        </w:rPr>
        <w:t>circolo vizioso del settore defense</w:t>
      </w:r>
      <w:r>
        <w:rPr>
          <w:lang w:val="it-IT"/>
        </w:rPr>
        <w:t xml:space="preserve">, hanno contribuito all’innalzamento delle </w:t>
      </w:r>
      <w:r>
        <w:rPr>
          <w:i/>
          <w:iCs/>
          <w:lang w:val="it-IT"/>
        </w:rPr>
        <w:t xml:space="preserve">performance </w:t>
      </w:r>
      <w:r>
        <w:rPr>
          <w:lang w:val="it-IT"/>
        </w:rPr>
        <w:t>del settore della difesa nel lungo periodo</w:t>
      </w:r>
      <w:r w:rsidR="00B122D5">
        <w:rPr>
          <w:lang w:val="it-IT"/>
        </w:rPr>
        <w:t xml:space="preserve"> a livelli spaventosi, facendo sorgere un quesito tutt’ora discusso: quando </w:t>
      </w:r>
      <w:r w:rsidR="00DF4984">
        <w:rPr>
          <w:lang w:val="it-IT"/>
        </w:rPr>
        <w:t>terminerà questa crescita?</w:t>
      </w:r>
      <w:r w:rsidR="004F4852">
        <w:rPr>
          <w:lang w:val="it-IT"/>
        </w:rPr>
        <w:t xml:space="preserve"> E quanto ancora varierà positivamente?</w:t>
      </w:r>
    </w:p>
    <w:p w14:paraId="2F218FD0" w14:textId="0AF02BD0" w:rsidR="004F4852" w:rsidRPr="00D537D3" w:rsidRDefault="00A40B26" w:rsidP="006A21CD">
      <w:pPr>
        <w:pStyle w:val="aptp"/>
        <w:rPr>
          <w:lang w:val="it-IT"/>
        </w:rPr>
      </w:pPr>
      <w:r>
        <w:rPr>
          <w:lang w:val="it-IT"/>
        </w:rPr>
        <w:t xml:space="preserve">Viste le crescenti tensioni e la diffusione delle guerre </w:t>
      </w:r>
      <w:r w:rsidR="00E65D66">
        <w:rPr>
          <w:lang w:val="it-IT"/>
        </w:rPr>
        <w:t>in corso</w:t>
      </w:r>
      <w:r w:rsidR="00854FC5">
        <w:rPr>
          <w:rStyle w:val="FootnoteReference"/>
          <w:lang w:val="it-IT"/>
        </w:rPr>
        <w:footnoteReference w:id="8"/>
      </w:r>
      <w:r w:rsidR="009C32C3">
        <w:rPr>
          <w:lang w:val="it-IT"/>
        </w:rPr>
        <w:t xml:space="preserve">, come </w:t>
      </w:r>
      <w:r w:rsidR="00A93251">
        <w:rPr>
          <w:lang w:val="it-IT"/>
        </w:rPr>
        <w:t>la guerra Israele-Hamas</w:t>
      </w:r>
      <w:r w:rsidR="00E65D66">
        <w:rPr>
          <w:lang w:val="it-IT"/>
        </w:rPr>
        <w:t xml:space="preserve"> </w:t>
      </w:r>
      <w:r w:rsidR="00743961">
        <w:rPr>
          <w:lang w:val="it-IT"/>
        </w:rPr>
        <w:t xml:space="preserve">(2023) </w:t>
      </w:r>
      <w:r w:rsidR="00E65D66">
        <w:rPr>
          <w:lang w:val="it-IT"/>
        </w:rPr>
        <w:t>o la guerra civile i</w:t>
      </w:r>
      <w:r w:rsidR="00743961">
        <w:rPr>
          <w:lang w:val="it-IT"/>
        </w:rPr>
        <w:t>n Myanmar</w:t>
      </w:r>
      <w:r w:rsidR="00854FC5">
        <w:rPr>
          <w:lang w:val="it-IT"/>
        </w:rPr>
        <w:t xml:space="preserve"> (2021)</w:t>
      </w:r>
      <w:r w:rsidR="00F70D61">
        <w:rPr>
          <w:lang w:val="it-IT"/>
        </w:rPr>
        <w:t>,</w:t>
      </w:r>
      <w:r w:rsidR="00743961">
        <w:rPr>
          <w:lang w:val="it-IT"/>
        </w:rPr>
        <w:t xml:space="preserve"> </w:t>
      </w:r>
      <w:r w:rsidR="000F16FF">
        <w:rPr>
          <w:lang w:val="it-IT"/>
        </w:rPr>
        <w:t xml:space="preserve">è improbabile che la corsa agli armamenti, e conseguentemente la crescita del settore, </w:t>
      </w:r>
      <w:r w:rsidR="00F74678">
        <w:rPr>
          <w:lang w:val="it-IT"/>
        </w:rPr>
        <w:t>si arresti di colpo e a breve, poiché comunque vi è un margine di crescita ancora interessante</w:t>
      </w:r>
      <w:r w:rsidR="00D90181">
        <w:rPr>
          <w:lang w:val="it-IT"/>
        </w:rPr>
        <w:t xml:space="preserve">. È perciò improbabile un prossimo sovrapprezzo azionario con conseguente svendita delle azioni che determini un crollo del settore </w:t>
      </w:r>
      <w:r w:rsidR="00E67D8F">
        <w:rPr>
          <w:lang w:val="it-IT"/>
        </w:rPr>
        <w:t xml:space="preserve">come accaduto nelle più gravi crisi mondiali da bolle speculative, tant’è che le prospettive in termini bellici ed etici non sono rosee. </w:t>
      </w:r>
    </w:p>
    <w:p w14:paraId="47E45703" w14:textId="39F72502" w:rsidR="008A19B2" w:rsidRDefault="000B633B" w:rsidP="006A21CD">
      <w:pPr>
        <w:pStyle w:val="aptp"/>
        <w:rPr>
          <w:lang w:val="it-IT"/>
        </w:rPr>
      </w:pPr>
      <w:r>
        <w:rPr>
          <w:lang w:val="it-IT"/>
        </w:rPr>
        <w:t>Vi è da precisare però che,</w:t>
      </w:r>
      <w:r w:rsidR="00F70D61">
        <w:rPr>
          <w:lang w:val="it-IT"/>
        </w:rPr>
        <w:t xml:space="preserve"> il presente </w:t>
      </w:r>
      <w:r w:rsidR="00F70D61">
        <w:rPr>
          <w:i/>
          <w:iCs/>
          <w:lang w:val="it-IT"/>
        </w:rPr>
        <w:t>backtest</w:t>
      </w:r>
      <w:r w:rsidR="00F70D61">
        <w:rPr>
          <w:lang w:val="it-IT"/>
        </w:rPr>
        <w:t xml:space="preserve"> </w:t>
      </w:r>
      <w:r w:rsidR="000A27B5">
        <w:rPr>
          <w:lang w:val="it-IT"/>
        </w:rPr>
        <w:t xml:space="preserve">ha dei limiti poiché i risultati ricavati </w:t>
      </w:r>
      <w:r w:rsidR="002C0ACD">
        <w:rPr>
          <w:lang w:val="it-IT"/>
        </w:rPr>
        <w:t xml:space="preserve">sono </w:t>
      </w:r>
    </w:p>
    <w:p w14:paraId="5818A676" w14:textId="77777777" w:rsidR="000A27B5" w:rsidRPr="00F70D61" w:rsidRDefault="000A27B5" w:rsidP="006A21CD">
      <w:pPr>
        <w:pStyle w:val="aptp"/>
        <w:rPr>
          <w:lang w:val="it-IT"/>
        </w:rPr>
      </w:pPr>
    </w:p>
    <w:p w14:paraId="44C84907" w14:textId="77777777" w:rsidR="008A19B2" w:rsidRPr="004A3B49" w:rsidRDefault="008A19B2" w:rsidP="008A19B2">
      <w:pPr>
        <w:pStyle w:val="aptp"/>
        <w:tabs>
          <w:tab w:val="left" w:pos="2831"/>
        </w:tabs>
        <w:rPr>
          <w:lang w:val="it-IT"/>
        </w:rPr>
      </w:pPr>
      <w:r w:rsidRPr="004A3B49">
        <w:rPr>
          <w:lang w:val="en-GB"/>
        </w:rPr>
        <w:t></w:t>
      </w:r>
      <w:r w:rsidRPr="004A3B49">
        <w:rPr>
          <w:lang w:val="it-IT"/>
        </w:rPr>
        <w:t xml:space="preserve">  </w:t>
      </w:r>
      <w:r w:rsidRPr="004A3B49">
        <w:rPr>
          <w:b/>
          <w:bCs/>
          <w:lang w:val="it-IT"/>
        </w:rPr>
        <w:t>Limiti del backtest</w:t>
      </w:r>
    </w:p>
    <w:p w14:paraId="52A65D12" w14:textId="77777777" w:rsidR="008A19B2" w:rsidRPr="004A3B49" w:rsidRDefault="008A19B2" w:rsidP="008A19B2">
      <w:pPr>
        <w:pStyle w:val="aptp"/>
        <w:numPr>
          <w:ilvl w:val="0"/>
          <w:numId w:val="6"/>
        </w:numPr>
        <w:tabs>
          <w:tab w:val="left" w:pos="2831"/>
        </w:tabs>
        <w:rPr>
          <w:lang w:val="it-IT"/>
        </w:rPr>
      </w:pPr>
      <w:r w:rsidRPr="004A3B49">
        <w:rPr>
          <w:lang w:val="it-IT"/>
        </w:rPr>
        <w:t xml:space="preserve">aggiungi una nota metodologica: questi risultati sono </w:t>
      </w:r>
      <w:r w:rsidRPr="004A3B49">
        <w:rPr>
          <w:i/>
          <w:iCs/>
          <w:lang w:val="it-IT"/>
        </w:rPr>
        <w:t>ex post</w:t>
      </w:r>
      <w:r w:rsidRPr="004A3B49">
        <w:rPr>
          <w:lang w:val="it-IT"/>
        </w:rPr>
        <w:t>, quindi non garantiscono che in un futuro conflitto o shock geopolitico si verificherebbero gli stessi andamenti.</w:t>
      </w:r>
    </w:p>
    <w:p w14:paraId="534D58F9" w14:textId="77777777" w:rsidR="008A19B2" w:rsidRPr="004A3B49" w:rsidRDefault="008A19B2" w:rsidP="008A19B2">
      <w:pPr>
        <w:pStyle w:val="aptp"/>
        <w:numPr>
          <w:ilvl w:val="0"/>
          <w:numId w:val="6"/>
        </w:numPr>
        <w:tabs>
          <w:tab w:val="left" w:pos="2831"/>
        </w:tabs>
        <w:rPr>
          <w:lang w:val="it-IT"/>
        </w:rPr>
      </w:pPr>
      <w:r w:rsidRPr="004A3B49">
        <w:rPr>
          <w:lang w:val="it-IT"/>
        </w:rPr>
        <w:t>il rischio sistemico (crisi globale, escalation geopolitica, regolamentazioni sulle armi) non è eliminabile con la sola diversificazione settoriale.</w:t>
      </w:r>
    </w:p>
    <w:p w14:paraId="451EAC64" w14:textId="77777777" w:rsidR="008A19B2" w:rsidRPr="008A19B2" w:rsidRDefault="008A19B2" w:rsidP="006A21CD">
      <w:pPr>
        <w:pStyle w:val="aptp"/>
        <w:rPr>
          <w:lang w:val="it-IT"/>
        </w:rPr>
      </w:pPr>
    </w:p>
    <w:p w14:paraId="5A0F78A6" w14:textId="5429E1FD" w:rsidR="00382A86" w:rsidRPr="00564325" w:rsidRDefault="00382A86" w:rsidP="00382A86">
      <w:pPr>
        <w:pStyle w:val="apth1"/>
      </w:pPr>
      <w:r w:rsidRPr="00564325">
        <w:t>Conclusione</w:t>
      </w:r>
      <w:bookmarkEnd w:id="18"/>
    </w:p>
    <w:p w14:paraId="0616E6F7" w14:textId="7DD7139F" w:rsidR="002D3885" w:rsidRPr="00564325" w:rsidRDefault="00AD0CE4" w:rsidP="0097252B">
      <w:pPr>
        <w:pStyle w:val="aptp"/>
        <w:rPr>
          <w:lang w:val="it-IT"/>
        </w:rPr>
      </w:pPr>
      <w:r w:rsidRPr="00564325">
        <w:rPr>
          <w:lang w:val="it-IT"/>
        </w:rPr>
        <w:t xml:space="preserve">Attraverso questa breve analisi, abbiamo confermato come le tensioni </w:t>
      </w:r>
      <w:r w:rsidR="0097252B" w:rsidRPr="00564325">
        <w:rPr>
          <w:lang w:val="it-IT"/>
        </w:rPr>
        <w:t xml:space="preserve">politiche abbiano alimentato il settore della difesa, </w:t>
      </w:r>
      <w:r w:rsidR="00B37CB0" w:rsidRPr="00564325">
        <w:rPr>
          <w:lang w:val="it-IT"/>
        </w:rPr>
        <w:t xml:space="preserve">producendo elevati rendimenti a rischi tutto sommato </w:t>
      </w:r>
      <w:r w:rsidR="0097252B" w:rsidRPr="00564325">
        <w:rPr>
          <w:lang w:val="it-IT"/>
        </w:rPr>
        <w:t>a lungo rimasta ferma soprattutto in seguito alla pandemia</w:t>
      </w:r>
      <w:r w:rsidR="00EA32CF" w:rsidRPr="00564325">
        <w:rPr>
          <w:lang w:val="it-IT"/>
        </w:rPr>
        <w:t>.</w:t>
      </w:r>
    </w:p>
    <w:p w14:paraId="1DDE1A8E" w14:textId="77777777" w:rsidR="00AD0CE4" w:rsidRPr="00564325" w:rsidRDefault="00AD0CE4" w:rsidP="002D3885">
      <w:pPr>
        <w:pStyle w:val="aptp"/>
        <w:jc w:val="left"/>
        <w:rPr>
          <w:lang w:val="it-IT"/>
        </w:rPr>
      </w:pPr>
    </w:p>
    <w:p w14:paraId="37A755EB" w14:textId="77777777" w:rsidR="002D3885" w:rsidRPr="00564325" w:rsidRDefault="002D3885" w:rsidP="002D3885">
      <w:pPr>
        <w:pStyle w:val="apth1"/>
      </w:pPr>
      <w:bookmarkStart w:id="19" w:name="_Toc205494600"/>
      <w:bookmarkStart w:id="20" w:name="_Toc207820536"/>
      <w:r w:rsidRPr="00564325">
        <w:t>Fonti</w:t>
      </w:r>
      <w:bookmarkEnd w:id="19"/>
      <w:bookmarkEnd w:id="20"/>
    </w:p>
    <w:p w14:paraId="63BB136F" w14:textId="051528D9" w:rsidR="002D3885" w:rsidRPr="00564325" w:rsidRDefault="00C84DA3" w:rsidP="00F82400">
      <w:pPr>
        <w:pStyle w:val="aptp"/>
        <w:numPr>
          <w:ilvl w:val="0"/>
          <w:numId w:val="1"/>
        </w:numPr>
        <w:rPr>
          <w:lang w:val="it-IT"/>
        </w:rPr>
      </w:pPr>
      <w:hyperlink r:id="rId23" w:history="1">
        <w:r w:rsidRPr="00564325">
          <w:rPr>
            <w:rStyle w:val="Hyperlink"/>
            <w:lang w:val="it-IT"/>
          </w:rPr>
          <w:t>https://www.we-wealth.com/news/pace-ucraina-azioni-difesa</w:t>
        </w:r>
      </w:hyperlink>
    </w:p>
    <w:p w14:paraId="785BA6A0" w14:textId="48A33F64" w:rsidR="005838AA" w:rsidRPr="00564325" w:rsidRDefault="005838AA" w:rsidP="00F82400">
      <w:pPr>
        <w:pStyle w:val="aptp"/>
        <w:numPr>
          <w:ilvl w:val="0"/>
          <w:numId w:val="1"/>
        </w:numPr>
        <w:rPr>
          <w:lang w:val="it-IT"/>
        </w:rPr>
      </w:pPr>
      <w:hyperlink r:id="rId24" w:history="1">
        <w:r w:rsidRPr="00564325">
          <w:rPr>
            <w:rStyle w:val="Hyperlink"/>
            <w:lang w:val="it-IT"/>
          </w:rPr>
          <w:t>https://www.dedaloinvest.com/education/didattica-investimenti/capm</w:t>
        </w:r>
      </w:hyperlink>
    </w:p>
    <w:p w14:paraId="26BD001C" w14:textId="252D1D6E" w:rsidR="006758D4" w:rsidRPr="00564325" w:rsidRDefault="006758D4" w:rsidP="00F82400">
      <w:pPr>
        <w:pStyle w:val="aptp"/>
        <w:numPr>
          <w:ilvl w:val="0"/>
          <w:numId w:val="1"/>
        </w:numPr>
        <w:rPr>
          <w:lang w:val="it-IT"/>
        </w:rPr>
      </w:pPr>
      <w:hyperlink r:id="rId25" w:history="1">
        <w:r w:rsidRPr="00564325">
          <w:rPr>
            <w:rStyle w:val="Hyperlink"/>
            <w:lang w:val="it-IT"/>
          </w:rPr>
          <w:t>https://sg.finance.yahoo.com/markets/stocks/most-active/</w:t>
        </w:r>
      </w:hyperlink>
      <w:r w:rsidRPr="00564325">
        <w:rPr>
          <w:lang w:val="it-IT"/>
        </w:rPr>
        <w:t xml:space="preserve"> </w:t>
      </w:r>
    </w:p>
    <w:p w14:paraId="6CBF7358" w14:textId="0EB2BDCA" w:rsidR="00B32880" w:rsidRDefault="00854FC5" w:rsidP="00F82400">
      <w:pPr>
        <w:pStyle w:val="aptp"/>
        <w:numPr>
          <w:ilvl w:val="0"/>
          <w:numId w:val="1"/>
        </w:numPr>
        <w:rPr>
          <w:lang w:val="it-IT"/>
        </w:rPr>
      </w:pPr>
      <w:hyperlink r:id="rId26" w:history="1">
        <w:r w:rsidRPr="001E2428">
          <w:rPr>
            <w:rStyle w:val="Hyperlink"/>
            <w:lang w:val="it-IT"/>
          </w:rPr>
          <w:t>https://it.wikipedia.org/wiki/Elenco_dei_conflitti_militari_in_corso</w:t>
        </w:r>
      </w:hyperlink>
    </w:p>
    <w:p w14:paraId="7567955D" w14:textId="77777777" w:rsidR="00854FC5" w:rsidRPr="00564325" w:rsidRDefault="00854FC5" w:rsidP="00F82400">
      <w:pPr>
        <w:pStyle w:val="aptp"/>
        <w:numPr>
          <w:ilvl w:val="0"/>
          <w:numId w:val="1"/>
        </w:numPr>
        <w:rPr>
          <w:lang w:val="it-IT"/>
        </w:rPr>
      </w:pPr>
    </w:p>
    <w:bookmarkEnd w:id="1"/>
    <w:p w14:paraId="1BEA4E0F" w14:textId="61EDF054" w:rsidR="00484869" w:rsidRPr="00564325" w:rsidRDefault="00484869" w:rsidP="00382A86">
      <w:pPr>
        <w:pStyle w:val="aptp"/>
        <w:rPr>
          <w:lang w:val="it-IT"/>
        </w:rPr>
      </w:pPr>
    </w:p>
    <w:sectPr w:rsidR="00484869" w:rsidRPr="00564325" w:rsidSect="00C233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075A7" w14:textId="77777777" w:rsidR="00DF1C3E" w:rsidRPr="00564325" w:rsidRDefault="00DF1C3E" w:rsidP="00293BA7">
      <w:pPr>
        <w:spacing w:after="0" w:line="240" w:lineRule="auto"/>
      </w:pPr>
      <w:r w:rsidRPr="00564325">
        <w:separator/>
      </w:r>
    </w:p>
  </w:endnote>
  <w:endnote w:type="continuationSeparator" w:id="0">
    <w:p w14:paraId="5F5D5811" w14:textId="77777777" w:rsidR="00DF1C3E" w:rsidRPr="00564325" w:rsidRDefault="00DF1C3E" w:rsidP="00293BA7">
      <w:pPr>
        <w:spacing w:after="0" w:line="240" w:lineRule="auto"/>
      </w:pPr>
      <w:r w:rsidRPr="00564325">
        <w:continuationSeparator/>
      </w:r>
    </w:p>
  </w:endnote>
  <w:endnote w:type="continuationNotice" w:id="1">
    <w:p w14:paraId="2CFCDAC1" w14:textId="77777777" w:rsidR="00DF1C3E" w:rsidRPr="00564325" w:rsidRDefault="00DF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1523851"/>
      <w:docPartObj>
        <w:docPartGallery w:val="Page Numbers (Bottom of Page)"/>
        <w:docPartUnique/>
      </w:docPartObj>
    </w:sdtPr>
    <w:sdtContent>
      <w:p w14:paraId="1C0993FD" w14:textId="6647CBDD" w:rsidR="00206EAC" w:rsidRPr="00564325" w:rsidRDefault="00206EAC">
        <w:pPr>
          <w:pStyle w:val="Footer"/>
          <w:jc w:val="center"/>
        </w:pPr>
        <w:r w:rsidRPr="00564325">
          <w:fldChar w:fldCharType="begin"/>
        </w:r>
        <w:r w:rsidRPr="00564325">
          <w:instrText>PAGE   \* MERGEFORMAT</w:instrText>
        </w:r>
        <w:r w:rsidRPr="00564325">
          <w:fldChar w:fldCharType="separate"/>
        </w:r>
        <w:r w:rsidRPr="00564325">
          <w:t>2</w:t>
        </w:r>
        <w:r w:rsidRPr="00564325">
          <w:fldChar w:fldCharType="end"/>
        </w:r>
      </w:p>
    </w:sdtContent>
  </w:sdt>
  <w:p w14:paraId="65B58CFB" w14:textId="2BD0F7F2" w:rsidR="00BB2B15" w:rsidRPr="00564325" w:rsidRDefault="00BB2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07945" w14:textId="57788217" w:rsidR="00A76E03" w:rsidRPr="00564325" w:rsidRDefault="00A76E03">
    <w:pPr>
      <w:pStyle w:val="Footer"/>
      <w:jc w:val="center"/>
    </w:pPr>
  </w:p>
  <w:p w14:paraId="1D1D7175" w14:textId="61A5A33E" w:rsidR="002006D9" w:rsidRPr="00564325" w:rsidRDefault="00200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616960"/>
      <w:docPartObj>
        <w:docPartGallery w:val="Page Numbers (Bottom of Page)"/>
        <w:docPartUnique/>
      </w:docPartObj>
    </w:sdtPr>
    <w:sdtContent>
      <w:p w14:paraId="354748FA" w14:textId="5B914F78" w:rsidR="00206EAC" w:rsidRPr="00564325" w:rsidRDefault="00206EAC">
        <w:pPr>
          <w:pStyle w:val="Footer"/>
          <w:jc w:val="center"/>
        </w:pPr>
        <w:r w:rsidRPr="00564325">
          <w:fldChar w:fldCharType="begin"/>
        </w:r>
        <w:r w:rsidRPr="00564325">
          <w:instrText>PAGE   \* MERGEFORMAT</w:instrText>
        </w:r>
        <w:r w:rsidRPr="00564325">
          <w:fldChar w:fldCharType="separate"/>
        </w:r>
        <w:r w:rsidRPr="00564325">
          <w:t>2</w:t>
        </w:r>
        <w:r w:rsidRPr="00564325">
          <w:fldChar w:fldCharType="end"/>
        </w:r>
      </w:p>
    </w:sdtContent>
  </w:sdt>
  <w:p w14:paraId="1E15ACC2" w14:textId="77777777" w:rsidR="006A4103" w:rsidRPr="00564325" w:rsidRDefault="006A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810DD" w14:textId="77777777" w:rsidR="00DF1C3E" w:rsidRPr="00564325" w:rsidRDefault="00DF1C3E" w:rsidP="00293BA7">
      <w:pPr>
        <w:spacing w:after="0" w:line="240" w:lineRule="auto"/>
      </w:pPr>
      <w:r w:rsidRPr="00564325">
        <w:separator/>
      </w:r>
    </w:p>
  </w:footnote>
  <w:footnote w:type="continuationSeparator" w:id="0">
    <w:p w14:paraId="1B5D6A8C" w14:textId="77777777" w:rsidR="00DF1C3E" w:rsidRPr="00564325" w:rsidRDefault="00DF1C3E" w:rsidP="00293BA7">
      <w:pPr>
        <w:spacing w:after="0" w:line="240" w:lineRule="auto"/>
      </w:pPr>
      <w:r w:rsidRPr="00564325">
        <w:continuationSeparator/>
      </w:r>
    </w:p>
  </w:footnote>
  <w:footnote w:type="continuationNotice" w:id="1">
    <w:p w14:paraId="7F56E9D3" w14:textId="77777777" w:rsidR="00DF1C3E" w:rsidRPr="00564325" w:rsidRDefault="00DF1C3E">
      <w:pPr>
        <w:spacing w:after="0" w:line="240" w:lineRule="auto"/>
      </w:pPr>
    </w:p>
  </w:footnote>
  <w:footnote w:id="2">
    <w:p w14:paraId="2745A84F" w14:textId="77777777" w:rsidR="002D3885" w:rsidRPr="00564325" w:rsidRDefault="002D3885" w:rsidP="002D3885">
      <w:pPr>
        <w:pStyle w:val="FootnoteText"/>
      </w:pPr>
      <w:r w:rsidRPr="00564325">
        <w:rPr>
          <w:rStyle w:val="FootnoteReference"/>
        </w:rPr>
        <w:footnoteRef/>
      </w:r>
      <w:r w:rsidRPr="00564325">
        <w:t xml:space="preserve"> Fonte: </w:t>
      </w:r>
      <w:hyperlink r:id="rId1" w:history="1">
        <w:r w:rsidRPr="00564325">
          <w:rPr>
            <w:rStyle w:val="Hyperlink"/>
          </w:rPr>
          <w:t>https://www.we-wealth.com/news/pace-ucraina-azioni-difesa</w:t>
        </w:r>
      </w:hyperlink>
      <w:r w:rsidRPr="00564325">
        <w:t xml:space="preserve"> </w:t>
      </w:r>
    </w:p>
  </w:footnote>
  <w:footnote w:id="3">
    <w:p w14:paraId="53643574" w14:textId="3CFE3507" w:rsidR="007B3C59" w:rsidRPr="00564325" w:rsidRDefault="007B3C59">
      <w:pPr>
        <w:pStyle w:val="FootnoteText"/>
      </w:pPr>
      <w:r w:rsidRPr="00564325">
        <w:rPr>
          <w:rStyle w:val="FootnoteReference"/>
        </w:rPr>
        <w:footnoteRef/>
      </w:r>
      <w:r w:rsidRPr="00564325">
        <w:t xml:space="preserve"> </w:t>
      </w:r>
      <w:r w:rsidR="00683944" w:rsidRPr="00564325">
        <w:t xml:space="preserve">Fonte: </w:t>
      </w:r>
      <w:hyperlink r:id="rId2" w:history="1">
        <w:r w:rsidR="00683944" w:rsidRPr="00564325">
          <w:rPr>
            <w:rStyle w:val="Hyperlink"/>
          </w:rPr>
          <w:t>https://www.dedaloinvest.com/education/didattica-investimenti/capm</w:t>
        </w:r>
      </w:hyperlink>
      <w:r w:rsidR="00683944" w:rsidRPr="00564325">
        <w:t xml:space="preserve"> </w:t>
      </w:r>
    </w:p>
  </w:footnote>
  <w:footnote w:id="4">
    <w:p w14:paraId="2829CCD4" w14:textId="6780F29C" w:rsidR="00780F9D" w:rsidRPr="00564325" w:rsidRDefault="00780F9D">
      <w:pPr>
        <w:pStyle w:val="FootnoteText"/>
      </w:pPr>
      <w:r w:rsidRPr="00564325">
        <w:rPr>
          <w:rStyle w:val="FootnoteReference"/>
        </w:rPr>
        <w:footnoteRef/>
      </w:r>
      <w:r w:rsidRPr="00564325">
        <w:t xml:space="preserve"> </w:t>
      </w:r>
      <w:r w:rsidR="00050DD3" w:rsidRPr="00564325">
        <w:t xml:space="preserve">Il simbolo </w:t>
      </w:r>
      <w:r w:rsidR="00050DD3" w:rsidRPr="00564325">
        <w:rPr>
          <w:i/>
          <w:iCs/>
        </w:rPr>
        <w:t>σ</w:t>
      </w:r>
      <w:r w:rsidR="00050DD3" w:rsidRPr="00564325">
        <w:t xml:space="preserve"> rappresenta la matrice di covarianza tra i risultati degli asset</w:t>
      </w:r>
      <w:r w:rsidR="004D3F36" w:rsidRPr="00564325">
        <w:t xml:space="preserve">, ovvero delle interazioni </w:t>
      </w:r>
      <w:r w:rsidR="00AB32D5" w:rsidRPr="00564325">
        <w:t xml:space="preserve">tra i diversi asset (come cambiano assieme) e influenzano l’obiettivo di ottimizzazione. </w:t>
      </w:r>
      <w:r w:rsidR="00925CF1" w:rsidRPr="00564325">
        <w:rPr>
          <w:i/>
          <w:iCs/>
        </w:rPr>
        <w:t>σ</w:t>
      </w:r>
      <w:r w:rsidR="00925CF1" w:rsidRPr="00564325">
        <w:t xml:space="preserve"> contiene i coefficienti che </w:t>
      </w:r>
      <w:r w:rsidR="00F617B5" w:rsidRPr="00564325">
        <w:t>pesano l’effetto delle combinazioni delle variabili.</w:t>
      </w:r>
    </w:p>
  </w:footnote>
  <w:footnote w:id="5">
    <w:p w14:paraId="66E1D194" w14:textId="3C8914A0" w:rsidR="00004DC4" w:rsidRPr="00564325" w:rsidRDefault="00004DC4">
      <w:pPr>
        <w:pStyle w:val="FootnoteText"/>
      </w:pPr>
      <w:r w:rsidRPr="00564325">
        <w:rPr>
          <w:rStyle w:val="FootnoteReference"/>
        </w:rPr>
        <w:footnoteRef/>
      </w:r>
      <w:r w:rsidRPr="00564325">
        <w:t xml:space="preserve"> Si precisa che la varianza è un indicatore di rischio parzialmente adatto </w:t>
      </w:r>
      <w:r w:rsidR="0083286C" w:rsidRPr="00564325">
        <w:t xml:space="preserve">poiché è ottimale solo per distribuzioni simmetriche. In effetti nella realtà i rendimenti dei titoli non seguono distribuzioni simmetriche, tant’è che </w:t>
      </w:r>
      <w:r w:rsidR="00364448" w:rsidRPr="00564325">
        <w:t xml:space="preserve">indicatori migliori sono la semivarianza, la deviazione standard, </w:t>
      </w:r>
      <w:r w:rsidR="00227B57" w:rsidRPr="00564325">
        <w:t xml:space="preserve">il </w:t>
      </w:r>
      <w:r w:rsidR="00364448" w:rsidRPr="00564325">
        <w:t>MAD (</w:t>
      </w:r>
      <w:r w:rsidR="00364448" w:rsidRPr="00564325">
        <w:rPr>
          <w:i/>
          <w:iCs/>
        </w:rPr>
        <w:t>Mean Absolute Deviation</w:t>
      </w:r>
      <w:r w:rsidR="00364448" w:rsidRPr="00564325">
        <w:t xml:space="preserve">) e il </w:t>
      </w:r>
      <w:r w:rsidR="00364448" w:rsidRPr="00564325">
        <w:rPr>
          <w:i/>
          <w:iCs/>
        </w:rPr>
        <w:t>Value at Risk</w:t>
      </w:r>
      <w:r w:rsidR="00364448" w:rsidRPr="00564325">
        <w:t>.</w:t>
      </w:r>
    </w:p>
  </w:footnote>
  <w:footnote w:id="6">
    <w:p w14:paraId="6B5E68BE" w14:textId="5908E1A7" w:rsidR="00070B39" w:rsidRPr="00564325" w:rsidRDefault="00070B39">
      <w:pPr>
        <w:pStyle w:val="FootnoteText"/>
      </w:pPr>
      <w:r w:rsidRPr="00564325">
        <w:rPr>
          <w:rStyle w:val="FootnoteReference"/>
        </w:rPr>
        <w:footnoteRef/>
      </w:r>
      <w:r w:rsidRPr="00564325">
        <w:t xml:space="preserve"> Fonte dei tickers: </w:t>
      </w:r>
      <w:r w:rsidR="006758D4" w:rsidRPr="00564325">
        <w:t xml:space="preserve">https://sg.finance.yahoo.com/markets/stocks/most-active/ </w:t>
      </w:r>
    </w:p>
  </w:footnote>
  <w:footnote w:id="7">
    <w:p w14:paraId="24E27D0B" w14:textId="77777777" w:rsidR="00107028" w:rsidRPr="006758D4" w:rsidRDefault="00107028" w:rsidP="00107028">
      <w:pPr>
        <w:pStyle w:val="FootnoteText"/>
      </w:pPr>
      <w:r w:rsidRPr="00564325">
        <w:rPr>
          <w:rStyle w:val="FootnoteReference"/>
        </w:rPr>
        <w:footnoteRef/>
      </w:r>
      <w:r w:rsidRPr="00564325">
        <w:t xml:space="preserve"> Fonte dei tickers: https://sg.finance.yahoo.com/markets/stocks/most-active/ </w:t>
      </w:r>
    </w:p>
  </w:footnote>
  <w:footnote w:id="8">
    <w:p w14:paraId="3F3E6B84" w14:textId="252E20E0" w:rsidR="00854FC5" w:rsidRPr="00854FC5" w:rsidRDefault="00854FC5">
      <w:pPr>
        <w:pStyle w:val="FootnoteText"/>
      </w:pPr>
      <w:r>
        <w:rPr>
          <w:rStyle w:val="FootnoteReference"/>
        </w:rPr>
        <w:footnoteRef/>
      </w:r>
      <w:r>
        <w:t xml:space="preserve"> </w:t>
      </w:r>
      <w:r w:rsidRPr="00854FC5">
        <w:t xml:space="preserve">Fonte: </w:t>
      </w:r>
      <w:hyperlink r:id="rId3" w:history="1">
        <w:r w:rsidRPr="001E2428">
          <w:rPr>
            <w:rStyle w:val="Hyperlink"/>
          </w:rPr>
          <w:t>https://it.wikipedia.org/wiki/Elenco_dei_conflitti_militari_in_corso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rsidRPr="00564325" w14:paraId="39460590" w14:textId="77777777" w:rsidTr="0FB273D1">
      <w:trPr>
        <w:trHeight w:val="300"/>
      </w:trPr>
      <w:tc>
        <w:tcPr>
          <w:tcW w:w="3005" w:type="dxa"/>
        </w:tcPr>
        <w:p w14:paraId="6DF62DFE" w14:textId="5A2472F0" w:rsidR="0FB273D1" w:rsidRPr="00564325" w:rsidRDefault="0FB273D1" w:rsidP="0FB273D1">
          <w:pPr>
            <w:pStyle w:val="Header"/>
            <w:ind w:left="-115"/>
          </w:pPr>
        </w:p>
      </w:tc>
      <w:tc>
        <w:tcPr>
          <w:tcW w:w="3005" w:type="dxa"/>
        </w:tcPr>
        <w:p w14:paraId="71453BFA" w14:textId="656A441A" w:rsidR="0FB273D1" w:rsidRPr="00564325" w:rsidRDefault="0FB273D1" w:rsidP="0FB273D1">
          <w:pPr>
            <w:pStyle w:val="Header"/>
            <w:jc w:val="center"/>
          </w:pPr>
        </w:p>
      </w:tc>
      <w:tc>
        <w:tcPr>
          <w:tcW w:w="3005" w:type="dxa"/>
        </w:tcPr>
        <w:p w14:paraId="426CF52D" w14:textId="69B5D017" w:rsidR="0FB273D1" w:rsidRPr="00564325" w:rsidRDefault="0FB273D1" w:rsidP="0FB273D1">
          <w:pPr>
            <w:pStyle w:val="Header"/>
            <w:ind w:right="-115"/>
            <w:jc w:val="right"/>
          </w:pPr>
        </w:p>
      </w:tc>
    </w:tr>
  </w:tbl>
  <w:p w14:paraId="013688FA" w14:textId="3E101A44" w:rsidR="00661E96" w:rsidRPr="00564325" w:rsidRDefault="00661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rsidRPr="00564325" w14:paraId="5BB61448" w14:textId="77777777" w:rsidTr="0FB273D1">
      <w:trPr>
        <w:trHeight w:val="300"/>
      </w:trPr>
      <w:tc>
        <w:tcPr>
          <w:tcW w:w="3005" w:type="dxa"/>
        </w:tcPr>
        <w:p w14:paraId="0682B348" w14:textId="3F4C929D" w:rsidR="0FB273D1" w:rsidRPr="00564325" w:rsidRDefault="0FB273D1" w:rsidP="0FB273D1">
          <w:pPr>
            <w:pStyle w:val="Header"/>
            <w:ind w:left="-115"/>
          </w:pPr>
        </w:p>
      </w:tc>
      <w:tc>
        <w:tcPr>
          <w:tcW w:w="3005" w:type="dxa"/>
        </w:tcPr>
        <w:p w14:paraId="37C7D905" w14:textId="6433DBE7" w:rsidR="0FB273D1" w:rsidRPr="00564325" w:rsidRDefault="0FB273D1" w:rsidP="0FB273D1">
          <w:pPr>
            <w:pStyle w:val="Header"/>
            <w:jc w:val="center"/>
          </w:pPr>
        </w:p>
      </w:tc>
      <w:tc>
        <w:tcPr>
          <w:tcW w:w="3005" w:type="dxa"/>
        </w:tcPr>
        <w:p w14:paraId="3A83C962" w14:textId="3DB7FCE2" w:rsidR="0FB273D1" w:rsidRPr="00564325" w:rsidRDefault="0FB273D1" w:rsidP="0FB273D1">
          <w:pPr>
            <w:pStyle w:val="Header"/>
            <w:ind w:right="-115"/>
            <w:jc w:val="right"/>
          </w:pPr>
        </w:p>
      </w:tc>
    </w:tr>
  </w:tbl>
  <w:p w14:paraId="2823BFF6" w14:textId="1180E02D" w:rsidR="00661E96" w:rsidRPr="00564325" w:rsidRDefault="00661E96">
    <w:pPr>
      <w:pStyle w:val="Header"/>
    </w:pPr>
  </w:p>
</w:hdr>
</file>

<file path=word/intelligence2.xml><?xml version="1.0" encoding="utf-8"?>
<int2:intelligence xmlns:int2="http://schemas.microsoft.com/office/intelligence/2020/intelligence" xmlns:oel="http://schemas.microsoft.com/office/2019/extlst">
  <int2:observations>
    <int2:textHash int2:hashCode="GF6ZJfPpOwzmeM" int2:id="QgJUYwn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572F"/>
    <w:multiLevelType w:val="hybridMultilevel"/>
    <w:tmpl w:val="62CC8CA8"/>
    <w:lvl w:ilvl="0" w:tplc="7EB8BFE6">
      <w:start w:val="2"/>
      <w:numFmt w:val="bullet"/>
      <w:lvlText w:val=""/>
      <w:lvlJc w:val="left"/>
      <w:pPr>
        <w:ind w:left="720" w:hanging="360"/>
      </w:pPr>
      <w:rPr>
        <w:rFonts w:ascii="Symbol" w:eastAsia="Segoe U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4759C"/>
    <w:multiLevelType w:val="multilevel"/>
    <w:tmpl w:val="6662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32288"/>
    <w:multiLevelType w:val="hybridMultilevel"/>
    <w:tmpl w:val="593C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CF3B7A"/>
    <w:multiLevelType w:val="multilevel"/>
    <w:tmpl w:val="FED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B60C1"/>
    <w:multiLevelType w:val="multilevel"/>
    <w:tmpl w:val="163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3070D"/>
    <w:multiLevelType w:val="multilevel"/>
    <w:tmpl w:val="6D16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304418">
    <w:abstractNumId w:val="0"/>
  </w:num>
  <w:num w:numId="2" w16cid:durableId="59061055">
    <w:abstractNumId w:val="2"/>
  </w:num>
  <w:num w:numId="3" w16cid:durableId="1617787602">
    <w:abstractNumId w:val="5"/>
  </w:num>
  <w:num w:numId="4" w16cid:durableId="1040476567">
    <w:abstractNumId w:val="1"/>
  </w:num>
  <w:num w:numId="5" w16cid:durableId="126050329">
    <w:abstractNumId w:val="3"/>
  </w:num>
  <w:num w:numId="6" w16cid:durableId="91986777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08"/>
  <w:autoHyphenation/>
  <w:hyphenationZone w:val="283"/>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7D8B14"/>
    <w:rsid w:val="0000014B"/>
    <w:rsid w:val="0000039E"/>
    <w:rsid w:val="000007C1"/>
    <w:rsid w:val="000034E2"/>
    <w:rsid w:val="00004C0F"/>
    <w:rsid w:val="00004DC4"/>
    <w:rsid w:val="0000576E"/>
    <w:rsid w:val="00007C18"/>
    <w:rsid w:val="00010A84"/>
    <w:rsid w:val="00011216"/>
    <w:rsid w:val="00012296"/>
    <w:rsid w:val="000128B1"/>
    <w:rsid w:val="00012B06"/>
    <w:rsid w:val="00013523"/>
    <w:rsid w:val="00013828"/>
    <w:rsid w:val="00013EB2"/>
    <w:rsid w:val="00013FD4"/>
    <w:rsid w:val="000149F5"/>
    <w:rsid w:val="00014B29"/>
    <w:rsid w:val="00014BF1"/>
    <w:rsid w:val="00015023"/>
    <w:rsid w:val="00015F50"/>
    <w:rsid w:val="000178A7"/>
    <w:rsid w:val="00017938"/>
    <w:rsid w:val="00020A06"/>
    <w:rsid w:val="00020D69"/>
    <w:rsid w:val="00020E19"/>
    <w:rsid w:val="000217E6"/>
    <w:rsid w:val="0002192F"/>
    <w:rsid w:val="00021D64"/>
    <w:rsid w:val="00021D86"/>
    <w:rsid w:val="00022550"/>
    <w:rsid w:val="00022C95"/>
    <w:rsid w:val="00022E8D"/>
    <w:rsid w:val="0002397E"/>
    <w:rsid w:val="000246D6"/>
    <w:rsid w:val="0002481A"/>
    <w:rsid w:val="000249DA"/>
    <w:rsid w:val="00025F00"/>
    <w:rsid w:val="00026B11"/>
    <w:rsid w:val="000305AC"/>
    <w:rsid w:val="00030721"/>
    <w:rsid w:val="00030ACE"/>
    <w:rsid w:val="00030F9A"/>
    <w:rsid w:val="00031133"/>
    <w:rsid w:val="00031EAF"/>
    <w:rsid w:val="00032801"/>
    <w:rsid w:val="00032EE4"/>
    <w:rsid w:val="000330BD"/>
    <w:rsid w:val="0003344D"/>
    <w:rsid w:val="00033A86"/>
    <w:rsid w:val="00033BCE"/>
    <w:rsid w:val="00034B18"/>
    <w:rsid w:val="00034E4A"/>
    <w:rsid w:val="000362D1"/>
    <w:rsid w:val="00037176"/>
    <w:rsid w:val="00037317"/>
    <w:rsid w:val="000379C2"/>
    <w:rsid w:val="000405D1"/>
    <w:rsid w:val="00040DF1"/>
    <w:rsid w:val="00041C9B"/>
    <w:rsid w:val="00043538"/>
    <w:rsid w:val="00043EA3"/>
    <w:rsid w:val="00045CE2"/>
    <w:rsid w:val="000473B1"/>
    <w:rsid w:val="000474E1"/>
    <w:rsid w:val="00050390"/>
    <w:rsid w:val="00050882"/>
    <w:rsid w:val="00050DD3"/>
    <w:rsid w:val="000511B9"/>
    <w:rsid w:val="00051F84"/>
    <w:rsid w:val="000530CC"/>
    <w:rsid w:val="00054AAE"/>
    <w:rsid w:val="000557EF"/>
    <w:rsid w:val="00056019"/>
    <w:rsid w:val="0005662E"/>
    <w:rsid w:val="000573DB"/>
    <w:rsid w:val="000577B0"/>
    <w:rsid w:val="00057A0E"/>
    <w:rsid w:val="000605F5"/>
    <w:rsid w:val="00061031"/>
    <w:rsid w:val="00061689"/>
    <w:rsid w:val="00061F04"/>
    <w:rsid w:val="00061F77"/>
    <w:rsid w:val="0006444D"/>
    <w:rsid w:val="0006454D"/>
    <w:rsid w:val="00064672"/>
    <w:rsid w:val="000646AD"/>
    <w:rsid w:val="000647AC"/>
    <w:rsid w:val="00064F79"/>
    <w:rsid w:val="00064FCF"/>
    <w:rsid w:val="000652C9"/>
    <w:rsid w:val="00066ACB"/>
    <w:rsid w:val="00066B4F"/>
    <w:rsid w:val="00067540"/>
    <w:rsid w:val="00070B39"/>
    <w:rsid w:val="00070D6F"/>
    <w:rsid w:val="0007158B"/>
    <w:rsid w:val="0007171A"/>
    <w:rsid w:val="00071885"/>
    <w:rsid w:val="0007250F"/>
    <w:rsid w:val="00072FF6"/>
    <w:rsid w:val="00073A7C"/>
    <w:rsid w:val="0007500D"/>
    <w:rsid w:val="00075B50"/>
    <w:rsid w:val="00076565"/>
    <w:rsid w:val="0007673B"/>
    <w:rsid w:val="00076AAB"/>
    <w:rsid w:val="00076D69"/>
    <w:rsid w:val="00080A5D"/>
    <w:rsid w:val="00081D2A"/>
    <w:rsid w:val="000830CA"/>
    <w:rsid w:val="000832F9"/>
    <w:rsid w:val="000839D0"/>
    <w:rsid w:val="00084D8F"/>
    <w:rsid w:val="0008505B"/>
    <w:rsid w:val="000853A6"/>
    <w:rsid w:val="00086589"/>
    <w:rsid w:val="000867B7"/>
    <w:rsid w:val="00087EC4"/>
    <w:rsid w:val="0009100F"/>
    <w:rsid w:val="0009145E"/>
    <w:rsid w:val="000919F3"/>
    <w:rsid w:val="00091F7B"/>
    <w:rsid w:val="00092457"/>
    <w:rsid w:val="000927D6"/>
    <w:rsid w:val="000927FC"/>
    <w:rsid w:val="000947C2"/>
    <w:rsid w:val="00094806"/>
    <w:rsid w:val="000948B2"/>
    <w:rsid w:val="00094DC2"/>
    <w:rsid w:val="00095577"/>
    <w:rsid w:val="00096F48"/>
    <w:rsid w:val="000A092B"/>
    <w:rsid w:val="000A0FD3"/>
    <w:rsid w:val="000A1458"/>
    <w:rsid w:val="000A27B5"/>
    <w:rsid w:val="000A2AE5"/>
    <w:rsid w:val="000A354C"/>
    <w:rsid w:val="000A3904"/>
    <w:rsid w:val="000A48EE"/>
    <w:rsid w:val="000A4A5E"/>
    <w:rsid w:val="000A4BBA"/>
    <w:rsid w:val="000A5610"/>
    <w:rsid w:val="000A601D"/>
    <w:rsid w:val="000A60C2"/>
    <w:rsid w:val="000A6123"/>
    <w:rsid w:val="000A784D"/>
    <w:rsid w:val="000A7BE5"/>
    <w:rsid w:val="000B0FF7"/>
    <w:rsid w:val="000B2133"/>
    <w:rsid w:val="000B24E4"/>
    <w:rsid w:val="000B323E"/>
    <w:rsid w:val="000B3459"/>
    <w:rsid w:val="000B51B9"/>
    <w:rsid w:val="000B5A26"/>
    <w:rsid w:val="000B6077"/>
    <w:rsid w:val="000B633B"/>
    <w:rsid w:val="000B6795"/>
    <w:rsid w:val="000B696C"/>
    <w:rsid w:val="000B72B7"/>
    <w:rsid w:val="000B739A"/>
    <w:rsid w:val="000B7648"/>
    <w:rsid w:val="000C055E"/>
    <w:rsid w:val="000C1EFE"/>
    <w:rsid w:val="000C4BED"/>
    <w:rsid w:val="000C5902"/>
    <w:rsid w:val="000C5998"/>
    <w:rsid w:val="000C5BD6"/>
    <w:rsid w:val="000C63E7"/>
    <w:rsid w:val="000C6ADE"/>
    <w:rsid w:val="000C7E30"/>
    <w:rsid w:val="000D0C98"/>
    <w:rsid w:val="000D0DB4"/>
    <w:rsid w:val="000D0EBA"/>
    <w:rsid w:val="000D0EE4"/>
    <w:rsid w:val="000D12AF"/>
    <w:rsid w:val="000D1EB1"/>
    <w:rsid w:val="000D2056"/>
    <w:rsid w:val="000D2400"/>
    <w:rsid w:val="000D2E00"/>
    <w:rsid w:val="000D322B"/>
    <w:rsid w:val="000D4076"/>
    <w:rsid w:val="000D4F27"/>
    <w:rsid w:val="000D777D"/>
    <w:rsid w:val="000E005E"/>
    <w:rsid w:val="000E06CC"/>
    <w:rsid w:val="000E0AF0"/>
    <w:rsid w:val="000E0BB4"/>
    <w:rsid w:val="000E141B"/>
    <w:rsid w:val="000E160F"/>
    <w:rsid w:val="000E1835"/>
    <w:rsid w:val="000E31BB"/>
    <w:rsid w:val="000E33F0"/>
    <w:rsid w:val="000E3524"/>
    <w:rsid w:val="000E3B63"/>
    <w:rsid w:val="000E401F"/>
    <w:rsid w:val="000E4966"/>
    <w:rsid w:val="000E4C05"/>
    <w:rsid w:val="000E5903"/>
    <w:rsid w:val="000E65FA"/>
    <w:rsid w:val="000E7ECF"/>
    <w:rsid w:val="000F012D"/>
    <w:rsid w:val="000F0A78"/>
    <w:rsid w:val="000F0D82"/>
    <w:rsid w:val="000F0E11"/>
    <w:rsid w:val="000F16FF"/>
    <w:rsid w:val="000F235B"/>
    <w:rsid w:val="000F26C6"/>
    <w:rsid w:val="000F2AFA"/>
    <w:rsid w:val="000F3693"/>
    <w:rsid w:val="000F384E"/>
    <w:rsid w:val="000F53CD"/>
    <w:rsid w:val="000F5898"/>
    <w:rsid w:val="000F5E88"/>
    <w:rsid w:val="000F6138"/>
    <w:rsid w:val="000F774B"/>
    <w:rsid w:val="001006BA"/>
    <w:rsid w:val="00100B26"/>
    <w:rsid w:val="0010193E"/>
    <w:rsid w:val="00101E0B"/>
    <w:rsid w:val="0010202A"/>
    <w:rsid w:val="00102481"/>
    <w:rsid w:val="00104B91"/>
    <w:rsid w:val="00104DA0"/>
    <w:rsid w:val="00105753"/>
    <w:rsid w:val="00105910"/>
    <w:rsid w:val="00105D1D"/>
    <w:rsid w:val="00106266"/>
    <w:rsid w:val="00107028"/>
    <w:rsid w:val="001073D5"/>
    <w:rsid w:val="00107720"/>
    <w:rsid w:val="001077B7"/>
    <w:rsid w:val="00111EEE"/>
    <w:rsid w:val="0011250F"/>
    <w:rsid w:val="00112BB8"/>
    <w:rsid w:val="00113B37"/>
    <w:rsid w:val="0011569C"/>
    <w:rsid w:val="00115ADC"/>
    <w:rsid w:val="00116BDC"/>
    <w:rsid w:val="00121DBF"/>
    <w:rsid w:val="0012212D"/>
    <w:rsid w:val="00122255"/>
    <w:rsid w:val="00122BD5"/>
    <w:rsid w:val="0012318C"/>
    <w:rsid w:val="001237F8"/>
    <w:rsid w:val="00123CBC"/>
    <w:rsid w:val="0012478C"/>
    <w:rsid w:val="00126643"/>
    <w:rsid w:val="00126C5A"/>
    <w:rsid w:val="00126DD0"/>
    <w:rsid w:val="00127622"/>
    <w:rsid w:val="00130567"/>
    <w:rsid w:val="00130A5E"/>
    <w:rsid w:val="00130BBD"/>
    <w:rsid w:val="00131198"/>
    <w:rsid w:val="001311F9"/>
    <w:rsid w:val="00131560"/>
    <w:rsid w:val="00131B47"/>
    <w:rsid w:val="00133C8F"/>
    <w:rsid w:val="00134689"/>
    <w:rsid w:val="001354BA"/>
    <w:rsid w:val="001356AE"/>
    <w:rsid w:val="0014015B"/>
    <w:rsid w:val="00140559"/>
    <w:rsid w:val="001409E9"/>
    <w:rsid w:val="00140CBF"/>
    <w:rsid w:val="00140D4A"/>
    <w:rsid w:val="00141BD1"/>
    <w:rsid w:val="00141C0D"/>
    <w:rsid w:val="00143081"/>
    <w:rsid w:val="00143179"/>
    <w:rsid w:val="0014353F"/>
    <w:rsid w:val="00143664"/>
    <w:rsid w:val="001440BE"/>
    <w:rsid w:val="00144E44"/>
    <w:rsid w:val="001454EF"/>
    <w:rsid w:val="00145A08"/>
    <w:rsid w:val="00145E32"/>
    <w:rsid w:val="00146509"/>
    <w:rsid w:val="00146797"/>
    <w:rsid w:val="001469CF"/>
    <w:rsid w:val="00147199"/>
    <w:rsid w:val="00147F1E"/>
    <w:rsid w:val="00150F5D"/>
    <w:rsid w:val="0015164A"/>
    <w:rsid w:val="00151935"/>
    <w:rsid w:val="00152C34"/>
    <w:rsid w:val="00152CB0"/>
    <w:rsid w:val="001538A1"/>
    <w:rsid w:val="00153FFB"/>
    <w:rsid w:val="001545BD"/>
    <w:rsid w:val="00156A5A"/>
    <w:rsid w:val="00156F31"/>
    <w:rsid w:val="0015718E"/>
    <w:rsid w:val="001573F1"/>
    <w:rsid w:val="00157D4A"/>
    <w:rsid w:val="001604D4"/>
    <w:rsid w:val="001605B2"/>
    <w:rsid w:val="00160AB9"/>
    <w:rsid w:val="001615C7"/>
    <w:rsid w:val="001624B7"/>
    <w:rsid w:val="00162C56"/>
    <w:rsid w:val="00163928"/>
    <w:rsid w:val="00163EEA"/>
    <w:rsid w:val="00164C8A"/>
    <w:rsid w:val="00165871"/>
    <w:rsid w:val="00166C4F"/>
    <w:rsid w:val="001674BF"/>
    <w:rsid w:val="001702A9"/>
    <w:rsid w:val="00170A58"/>
    <w:rsid w:val="00170F07"/>
    <w:rsid w:val="00172B3B"/>
    <w:rsid w:val="001744CC"/>
    <w:rsid w:val="00174B8A"/>
    <w:rsid w:val="001778A5"/>
    <w:rsid w:val="00180058"/>
    <w:rsid w:val="00180C87"/>
    <w:rsid w:val="0018183C"/>
    <w:rsid w:val="001822BC"/>
    <w:rsid w:val="00182717"/>
    <w:rsid w:val="00182841"/>
    <w:rsid w:val="00182F6F"/>
    <w:rsid w:val="00183812"/>
    <w:rsid w:val="0018516A"/>
    <w:rsid w:val="00185B0B"/>
    <w:rsid w:val="001864EA"/>
    <w:rsid w:val="00186662"/>
    <w:rsid w:val="00186C77"/>
    <w:rsid w:val="001875D9"/>
    <w:rsid w:val="00187BCD"/>
    <w:rsid w:val="00187DBF"/>
    <w:rsid w:val="001904AA"/>
    <w:rsid w:val="00191159"/>
    <w:rsid w:val="00191612"/>
    <w:rsid w:val="00192E8F"/>
    <w:rsid w:val="001931E9"/>
    <w:rsid w:val="00194094"/>
    <w:rsid w:val="001942FA"/>
    <w:rsid w:val="0019441C"/>
    <w:rsid w:val="001946F7"/>
    <w:rsid w:val="00195216"/>
    <w:rsid w:val="00195288"/>
    <w:rsid w:val="0019534C"/>
    <w:rsid w:val="001956B0"/>
    <w:rsid w:val="00195A76"/>
    <w:rsid w:val="00195AE7"/>
    <w:rsid w:val="00195B9C"/>
    <w:rsid w:val="00196E44"/>
    <w:rsid w:val="001A0C27"/>
    <w:rsid w:val="001A0F70"/>
    <w:rsid w:val="001A1852"/>
    <w:rsid w:val="001A1A27"/>
    <w:rsid w:val="001A1CC4"/>
    <w:rsid w:val="001A1D91"/>
    <w:rsid w:val="001A23A9"/>
    <w:rsid w:val="001A2900"/>
    <w:rsid w:val="001A3171"/>
    <w:rsid w:val="001A3636"/>
    <w:rsid w:val="001A4A1B"/>
    <w:rsid w:val="001A4E47"/>
    <w:rsid w:val="001A56AB"/>
    <w:rsid w:val="001A60FF"/>
    <w:rsid w:val="001A737E"/>
    <w:rsid w:val="001A752D"/>
    <w:rsid w:val="001B087A"/>
    <w:rsid w:val="001B09C2"/>
    <w:rsid w:val="001B0AE2"/>
    <w:rsid w:val="001B0E1B"/>
    <w:rsid w:val="001B0E7C"/>
    <w:rsid w:val="001B10F6"/>
    <w:rsid w:val="001B1226"/>
    <w:rsid w:val="001B1DC7"/>
    <w:rsid w:val="001B1DE4"/>
    <w:rsid w:val="001B1F43"/>
    <w:rsid w:val="001B2287"/>
    <w:rsid w:val="001B2486"/>
    <w:rsid w:val="001B25F3"/>
    <w:rsid w:val="001B2ABE"/>
    <w:rsid w:val="001B311D"/>
    <w:rsid w:val="001B3211"/>
    <w:rsid w:val="001B3654"/>
    <w:rsid w:val="001B4D83"/>
    <w:rsid w:val="001B63D0"/>
    <w:rsid w:val="001B6436"/>
    <w:rsid w:val="001B751D"/>
    <w:rsid w:val="001B79AE"/>
    <w:rsid w:val="001C017C"/>
    <w:rsid w:val="001C191F"/>
    <w:rsid w:val="001C3180"/>
    <w:rsid w:val="001C3E51"/>
    <w:rsid w:val="001C4BE3"/>
    <w:rsid w:val="001C4CA9"/>
    <w:rsid w:val="001C6407"/>
    <w:rsid w:val="001C6CA4"/>
    <w:rsid w:val="001C6DEC"/>
    <w:rsid w:val="001C7AD5"/>
    <w:rsid w:val="001C7D74"/>
    <w:rsid w:val="001D0452"/>
    <w:rsid w:val="001D07A7"/>
    <w:rsid w:val="001D157E"/>
    <w:rsid w:val="001D17A7"/>
    <w:rsid w:val="001D17C8"/>
    <w:rsid w:val="001D1D52"/>
    <w:rsid w:val="001D20F6"/>
    <w:rsid w:val="001D2AE1"/>
    <w:rsid w:val="001D3A2C"/>
    <w:rsid w:val="001D46E7"/>
    <w:rsid w:val="001D477F"/>
    <w:rsid w:val="001D6084"/>
    <w:rsid w:val="001D60D2"/>
    <w:rsid w:val="001D6821"/>
    <w:rsid w:val="001E0522"/>
    <w:rsid w:val="001E096C"/>
    <w:rsid w:val="001E1D89"/>
    <w:rsid w:val="001E46FA"/>
    <w:rsid w:val="001E55C9"/>
    <w:rsid w:val="001E6354"/>
    <w:rsid w:val="001E66ED"/>
    <w:rsid w:val="001E6760"/>
    <w:rsid w:val="001E6D40"/>
    <w:rsid w:val="001E6E5C"/>
    <w:rsid w:val="001F008B"/>
    <w:rsid w:val="001F0C01"/>
    <w:rsid w:val="001F1FAF"/>
    <w:rsid w:val="001F2502"/>
    <w:rsid w:val="001F2C5E"/>
    <w:rsid w:val="001F359A"/>
    <w:rsid w:val="001F3EB9"/>
    <w:rsid w:val="001F403C"/>
    <w:rsid w:val="001F46E5"/>
    <w:rsid w:val="001F4DC6"/>
    <w:rsid w:val="001F5EE7"/>
    <w:rsid w:val="001F7E6A"/>
    <w:rsid w:val="002006D9"/>
    <w:rsid w:val="00201B0D"/>
    <w:rsid w:val="00202C55"/>
    <w:rsid w:val="00202DD6"/>
    <w:rsid w:val="00203FC7"/>
    <w:rsid w:val="00204140"/>
    <w:rsid w:val="00204ABC"/>
    <w:rsid w:val="002055FE"/>
    <w:rsid w:val="002058A5"/>
    <w:rsid w:val="00205B61"/>
    <w:rsid w:val="00206330"/>
    <w:rsid w:val="00206AE7"/>
    <w:rsid w:val="00206EAC"/>
    <w:rsid w:val="00206F1A"/>
    <w:rsid w:val="002073C8"/>
    <w:rsid w:val="00207E91"/>
    <w:rsid w:val="00207EB1"/>
    <w:rsid w:val="0021031C"/>
    <w:rsid w:val="00211D5A"/>
    <w:rsid w:val="00213310"/>
    <w:rsid w:val="00213754"/>
    <w:rsid w:val="00214F93"/>
    <w:rsid w:val="002159B7"/>
    <w:rsid w:val="00215A01"/>
    <w:rsid w:val="00215F44"/>
    <w:rsid w:val="002163E3"/>
    <w:rsid w:val="0021698A"/>
    <w:rsid w:val="00216ACC"/>
    <w:rsid w:val="00216EF1"/>
    <w:rsid w:val="0021717C"/>
    <w:rsid w:val="002176F6"/>
    <w:rsid w:val="00217925"/>
    <w:rsid w:val="00220093"/>
    <w:rsid w:val="002202E7"/>
    <w:rsid w:val="00220582"/>
    <w:rsid w:val="00220E84"/>
    <w:rsid w:val="002223DD"/>
    <w:rsid w:val="0022286A"/>
    <w:rsid w:val="00223685"/>
    <w:rsid w:val="00225760"/>
    <w:rsid w:val="00225A49"/>
    <w:rsid w:val="00225FFA"/>
    <w:rsid w:val="00226B24"/>
    <w:rsid w:val="00227524"/>
    <w:rsid w:val="00227891"/>
    <w:rsid w:val="00227B57"/>
    <w:rsid w:val="00230387"/>
    <w:rsid w:val="00230523"/>
    <w:rsid w:val="00230546"/>
    <w:rsid w:val="00230F70"/>
    <w:rsid w:val="00231873"/>
    <w:rsid w:val="002320D0"/>
    <w:rsid w:val="00232B6D"/>
    <w:rsid w:val="0023302F"/>
    <w:rsid w:val="0023356C"/>
    <w:rsid w:val="002341F0"/>
    <w:rsid w:val="00234602"/>
    <w:rsid w:val="00234791"/>
    <w:rsid w:val="00235177"/>
    <w:rsid w:val="002368AB"/>
    <w:rsid w:val="00237C15"/>
    <w:rsid w:val="00237C41"/>
    <w:rsid w:val="00237DD2"/>
    <w:rsid w:val="002408BC"/>
    <w:rsid w:val="00241B1F"/>
    <w:rsid w:val="00241B5E"/>
    <w:rsid w:val="00241C06"/>
    <w:rsid w:val="0024200F"/>
    <w:rsid w:val="00242075"/>
    <w:rsid w:val="002420CD"/>
    <w:rsid w:val="002420E0"/>
    <w:rsid w:val="00242DF8"/>
    <w:rsid w:val="00242E51"/>
    <w:rsid w:val="00242F3A"/>
    <w:rsid w:val="00243D06"/>
    <w:rsid w:val="00244BD3"/>
    <w:rsid w:val="00244D9D"/>
    <w:rsid w:val="0024551D"/>
    <w:rsid w:val="002459FD"/>
    <w:rsid w:val="002464D8"/>
    <w:rsid w:val="00246540"/>
    <w:rsid w:val="00246D9B"/>
    <w:rsid w:val="00247ED1"/>
    <w:rsid w:val="00247F92"/>
    <w:rsid w:val="00250855"/>
    <w:rsid w:val="00250EAD"/>
    <w:rsid w:val="002515C3"/>
    <w:rsid w:val="002516A6"/>
    <w:rsid w:val="00251BF4"/>
    <w:rsid w:val="00251FDE"/>
    <w:rsid w:val="00254CDF"/>
    <w:rsid w:val="00260611"/>
    <w:rsid w:val="0026192F"/>
    <w:rsid w:val="00261EAD"/>
    <w:rsid w:val="002620C5"/>
    <w:rsid w:val="002626A1"/>
    <w:rsid w:val="00263E6F"/>
    <w:rsid w:val="0026413C"/>
    <w:rsid w:val="00264D0F"/>
    <w:rsid w:val="00264D2F"/>
    <w:rsid w:val="00264E37"/>
    <w:rsid w:val="002652EB"/>
    <w:rsid w:val="00270714"/>
    <w:rsid w:val="002707FE"/>
    <w:rsid w:val="0027202B"/>
    <w:rsid w:val="002724D7"/>
    <w:rsid w:val="00272735"/>
    <w:rsid w:val="00274062"/>
    <w:rsid w:val="00274E12"/>
    <w:rsid w:val="00274E8C"/>
    <w:rsid w:val="00275842"/>
    <w:rsid w:val="00275FAA"/>
    <w:rsid w:val="0027665C"/>
    <w:rsid w:val="002811B6"/>
    <w:rsid w:val="00281299"/>
    <w:rsid w:val="00282516"/>
    <w:rsid w:val="00282683"/>
    <w:rsid w:val="00283E53"/>
    <w:rsid w:val="0028412A"/>
    <w:rsid w:val="002843FB"/>
    <w:rsid w:val="00286D00"/>
    <w:rsid w:val="00287AD5"/>
    <w:rsid w:val="00287E2B"/>
    <w:rsid w:val="00290A98"/>
    <w:rsid w:val="00291443"/>
    <w:rsid w:val="0029159B"/>
    <w:rsid w:val="00292074"/>
    <w:rsid w:val="00292B83"/>
    <w:rsid w:val="00292D0B"/>
    <w:rsid w:val="00292D37"/>
    <w:rsid w:val="00292FEE"/>
    <w:rsid w:val="0029316A"/>
    <w:rsid w:val="00293BA7"/>
    <w:rsid w:val="00293CA3"/>
    <w:rsid w:val="00295DAB"/>
    <w:rsid w:val="00296248"/>
    <w:rsid w:val="00296EDA"/>
    <w:rsid w:val="002A139B"/>
    <w:rsid w:val="002A1EEC"/>
    <w:rsid w:val="002A33B3"/>
    <w:rsid w:val="002A3412"/>
    <w:rsid w:val="002A4179"/>
    <w:rsid w:val="002A4C55"/>
    <w:rsid w:val="002A5DDE"/>
    <w:rsid w:val="002A6798"/>
    <w:rsid w:val="002A6DA3"/>
    <w:rsid w:val="002A6E19"/>
    <w:rsid w:val="002A71EF"/>
    <w:rsid w:val="002B0444"/>
    <w:rsid w:val="002B0809"/>
    <w:rsid w:val="002B1EAA"/>
    <w:rsid w:val="002B25AB"/>
    <w:rsid w:val="002B29B3"/>
    <w:rsid w:val="002B3442"/>
    <w:rsid w:val="002B34D0"/>
    <w:rsid w:val="002B36AE"/>
    <w:rsid w:val="002B4734"/>
    <w:rsid w:val="002B57CE"/>
    <w:rsid w:val="002B5B76"/>
    <w:rsid w:val="002B64BE"/>
    <w:rsid w:val="002B6833"/>
    <w:rsid w:val="002B708B"/>
    <w:rsid w:val="002C00D8"/>
    <w:rsid w:val="002C082E"/>
    <w:rsid w:val="002C0A4C"/>
    <w:rsid w:val="002C0ACD"/>
    <w:rsid w:val="002C0EF1"/>
    <w:rsid w:val="002C2208"/>
    <w:rsid w:val="002C35DD"/>
    <w:rsid w:val="002C3F3B"/>
    <w:rsid w:val="002C4908"/>
    <w:rsid w:val="002C4C7D"/>
    <w:rsid w:val="002C68F2"/>
    <w:rsid w:val="002C7609"/>
    <w:rsid w:val="002C7776"/>
    <w:rsid w:val="002C7A5E"/>
    <w:rsid w:val="002C7DE6"/>
    <w:rsid w:val="002D05D9"/>
    <w:rsid w:val="002D1302"/>
    <w:rsid w:val="002D16DA"/>
    <w:rsid w:val="002D1BA4"/>
    <w:rsid w:val="002D22F9"/>
    <w:rsid w:val="002D29FA"/>
    <w:rsid w:val="002D2C90"/>
    <w:rsid w:val="002D331A"/>
    <w:rsid w:val="002D3631"/>
    <w:rsid w:val="002D3885"/>
    <w:rsid w:val="002D3DE0"/>
    <w:rsid w:val="002D4325"/>
    <w:rsid w:val="002D519A"/>
    <w:rsid w:val="002D542A"/>
    <w:rsid w:val="002D6EBA"/>
    <w:rsid w:val="002D78AF"/>
    <w:rsid w:val="002D7A5F"/>
    <w:rsid w:val="002D7A9B"/>
    <w:rsid w:val="002E059F"/>
    <w:rsid w:val="002E1A26"/>
    <w:rsid w:val="002E3DCD"/>
    <w:rsid w:val="002E4006"/>
    <w:rsid w:val="002E50ED"/>
    <w:rsid w:val="002E5A13"/>
    <w:rsid w:val="002E5DD8"/>
    <w:rsid w:val="002E5E7A"/>
    <w:rsid w:val="002E6056"/>
    <w:rsid w:val="002E6802"/>
    <w:rsid w:val="002E7AA9"/>
    <w:rsid w:val="002F0EBB"/>
    <w:rsid w:val="002F121E"/>
    <w:rsid w:val="002F1BA0"/>
    <w:rsid w:val="002F1E9B"/>
    <w:rsid w:val="002F1F65"/>
    <w:rsid w:val="002F2355"/>
    <w:rsid w:val="002F2591"/>
    <w:rsid w:val="002F2659"/>
    <w:rsid w:val="002F33C2"/>
    <w:rsid w:val="002F3F5F"/>
    <w:rsid w:val="002F4BE7"/>
    <w:rsid w:val="002F50AA"/>
    <w:rsid w:val="002F5C73"/>
    <w:rsid w:val="002F64DE"/>
    <w:rsid w:val="002F66A6"/>
    <w:rsid w:val="002F68A1"/>
    <w:rsid w:val="002F7497"/>
    <w:rsid w:val="002F7E79"/>
    <w:rsid w:val="002F7F3A"/>
    <w:rsid w:val="00301101"/>
    <w:rsid w:val="00301318"/>
    <w:rsid w:val="00301B2E"/>
    <w:rsid w:val="00301BE6"/>
    <w:rsid w:val="00302434"/>
    <w:rsid w:val="00303623"/>
    <w:rsid w:val="00303D57"/>
    <w:rsid w:val="00304FA3"/>
    <w:rsid w:val="00305CFA"/>
    <w:rsid w:val="00306833"/>
    <w:rsid w:val="003100B6"/>
    <w:rsid w:val="00310C3E"/>
    <w:rsid w:val="003116AA"/>
    <w:rsid w:val="003129C7"/>
    <w:rsid w:val="003129E9"/>
    <w:rsid w:val="00312E99"/>
    <w:rsid w:val="00313249"/>
    <w:rsid w:val="0031400D"/>
    <w:rsid w:val="003152D6"/>
    <w:rsid w:val="00316B23"/>
    <w:rsid w:val="00316B26"/>
    <w:rsid w:val="00321C03"/>
    <w:rsid w:val="003224C0"/>
    <w:rsid w:val="00322B64"/>
    <w:rsid w:val="00322B76"/>
    <w:rsid w:val="0032421F"/>
    <w:rsid w:val="003254C6"/>
    <w:rsid w:val="00325D28"/>
    <w:rsid w:val="00327725"/>
    <w:rsid w:val="00327C3A"/>
    <w:rsid w:val="00327DA0"/>
    <w:rsid w:val="0033028C"/>
    <w:rsid w:val="00330318"/>
    <w:rsid w:val="0033035D"/>
    <w:rsid w:val="00331B9C"/>
    <w:rsid w:val="003324AB"/>
    <w:rsid w:val="00334F5E"/>
    <w:rsid w:val="00335D89"/>
    <w:rsid w:val="00336A1A"/>
    <w:rsid w:val="0033734E"/>
    <w:rsid w:val="0033781A"/>
    <w:rsid w:val="0034079E"/>
    <w:rsid w:val="0034142E"/>
    <w:rsid w:val="0034205A"/>
    <w:rsid w:val="003426E6"/>
    <w:rsid w:val="00342A16"/>
    <w:rsid w:val="00342ACE"/>
    <w:rsid w:val="003445D2"/>
    <w:rsid w:val="00344BC7"/>
    <w:rsid w:val="00344C97"/>
    <w:rsid w:val="0034576E"/>
    <w:rsid w:val="003459DC"/>
    <w:rsid w:val="00346818"/>
    <w:rsid w:val="0034753C"/>
    <w:rsid w:val="0034764B"/>
    <w:rsid w:val="00347795"/>
    <w:rsid w:val="003478A5"/>
    <w:rsid w:val="00350055"/>
    <w:rsid w:val="00350C44"/>
    <w:rsid w:val="0035175C"/>
    <w:rsid w:val="00351D29"/>
    <w:rsid w:val="00352383"/>
    <w:rsid w:val="00352D24"/>
    <w:rsid w:val="003575AA"/>
    <w:rsid w:val="003576C2"/>
    <w:rsid w:val="00360835"/>
    <w:rsid w:val="00360FE6"/>
    <w:rsid w:val="00361646"/>
    <w:rsid w:val="003616C9"/>
    <w:rsid w:val="00361EAB"/>
    <w:rsid w:val="00362572"/>
    <w:rsid w:val="003632BC"/>
    <w:rsid w:val="003636E2"/>
    <w:rsid w:val="00363BC7"/>
    <w:rsid w:val="00364362"/>
    <w:rsid w:val="00364448"/>
    <w:rsid w:val="00364510"/>
    <w:rsid w:val="003646A0"/>
    <w:rsid w:val="00364FD8"/>
    <w:rsid w:val="00365223"/>
    <w:rsid w:val="003654BD"/>
    <w:rsid w:val="00365556"/>
    <w:rsid w:val="00365AC1"/>
    <w:rsid w:val="00365D7A"/>
    <w:rsid w:val="003671D1"/>
    <w:rsid w:val="003673E5"/>
    <w:rsid w:val="0036796E"/>
    <w:rsid w:val="00367994"/>
    <w:rsid w:val="00370FBE"/>
    <w:rsid w:val="00371680"/>
    <w:rsid w:val="00371BAF"/>
    <w:rsid w:val="003723A2"/>
    <w:rsid w:val="003731B4"/>
    <w:rsid w:val="0037335D"/>
    <w:rsid w:val="00373C9D"/>
    <w:rsid w:val="00374507"/>
    <w:rsid w:val="003752EE"/>
    <w:rsid w:val="003753BB"/>
    <w:rsid w:val="003754A9"/>
    <w:rsid w:val="003759B8"/>
    <w:rsid w:val="00375AE3"/>
    <w:rsid w:val="00375C2B"/>
    <w:rsid w:val="00375F2D"/>
    <w:rsid w:val="00376825"/>
    <w:rsid w:val="00376AB6"/>
    <w:rsid w:val="0037757E"/>
    <w:rsid w:val="003776AA"/>
    <w:rsid w:val="0038007D"/>
    <w:rsid w:val="0038011F"/>
    <w:rsid w:val="00380CB4"/>
    <w:rsid w:val="00381B4C"/>
    <w:rsid w:val="00382A86"/>
    <w:rsid w:val="00383256"/>
    <w:rsid w:val="003837CE"/>
    <w:rsid w:val="00383A35"/>
    <w:rsid w:val="0038444D"/>
    <w:rsid w:val="00384B83"/>
    <w:rsid w:val="00384E74"/>
    <w:rsid w:val="00385253"/>
    <w:rsid w:val="00385289"/>
    <w:rsid w:val="003864B7"/>
    <w:rsid w:val="003868A0"/>
    <w:rsid w:val="003868BF"/>
    <w:rsid w:val="00387214"/>
    <w:rsid w:val="00387FD8"/>
    <w:rsid w:val="003911AE"/>
    <w:rsid w:val="0039260B"/>
    <w:rsid w:val="00393406"/>
    <w:rsid w:val="00394477"/>
    <w:rsid w:val="00394C15"/>
    <w:rsid w:val="00395268"/>
    <w:rsid w:val="00395486"/>
    <w:rsid w:val="00395AA9"/>
    <w:rsid w:val="00395B6E"/>
    <w:rsid w:val="00395DC1"/>
    <w:rsid w:val="00396062"/>
    <w:rsid w:val="00396774"/>
    <w:rsid w:val="00397331"/>
    <w:rsid w:val="00397AC3"/>
    <w:rsid w:val="00397E10"/>
    <w:rsid w:val="003A08F2"/>
    <w:rsid w:val="003A0D0F"/>
    <w:rsid w:val="003A49E5"/>
    <w:rsid w:val="003A6FE5"/>
    <w:rsid w:val="003A7053"/>
    <w:rsid w:val="003A7463"/>
    <w:rsid w:val="003A7F19"/>
    <w:rsid w:val="003ACCF7"/>
    <w:rsid w:val="003B0939"/>
    <w:rsid w:val="003B0B66"/>
    <w:rsid w:val="003B0CF1"/>
    <w:rsid w:val="003B10B4"/>
    <w:rsid w:val="003B15AE"/>
    <w:rsid w:val="003B162D"/>
    <w:rsid w:val="003B2BFD"/>
    <w:rsid w:val="003B3862"/>
    <w:rsid w:val="003B3ACE"/>
    <w:rsid w:val="003B4197"/>
    <w:rsid w:val="003B4C51"/>
    <w:rsid w:val="003B4D4A"/>
    <w:rsid w:val="003B603A"/>
    <w:rsid w:val="003B6CAE"/>
    <w:rsid w:val="003C0E80"/>
    <w:rsid w:val="003C12BF"/>
    <w:rsid w:val="003C1336"/>
    <w:rsid w:val="003C1D10"/>
    <w:rsid w:val="003C1E88"/>
    <w:rsid w:val="003C21DB"/>
    <w:rsid w:val="003C2340"/>
    <w:rsid w:val="003C4AE3"/>
    <w:rsid w:val="003C53AA"/>
    <w:rsid w:val="003C5895"/>
    <w:rsid w:val="003C5D62"/>
    <w:rsid w:val="003C6838"/>
    <w:rsid w:val="003C6EEA"/>
    <w:rsid w:val="003C7005"/>
    <w:rsid w:val="003C72EC"/>
    <w:rsid w:val="003C7593"/>
    <w:rsid w:val="003C7742"/>
    <w:rsid w:val="003D13C6"/>
    <w:rsid w:val="003D163E"/>
    <w:rsid w:val="003D1676"/>
    <w:rsid w:val="003D16B7"/>
    <w:rsid w:val="003D1828"/>
    <w:rsid w:val="003D1E8C"/>
    <w:rsid w:val="003D20A9"/>
    <w:rsid w:val="003D2DFB"/>
    <w:rsid w:val="003D5278"/>
    <w:rsid w:val="003D619E"/>
    <w:rsid w:val="003D6E35"/>
    <w:rsid w:val="003D7984"/>
    <w:rsid w:val="003E05EC"/>
    <w:rsid w:val="003E1D59"/>
    <w:rsid w:val="003E1F57"/>
    <w:rsid w:val="003E2388"/>
    <w:rsid w:val="003E312E"/>
    <w:rsid w:val="003E4A29"/>
    <w:rsid w:val="003E523A"/>
    <w:rsid w:val="003E57E0"/>
    <w:rsid w:val="003E5E25"/>
    <w:rsid w:val="003E651F"/>
    <w:rsid w:val="003E72D2"/>
    <w:rsid w:val="003E74F1"/>
    <w:rsid w:val="003E7742"/>
    <w:rsid w:val="003E798A"/>
    <w:rsid w:val="003E798D"/>
    <w:rsid w:val="003E7A38"/>
    <w:rsid w:val="003E7CEF"/>
    <w:rsid w:val="003E7FA6"/>
    <w:rsid w:val="003F0094"/>
    <w:rsid w:val="003F022A"/>
    <w:rsid w:val="003F0602"/>
    <w:rsid w:val="003F0E32"/>
    <w:rsid w:val="003F1B3B"/>
    <w:rsid w:val="003F1BD6"/>
    <w:rsid w:val="003F27E1"/>
    <w:rsid w:val="003F27F5"/>
    <w:rsid w:val="003F34BC"/>
    <w:rsid w:val="003F3AC4"/>
    <w:rsid w:val="003F3E4A"/>
    <w:rsid w:val="003F4356"/>
    <w:rsid w:val="003F4981"/>
    <w:rsid w:val="003F5538"/>
    <w:rsid w:val="003F5588"/>
    <w:rsid w:val="003F5FAE"/>
    <w:rsid w:val="003F72B8"/>
    <w:rsid w:val="003F79D9"/>
    <w:rsid w:val="0040058B"/>
    <w:rsid w:val="00401A46"/>
    <w:rsid w:val="004023D5"/>
    <w:rsid w:val="004025D8"/>
    <w:rsid w:val="00402C92"/>
    <w:rsid w:val="0040300A"/>
    <w:rsid w:val="004042A9"/>
    <w:rsid w:val="00404330"/>
    <w:rsid w:val="004045A6"/>
    <w:rsid w:val="00404ACD"/>
    <w:rsid w:val="00404EDE"/>
    <w:rsid w:val="0040513A"/>
    <w:rsid w:val="0040596E"/>
    <w:rsid w:val="004067A4"/>
    <w:rsid w:val="00406F35"/>
    <w:rsid w:val="0040731B"/>
    <w:rsid w:val="004106E0"/>
    <w:rsid w:val="00410B65"/>
    <w:rsid w:val="0041110E"/>
    <w:rsid w:val="0041250C"/>
    <w:rsid w:val="00413104"/>
    <w:rsid w:val="00413424"/>
    <w:rsid w:val="004134C0"/>
    <w:rsid w:val="004134CE"/>
    <w:rsid w:val="004145F3"/>
    <w:rsid w:val="00414990"/>
    <w:rsid w:val="00414D87"/>
    <w:rsid w:val="00414FBA"/>
    <w:rsid w:val="00415216"/>
    <w:rsid w:val="004155A9"/>
    <w:rsid w:val="00415C07"/>
    <w:rsid w:val="004168B6"/>
    <w:rsid w:val="004170FF"/>
    <w:rsid w:val="004173FA"/>
    <w:rsid w:val="00417401"/>
    <w:rsid w:val="0041781B"/>
    <w:rsid w:val="00417ED5"/>
    <w:rsid w:val="0042143F"/>
    <w:rsid w:val="004228DF"/>
    <w:rsid w:val="00423460"/>
    <w:rsid w:val="0042347A"/>
    <w:rsid w:val="0042389B"/>
    <w:rsid w:val="004238A1"/>
    <w:rsid w:val="00423BD7"/>
    <w:rsid w:val="00423EE6"/>
    <w:rsid w:val="00424A05"/>
    <w:rsid w:val="00424AFE"/>
    <w:rsid w:val="00426131"/>
    <w:rsid w:val="00426724"/>
    <w:rsid w:val="00426BB6"/>
    <w:rsid w:val="00426E7F"/>
    <w:rsid w:val="00426FCC"/>
    <w:rsid w:val="004278F6"/>
    <w:rsid w:val="004340DA"/>
    <w:rsid w:val="00434A53"/>
    <w:rsid w:val="00435578"/>
    <w:rsid w:val="0043570C"/>
    <w:rsid w:val="004359FD"/>
    <w:rsid w:val="004362AF"/>
    <w:rsid w:val="00436E46"/>
    <w:rsid w:val="004370A4"/>
    <w:rsid w:val="00437CAF"/>
    <w:rsid w:val="004402FC"/>
    <w:rsid w:val="00441900"/>
    <w:rsid w:val="00441A1F"/>
    <w:rsid w:val="00441E6D"/>
    <w:rsid w:val="00443160"/>
    <w:rsid w:val="00443793"/>
    <w:rsid w:val="00443832"/>
    <w:rsid w:val="00443837"/>
    <w:rsid w:val="004440C3"/>
    <w:rsid w:val="004442BA"/>
    <w:rsid w:val="0044496F"/>
    <w:rsid w:val="00444B2D"/>
    <w:rsid w:val="00447B6E"/>
    <w:rsid w:val="00447FE1"/>
    <w:rsid w:val="00450220"/>
    <w:rsid w:val="004502F3"/>
    <w:rsid w:val="00450D4C"/>
    <w:rsid w:val="004516F8"/>
    <w:rsid w:val="00451B9D"/>
    <w:rsid w:val="004523F8"/>
    <w:rsid w:val="00452CA9"/>
    <w:rsid w:val="00452CD3"/>
    <w:rsid w:val="00453729"/>
    <w:rsid w:val="00453F1D"/>
    <w:rsid w:val="00454C8A"/>
    <w:rsid w:val="00455847"/>
    <w:rsid w:val="004559E5"/>
    <w:rsid w:val="00455CE2"/>
    <w:rsid w:val="004576DB"/>
    <w:rsid w:val="00457947"/>
    <w:rsid w:val="00457CAC"/>
    <w:rsid w:val="004619C3"/>
    <w:rsid w:val="00461C08"/>
    <w:rsid w:val="00462025"/>
    <w:rsid w:val="00462907"/>
    <w:rsid w:val="00463384"/>
    <w:rsid w:val="00463829"/>
    <w:rsid w:val="0046695A"/>
    <w:rsid w:val="00466F86"/>
    <w:rsid w:val="0046770E"/>
    <w:rsid w:val="00467977"/>
    <w:rsid w:val="00467A08"/>
    <w:rsid w:val="00467E9C"/>
    <w:rsid w:val="00470382"/>
    <w:rsid w:val="0047086F"/>
    <w:rsid w:val="00471C41"/>
    <w:rsid w:val="00472795"/>
    <w:rsid w:val="004727A9"/>
    <w:rsid w:val="004748A6"/>
    <w:rsid w:val="004749FC"/>
    <w:rsid w:val="00475274"/>
    <w:rsid w:val="00476761"/>
    <w:rsid w:val="00476885"/>
    <w:rsid w:val="00477ACC"/>
    <w:rsid w:val="00477B29"/>
    <w:rsid w:val="00477DF9"/>
    <w:rsid w:val="00480220"/>
    <w:rsid w:val="00480A97"/>
    <w:rsid w:val="0048104E"/>
    <w:rsid w:val="0048149C"/>
    <w:rsid w:val="0048191F"/>
    <w:rsid w:val="00481A6C"/>
    <w:rsid w:val="00481E52"/>
    <w:rsid w:val="00482B88"/>
    <w:rsid w:val="004832F3"/>
    <w:rsid w:val="004833DD"/>
    <w:rsid w:val="004833EA"/>
    <w:rsid w:val="004837C3"/>
    <w:rsid w:val="00483A21"/>
    <w:rsid w:val="00483F8C"/>
    <w:rsid w:val="00484869"/>
    <w:rsid w:val="00484E3D"/>
    <w:rsid w:val="00485521"/>
    <w:rsid w:val="00485B81"/>
    <w:rsid w:val="00486116"/>
    <w:rsid w:val="004862AB"/>
    <w:rsid w:val="00487E62"/>
    <w:rsid w:val="00490B77"/>
    <w:rsid w:val="004910B0"/>
    <w:rsid w:val="004913B5"/>
    <w:rsid w:val="0049140B"/>
    <w:rsid w:val="00492266"/>
    <w:rsid w:val="00493254"/>
    <w:rsid w:val="00493C7E"/>
    <w:rsid w:val="004947E8"/>
    <w:rsid w:val="0049683C"/>
    <w:rsid w:val="00496EA6"/>
    <w:rsid w:val="004973A1"/>
    <w:rsid w:val="004978F5"/>
    <w:rsid w:val="004A00A1"/>
    <w:rsid w:val="004A068E"/>
    <w:rsid w:val="004A11EF"/>
    <w:rsid w:val="004A1734"/>
    <w:rsid w:val="004A190E"/>
    <w:rsid w:val="004A2204"/>
    <w:rsid w:val="004A2A3B"/>
    <w:rsid w:val="004A2AD0"/>
    <w:rsid w:val="004A3B49"/>
    <w:rsid w:val="004A3C16"/>
    <w:rsid w:val="004A433D"/>
    <w:rsid w:val="004A4AA4"/>
    <w:rsid w:val="004A4D05"/>
    <w:rsid w:val="004A57AB"/>
    <w:rsid w:val="004B0AD2"/>
    <w:rsid w:val="004B1621"/>
    <w:rsid w:val="004B2EE5"/>
    <w:rsid w:val="004B38E1"/>
    <w:rsid w:val="004B43CC"/>
    <w:rsid w:val="004B46C6"/>
    <w:rsid w:val="004B4736"/>
    <w:rsid w:val="004B5C1A"/>
    <w:rsid w:val="004B6113"/>
    <w:rsid w:val="004B6C27"/>
    <w:rsid w:val="004B6F38"/>
    <w:rsid w:val="004B757A"/>
    <w:rsid w:val="004B78BB"/>
    <w:rsid w:val="004C03B2"/>
    <w:rsid w:val="004C260E"/>
    <w:rsid w:val="004C287D"/>
    <w:rsid w:val="004C2947"/>
    <w:rsid w:val="004C3630"/>
    <w:rsid w:val="004C46EC"/>
    <w:rsid w:val="004C535E"/>
    <w:rsid w:val="004C5EF7"/>
    <w:rsid w:val="004C75DF"/>
    <w:rsid w:val="004D01A0"/>
    <w:rsid w:val="004D0A38"/>
    <w:rsid w:val="004D1B50"/>
    <w:rsid w:val="004D1D5C"/>
    <w:rsid w:val="004D1ECD"/>
    <w:rsid w:val="004D22C2"/>
    <w:rsid w:val="004D2BB5"/>
    <w:rsid w:val="004D2EEB"/>
    <w:rsid w:val="004D37D7"/>
    <w:rsid w:val="004D3D38"/>
    <w:rsid w:val="004D3F36"/>
    <w:rsid w:val="004D4652"/>
    <w:rsid w:val="004D483C"/>
    <w:rsid w:val="004D52D3"/>
    <w:rsid w:val="004D5ABA"/>
    <w:rsid w:val="004D615B"/>
    <w:rsid w:val="004D7007"/>
    <w:rsid w:val="004D75B9"/>
    <w:rsid w:val="004D76AD"/>
    <w:rsid w:val="004D7E89"/>
    <w:rsid w:val="004E00F7"/>
    <w:rsid w:val="004E0F05"/>
    <w:rsid w:val="004E14CE"/>
    <w:rsid w:val="004E1854"/>
    <w:rsid w:val="004E18DF"/>
    <w:rsid w:val="004E195B"/>
    <w:rsid w:val="004E2114"/>
    <w:rsid w:val="004E478B"/>
    <w:rsid w:val="004E4FC1"/>
    <w:rsid w:val="004E50EA"/>
    <w:rsid w:val="004E5B8A"/>
    <w:rsid w:val="004E5BFA"/>
    <w:rsid w:val="004E5FAE"/>
    <w:rsid w:val="004E5FFE"/>
    <w:rsid w:val="004E6616"/>
    <w:rsid w:val="004E6D74"/>
    <w:rsid w:val="004E6DA8"/>
    <w:rsid w:val="004E6EA9"/>
    <w:rsid w:val="004E78B6"/>
    <w:rsid w:val="004F2CD0"/>
    <w:rsid w:val="004F4496"/>
    <w:rsid w:val="004F4852"/>
    <w:rsid w:val="004F5B45"/>
    <w:rsid w:val="004F60F7"/>
    <w:rsid w:val="004F6BFC"/>
    <w:rsid w:val="004F74F6"/>
    <w:rsid w:val="00500AE9"/>
    <w:rsid w:val="00501277"/>
    <w:rsid w:val="00501E06"/>
    <w:rsid w:val="005021FF"/>
    <w:rsid w:val="0050276F"/>
    <w:rsid w:val="0050324C"/>
    <w:rsid w:val="00503921"/>
    <w:rsid w:val="005050B1"/>
    <w:rsid w:val="00506A82"/>
    <w:rsid w:val="00506AF7"/>
    <w:rsid w:val="00506D4E"/>
    <w:rsid w:val="005101F7"/>
    <w:rsid w:val="0051048A"/>
    <w:rsid w:val="005122E5"/>
    <w:rsid w:val="0051324E"/>
    <w:rsid w:val="00514ACD"/>
    <w:rsid w:val="00514B4F"/>
    <w:rsid w:val="005150AE"/>
    <w:rsid w:val="00515B68"/>
    <w:rsid w:val="00515DA5"/>
    <w:rsid w:val="005207BC"/>
    <w:rsid w:val="0052099C"/>
    <w:rsid w:val="00520AE5"/>
    <w:rsid w:val="00520C54"/>
    <w:rsid w:val="005213BD"/>
    <w:rsid w:val="005215E5"/>
    <w:rsid w:val="005217EA"/>
    <w:rsid w:val="00521FDD"/>
    <w:rsid w:val="0052201C"/>
    <w:rsid w:val="00522E8B"/>
    <w:rsid w:val="005244AB"/>
    <w:rsid w:val="00525041"/>
    <w:rsid w:val="0052523A"/>
    <w:rsid w:val="00525DBD"/>
    <w:rsid w:val="00525FB4"/>
    <w:rsid w:val="0052616B"/>
    <w:rsid w:val="00526A70"/>
    <w:rsid w:val="00526ACA"/>
    <w:rsid w:val="005276ED"/>
    <w:rsid w:val="005303CA"/>
    <w:rsid w:val="00532A8E"/>
    <w:rsid w:val="00532AEC"/>
    <w:rsid w:val="00533145"/>
    <w:rsid w:val="005331A1"/>
    <w:rsid w:val="0053458F"/>
    <w:rsid w:val="00534E0C"/>
    <w:rsid w:val="00535454"/>
    <w:rsid w:val="005360CD"/>
    <w:rsid w:val="0053619A"/>
    <w:rsid w:val="005365A2"/>
    <w:rsid w:val="00536E67"/>
    <w:rsid w:val="00536FDA"/>
    <w:rsid w:val="005375B2"/>
    <w:rsid w:val="00537F36"/>
    <w:rsid w:val="00540575"/>
    <w:rsid w:val="0054179C"/>
    <w:rsid w:val="0054199D"/>
    <w:rsid w:val="00541C9E"/>
    <w:rsid w:val="005420E0"/>
    <w:rsid w:val="00544062"/>
    <w:rsid w:val="005443FC"/>
    <w:rsid w:val="00545437"/>
    <w:rsid w:val="00545686"/>
    <w:rsid w:val="00545710"/>
    <w:rsid w:val="005464B6"/>
    <w:rsid w:val="005465C0"/>
    <w:rsid w:val="0054752C"/>
    <w:rsid w:val="005478EA"/>
    <w:rsid w:val="00547F6D"/>
    <w:rsid w:val="00550AD0"/>
    <w:rsid w:val="00550BE5"/>
    <w:rsid w:val="00550E28"/>
    <w:rsid w:val="0055106D"/>
    <w:rsid w:val="005517BE"/>
    <w:rsid w:val="00552A23"/>
    <w:rsid w:val="005531B3"/>
    <w:rsid w:val="00555404"/>
    <w:rsid w:val="005555D7"/>
    <w:rsid w:val="00555D4F"/>
    <w:rsid w:val="005565FC"/>
    <w:rsid w:val="0055710B"/>
    <w:rsid w:val="00557556"/>
    <w:rsid w:val="005576F3"/>
    <w:rsid w:val="0055779E"/>
    <w:rsid w:val="00557936"/>
    <w:rsid w:val="0056313D"/>
    <w:rsid w:val="00563853"/>
    <w:rsid w:val="00563B2E"/>
    <w:rsid w:val="0056421C"/>
    <w:rsid w:val="00564325"/>
    <w:rsid w:val="00564512"/>
    <w:rsid w:val="005645EC"/>
    <w:rsid w:val="005647D2"/>
    <w:rsid w:val="0056482A"/>
    <w:rsid w:val="005653B7"/>
    <w:rsid w:val="0056544B"/>
    <w:rsid w:val="005654FE"/>
    <w:rsid w:val="005656D0"/>
    <w:rsid w:val="0056648D"/>
    <w:rsid w:val="00566563"/>
    <w:rsid w:val="00566D13"/>
    <w:rsid w:val="005679C8"/>
    <w:rsid w:val="00567F5D"/>
    <w:rsid w:val="00570630"/>
    <w:rsid w:val="00570F88"/>
    <w:rsid w:val="005714D8"/>
    <w:rsid w:val="005723AD"/>
    <w:rsid w:val="00573162"/>
    <w:rsid w:val="00573796"/>
    <w:rsid w:val="00573D6D"/>
    <w:rsid w:val="00574083"/>
    <w:rsid w:val="00575066"/>
    <w:rsid w:val="00575568"/>
    <w:rsid w:val="00576143"/>
    <w:rsid w:val="00576F29"/>
    <w:rsid w:val="00580897"/>
    <w:rsid w:val="0058117D"/>
    <w:rsid w:val="0058144A"/>
    <w:rsid w:val="005817D3"/>
    <w:rsid w:val="00581E76"/>
    <w:rsid w:val="005825A0"/>
    <w:rsid w:val="005833B6"/>
    <w:rsid w:val="005833C2"/>
    <w:rsid w:val="005833D5"/>
    <w:rsid w:val="00583672"/>
    <w:rsid w:val="005838AA"/>
    <w:rsid w:val="00584B1A"/>
    <w:rsid w:val="00585208"/>
    <w:rsid w:val="0058520A"/>
    <w:rsid w:val="005853F8"/>
    <w:rsid w:val="00585768"/>
    <w:rsid w:val="00585F88"/>
    <w:rsid w:val="005862BB"/>
    <w:rsid w:val="0058642A"/>
    <w:rsid w:val="00586B67"/>
    <w:rsid w:val="00586B91"/>
    <w:rsid w:val="00586DB2"/>
    <w:rsid w:val="00586FDE"/>
    <w:rsid w:val="00590BF4"/>
    <w:rsid w:val="005917EE"/>
    <w:rsid w:val="005924D3"/>
    <w:rsid w:val="00592C6F"/>
    <w:rsid w:val="00593F4B"/>
    <w:rsid w:val="005946D2"/>
    <w:rsid w:val="005968E0"/>
    <w:rsid w:val="00596D6B"/>
    <w:rsid w:val="005A0330"/>
    <w:rsid w:val="005A06EF"/>
    <w:rsid w:val="005A2CED"/>
    <w:rsid w:val="005A3920"/>
    <w:rsid w:val="005A3CCD"/>
    <w:rsid w:val="005A3D9B"/>
    <w:rsid w:val="005A4DEA"/>
    <w:rsid w:val="005A63EF"/>
    <w:rsid w:val="005A77EA"/>
    <w:rsid w:val="005A7DF8"/>
    <w:rsid w:val="005A7EC1"/>
    <w:rsid w:val="005B01EA"/>
    <w:rsid w:val="005B054B"/>
    <w:rsid w:val="005B1D29"/>
    <w:rsid w:val="005B1FFD"/>
    <w:rsid w:val="005B22DE"/>
    <w:rsid w:val="005B2774"/>
    <w:rsid w:val="005B2A1B"/>
    <w:rsid w:val="005B3083"/>
    <w:rsid w:val="005B3E5D"/>
    <w:rsid w:val="005B58CD"/>
    <w:rsid w:val="005B5B35"/>
    <w:rsid w:val="005B60E7"/>
    <w:rsid w:val="005B6553"/>
    <w:rsid w:val="005B6D28"/>
    <w:rsid w:val="005B6F58"/>
    <w:rsid w:val="005B796B"/>
    <w:rsid w:val="005B7B30"/>
    <w:rsid w:val="005B7DD7"/>
    <w:rsid w:val="005C03D8"/>
    <w:rsid w:val="005C047D"/>
    <w:rsid w:val="005C06B4"/>
    <w:rsid w:val="005C0DB3"/>
    <w:rsid w:val="005C238D"/>
    <w:rsid w:val="005C252A"/>
    <w:rsid w:val="005C3394"/>
    <w:rsid w:val="005C3EAE"/>
    <w:rsid w:val="005C406F"/>
    <w:rsid w:val="005C4934"/>
    <w:rsid w:val="005C5630"/>
    <w:rsid w:val="005C5664"/>
    <w:rsid w:val="005C5C2B"/>
    <w:rsid w:val="005C63F3"/>
    <w:rsid w:val="005C65BB"/>
    <w:rsid w:val="005C686C"/>
    <w:rsid w:val="005C74E3"/>
    <w:rsid w:val="005C789A"/>
    <w:rsid w:val="005D0430"/>
    <w:rsid w:val="005D051C"/>
    <w:rsid w:val="005D2C9E"/>
    <w:rsid w:val="005D2D09"/>
    <w:rsid w:val="005D4E81"/>
    <w:rsid w:val="005D7EAE"/>
    <w:rsid w:val="005E01A3"/>
    <w:rsid w:val="005E0362"/>
    <w:rsid w:val="005E0FC0"/>
    <w:rsid w:val="005E1772"/>
    <w:rsid w:val="005E1F73"/>
    <w:rsid w:val="005E2D71"/>
    <w:rsid w:val="005E318D"/>
    <w:rsid w:val="005E3B5E"/>
    <w:rsid w:val="005E40EF"/>
    <w:rsid w:val="005E44A8"/>
    <w:rsid w:val="005E4618"/>
    <w:rsid w:val="005E4A5A"/>
    <w:rsid w:val="005E4A77"/>
    <w:rsid w:val="005E4E1E"/>
    <w:rsid w:val="005E5618"/>
    <w:rsid w:val="005E56B8"/>
    <w:rsid w:val="005E587A"/>
    <w:rsid w:val="005E6A5C"/>
    <w:rsid w:val="005E6EE4"/>
    <w:rsid w:val="005E6F7C"/>
    <w:rsid w:val="005E7152"/>
    <w:rsid w:val="005E724B"/>
    <w:rsid w:val="005E74E3"/>
    <w:rsid w:val="005F1275"/>
    <w:rsid w:val="005F26C4"/>
    <w:rsid w:val="005F302C"/>
    <w:rsid w:val="005F391C"/>
    <w:rsid w:val="005F4062"/>
    <w:rsid w:val="005F41E5"/>
    <w:rsid w:val="005F4C3C"/>
    <w:rsid w:val="005F5536"/>
    <w:rsid w:val="005F596E"/>
    <w:rsid w:val="005F5F9E"/>
    <w:rsid w:val="005F63F0"/>
    <w:rsid w:val="005F7116"/>
    <w:rsid w:val="00600CAA"/>
    <w:rsid w:val="0060102F"/>
    <w:rsid w:val="006013B4"/>
    <w:rsid w:val="00601720"/>
    <w:rsid w:val="006020DD"/>
    <w:rsid w:val="00602F5B"/>
    <w:rsid w:val="006034B7"/>
    <w:rsid w:val="00603DB4"/>
    <w:rsid w:val="00603DD8"/>
    <w:rsid w:val="00604B54"/>
    <w:rsid w:val="00605228"/>
    <w:rsid w:val="006053F1"/>
    <w:rsid w:val="0060685A"/>
    <w:rsid w:val="00606872"/>
    <w:rsid w:val="00606BF7"/>
    <w:rsid w:val="006077A4"/>
    <w:rsid w:val="00607C12"/>
    <w:rsid w:val="00610039"/>
    <w:rsid w:val="006111AB"/>
    <w:rsid w:val="006125FF"/>
    <w:rsid w:val="00612B51"/>
    <w:rsid w:val="00613008"/>
    <w:rsid w:val="006137A0"/>
    <w:rsid w:val="0061387C"/>
    <w:rsid w:val="006138EA"/>
    <w:rsid w:val="00614E30"/>
    <w:rsid w:val="006153C1"/>
    <w:rsid w:val="00615B42"/>
    <w:rsid w:val="006162A4"/>
    <w:rsid w:val="00616D14"/>
    <w:rsid w:val="00616E7A"/>
    <w:rsid w:val="0061738A"/>
    <w:rsid w:val="006177E1"/>
    <w:rsid w:val="00617955"/>
    <w:rsid w:val="006209AF"/>
    <w:rsid w:val="00621187"/>
    <w:rsid w:val="00621273"/>
    <w:rsid w:val="00621E5E"/>
    <w:rsid w:val="00622D8F"/>
    <w:rsid w:val="00623017"/>
    <w:rsid w:val="00623776"/>
    <w:rsid w:val="0062431B"/>
    <w:rsid w:val="00624377"/>
    <w:rsid w:val="006259FF"/>
    <w:rsid w:val="006261AA"/>
    <w:rsid w:val="00626575"/>
    <w:rsid w:val="00626FBA"/>
    <w:rsid w:val="00627A3B"/>
    <w:rsid w:val="00627CCA"/>
    <w:rsid w:val="00630032"/>
    <w:rsid w:val="00630B17"/>
    <w:rsid w:val="00631C45"/>
    <w:rsid w:val="006320D8"/>
    <w:rsid w:val="0063220F"/>
    <w:rsid w:val="006327DE"/>
    <w:rsid w:val="00632F46"/>
    <w:rsid w:val="00634967"/>
    <w:rsid w:val="00635435"/>
    <w:rsid w:val="00635791"/>
    <w:rsid w:val="00636852"/>
    <w:rsid w:val="00636A26"/>
    <w:rsid w:val="00636A8B"/>
    <w:rsid w:val="00636FC6"/>
    <w:rsid w:val="00637111"/>
    <w:rsid w:val="0063724F"/>
    <w:rsid w:val="006374CC"/>
    <w:rsid w:val="00637C08"/>
    <w:rsid w:val="006408E4"/>
    <w:rsid w:val="00641681"/>
    <w:rsid w:val="00641691"/>
    <w:rsid w:val="006419CF"/>
    <w:rsid w:val="00641BF7"/>
    <w:rsid w:val="00642A7B"/>
    <w:rsid w:val="00642D02"/>
    <w:rsid w:val="00643110"/>
    <w:rsid w:val="00643FD6"/>
    <w:rsid w:val="0064420F"/>
    <w:rsid w:val="00644BCF"/>
    <w:rsid w:val="00644D57"/>
    <w:rsid w:val="006451E1"/>
    <w:rsid w:val="00646266"/>
    <w:rsid w:val="00646CF8"/>
    <w:rsid w:val="0065099D"/>
    <w:rsid w:val="00650C9F"/>
    <w:rsid w:val="00650EF9"/>
    <w:rsid w:val="00651219"/>
    <w:rsid w:val="006516B5"/>
    <w:rsid w:val="00651C1E"/>
    <w:rsid w:val="0065260B"/>
    <w:rsid w:val="0065361C"/>
    <w:rsid w:val="00653AF3"/>
    <w:rsid w:val="006546D3"/>
    <w:rsid w:val="006557F8"/>
    <w:rsid w:val="00655F7A"/>
    <w:rsid w:val="00655FC7"/>
    <w:rsid w:val="00656E2B"/>
    <w:rsid w:val="00656FEA"/>
    <w:rsid w:val="00657862"/>
    <w:rsid w:val="0066001F"/>
    <w:rsid w:val="006606C1"/>
    <w:rsid w:val="00661721"/>
    <w:rsid w:val="00661B13"/>
    <w:rsid w:val="00661E96"/>
    <w:rsid w:val="0066265D"/>
    <w:rsid w:val="00663158"/>
    <w:rsid w:val="006638E5"/>
    <w:rsid w:val="00663DF1"/>
    <w:rsid w:val="00664725"/>
    <w:rsid w:val="00664748"/>
    <w:rsid w:val="00664B75"/>
    <w:rsid w:val="00666583"/>
    <w:rsid w:val="00667685"/>
    <w:rsid w:val="00667B2E"/>
    <w:rsid w:val="006712D4"/>
    <w:rsid w:val="00672173"/>
    <w:rsid w:val="0067295F"/>
    <w:rsid w:val="0067298B"/>
    <w:rsid w:val="00672A89"/>
    <w:rsid w:val="00672E74"/>
    <w:rsid w:val="006737D9"/>
    <w:rsid w:val="00674B05"/>
    <w:rsid w:val="00674F37"/>
    <w:rsid w:val="0067557B"/>
    <w:rsid w:val="006758D4"/>
    <w:rsid w:val="00675EB1"/>
    <w:rsid w:val="00676287"/>
    <w:rsid w:val="00676835"/>
    <w:rsid w:val="006768BE"/>
    <w:rsid w:val="006768F2"/>
    <w:rsid w:val="00680675"/>
    <w:rsid w:val="006808AF"/>
    <w:rsid w:val="00682481"/>
    <w:rsid w:val="0068293B"/>
    <w:rsid w:val="00683944"/>
    <w:rsid w:val="00683B06"/>
    <w:rsid w:val="00684445"/>
    <w:rsid w:val="0068491B"/>
    <w:rsid w:val="006849DC"/>
    <w:rsid w:val="00685D48"/>
    <w:rsid w:val="0068701A"/>
    <w:rsid w:val="0068712E"/>
    <w:rsid w:val="006877E2"/>
    <w:rsid w:val="006906B1"/>
    <w:rsid w:val="00690A1D"/>
    <w:rsid w:val="0069178F"/>
    <w:rsid w:val="00692815"/>
    <w:rsid w:val="00692D0C"/>
    <w:rsid w:val="00693026"/>
    <w:rsid w:val="006934F9"/>
    <w:rsid w:val="00693681"/>
    <w:rsid w:val="0069369B"/>
    <w:rsid w:val="00694735"/>
    <w:rsid w:val="00694820"/>
    <w:rsid w:val="006948C7"/>
    <w:rsid w:val="006949ED"/>
    <w:rsid w:val="0069561F"/>
    <w:rsid w:val="00695659"/>
    <w:rsid w:val="006A0A8C"/>
    <w:rsid w:val="006A0D3E"/>
    <w:rsid w:val="006A21CD"/>
    <w:rsid w:val="006A246C"/>
    <w:rsid w:val="006A249C"/>
    <w:rsid w:val="006A266F"/>
    <w:rsid w:val="006A343A"/>
    <w:rsid w:val="006A4103"/>
    <w:rsid w:val="006A43C7"/>
    <w:rsid w:val="006A4EA4"/>
    <w:rsid w:val="006A502D"/>
    <w:rsid w:val="006A5846"/>
    <w:rsid w:val="006A6253"/>
    <w:rsid w:val="006A6293"/>
    <w:rsid w:val="006A6626"/>
    <w:rsid w:val="006A6923"/>
    <w:rsid w:val="006A6CB3"/>
    <w:rsid w:val="006A79B6"/>
    <w:rsid w:val="006B0294"/>
    <w:rsid w:val="006B1031"/>
    <w:rsid w:val="006B1BF3"/>
    <w:rsid w:val="006B206C"/>
    <w:rsid w:val="006B2247"/>
    <w:rsid w:val="006B2808"/>
    <w:rsid w:val="006B2BC2"/>
    <w:rsid w:val="006B2DBE"/>
    <w:rsid w:val="006B328C"/>
    <w:rsid w:val="006B42E7"/>
    <w:rsid w:val="006B46D9"/>
    <w:rsid w:val="006B4761"/>
    <w:rsid w:val="006B48D2"/>
    <w:rsid w:val="006B4EE0"/>
    <w:rsid w:val="006B5AC5"/>
    <w:rsid w:val="006B6FEF"/>
    <w:rsid w:val="006B7724"/>
    <w:rsid w:val="006B7961"/>
    <w:rsid w:val="006C0778"/>
    <w:rsid w:val="006C0899"/>
    <w:rsid w:val="006C0B7E"/>
    <w:rsid w:val="006C0F84"/>
    <w:rsid w:val="006C1600"/>
    <w:rsid w:val="006C185E"/>
    <w:rsid w:val="006C1E15"/>
    <w:rsid w:val="006C21CF"/>
    <w:rsid w:val="006C265D"/>
    <w:rsid w:val="006C2A34"/>
    <w:rsid w:val="006C5233"/>
    <w:rsid w:val="006C5807"/>
    <w:rsid w:val="006C6003"/>
    <w:rsid w:val="006C66E8"/>
    <w:rsid w:val="006C6F0C"/>
    <w:rsid w:val="006C734E"/>
    <w:rsid w:val="006C7EA7"/>
    <w:rsid w:val="006D0D40"/>
    <w:rsid w:val="006D17B4"/>
    <w:rsid w:val="006D18FB"/>
    <w:rsid w:val="006D1E93"/>
    <w:rsid w:val="006D2110"/>
    <w:rsid w:val="006D3139"/>
    <w:rsid w:val="006D355F"/>
    <w:rsid w:val="006D5799"/>
    <w:rsid w:val="006D6316"/>
    <w:rsid w:val="006D79DD"/>
    <w:rsid w:val="006D7ABF"/>
    <w:rsid w:val="006D7DFD"/>
    <w:rsid w:val="006D7E3E"/>
    <w:rsid w:val="006E0B77"/>
    <w:rsid w:val="006E284C"/>
    <w:rsid w:val="006E2D36"/>
    <w:rsid w:val="006E3623"/>
    <w:rsid w:val="006E3FBF"/>
    <w:rsid w:val="006E45B0"/>
    <w:rsid w:val="006E4B19"/>
    <w:rsid w:val="006E6EA0"/>
    <w:rsid w:val="006F0D71"/>
    <w:rsid w:val="006F15A7"/>
    <w:rsid w:val="006F1B2F"/>
    <w:rsid w:val="006F1CE1"/>
    <w:rsid w:val="006F2A08"/>
    <w:rsid w:val="006F3063"/>
    <w:rsid w:val="006F4276"/>
    <w:rsid w:val="006F4469"/>
    <w:rsid w:val="006F4B17"/>
    <w:rsid w:val="006F4CD4"/>
    <w:rsid w:val="006F5E37"/>
    <w:rsid w:val="006F6E05"/>
    <w:rsid w:val="006F70A3"/>
    <w:rsid w:val="006F7D08"/>
    <w:rsid w:val="007005B1"/>
    <w:rsid w:val="007006F4"/>
    <w:rsid w:val="00700A0F"/>
    <w:rsid w:val="0070120F"/>
    <w:rsid w:val="00701268"/>
    <w:rsid w:val="007013F7"/>
    <w:rsid w:val="00701D7D"/>
    <w:rsid w:val="0070268B"/>
    <w:rsid w:val="00703AE7"/>
    <w:rsid w:val="00703D1F"/>
    <w:rsid w:val="00703E7E"/>
    <w:rsid w:val="0070431F"/>
    <w:rsid w:val="00704337"/>
    <w:rsid w:val="00704956"/>
    <w:rsid w:val="00704B10"/>
    <w:rsid w:val="00704C7C"/>
    <w:rsid w:val="007059F7"/>
    <w:rsid w:val="00705C4A"/>
    <w:rsid w:val="00706394"/>
    <w:rsid w:val="00710BD1"/>
    <w:rsid w:val="00710FF4"/>
    <w:rsid w:val="007110F6"/>
    <w:rsid w:val="0071264B"/>
    <w:rsid w:val="00713F1B"/>
    <w:rsid w:val="0071498F"/>
    <w:rsid w:val="00715A24"/>
    <w:rsid w:val="00716394"/>
    <w:rsid w:val="007201E9"/>
    <w:rsid w:val="007205D4"/>
    <w:rsid w:val="0072280F"/>
    <w:rsid w:val="00722880"/>
    <w:rsid w:val="00722E04"/>
    <w:rsid w:val="007230A8"/>
    <w:rsid w:val="00723FA5"/>
    <w:rsid w:val="0072421F"/>
    <w:rsid w:val="00724CCD"/>
    <w:rsid w:val="007257DB"/>
    <w:rsid w:val="00726E4A"/>
    <w:rsid w:val="00730113"/>
    <w:rsid w:val="007301C1"/>
    <w:rsid w:val="00730A88"/>
    <w:rsid w:val="00730B3B"/>
    <w:rsid w:val="00731108"/>
    <w:rsid w:val="007313E1"/>
    <w:rsid w:val="00731E12"/>
    <w:rsid w:val="00731E9A"/>
    <w:rsid w:val="0073206A"/>
    <w:rsid w:val="00732332"/>
    <w:rsid w:val="00734169"/>
    <w:rsid w:val="00734E69"/>
    <w:rsid w:val="00735D87"/>
    <w:rsid w:val="00735DCD"/>
    <w:rsid w:val="00736CC1"/>
    <w:rsid w:val="00736FE6"/>
    <w:rsid w:val="00740A4E"/>
    <w:rsid w:val="007411C4"/>
    <w:rsid w:val="007428BF"/>
    <w:rsid w:val="00743781"/>
    <w:rsid w:val="00743961"/>
    <w:rsid w:val="00745B67"/>
    <w:rsid w:val="007465E1"/>
    <w:rsid w:val="007506C6"/>
    <w:rsid w:val="00750887"/>
    <w:rsid w:val="0075091B"/>
    <w:rsid w:val="00751037"/>
    <w:rsid w:val="00751429"/>
    <w:rsid w:val="00751774"/>
    <w:rsid w:val="00751F0C"/>
    <w:rsid w:val="00752285"/>
    <w:rsid w:val="007531E6"/>
    <w:rsid w:val="00753805"/>
    <w:rsid w:val="0075456A"/>
    <w:rsid w:val="007554F5"/>
    <w:rsid w:val="00755508"/>
    <w:rsid w:val="0075562A"/>
    <w:rsid w:val="00757100"/>
    <w:rsid w:val="00757271"/>
    <w:rsid w:val="00757DB4"/>
    <w:rsid w:val="00757FFA"/>
    <w:rsid w:val="007636AD"/>
    <w:rsid w:val="00763FC1"/>
    <w:rsid w:val="007646E5"/>
    <w:rsid w:val="00765108"/>
    <w:rsid w:val="00765499"/>
    <w:rsid w:val="00765E20"/>
    <w:rsid w:val="00766275"/>
    <w:rsid w:val="00767FD6"/>
    <w:rsid w:val="0077018B"/>
    <w:rsid w:val="00770940"/>
    <w:rsid w:val="00770EF8"/>
    <w:rsid w:val="00771124"/>
    <w:rsid w:val="0077113E"/>
    <w:rsid w:val="0077134B"/>
    <w:rsid w:val="0077159C"/>
    <w:rsid w:val="00772D70"/>
    <w:rsid w:val="00773AF4"/>
    <w:rsid w:val="00775029"/>
    <w:rsid w:val="00776885"/>
    <w:rsid w:val="00776EFD"/>
    <w:rsid w:val="00776F17"/>
    <w:rsid w:val="00777DE6"/>
    <w:rsid w:val="00777FCD"/>
    <w:rsid w:val="00780F9D"/>
    <w:rsid w:val="007815DA"/>
    <w:rsid w:val="00782468"/>
    <w:rsid w:val="007827FE"/>
    <w:rsid w:val="0078335A"/>
    <w:rsid w:val="007836AD"/>
    <w:rsid w:val="00783761"/>
    <w:rsid w:val="00783970"/>
    <w:rsid w:val="0078448D"/>
    <w:rsid w:val="0078473C"/>
    <w:rsid w:val="00785445"/>
    <w:rsid w:val="007857FE"/>
    <w:rsid w:val="00785A5B"/>
    <w:rsid w:val="00785D95"/>
    <w:rsid w:val="00786A2B"/>
    <w:rsid w:val="007909AE"/>
    <w:rsid w:val="0079185B"/>
    <w:rsid w:val="00791E0A"/>
    <w:rsid w:val="00792DE8"/>
    <w:rsid w:val="0079373F"/>
    <w:rsid w:val="00794586"/>
    <w:rsid w:val="00794BAC"/>
    <w:rsid w:val="00795180"/>
    <w:rsid w:val="00796E28"/>
    <w:rsid w:val="007977AF"/>
    <w:rsid w:val="007A030C"/>
    <w:rsid w:val="007A0692"/>
    <w:rsid w:val="007A1296"/>
    <w:rsid w:val="007A1905"/>
    <w:rsid w:val="007A2B27"/>
    <w:rsid w:val="007A3373"/>
    <w:rsid w:val="007A38A9"/>
    <w:rsid w:val="007A415A"/>
    <w:rsid w:val="007A4CA9"/>
    <w:rsid w:val="007A5C66"/>
    <w:rsid w:val="007A6700"/>
    <w:rsid w:val="007A7185"/>
    <w:rsid w:val="007A79C5"/>
    <w:rsid w:val="007A7B2F"/>
    <w:rsid w:val="007B0846"/>
    <w:rsid w:val="007B1D0C"/>
    <w:rsid w:val="007B1E57"/>
    <w:rsid w:val="007B32AD"/>
    <w:rsid w:val="007B3C59"/>
    <w:rsid w:val="007B3CAA"/>
    <w:rsid w:val="007B3CB1"/>
    <w:rsid w:val="007B43E8"/>
    <w:rsid w:val="007B4729"/>
    <w:rsid w:val="007B4A36"/>
    <w:rsid w:val="007B4BE9"/>
    <w:rsid w:val="007B5C38"/>
    <w:rsid w:val="007B60EF"/>
    <w:rsid w:val="007B6845"/>
    <w:rsid w:val="007B6A89"/>
    <w:rsid w:val="007B6B7C"/>
    <w:rsid w:val="007C011B"/>
    <w:rsid w:val="007C0D12"/>
    <w:rsid w:val="007C1BFC"/>
    <w:rsid w:val="007C3046"/>
    <w:rsid w:val="007C3F60"/>
    <w:rsid w:val="007C4110"/>
    <w:rsid w:val="007C41F0"/>
    <w:rsid w:val="007C474D"/>
    <w:rsid w:val="007C53CD"/>
    <w:rsid w:val="007C5A12"/>
    <w:rsid w:val="007C6CC6"/>
    <w:rsid w:val="007C6E53"/>
    <w:rsid w:val="007D1625"/>
    <w:rsid w:val="007D192F"/>
    <w:rsid w:val="007D2949"/>
    <w:rsid w:val="007D2B78"/>
    <w:rsid w:val="007D2E65"/>
    <w:rsid w:val="007D321A"/>
    <w:rsid w:val="007D3EC6"/>
    <w:rsid w:val="007D40DC"/>
    <w:rsid w:val="007D54B2"/>
    <w:rsid w:val="007D5C05"/>
    <w:rsid w:val="007D6617"/>
    <w:rsid w:val="007E1FC0"/>
    <w:rsid w:val="007E2C3F"/>
    <w:rsid w:val="007E3594"/>
    <w:rsid w:val="007E3FF9"/>
    <w:rsid w:val="007E4042"/>
    <w:rsid w:val="007E4496"/>
    <w:rsid w:val="007E4564"/>
    <w:rsid w:val="007E5D45"/>
    <w:rsid w:val="007E5EFD"/>
    <w:rsid w:val="007F072F"/>
    <w:rsid w:val="007F231E"/>
    <w:rsid w:val="007F3C22"/>
    <w:rsid w:val="007F5189"/>
    <w:rsid w:val="007F5199"/>
    <w:rsid w:val="007F5C74"/>
    <w:rsid w:val="007F69DC"/>
    <w:rsid w:val="007F7015"/>
    <w:rsid w:val="007F7293"/>
    <w:rsid w:val="007F7730"/>
    <w:rsid w:val="007F7BB9"/>
    <w:rsid w:val="007F7EF1"/>
    <w:rsid w:val="00801584"/>
    <w:rsid w:val="00802400"/>
    <w:rsid w:val="0080306D"/>
    <w:rsid w:val="0080421C"/>
    <w:rsid w:val="00804367"/>
    <w:rsid w:val="00804ED3"/>
    <w:rsid w:val="00804FB1"/>
    <w:rsid w:val="00805648"/>
    <w:rsid w:val="00805C47"/>
    <w:rsid w:val="008064F9"/>
    <w:rsid w:val="00806EFC"/>
    <w:rsid w:val="00807A47"/>
    <w:rsid w:val="00810753"/>
    <w:rsid w:val="00810A34"/>
    <w:rsid w:val="00810AEA"/>
    <w:rsid w:val="00810B98"/>
    <w:rsid w:val="00810BA6"/>
    <w:rsid w:val="00810C30"/>
    <w:rsid w:val="0081170C"/>
    <w:rsid w:val="00811757"/>
    <w:rsid w:val="00811FB8"/>
    <w:rsid w:val="00812347"/>
    <w:rsid w:val="00813626"/>
    <w:rsid w:val="00813979"/>
    <w:rsid w:val="00813AAA"/>
    <w:rsid w:val="00815EF3"/>
    <w:rsid w:val="00816482"/>
    <w:rsid w:val="00816A7D"/>
    <w:rsid w:val="00817EC0"/>
    <w:rsid w:val="0082069F"/>
    <w:rsid w:val="00820AF8"/>
    <w:rsid w:val="00821958"/>
    <w:rsid w:val="0082260B"/>
    <w:rsid w:val="00822703"/>
    <w:rsid w:val="008227DC"/>
    <w:rsid w:val="00822882"/>
    <w:rsid w:val="008228D5"/>
    <w:rsid w:val="00823613"/>
    <w:rsid w:val="0082361C"/>
    <w:rsid w:val="00823693"/>
    <w:rsid w:val="00823EB0"/>
    <w:rsid w:val="00824892"/>
    <w:rsid w:val="00824AD5"/>
    <w:rsid w:val="00824AE0"/>
    <w:rsid w:val="0082521C"/>
    <w:rsid w:val="00825DEC"/>
    <w:rsid w:val="00825FDD"/>
    <w:rsid w:val="008262EA"/>
    <w:rsid w:val="008266BB"/>
    <w:rsid w:val="008276EE"/>
    <w:rsid w:val="00827841"/>
    <w:rsid w:val="008306F9"/>
    <w:rsid w:val="00830EC0"/>
    <w:rsid w:val="00831243"/>
    <w:rsid w:val="008315A3"/>
    <w:rsid w:val="0083286C"/>
    <w:rsid w:val="00833DE6"/>
    <w:rsid w:val="00834CA2"/>
    <w:rsid w:val="00836265"/>
    <w:rsid w:val="008364EF"/>
    <w:rsid w:val="00836980"/>
    <w:rsid w:val="00837060"/>
    <w:rsid w:val="00837A71"/>
    <w:rsid w:val="00837A9A"/>
    <w:rsid w:val="008406F8"/>
    <w:rsid w:val="008407F1"/>
    <w:rsid w:val="00840CB4"/>
    <w:rsid w:val="00840F26"/>
    <w:rsid w:val="00841497"/>
    <w:rsid w:val="00842575"/>
    <w:rsid w:val="0084262D"/>
    <w:rsid w:val="0084428B"/>
    <w:rsid w:val="008447F5"/>
    <w:rsid w:val="00845A53"/>
    <w:rsid w:val="00847441"/>
    <w:rsid w:val="00847A2F"/>
    <w:rsid w:val="008518C8"/>
    <w:rsid w:val="00852037"/>
    <w:rsid w:val="00852AB1"/>
    <w:rsid w:val="008542CA"/>
    <w:rsid w:val="00854BA0"/>
    <w:rsid w:val="00854CA9"/>
    <w:rsid w:val="00854FC5"/>
    <w:rsid w:val="008552E7"/>
    <w:rsid w:val="0085558D"/>
    <w:rsid w:val="0085559B"/>
    <w:rsid w:val="00855745"/>
    <w:rsid w:val="00855E03"/>
    <w:rsid w:val="0085607D"/>
    <w:rsid w:val="00856824"/>
    <w:rsid w:val="00856EB4"/>
    <w:rsid w:val="008570AC"/>
    <w:rsid w:val="008575BB"/>
    <w:rsid w:val="00860CB1"/>
    <w:rsid w:val="00860CEA"/>
    <w:rsid w:val="00860E28"/>
    <w:rsid w:val="008613D6"/>
    <w:rsid w:val="008614FC"/>
    <w:rsid w:val="0086288D"/>
    <w:rsid w:val="00863288"/>
    <w:rsid w:val="00863BC6"/>
    <w:rsid w:val="008640B7"/>
    <w:rsid w:val="00865A4E"/>
    <w:rsid w:val="008664DE"/>
    <w:rsid w:val="008668D5"/>
    <w:rsid w:val="008676D5"/>
    <w:rsid w:val="00867D2B"/>
    <w:rsid w:val="0087157E"/>
    <w:rsid w:val="0087166C"/>
    <w:rsid w:val="00871C01"/>
    <w:rsid w:val="00871C2D"/>
    <w:rsid w:val="00872207"/>
    <w:rsid w:val="00872723"/>
    <w:rsid w:val="0087274F"/>
    <w:rsid w:val="0087280E"/>
    <w:rsid w:val="00872FF1"/>
    <w:rsid w:val="008730A3"/>
    <w:rsid w:val="008734ED"/>
    <w:rsid w:val="00873B94"/>
    <w:rsid w:val="0087485A"/>
    <w:rsid w:val="00875007"/>
    <w:rsid w:val="00875C3B"/>
    <w:rsid w:val="00875D1A"/>
    <w:rsid w:val="00876009"/>
    <w:rsid w:val="008771C2"/>
    <w:rsid w:val="008774DC"/>
    <w:rsid w:val="00877576"/>
    <w:rsid w:val="0087788C"/>
    <w:rsid w:val="0088025C"/>
    <w:rsid w:val="00880DF0"/>
    <w:rsid w:val="0088129E"/>
    <w:rsid w:val="00881FBB"/>
    <w:rsid w:val="008823B4"/>
    <w:rsid w:val="00882B03"/>
    <w:rsid w:val="008836C4"/>
    <w:rsid w:val="0088389C"/>
    <w:rsid w:val="00883A99"/>
    <w:rsid w:val="00883C7B"/>
    <w:rsid w:val="008856DB"/>
    <w:rsid w:val="00885AD9"/>
    <w:rsid w:val="00886AB8"/>
    <w:rsid w:val="008878D4"/>
    <w:rsid w:val="008905DF"/>
    <w:rsid w:val="0089077E"/>
    <w:rsid w:val="00890969"/>
    <w:rsid w:val="00891669"/>
    <w:rsid w:val="008916D0"/>
    <w:rsid w:val="008925B8"/>
    <w:rsid w:val="00892611"/>
    <w:rsid w:val="008934A7"/>
    <w:rsid w:val="00893A3E"/>
    <w:rsid w:val="00894AF4"/>
    <w:rsid w:val="00895C75"/>
    <w:rsid w:val="00896E87"/>
    <w:rsid w:val="008A04A3"/>
    <w:rsid w:val="008A19B2"/>
    <w:rsid w:val="008A1EAE"/>
    <w:rsid w:val="008A2274"/>
    <w:rsid w:val="008A2497"/>
    <w:rsid w:val="008A26CC"/>
    <w:rsid w:val="008A2A48"/>
    <w:rsid w:val="008A2B7C"/>
    <w:rsid w:val="008A3390"/>
    <w:rsid w:val="008A3C01"/>
    <w:rsid w:val="008A3EEC"/>
    <w:rsid w:val="008A4601"/>
    <w:rsid w:val="008A4AD9"/>
    <w:rsid w:val="008A4B76"/>
    <w:rsid w:val="008A5758"/>
    <w:rsid w:val="008A5CA5"/>
    <w:rsid w:val="008A5D68"/>
    <w:rsid w:val="008A78AD"/>
    <w:rsid w:val="008B2098"/>
    <w:rsid w:val="008B2146"/>
    <w:rsid w:val="008B22D2"/>
    <w:rsid w:val="008B2310"/>
    <w:rsid w:val="008B23E5"/>
    <w:rsid w:val="008B2791"/>
    <w:rsid w:val="008B2AD7"/>
    <w:rsid w:val="008B2C1C"/>
    <w:rsid w:val="008B39DD"/>
    <w:rsid w:val="008B4BCA"/>
    <w:rsid w:val="008B56CB"/>
    <w:rsid w:val="008B6A15"/>
    <w:rsid w:val="008B748B"/>
    <w:rsid w:val="008B7619"/>
    <w:rsid w:val="008B7953"/>
    <w:rsid w:val="008C06E1"/>
    <w:rsid w:val="008C0856"/>
    <w:rsid w:val="008C1112"/>
    <w:rsid w:val="008C1D67"/>
    <w:rsid w:val="008C2D2B"/>
    <w:rsid w:val="008C2DC2"/>
    <w:rsid w:val="008C302A"/>
    <w:rsid w:val="008C3EEC"/>
    <w:rsid w:val="008C4E32"/>
    <w:rsid w:val="008C5880"/>
    <w:rsid w:val="008C64C9"/>
    <w:rsid w:val="008C6E0A"/>
    <w:rsid w:val="008C7C92"/>
    <w:rsid w:val="008D16DD"/>
    <w:rsid w:val="008D23BF"/>
    <w:rsid w:val="008D2F4B"/>
    <w:rsid w:val="008D3A78"/>
    <w:rsid w:val="008D4A74"/>
    <w:rsid w:val="008D4CAF"/>
    <w:rsid w:val="008D5B11"/>
    <w:rsid w:val="008D5DE2"/>
    <w:rsid w:val="008D5E25"/>
    <w:rsid w:val="008D5E81"/>
    <w:rsid w:val="008D7F42"/>
    <w:rsid w:val="008E00D5"/>
    <w:rsid w:val="008E03B9"/>
    <w:rsid w:val="008E0DF2"/>
    <w:rsid w:val="008E16F2"/>
    <w:rsid w:val="008E24F0"/>
    <w:rsid w:val="008E25F3"/>
    <w:rsid w:val="008E2AF4"/>
    <w:rsid w:val="008E32EA"/>
    <w:rsid w:val="008E3780"/>
    <w:rsid w:val="008E39BC"/>
    <w:rsid w:val="008E3AF6"/>
    <w:rsid w:val="008E43FC"/>
    <w:rsid w:val="008E5A79"/>
    <w:rsid w:val="008E649D"/>
    <w:rsid w:val="008E75AE"/>
    <w:rsid w:val="008E794F"/>
    <w:rsid w:val="008F01A6"/>
    <w:rsid w:val="008F0464"/>
    <w:rsid w:val="008F0831"/>
    <w:rsid w:val="008F0E28"/>
    <w:rsid w:val="008F14F8"/>
    <w:rsid w:val="008F1648"/>
    <w:rsid w:val="008F1C62"/>
    <w:rsid w:val="008F23E3"/>
    <w:rsid w:val="008F2563"/>
    <w:rsid w:val="008F29BC"/>
    <w:rsid w:val="008F376F"/>
    <w:rsid w:val="008F3CDF"/>
    <w:rsid w:val="008F3D90"/>
    <w:rsid w:val="008F4129"/>
    <w:rsid w:val="008F4368"/>
    <w:rsid w:val="008F456E"/>
    <w:rsid w:val="008F55E4"/>
    <w:rsid w:val="008F59C6"/>
    <w:rsid w:val="008F6039"/>
    <w:rsid w:val="008F612F"/>
    <w:rsid w:val="008F66C2"/>
    <w:rsid w:val="008F6810"/>
    <w:rsid w:val="008F74BA"/>
    <w:rsid w:val="008F75E9"/>
    <w:rsid w:val="0090033D"/>
    <w:rsid w:val="00902535"/>
    <w:rsid w:val="00903936"/>
    <w:rsid w:val="00903B8D"/>
    <w:rsid w:val="009045C8"/>
    <w:rsid w:val="00904675"/>
    <w:rsid w:val="00904BBE"/>
    <w:rsid w:val="00904C38"/>
    <w:rsid w:val="00905232"/>
    <w:rsid w:val="00905A95"/>
    <w:rsid w:val="00905FD5"/>
    <w:rsid w:val="009060F9"/>
    <w:rsid w:val="009069B4"/>
    <w:rsid w:val="00910C6C"/>
    <w:rsid w:val="00911AE1"/>
    <w:rsid w:val="00912189"/>
    <w:rsid w:val="00912743"/>
    <w:rsid w:val="00912CED"/>
    <w:rsid w:val="009140FD"/>
    <w:rsid w:val="009146E5"/>
    <w:rsid w:val="009147DD"/>
    <w:rsid w:val="0091519C"/>
    <w:rsid w:val="009152D0"/>
    <w:rsid w:val="0091590B"/>
    <w:rsid w:val="00915F31"/>
    <w:rsid w:val="0091635D"/>
    <w:rsid w:val="00916464"/>
    <w:rsid w:val="00916E16"/>
    <w:rsid w:val="009174C1"/>
    <w:rsid w:val="00917DA6"/>
    <w:rsid w:val="00920110"/>
    <w:rsid w:val="00920139"/>
    <w:rsid w:val="009209E0"/>
    <w:rsid w:val="00920F0D"/>
    <w:rsid w:val="00921749"/>
    <w:rsid w:val="009217A0"/>
    <w:rsid w:val="009219F2"/>
    <w:rsid w:val="009234DF"/>
    <w:rsid w:val="009236BB"/>
    <w:rsid w:val="009243C7"/>
    <w:rsid w:val="00924751"/>
    <w:rsid w:val="00924AB3"/>
    <w:rsid w:val="00925076"/>
    <w:rsid w:val="009257C3"/>
    <w:rsid w:val="00925CF1"/>
    <w:rsid w:val="0092602E"/>
    <w:rsid w:val="00926C7E"/>
    <w:rsid w:val="0093056B"/>
    <w:rsid w:val="00930A36"/>
    <w:rsid w:val="00930BEB"/>
    <w:rsid w:val="00930D76"/>
    <w:rsid w:val="00930EC1"/>
    <w:rsid w:val="00932292"/>
    <w:rsid w:val="00933705"/>
    <w:rsid w:val="0093413E"/>
    <w:rsid w:val="009346E2"/>
    <w:rsid w:val="009348BC"/>
    <w:rsid w:val="00935999"/>
    <w:rsid w:val="009371E5"/>
    <w:rsid w:val="0093790F"/>
    <w:rsid w:val="00937D7E"/>
    <w:rsid w:val="00940946"/>
    <w:rsid w:val="00941B65"/>
    <w:rsid w:val="00941CBA"/>
    <w:rsid w:val="00942612"/>
    <w:rsid w:val="00944209"/>
    <w:rsid w:val="009442C1"/>
    <w:rsid w:val="00945698"/>
    <w:rsid w:val="00945782"/>
    <w:rsid w:val="00945921"/>
    <w:rsid w:val="00946BA7"/>
    <w:rsid w:val="00946E09"/>
    <w:rsid w:val="0094791B"/>
    <w:rsid w:val="00947BF0"/>
    <w:rsid w:val="0095097E"/>
    <w:rsid w:val="00950AEA"/>
    <w:rsid w:val="0095196D"/>
    <w:rsid w:val="0095199D"/>
    <w:rsid w:val="00951D19"/>
    <w:rsid w:val="00951FB2"/>
    <w:rsid w:val="00952181"/>
    <w:rsid w:val="0095230B"/>
    <w:rsid w:val="00952598"/>
    <w:rsid w:val="00952D6A"/>
    <w:rsid w:val="00952E2F"/>
    <w:rsid w:val="00953268"/>
    <w:rsid w:val="00954ECF"/>
    <w:rsid w:val="00957884"/>
    <w:rsid w:val="00957E7D"/>
    <w:rsid w:val="00960B17"/>
    <w:rsid w:val="00960BB4"/>
    <w:rsid w:val="00961822"/>
    <w:rsid w:val="0096193F"/>
    <w:rsid w:val="009626F6"/>
    <w:rsid w:val="009637FA"/>
    <w:rsid w:val="00963F5C"/>
    <w:rsid w:val="00964760"/>
    <w:rsid w:val="00964DCF"/>
    <w:rsid w:val="00965A80"/>
    <w:rsid w:val="00965D3F"/>
    <w:rsid w:val="0096718F"/>
    <w:rsid w:val="0097072D"/>
    <w:rsid w:val="009708E8"/>
    <w:rsid w:val="0097252B"/>
    <w:rsid w:val="00972AC5"/>
    <w:rsid w:val="00972E95"/>
    <w:rsid w:val="00973FBB"/>
    <w:rsid w:val="0097410B"/>
    <w:rsid w:val="00974678"/>
    <w:rsid w:val="00975581"/>
    <w:rsid w:val="009757E3"/>
    <w:rsid w:val="009768D1"/>
    <w:rsid w:val="009801D3"/>
    <w:rsid w:val="009802E6"/>
    <w:rsid w:val="00980409"/>
    <w:rsid w:val="0098042A"/>
    <w:rsid w:val="00980A14"/>
    <w:rsid w:val="00980AFF"/>
    <w:rsid w:val="009822B6"/>
    <w:rsid w:val="00982762"/>
    <w:rsid w:val="0098299D"/>
    <w:rsid w:val="00982B2A"/>
    <w:rsid w:val="0098324D"/>
    <w:rsid w:val="009837AA"/>
    <w:rsid w:val="0098518F"/>
    <w:rsid w:val="0098525E"/>
    <w:rsid w:val="009852DE"/>
    <w:rsid w:val="00985506"/>
    <w:rsid w:val="00985639"/>
    <w:rsid w:val="009910C9"/>
    <w:rsid w:val="00992801"/>
    <w:rsid w:val="00992B1D"/>
    <w:rsid w:val="00993780"/>
    <w:rsid w:val="00994AC9"/>
    <w:rsid w:val="0099519B"/>
    <w:rsid w:val="0099593D"/>
    <w:rsid w:val="00995E41"/>
    <w:rsid w:val="009961BF"/>
    <w:rsid w:val="009962E8"/>
    <w:rsid w:val="009962F6"/>
    <w:rsid w:val="00996990"/>
    <w:rsid w:val="009972EC"/>
    <w:rsid w:val="00997674"/>
    <w:rsid w:val="009A05AE"/>
    <w:rsid w:val="009A0622"/>
    <w:rsid w:val="009A251C"/>
    <w:rsid w:val="009A295A"/>
    <w:rsid w:val="009A4FC3"/>
    <w:rsid w:val="009A5337"/>
    <w:rsid w:val="009A5E71"/>
    <w:rsid w:val="009A5F4B"/>
    <w:rsid w:val="009A7418"/>
    <w:rsid w:val="009A7789"/>
    <w:rsid w:val="009B07E0"/>
    <w:rsid w:val="009B115E"/>
    <w:rsid w:val="009B1175"/>
    <w:rsid w:val="009B1401"/>
    <w:rsid w:val="009B1D94"/>
    <w:rsid w:val="009B2BD7"/>
    <w:rsid w:val="009B3215"/>
    <w:rsid w:val="009B378D"/>
    <w:rsid w:val="009B4295"/>
    <w:rsid w:val="009B511C"/>
    <w:rsid w:val="009B566E"/>
    <w:rsid w:val="009B6552"/>
    <w:rsid w:val="009B6722"/>
    <w:rsid w:val="009B75A1"/>
    <w:rsid w:val="009B7BA9"/>
    <w:rsid w:val="009C0580"/>
    <w:rsid w:val="009C1E8E"/>
    <w:rsid w:val="009C26DA"/>
    <w:rsid w:val="009C32C3"/>
    <w:rsid w:val="009C48A1"/>
    <w:rsid w:val="009C4CF0"/>
    <w:rsid w:val="009C515C"/>
    <w:rsid w:val="009C5CBD"/>
    <w:rsid w:val="009C668C"/>
    <w:rsid w:val="009D0398"/>
    <w:rsid w:val="009D0D48"/>
    <w:rsid w:val="009D1753"/>
    <w:rsid w:val="009D19E8"/>
    <w:rsid w:val="009D1A1C"/>
    <w:rsid w:val="009D1FAE"/>
    <w:rsid w:val="009D20C4"/>
    <w:rsid w:val="009D2BB6"/>
    <w:rsid w:val="009D32D6"/>
    <w:rsid w:val="009D3FF2"/>
    <w:rsid w:val="009D4380"/>
    <w:rsid w:val="009D5152"/>
    <w:rsid w:val="009D690D"/>
    <w:rsid w:val="009D699B"/>
    <w:rsid w:val="009D6C56"/>
    <w:rsid w:val="009D6C8D"/>
    <w:rsid w:val="009D70DE"/>
    <w:rsid w:val="009D7964"/>
    <w:rsid w:val="009D7987"/>
    <w:rsid w:val="009E2029"/>
    <w:rsid w:val="009E2411"/>
    <w:rsid w:val="009E26A6"/>
    <w:rsid w:val="009E26D5"/>
    <w:rsid w:val="009E445A"/>
    <w:rsid w:val="009E44E9"/>
    <w:rsid w:val="009E51D2"/>
    <w:rsid w:val="009F031D"/>
    <w:rsid w:val="009F0985"/>
    <w:rsid w:val="009F16A4"/>
    <w:rsid w:val="009F26BB"/>
    <w:rsid w:val="009F2F3E"/>
    <w:rsid w:val="009F38E4"/>
    <w:rsid w:val="009F402E"/>
    <w:rsid w:val="009F4635"/>
    <w:rsid w:val="009F65A3"/>
    <w:rsid w:val="009F6794"/>
    <w:rsid w:val="009F6B00"/>
    <w:rsid w:val="009F6B46"/>
    <w:rsid w:val="009F767D"/>
    <w:rsid w:val="00A00954"/>
    <w:rsid w:val="00A00B99"/>
    <w:rsid w:val="00A01CF5"/>
    <w:rsid w:val="00A030C0"/>
    <w:rsid w:val="00A034A4"/>
    <w:rsid w:val="00A039D0"/>
    <w:rsid w:val="00A0583D"/>
    <w:rsid w:val="00A06185"/>
    <w:rsid w:val="00A06BFB"/>
    <w:rsid w:val="00A07451"/>
    <w:rsid w:val="00A1006C"/>
    <w:rsid w:val="00A10089"/>
    <w:rsid w:val="00A10ECA"/>
    <w:rsid w:val="00A127A4"/>
    <w:rsid w:val="00A12871"/>
    <w:rsid w:val="00A14429"/>
    <w:rsid w:val="00A14F46"/>
    <w:rsid w:val="00A152C0"/>
    <w:rsid w:val="00A15B7B"/>
    <w:rsid w:val="00A15DD0"/>
    <w:rsid w:val="00A1662C"/>
    <w:rsid w:val="00A16854"/>
    <w:rsid w:val="00A16DCB"/>
    <w:rsid w:val="00A172E2"/>
    <w:rsid w:val="00A20851"/>
    <w:rsid w:val="00A20A78"/>
    <w:rsid w:val="00A20ADA"/>
    <w:rsid w:val="00A21812"/>
    <w:rsid w:val="00A21FDE"/>
    <w:rsid w:val="00A228C0"/>
    <w:rsid w:val="00A230FA"/>
    <w:rsid w:val="00A236E1"/>
    <w:rsid w:val="00A24043"/>
    <w:rsid w:val="00A24907"/>
    <w:rsid w:val="00A24AEC"/>
    <w:rsid w:val="00A24CD0"/>
    <w:rsid w:val="00A24E7F"/>
    <w:rsid w:val="00A26027"/>
    <w:rsid w:val="00A27332"/>
    <w:rsid w:val="00A27FE3"/>
    <w:rsid w:val="00A30C1F"/>
    <w:rsid w:val="00A3171F"/>
    <w:rsid w:val="00A3215B"/>
    <w:rsid w:val="00A3267E"/>
    <w:rsid w:val="00A32D91"/>
    <w:rsid w:val="00A33178"/>
    <w:rsid w:val="00A331B9"/>
    <w:rsid w:val="00A3363E"/>
    <w:rsid w:val="00A33D75"/>
    <w:rsid w:val="00A34DA2"/>
    <w:rsid w:val="00A35938"/>
    <w:rsid w:val="00A40B26"/>
    <w:rsid w:val="00A41493"/>
    <w:rsid w:val="00A42076"/>
    <w:rsid w:val="00A4297D"/>
    <w:rsid w:val="00A429EA"/>
    <w:rsid w:val="00A42A34"/>
    <w:rsid w:val="00A42A75"/>
    <w:rsid w:val="00A42F70"/>
    <w:rsid w:val="00A43509"/>
    <w:rsid w:val="00A43D3F"/>
    <w:rsid w:val="00A43D59"/>
    <w:rsid w:val="00A44CDC"/>
    <w:rsid w:val="00A44DDF"/>
    <w:rsid w:val="00A461F5"/>
    <w:rsid w:val="00A479C6"/>
    <w:rsid w:val="00A501BA"/>
    <w:rsid w:val="00A520F2"/>
    <w:rsid w:val="00A52214"/>
    <w:rsid w:val="00A527FE"/>
    <w:rsid w:val="00A53680"/>
    <w:rsid w:val="00A53D8C"/>
    <w:rsid w:val="00A53EF5"/>
    <w:rsid w:val="00A54AF8"/>
    <w:rsid w:val="00A5564B"/>
    <w:rsid w:val="00A5573F"/>
    <w:rsid w:val="00A560EE"/>
    <w:rsid w:val="00A56648"/>
    <w:rsid w:val="00A56DCA"/>
    <w:rsid w:val="00A57044"/>
    <w:rsid w:val="00A5739E"/>
    <w:rsid w:val="00A608A3"/>
    <w:rsid w:val="00A61248"/>
    <w:rsid w:val="00A61490"/>
    <w:rsid w:val="00A62225"/>
    <w:rsid w:val="00A622C4"/>
    <w:rsid w:val="00A627B1"/>
    <w:rsid w:val="00A629F5"/>
    <w:rsid w:val="00A63290"/>
    <w:rsid w:val="00A63679"/>
    <w:rsid w:val="00A63932"/>
    <w:rsid w:val="00A63DE6"/>
    <w:rsid w:val="00A642D9"/>
    <w:rsid w:val="00A64349"/>
    <w:rsid w:val="00A646D9"/>
    <w:rsid w:val="00A65403"/>
    <w:rsid w:val="00A6567A"/>
    <w:rsid w:val="00A65962"/>
    <w:rsid w:val="00A66629"/>
    <w:rsid w:val="00A66B87"/>
    <w:rsid w:val="00A66D89"/>
    <w:rsid w:val="00A678D3"/>
    <w:rsid w:val="00A70093"/>
    <w:rsid w:val="00A70612"/>
    <w:rsid w:val="00A71F6D"/>
    <w:rsid w:val="00A728B7"/>
    <w:rsid w:val="00A736E9"/>
    <w:rsid w:val="00A73957"/>
    <w:rsid w:val="00A73E31"/>
    <w:rsid w:val="00A75378"/>
    <w:rsid w:val="00A755B2"/>
    <w:rsid w:val="00A75D30"/>
    <w:rsid w:val="00A7683E"/>
    <w:rsid w:val="00A76E03"/>
    <w:rsid w:val="00A7732C"/>
    <w:rsid w:val="00A77371"/>
    <w:rsid w:val="00A8063E"/>
    <w:rsid w:val="00A80AB5"/>
    <w:rsid w:val="00A80EBF"/>
    <w:rsid w:val="00A81C0A"/>
    <w:rsid w:val="00A84F7F"/>
    <w:rsid w:val="00A85455"/>
    <w:rsid w:val="00A85DA8"/>
    <w:rsid w:val="00A86E0B"/>
    <w:rsid w:val="00A86F3E"/>
    <w:rsid w:val="00A8A134"/>
    <w:rsid w:val="00A91EAA"/>
    <w:rsid w:val="00A91F4C"/>
    <w:rsid w:val="00A9205A"/>
    <w:rsid w:val="00A9252D"/>
    <w:rsid w:val="00A929A0"/>
    <w:rsid w:val="00A93251"/>
    <w:rsid w:val="00A93A05"/>
    <w:rsid w:val="00A93F56"/>
    <w:rsid w:val="00A9504B"/>
    <w:rsid w:val="00A950B3"/>
    <w:rsid w:val="00A96675"/>
    <w:rsid w:val="00A96E93"/>
    <w:rsid w:val="00A96EE7"/>
    <w:rsid w:val="00AA0140"/>
    <w:rsid w:val="00AA083A"/>
    <w:rsid w:val="00AA1191"/>
    <w:rsid w:val="00AA1269"/>
    <w:rsid w:val="00AA15E5"/>
    <w:rsid w:val="00AA1674"/>
    <w:rsid w:val="00AA17C1"/>
    <w:rsid w:val="00AA18B3"/>
    <w:rsid w:val="00AA1C0E"/>
    <w:rsid w:val="00AA1CED"/>
    <w:rsid w:val="00AA2411"/>
    <w:rsid w:val="00AA2CC9"/>
    <w:rsid w:val="00AA3A02"/>
    <w:rsid w:val="00AA44FC"/>
    <w:rsid w:val="00AA4F8C"/>
    <w:rsid w:val="00AA61D3"/>
    <w:rsid w:val="00AA633D"/>
    <w:rsid w:val="00AA6555"/>
    <w:rsid w:val="00AA6779"/>
    <w:rsid w:val="00AA6E5A"/>
    <w:rsid w:val="00AA6F8A"/>
    <w:rsid w:val="00AA749C"/>
    <w:rsid w:val="00AB08EE"/>
    <w:rsid w:val="00AB15A1"/>
    <w:rsid w:val="00AB18CD"/>
    <w:rsid w:val="00AB2424"/>
    <w:rsid w:val="00AB2926"/>
    <w:rsid w:val="00AB2AE6"/>
    <w:rsid w:val="00AB2CAD"/>
    <w:rsid w:val="00AB32D5"/>
    <w:rsid w:val="00AB42FA"/>
    <w:rsid w:val="00AB4A72"/>
    <w:rsid w:val="00AB5508"/>
    <w:rsid w:val="00AB5AD8"/>
    <w:rsid w:val="00AB72B3"/>
    <w:rsid w:val="00AB73EC"/>
    <w:rsid w:val="00AB76FD"/>
    <w:rsid w:val="00AC00AB"/>
    <w:rsid w:val="00AC2B84"/>
    <w:rsid w:val="00AC30BC"/>
    <w:rsid w:val="00AC3223"/>
    <w:rsid w:val="00AC4872"/>
    <w:rsid w:val="00AC4E48"/>
    <w:rsid w:val="00AC543B"/>
    <w:rsid w:val="00AC546F"/>
    <w:rsid w:val="00AC6361"/>
    <w:rsid w:val="00AC6B51"/>
    <w:rsid w:val="00AC6C81"/>
    <w:rsid w:val="00AC7060"/>
    <w:rsid w:val="00AC788A"/>
    <w:rsid w:val="00AD022D"/>
    <w:rsid w:val="00AD0290"/>
    <w:rsid w:val="00AD0CE4"/>
    <w:rsid w:val="00AD17D9"/>
    <w:rsid w:val="00AD3578"/>
    <w:rsid w:val="00AD398C"/>
    <w:rsid w:val="00AD41D1"/>
    <w:rsid w:val="00AD4D68"/>
    <w:rsid w:val="00AD532D"/>
    <w:rsid w:val="00AD551F"/>
    <w:rsid w:val="00AD5696"/>
    <w:rsid w:val="00AD6022"/>
    <w:rsid w:val="00AD6709"/>
    <w:rsid w:val="00AD6915"/>
    <w:rsid w:val="00AD76B9"/>
    <w:rsid w:val="00AD7A14"/>
    <w:rsid w:val="00AD7C2B"/>
    <w:rsid w:val="00AD7C2F"/>
    <w:rsid w:val="00AD7C3B"/>
    <w:rsid w:val="00AE05B7"/>
    <w:rsid w:val="00AE08F8"/>
    <w:rsid w:val="00AE0DDB"/>
    <w:rsid w:val="00AE0FE9"/>
    <w:rsid w:val="00AE1A0E"/>
    <w:rsid w:val="00AE225C"/>
    <w:rsid w:val="00AE2800"/>
    <w:rsid w:val="00AE2C0B"/>
    <w:rsid w:val="00AE3458"/>
    <w:rsid w:val="00AE3A56"/>
    <w:rsid w:val="00AE478C"/>
    <w:rsid w:val="00AE49D2"/>
    <w:rsid w:val="00AE4EC5"/>
    <w:rsid w:val="00AE53BD"/>
    <w:rsid w:val="00AE5A18"/>
    <w:rsid w:val="00AE5FA0"/>
    <w:rsid w:val="00AE6D1B"/>
    <w:rsid w:val="00AE6F0C"/>
    <w:rsid w:val="00AE79CF"/>
    <w:rsid w:val="00AE7D85"/>
    <w:rsid w:val="00AF0078"/>
    <w:rsid w:val="00AF07B5"/>
    <w:rsid w:val="00AF0A64"/>
    <w:rsid w:val="00AF142D"/>
    <w:rsid w:val="00AF1A1A"/>
    <w:rsid w:val="00AF1A7A"/>
    <w:rsid w:val="00AF2224"/>
    <w:rsid w:val="00AF274E"/>
    <w:rsid w:val="00AF2B3C"/>
    <w:rsid w:val="00AF3093"/>
    <w:rsid w:val="00AF31CD"/>
    <w:rsid w:val="00AF3D57"/>
    <w:rsid w:val="00AF4D88"/>
    <w:rsid w:val="00AF6B51"/>
    <w:rsid w:val="00AF7497"/>
    <w:rsid w:val="00AF7D82"/>
    <w:rsid w:val="00B002F5"/>
    <w:rsid w:val="00B01035"/>
    <w:rsid w:val="00B02B9B"/>
    <w:rsid w:val="00B02F62"/>
    <w:rsid w:val="00B034AF"/>
    <w:rsid w:val="00B034B4"/>
    <w:rsid w:val="00B034C2"/>
    <w:rsid w:val="00B056CE"/>
    <w:rsid w:val="00B074B0"/>
    <w:rsid w:val="00B074D9"/>
    <w:rsid w:val="00B07753"/>
    <w:rsid w:val="00B07F11"/>
    <w:rsid w:val="00B1058C"/>
    <w:rsid w:val="00B10750"/>
    <w:rsid w:val="00B108FB"/>
    <w:rsid w:val="00B116D8"/>
    <w:rsid w:val="00B11B19"/>
    <w:rsid w:val="00B122D5"/>
    <w:rsid w:val="00B12664"/>
    <w:rsid w:val="00B13C5A"/>
    <w:rsid w:val="00B13C83"/>
    <w:rsid w:val="00B14390"/>
    <w:rsid w:val="00B15333"/>
    <w:rsid w:val="00B166C6"/>
    <w:rsid w:val="00B208FC"/>
    <w:rsid w:val="00B2093C"/>
    <w:rsid w:val="00B22060"/>
    <w:rsid w:val="00B22233"/>
    <w:rsid w:val="00B2306C"/>
    <w:rsid w:val="00B2477A"/>
    <w:rsid w:val="00B26058"/>
    <w:rsid w:val="00B261BC"/>
    <w:rsid w:val="00B26C31"/>
    <w:rsid w:val="00B27A9E"/>
    <w:rsid w:val="00B27FE7"/>
    <w:rsid w:val="00B31425"/>
    <w:rsid w:val="00B323BA"/>
    <w:rsid w:val="00B32880"/>
    <w:rsid w:val="00B3370F"/>
    <w:rsid w:val="00B36507"/>
    <w:rsid w:val="00B369BC"/>
    <w:rsid w:val="00B37CB0"/>
    <w:rsid w:val="00B40AB9"/>
    <w:rsid w:val="00B40FA7"/>
    <w:rsid w:val="00B4113C"/>
    <w:rsid w:val="00B41531"/>
    <w:rsid w:val="00B417DE"/>
    <w:rsid w:val="00B4182C"/>
    <w:rsid w:val="00B42BD4"/>
    <w:rsid w:val="00B4410C"/>
    <w:rsid w:val="00B442C6"/>
    <w:rsid w:val="00B443EE"/>
    <w:rsid w:val="00B4549E"/>
    <w:rsid w:val="00B46845"/>
    <w:rsid w:val="00B46B77"/>
    <w:rsid w:val="00B46EE3"/>
    <w:rsid w:val="00B4704C"/>
    <w:rsid w:val="00B4720A"/>
    <w:rsid w:val="00B47337"/>
    <w:rsid w:val="00B47BC7"/>
    <w:rsid w:val="00B47F2A"/>
    <w:rsid w:val="00B5009C"/>
    <w:rsid w:val="00B504C5"/>
    <w:rsid w:val="00B5086C"/>
    <w:rsid w:val="00B50A06"/>
    <w:rsid w:val="00B50EAD"/>
    <w:rsid w:val="00B51D2B"/>
    <w:rsid w:val="00B531FF"/>
    <w:rsid w:val="00B53376"/>
    <w:rsid w:val="00B53C09"/>
    <w:rsid w:val="00B54144"/>
    <w:rsid w:val="00B54382"/>
    <w:rsid w:val="00B55808"/>
    <w:rsid w:val="00B564F8"/>
    <w:rsid w:val="00B5C34E"/>
    <w:rsid w:val="00B6013A"/>
    <w:rsid w:val="00B63071"/>
    <w:rsid w:val="00B63248"/>
    <w:rsid w:val="00B66F35"/>
    <w:rsid w:val="00B67112"/>
    <w:rsid w:val="00B6775D"/>
    <w:rsid w:val="00B7014F"/>
    <w:rsid w:val="00B702D2"/>
    <w:rsid w:val="00B708FD"/>
    <w:rsid w:val="00B70D9E"/>
    <w:rsid w:val="00B70E9D"/>
    <w:rsid w:val="00B72025"/>
    <w:rsid w:val="00B72048"/>
    <w:rsid w:val="00B72257"/>
    <w:rsid w:val="00B726A4"/>
    <w:rsid w:val="00B73280"/>
    <w:rsid w:val="00B735FC"/>
    <w:rsid w:val="00B73988"/>
    <w:rsid w:val="00B740C6"/>
    <w:rsid w:val="00B74213"/>
    <w:rsid w:val="00B743CC"/>
    <w:rsid w:val="00B74725"/>
    <w:rsid w:val="00B74F84"/>
    <w:rsid w:val="00B75158"/>
    <w:rsid w:val="00B7691C"/>
    <w:rsid w:val="00B772BD"/>
    <w:rsid w:val="00B7750B"/>
    <w:rsid w:val="00B77A14"/>
    <w:rsid w:val="00B80586"/>
    <w:rsid w:val="00B80DE0"/>
    <w:rsid w:val="00B80DEE"/>
    <w:rsid w:val="00B811E6"/>
    <w:rsid w:val="00B81C7B"/>
    <w:rsid w:val="00B8259A"/>
    <w:rsid w:val="00B8264F"/>
    <w:rsid w:val="00B8329F"/>
    <w:rsid w:val="00B83360"/>
    <w:rsid w:val="00B835DD"/>
    <w:rsid w:val="00B838CF"/>
    <w:rsid w:val="00B83F85"/>
    <w:rsid w:val="00B8429E"/>
    <w:rsid w:val="00B846B1"/>
    <w:rsid w:val="00B8559D"/>
    <w:rsid w:val="00B8572E"/>
    <w:rsid w:val="00B85E82"/>
    <w:rsid w:val="00B86024"/>
    <w:rsid w:val="00B860F3"/>
    <w:rsid w:val="00B86D1E"/>
    <w:rsid w:val="00B87D70"/>
    <w:rsid w:val="00B90186"/>
    <w:rsid w:val="00B90AEC"/>
    <w:rsid w:val="00B91AFD"/>
    <w:rsid w:val="00B91E50"/>
    <w:rsid w:val="00B94458"/>
    <w:rsid w:val="00B94F4E"/>
    <w:rsid w:val="00B95429"/>
    <w:rsid w:val="00B959C9"/>
    <w:rsid w:val="00B95E08"/>
    <w:rsid w:val="00B95F29"/>
    <w:rsid w:val="00B9796E"/>
    <w:rsid w:val="00B97EF2"/>
    <w:rsid w:val="00BA12C2"/>
    <w:rsid w:val="00BA16AB"/>
    <w:rsid w:val="00BA2E8B"/>
    <w:rsid w:val="00BA3273"/>
    <w:rsid w:val="00BA39FD"/>
    <w:rsid w:val="00BA415D"/>
    <w:rsid w:val="00BA4311"/>
    <w:rsid w:val="00BA44C6"/>
    <w:rsid w:val="00BA46E3"/>
    <w:rsid w:val="00BA46FA"/>
    <w:rsid w:val="00BA5630"/>
    <w:rsid w:val="00BA5B42"/>
    <w:rsid w:val="00BA6D74"/>
    <w:rsid w:val="00BB0038"/>
    <w:rsid w:val="00BB010C"/>
    <w:rsid w:val="00BB06FF"/>
    <w:rsid w:val="00BB1C94"/>
    <w:rsid w:val="00BB1EC2"/>
    <w:rsid w:val="00BB2B15"/>
    <w:rsid w:val="00BB2F55"/>
    <w:rsid w:val="00BB387E"/>
    <w:rsid w:val="00BB45C0"/>
    <w:rsid w:val="00BB4787"/>
    <w:rsid w:val="00BB47FE"/>
    <w:rsid w:val="00BB4864"/>
    <w:rsid w:val="00BB4954"/>
    <w:rsid w:val="00BB5929"/>
    <w:rsid w:val="00BB5F84"/>
    <w:rsid w:val="00BC020E"/>
    <w:rsid w:val="00BC057A"/>
    <w:rsid w:val="00BC0A81"/>
    <w:rsid w:val="00BC1D08"/>
    <w:rsid w:val="00BC2FDB"/>
    <w:rsid w:val="00BC3606"/>
    <w:rsid w:val="00BC414E"/>
    <w:rsid w:val="00BC533A"/>
    <w:rsid w:val="00BC6E3E"/>
    <w:rsid w:val="00BC7597"/>
    <w:rsid w:val="00BC77B9"/>
    <w:rsid w:val="00BC7D4F"/>
    <w:rsid w:val="00BC7FA7"/>
    <w:rsid w:val="00BD08C9"/>
    <w:rsid w:val="00BD1957"/>
    <w:rsid w:val="00BD20C1"/>
    <w:rsid w:val="00BD21C1"/>
    <w:rsid w:val="00BD4E95"/>
    <w:rsid w:val="00BD5165"/>
    <w:rsid w:val="00BD5455"/>
    <w:rsid w:val="00BD5710"/>
    <w:rsid w:val="00BD60DF"/>
    <w:rsid w:val="00BD62B4"/>
    <w:rsid w:val="00BD6C2B"/>
    <w:rsid w:val="00BD7428"/>
    <w:rsid w:val="00BD79AD"/>
    <w:rsid w:val="00BE1CF4"/>
    <w:rsid w:val="00BE207F"/>
    <w:rsid w:val="00BE2CDE"/>
    <w:rsid w:val="00BE2E92"/>
    <w:rsid w:val="00BE3B0A"/>
    <w:rsid w:val="00BE4DEC"/>
    <w:rsid w:val="00BE6F33"/>
    <w:rsid w:val="00BF0083"/>
    <w:rsid w:val="00BF00B3"/>
    <w:rsid w:val="00BF0400"/>
    <w:rsid w:val="00BF1F98"/>
    <w:rsid w:val="00BF2035"/>
    <w:rsid w:val="00BF2111"/>
    <w:rsid w:val="00BF2B9A"/>
    <w:rsid w:val="00BF2F67"/>
    <w:rsid w:val="00BF49C8"/>
    <w:rsid w:val="00BF4B33"/>
    <w:rsid w:val="00BF50BF"/>
    <w:rsid w:val="00BF5395"/>
    <w:rsid w:val="00BF55E5"/>
    <w:rsid w:val="00BF6A6E"/>
    <w:rsid w:val="00BF6F2D"/>
    <w:rsid w:val="00BF7A16"/>
    <w:rsid w:val="00C01D0F"/>
    <w:rsid w:val="00C02065"/>
    <w:rsid w:val="00C02713"/>
    <w:rsid w:val="00C02B67"/>
    <w:rsid w:val="00C02F9F"/>
    <w:rsid w:val="00C034E4"/>
    <w:rsid w:val="00C04536"/>
    <w:rsid w:val="00C0453F"/>
    <w:rsid w:val="00C053D5"/>
    <w:rsid w:val="00C05F92"/>
    <w:rsid w:val="00C06961"/>
    <w:rsid w:val="00C0767A"/>
    <w:rsid w:val="00C11080"/>
    <w:rsid w:val="00C11FAC"/>
    <w:rsid w:val="00C12607"/>
    <w:rsid w:val="00C12DFB"/>
    <w:rsid w:val="00C12E58"/>
    <w:rsid w:val="00C1530D"/>
    <w:rsid w:val="00C16011"/>
    <w:rsid w:val="00C16645"/>
    <w:rsid w:val="00C1698C"/>
    <w:rsid w:val="00C17604"/>
    <w:rsid w:val="00C17798"/>
    <w:rsid w:val="00C178FF"/>
    <w:rsid w:val="00C208EE"/>
    <w:rsid w:val="00C21384"/>
    <w:rsid w:val="00C214C2"/>
    <w:rsid w:val="00C214ED"/>
    <w:rsid w:val="00C21997"/>
    <w:rsid w:val="00C226F5"/>
    <w:rsid w:val="00C22756"/>
    <w:rsid w:val="00C22835"/>
    <w:rsid w:val="00C22942"/>
    <w:rsid w:val="00C22DC8"/>
    <w:rsid w:val="00C23338"/>
    <w:rsid w:val="00C2382B"/>
    <w:rsid w:val="00C24DDD"/>
    <w:rsid w:val="00C250B8"/>
    <w:rsid w:val="00C26C08"/>
    <w:rsid w:val="00C278FA"/>
    <w:rsid w:val="00C27A4B"/>
    <w:rsid w:val="00C27A6B"/>
    <w:rsid w:val="00C27E08"/>
    <w:rsid w:val="00C27F1E"/>
    <w:rsid w:val="00C2F3EF"/>
    <w:rsid w:val="00C304DD"/>
    <w:rsid w:val="00C30B47"/>
    <w:rsid w:val="00C34355"/>
    <w:rsid w:val="00C3466D"/>
    <w:rsid w:val="00C35263"/>
    <w:rsid w:val="00C35CC2"/>
    <w:rsid w:val="00C35E8A"/>
    <w:rsid w:val="00C3644F"/>
    <w:rsid w:val="00C37325"/>
    <w:rsid w:val="00C4012A"/>
    <w:rsid w:val="00C4019D"/>
    <w:rsid w:val="00C40616"/>
    <w:rsid w:val="00C4262A"/>
    <w:rsid w:val="00C43609"/>
    <w:rsid w:val="00C461AD"/>
    <w:rsid w:val="00C46294"/>
    <w:rsid w:val="00C46437"/>
    <w:rsid w:val="00C46444"/>
    <w:rsid w:val="00C46E9D"/>
    <w:rsid w:val="00C46EF4"/>
    <w:rsid w:val="00C46FCA"/>
    <w:rsid w:val="00C470B7"/>
    <w:rsid w:val="00C4748A"/>
    <w:rsid w:val="00C47CB2"/>
    <w:rsid w:val="00C5130E"/>
    <w:rsid w:val="00C52059"/>
    <w:rsid w:val="00C5258C"/>
    <w:rsid w:val="00C527F1"/>
    <w:rsid w:val="00C52A83"/>
    <w:rsid w:val="00C531E5"/>
    <w:rsid w:val="00C53B3C"/>
    <w:rsid w:val="00C53DAE"/>
    <w:rsid w:val="00C54291"/>
    <w:rsid w:val="00C55318"/>
    <w:rsid w:val="00C561A6"/>
    <w:rsid w:val="00C5691F"/>
    <w:rsid w:val="00C57264"/>
    <w:rsid w:val="00C57A72"/>
    <w:rsid w:val="00C60D02"/>
    <w:rsid w:val="00C61F29"/>
    <w:rsid w:val="00C6213D"/>
    <w:rsid w:val="00C6291A"/>
    <w:rsid w:val="00C636AC"/>
    <w:rsid w:val="00C6484C"/>
    <w:rsid w:val="00C6496E"/>
    <w:rsid w:val="00C64A5A"/>
    <w:rsid w:val="00C64C2E"/>
    <w:rsid w:val="00C6521A"/>
    <w:rsid w:val="00C65D39"/>
    <w:rsid w:val="00C66974"/>
    <w:rsid w:val="00C66EB0"/>
    <w:rsid w:val="00C6772A"/>
    <w:rsid w:val="00C67D75"/>
    <w:rsid w:val="00C711D0"/>
    <w:rsid w:val="00C71F6A"/>
    <w:rsid w:val="00C73930"/>
    <w:rsid w:val="00C74002"/>
    <w:rsid w:val="00C7401F"/>
    <w:rsid w:val="00C74549"/>
    <w:rsid w:val="00C746EB"/>
    <w:rsid w:val="00C76908"/>
    <w:rsid w:val="00C775FF"/>
    <w:rsid w:val="00C77979"/>
    <w:rsid w:val="00C804EA"/>
    <w:rsid w:val="00C80938"/>
    <w:rsid w:val="00C81093"/>
    <w:rsid w:val="00C81E0D"/>
    <w:rsid w:val="00C82DFF"/>
    <w:rsid w:val="00C83682"/>
    <w:rsid w:val="00C83A33"/>
    <w:rsid w:val="00C8421F"/>
    <w:rsid w:val="00C84A5C"/>
    <w:rsid w:val="00C84CFA"/>
    <w:rsid w:val="00C84DA3"/>
    <w:rsid w:val="00C85C5D"/>
    <w:rsid w:val="00C8619D"/>
    <w:rsid w:val="00C861F6"/>
    <w:rsid w:val="00C8650E"/>
    <w:rsid w:val="00C87781"/>
    <w:rsid w:val="00C87984"/>
    <w:rsid w:val="00C9041D"/>
    <w:rsid w:val="00C914D6"/>
    <w:rsid w:val="00C91531"/>
    <w:rsid w:val="00C92882"/>
    <w:rsid w:val="00C92C14"/>
    <w:rsid w:val="00C94328"/>
    <w:rsid w:val="00C952A2"/>
    <w:rsid w:val="00C95E1C"/>
    <w:rsid w:val="00C96366"/>
    <w:rsid w:val="00C97D2B"/>
    <w:rsid w:val="00CA0438"/>
    <w:rsid w:val="00CA0D51"/>
    <w:rsid w:val="00CA14AA"/>
    <w:rsid w:val="00CA1F5D"/>
    <w:rsid w:val="00CA23DE"/>
    <w:rsid w:val="00CA3135"/>
    <w:rsid w:val="00CA313D"/>
    <w:rsid w:val="00CA3EFA"/>
    <w:rsid w:val="00CA54CC"/>
    <w:rsid w:val="00CA5838"/>
    <w:rsid w:val="00CA5DC4"/>
    <w:rsid w:val="00CA5E60"/>
    <w:rsid w:val="00CA62DE"/>
    <w:rsid w:val="00CA6D7B"/>
    <w:rsid w:val="00CB0172"/>
    <w:rsid w:val="00CB025D"/>
    <w:rsid w:val="00CB1F33"/>
    <w:rsid w:val="00CB244E"/>
    <w:rsid w:val="00CB2EF9"/>
    <w:rsid w:val="00CB3C04"/>
    <w:rsid w:val="00CB433F"/>
    <w:rsid w:val="00CB50D7"/>
    <w:rsid w:val="00CB5891"/>
    <w:rsid w:val="00CB63D9"/>
    <w:rsid w:val="00CB76CC"/>
    <w:rsid w:val="00CB7EBC"/>
    <w:rsid w:val="00CC04AE"/>
    <w:rsid w:val="00CC0C25"/>
    <w:rsid w:val="00CC0C4E"/>
    <w:rsid w:val="00CC17C4"/>
    <w:rsid w:val="00CC19CC"/>
    <w:rsid w:val="00CC1DC1"/>
    <w:rsid w:val="00CC2152"/>
    <w:rsid w:val="00CC251A"/>
    <w:rsid w:val="00CC2528"/>
    <w:rsid w:val="00CC2C1E"/>
    <w:rsid w:val="00CC2FEF"/>
    <w:rsid w:val="00CC3221"/>
    <w:rsid w:val="00CC56D2"/>
    <w:rsid w:val="00CC57C3"/>
    <w:rsid w:val="00CC5DC1"/>
    <w:rsid w:val="00CC6E55"/>
    <w:rsid w:val="00CC72F0"/>
    <w:rsid w:val="00CC73B4"/>
    <w:rsid w:val="00CC759B"/>
    <w:rsid w:val="00CD02B5"/>
    <w:rsid w:val="00CD0683"/>
    <w:rsid w:val="00CD0C6F"/>
    <w:rsid w:val="00CD1CB1"/>
    <w:rsid w:val="00CD1EFA"/>
    <w:rsid w:val="00CD2093"/>
    <w:rsid w:val="00CD2A58"/>
    <w:rsid w:val="00CD3031"/>
    <w:rsid w:val="00CD4BB2"/>
    <w:rsid w:val="00CD5325"/>
    <w:rsid w:val="00CD5EFE"/>
    <w:rsid w:val="00CD6915"/>
    <w:rsid w:val="00CD6D56"/>
    <w:rsid w:val="00CD6D64"/>
    <w:rsid w:val="00CD714C"/>
    <w:rsid w:val="00CE0EA6"/>
    <w:rsid w:val="00CE147A"/>
    <w:rsid w:val="00CE1868"/>
    <w:rsid w:val="00CE1C2F"/>
    <w:rsid w:val="00CE1DA9"/>
    <w:rsid w:val="00CE27D5"/>
    <w:rsid w:val="00CE2AD7"/>
    <w:rsid w:val="00CE2F17"/>
    <w:rsid w:val="00CE33B6"/>
    <w:rsid w:val="00CE45F9"/>
    <w:rsid w:val="00CE4642"/>
    <w:rsid w:val="00CE64AD"/>
    <w:rsid w:val="00CE6720"/>
    <w:rsid w:val="00CE6C84"/>
    <w:rsid w:val="00CE6EDB"/>
    <w:rsid w:val="00CE7602"/>
    <w:rsid w:val="00CE7727"/>
    <w:rsid w:val="00CE7861"/>
    <w:rsid w:val="00CF011D"/>
    <w:rsid w:val="00CF01E4"/>
    <w:rsid w:val="00CF0BC2"/>
    <w:rsid w:val="00CF1514"/>
    <w:rsid w:val="00CF1692"/>
    <w:rsid w:val="00CF234A"/>
    <w:rsid w:val="00CF24A1"/>
    <w:rsid w:val="00CF2BAE"/>
    <w:rsid w:val="00CF365B"/>
    <w:rsid w:val="00CF4365"/>
    <w:rsid w:val="00CF4A1C"/>
    <w:rsid w:val="00CF4A58"/>
    <w:rsid w:val="00CF4BF9"/>
    <w:rsid w:val="00CF574A"/>
    <w:rsid w:val="00CF6431"/>
    <w:rsid w:val="00CF6711"/>
    <w:rsid w:val="00D000F5"/>
    <w:rsid w:val="00D00185"/>
    <w:rsid w:val="00D00520"/>
    <w:rsid w:val="00D00629"/>
    <w:rsid w:val="00D006EC"/>
    <w:rsid w:val="00D00A46"/>
    <w:rsid w:val="00D00B07"/>
    <w:rsid w:val="00D01055"/>
    <w:rsid w:val="00D024E9"/>
    <w:rsid w:val="00D04902"/>
    <w:rsid w:val="00D05810"/>
    <w:rsid w:val="00D05983"/>
    <w:rsid w:val="00D05D10"/>
    <w:rsid w:val="00D07297"/>
    <w:rsid w:val="00D10C22"/>
    <w:rsid w:val="00D114D3"/>
    <w:rsid w:val="00D11EAE"/>
    <w:rsid w:val="00D11FF4"/>
    <w:rsid w:val="00D1219B"/>
    <w:rsid w:val="00D12AFD"/>
    <w:rsid w:val="00D13C36"/>
    <w:rsid w:val="00D13F8C"/>
    <w:rsid w:val="00D150F1"/>
    <w:rsid w:val="00D166E4"/>
    <w:rsid w:val="00D17198"/>
    <w:rsid w:val="00D1744C"/>
    <w:rsid w:val="00D17BE7"/>
    <w:rsid w:val="00D17F4A"/>
    <w:rsid w:val="00D20990"/>
    <w:rsid w:val="00D2160D"/>
    <w:rsid w:val="00D2199C"/>
    <w:rsid w:val="00D2360F"/>
    <w:rsid w:val="00D237B6"/>
    <w:rsid w:val="00D239B9"/>
    <w:rsid w:val="00D23A2F"/>
    <w:rsid w:val="00D2479B"/>
    <w:rsid w:val="00D24CF9"/>
    <w:rsid w:val="00D25BC7"/>
    <w:rsid w:val="00D25D8D"/>
    <w:rsid w:val="00D25DF7"/>
    <w:rsid w:val="00D26C31"/>
    <w:rsid w:val="00D272F7"/>
    <w:rsid w:val="00D274E9"/>
    <w:rsid w:val="00D27F63"/>
    <w:rsid w:val="00D2823B"/>
    <w:rsid w:val="00D31230"/>
    <w:rsid w:val="00D31D6E"/>
    <w:rsid w:val="00D333AA"/>
    <w:rsid w:val="00D33455"/>
    <w:rsid w:val="00D33916"/>
    <w:rsid w:val="00D34008"/>
    <w:rsid w:val="00D347CD"/>
    <w:rsid w:val="00D34BB5"/>
    <w:rsid w:val="00D3517E"/>
    <w:rsid w:val="00D3591C"/>
    <w:rsid w:val="00D35A10"/>
    <w:rsid w:val="00D36885"/>
    <w:rsid w:val="00D3719A"/>
    <w:rsid w:val="00D3780E"/>
    <w:rsid w:val="00D37859"/>
    <w:rsid w:val="00D40471"/>
    <w:rsid w:val="00D40563"/>
    <w:rsid w:val="00D405DC"/>
    <w:rsid w:val="00D41D6D"/>
    <w:rsid w:val="00D42590"/>
    <w:rsid w:val="00D42C46"/>
    <w:rsid w:val="00D437BF"/>
    <w:rsid w:val="00D44C49"/>
    <w:rsid w:val="00D45E4C"/>
    <w:rsid w:val="00D46FFF"/>
    <w:rsid w:val="00D470A0"/>
    <w:rsid w:val="00D50342"/>
    <w:rsid w:val="00D50EA0"/>
    <w:rsid w:val="00D510A7"/>
    <w:rsid w:val="00D51F89"/>
    <w:rsid w:val="00D5378B"/>
    <w:rsid w:val="00D537D3"/>
    <w:rsid w:val="00D54710"/>
    <w:rsid w:val="00D54758"/>
    <w:rsid w:val="00D560F5"/>
    <w:rsid w:val="00D56EC2"/>
    <w:rsid w:val="00D574FA"/>
    <w:rsid w:val="00D575C8"/>
    <w:rsid w:val="00D57ACE"/>
    <w:rsid w:val="00D604BD"/>
    <w:rsid w:val="00D604CD"/>
    <w:rsid w:val="00D61B72"/>
    <w:rsid w:val="00D62D88"/>
    <w:rsid w:val="00D63BB0"/>
    <w:rsid w:val="00D64D98"/>
    <w:rsid w:val="00D6506D"/>
    <w:rsid w:val="00D65284"/>
    <w:rsid w:val="00D65647"/>
    <w:rsid w:val="00D66B80"/>
    <w:rsid w:val="00D66F63"/>
    <w:rsid w:val="00D672FB"/>
    <w:rsid w:val="00D6795E"/>
    <w:rsid w:val="00D67B9A"/>
    <w:rsid w:val="00D67DA0"/>
    <w:rsid w:val="00D67F5A"/>
    <w:rsid w:val="00D70BFE"/>
    <w:rsid w:val="00D70E15"/>
    <w:rsid w:val="00D7256C"/>
    <w:rsid w:val="00D75727"/>
    <w:rsid w:val="00D75B2F"/>
    <w:rsid w:val="00D76203"/>
    <w:rsid w:val="00D76655"/>
    <w:rsid w:val="00D76D32"/>
    <w:rsid w:val="00D77130"/>
    <w:rsid w:val="00D8089C"/>
    <w:rsid w:val="00D80910"/>
    <w:rsid w:val="00D80E31"/>
    <w:rsid w:val="00D810E5"/>
    <w:rsid w:val="00D8195D"/>
    <w:rsid w:val="00D81C01"/>
    <w:rsid w:val="00D81F04"/>
    <w:rsid w:val="00D82231"/>
    <w:rsid w:val="00D834C9"/>
    <w:rsid w:val="00D83955"/>
    <w:rsid w:val="00D843F7"/>
    <w:rsid w:val="00D8475D"/>
    <w:rsid w:val="00D852DF"/>
    <w:rsid w:val="00D8685A"/>
    <w:rsid w:val="00D86DAD"/>
    <w:rsid w:val="00D87381"/>
    <w:rsid w:val="00D90181"/>
    <w:rsid w:val="00D901EF"/>
    <w:rsid w:val="00D903B2"/>
    <w:rsid w:val="00D90976"/>
    <w:rsid w:val="00D90D2C"/>
    <w:rsid w:val="00D9108D"/>
    <w:rsid w:val="00D91567"/>
    <w:rsid w:val="00D91C3F"/>
    <w:rsid w:val="00D9339E"/>
    <w:rsid w:val="00D945DB"/>
    <w:rsid w:val="00D94F56"/>
    <w:rsid w:val="00D9533F"/>
    <w:rsid w:val="00D95D65"/>
    <w:rsid w:val="00D97243"/>
    <w:rsid w:val="00DA0596"/>
    <w:rsid w:val="00DA0687"/>
    <w:rsid w:val="00DA0721"/>
    <w:rsid w:val="00DA12DA"/>
    <w:rsid w:val="00DA200B"/>
    <w:rsid w:val="00DA20D3"/>
    <w:rsid w:val="00DA3D16"/>
    <w:rsid w:val="00DA50AC"/>
    <w:rsid w:val="00DA5DB8"/>
    <w:rsid w:val="00DA6208"/>
    <w:rsid w:val="00DA65FE"/>
    <w:rsid w:val="00DA6E14"/>
    <w:rsid w:val="00DA75B8"/>
    <w:rsid w:val="00DB1BA4"/>
    <w:rsid w:val="00DB21B5"/>
    <w:rsid w:val="00DB4794"/>
    <w:rsid w:val="00DB47BE"/>
    <w:rsid w:val="00DB4E79"/>
    <w:rsid w:val="00DB5D9B"/>
    <w:rsid w:val="00DB5EAE"/>
    <w:rsid w:val="00DB7478"/>
    <w:rsid w:val="00DC07A6"/>
    <w:rsid w:val="00DC0F80"/>
    <w:rsid w:val="00DC1E1D"/>
    <w:rsid w:val="00DC3FB1"/>
    <w:rsid w:val="00DC4372"/>
    <w:rsid w:val="00DC4B6B"/>
    <w:rsid w:val="00DC4EA9"/>
    <w:rsid w:val="00DC4EFE"/>
    <w:rsid w:val="00DC57E6"/>
    <w:rsid w:val="00DC5C81"/>
    <w:rsid w:val="00DC5EB8"/>
    <w:rsid w:val="00DC6602"/>
    <w:rsid w:val="00DC73D0"/>
    <w:rsid w:val="00DD0EC9"/>
    <w:rsid w:val="00DD11E8"/>
    <w:rsid w:val="00DD1C5D"/>
    <w:rsid w:val="00DD2254"/>
    <w:rsid w:val="00DD2736"/>
    <w:rsid w:val="00DD28C6"/>
    <w:rsid w:val="00DD33C8"/>
    <w:rsid w:val="00DD37BE"/>
    <w:rsid w:val="00DD3BB6"/>
    <w:rsid w:val="00DD3CF8"/>
    <w:rsid w:val="00DD555A"/>
    <w:rsid w:val="00DD55C7"/>
    <w:rsid w:val="00DD61D8"/>
    <w:rsid w:val="00DD68F2"/>
    <w:rsid w:val="00DD69C6"/>
    <w:rsid w:val="00DD7F87"/>
    <w:rsid w:val="00DE041B"/>
    <w:rsid w:val="00DE0758"/>
    <w:rsid w:val="00DE1131"/>
    <w:rsid w:val="00DE1BB6"/>
    <w:rsid w:val="00DE1E0A"/>
    <w:rsid w:val="00DE25B0"/>
    <w:rsid w:val="00DE2A57"/>
    <w:rsid w:val="00DE2E21"/>
    <w:rsid w:val="00DE347D"/>
    <w:rsid w:val="00DE3ADB"/>
    <w:rsid w:val="00DE4EC6"/>
    <w:rsid w:val="00DE66A8"/>
    <w:rsid w:val="00DE7493"/>
    <w:rsid w:val="00DE7536"/>
    <w:rsid w:val="00DF1C3E"/>
    <w:rsid w:val="00DF2012"/>
    <w:rsid w:val="00DF2518"/>
    <w:rsid w:val="00DF2A4D"/>
    <w:rsid w:val="00DF34E3"/>
    <w:rsid w:val="00DF35EC"/>
    <w:rsid w:val="00DF439C"/>
    <w:rsid w:val="00DF486A"/>
    <w:rsid w:val="00DF4984"/>
    <w:rsid w:val="00DF5008"/>
    <w:rsid w:val="00DF55B8"/>
    <w:rsid w:val="00DF66EB"/>
    <w:rsid w:val="00DF6738"/>
    <w:rsid w:val="00DF68DB"/>
    <w:rsid w:val="00DF6A6D"/>
    <w:rsid w:val="00DF774E"/>
    <w:rsid w:val="00DF7DB7"/>
    <w:rsid w:val="00E004BB"/>
    <w:rsid w:val="00E00653"/>
    <w:rsid w:val="00E0086F"/>
    <w:rsid w:val="00E01167"/>
    <w:rsid w:val="00E0184A"/>
    <w:rsid w:val="00E023CF"/>
    <w:rsid w:val="00E02695"/>
    <w:rsid w:val="00E02746"/>
    <w:rsid w:val="00E02868"/>
    <w:rsid w:val="00E02ED9"/>
    <w:rsid w:val="00E0336E"/>
    <w:rsid w:val="00E03446"/>
    <w:rsid w:val="00E03D44"/>
    <w:rsid w:val="00E04914"/>
    <w:rsid w:val="00E04C6D"/>
    <w:rsid w:val="00E054C9"/>
    <w:rsid w:val="00E05EDC"/>
    <w:rsid w:val="00E06A13"/>
    <w:rsid w:val="00E06CC4"/>
    <w:rsid w:val="00E071C0"/>
    <w:rsid w:val="00E10FFC"/>
    <w:rsid w:val="00E1178D"/>
    <w:rsid w:val="00E11D5F"/>
    <w:rsid w:val="00E120D3"/>
    <w:rsid w:val="00E129C0"/>
    <w:rsid w:val="00E13451"/>
    <w:rsid w:val="00E157D5"/>
    <w:rsid w:val="00E1675F"/>
    <w:rsid w:val="00E16A30"/>
    <w:rsid w:val="00E17690"/>
    <w:rsid w:val="00E1796C"/>
    <w:rsid w:val="00E17E28"/>
    <w:rsid w:val="00E20064"/>
    <w:rsid w:val="00E20542"/>
    <w:rsid w:val="00E21099"/>
    <w:rsid w:val="00E22CF4"/>
    <w:rsid w:val="00E22F47"/>
    <w:rsid w:val="00E23029"/>
    <w:rsid w:val="00E23290"/>
    <w:rsid w:val="00E24CCC"/>
    <w:rsid w:val="00E24D61"/>
    <w:rsid w:val="00E26CA5"/>
    <w:rsid w:val="00E2737F"/>
    <w:rsid w:val="00E276FB"/>
    <w:rsid w:val="00E30278"/>
    <w:rsid w:val="00E30FBE"/>
    <w:rsid w:val="00E319BE"/>
    <w:rsid w:val="00E31B2E"/>
    <w:rsid w:val="00E31F3A"/>
    <w:rsid w:val="00E32032"/>
    <w:rsid w:val="00E32519"/>
    <w:rsid w:val="00E32B43"/>
    <w:rsid w:val="00E32F43"/>
    <w:rsid w:val="00E33100"/>
    <w:rsid w:val="00E3337E"/>
    <w:rsid w:val="00E35069"/>
    <w:rsid w:val="00E3548A"/>
    <w:rsid w:val="00E35545"/>
    <w:rsid w:val="00E35D07"/>
    <w:rsid w:val="00E369E7"/>
    <w:rsid w:val="00E36EEB"/>
    <w:rsid w:val="00E3704A"/>
    <w:rsid w:val="00E37DAB"/>
    <w:rsid w:val="00E37ED4"/>
    <w:rsid w:val="00E4055C"/>
    <w:rsid w:val="00E41636"/>
    <w:rsid w:val="00E42035"/>
    <w:rsid w:val="00E431E4"/>
    <w:rsid w:val="00E4322F"/>
    <w:rsid w:val="00E43ED3"/>
    <w:rsid w:val="00E44771"/>
    <w:rsid w:val="00E46F14"/>
    <w:rsid w:val="00E471C6"/>
    <w:rsid w:val="00E4723B"/>
    <w:rsid w:val="00E478AE"/>
    <w:rsid w:val="00E47F74"/>
    <w:rsid w:val="00E52A21"/>
    <w:rsid w:val="00E52A74"/>
    <w:rsid w:val="00E53A70"/>
    <w:rsid w:val="00E54893"/>
    <w:rsid w:val="00E54971"/>
    <w:rsid w:val="00E54A22"/>
    <w:rsid w:val="00E55A05"/>
    <w:rsid w:val="00E55C7B"/>
    <w:rsid w:val="00E55CBA"/>
    <w:rsid w:val="00E5600E"/>
    <w:rsid w:val="00E561FC"/>
    <w:rsid w:val="00E563B7"/>
    <w:rsid w:val="00E5670D"/>
    <w:rsid w:val="00E56F92"/>
    <w:rsid w:val="00E57237"/>
    <w:rsid w:val="00E5791A"/>
    <w:rsid w:val="00E60302"/>
    <w:rsid w:val="00E6070E"/>
    <w:rsid w:val="00E61AF1"/>
    <w:rsid w:val="00E630D1"/>
    <w:rsid w:val="00E6577A"/>
    <w:rsid w:val="00E6590A"/>
    <w:rsid w:val="00E65932"/>
    <w:rsid w:val="00E65D66"/>
    <w:rsid w:val="00E664F3"/>
    <w:rsid w:val="00E66767"/>
    <w:rsid w:val="00E669AE"/>
    <w:rsid w:val="00E67D8F"/>
    <w:rsid w:val="00E70725"/>
    <w:rsid w:val="00E70DAF"/>
    <w:rsid w:val="00E71262"/>
    <w:rsid w:val="00E71537"/>
    <w:rsid w:val="00E7164E"/>
    <w:rsid w:val="00E724D5"/>
    <w:rsid w:val="00E7334B"/>
    <w:rsid w:val="00E7336E"/>
    <w:rsid w:val="00E734CA"/>
    <w:rsid w:val="00E743F2"/>
    <w:rsid w:val="00E74D79"/>
    <w:rsid w:val="00E7582C"/>
    <w:rsid w:val="00E75E58"/>
    <w:rsid w:val="00E76149"/>
    <w:rsid w:val="00E76B87"/>
    <w:rsid w:val="00E773E7"/>
    <w:rsid w:val="00E77B0A"/>
    <w:rsid w:val="00E804AF"/>
    <w:rsid w:val="00E805FE"/>
    <w:rsid w:val="00E80D65"/>
    <w:rsid w:val="00E818A6"/>
    <w:rsid w:val="00E81C7D"/>
    <w:rsid w:val="00E827FD"/>
    <w:rsid w:val="00E8291C"/>
    <w:rsid w:val="00E838BA"/>
    <w:rsid w:val="00E83CCD"/>
    <w:rsid w:val="00E8407A"/>
    <w:rsid w:val="00E845DF"/>
    <w:rsid w:val="00E845FB"/>
    <w:rsid w:val="00E846A7"/>
    <w:rsid w:val="00E84EF2"/>
    <w:rsid w:val="00E85270"/>
    <w:rsid w:val="00E852AA"/>
    <w:rsid w:val="00E856F7"/>
    <w:rsid w:val="00E85746"/>
    <w:rsid w:val="00E85C16"/>
    <w:rsid w:val="00E86667"/>
    <w:rsid w:val="00E8755F"/>
    <w:rsid w:val="00E90280"/>
    <w:rsid w:val="00E912A6"/>
    <w:rsid w:val="00E912C2"/>
    <w:rsid w:val="00E916A2"/>
    <w:rsid w:val="00E91C80"/>
    <w:rsid w:val="00E920D8"/>
    <w:rsid w:val="00E92575"/>
    <w:rsid w:val="00E92F5C"/>
    <w:rsid w:val="00E93443"/>
    <w:rsid w:val="00E944EA"/>
    <w:rsid w:val="00E9464D"/>
    <w:rsid w:val="00E957B8"/>
    <w:rsid w:val="00E95ECA"/>
    <w:rsid w:val="00E95F9E"/>
    <w:rsid w:val="00E96AC6"/>
    <w:rsid w:val="00E97667"/>
    <w:rsid w:val="00E9793E"/>
    <w:rsid w:val="00E97AA5"/>
    <w:rsid w:val="00E97E6E"/>
    <w:rsid w:val="00E97FCF"/>
    <w:rsid w:val="00EA32CF"/>
    <w:rsid w:val="00EA356F"/>
    <w:rsid w:val="00EA3CCC"/>
    <w:rsid w:val="00EA3D1B"/>
    <w:rsid w:val="00EA4973"/>
    <w:rsid w:val="00EA50F3"/>
    <w:rsid w:val="00EA5704"/>
    <w:rsid w:val="00EA583C"/>
    <w:rsid w:val="00EA5A04"/>
    <w:rsid w:val="00EA5C1D"/>
    <w:rsid w:val="00EA5F04"/>
    <w:rsid w:val="00EA65C6"/>
    <w:rsid w:val="00EA7047"/>
    <w:rsid w:val="00EA71BD"/>
    <w:rsid w:val="00EA72B9"/>
    <w:rsid w:val="00EB0834"/>
    <w:rsid w:val="00EB1704"/>
    <w:rsid w:val="00EB19C0"/>
    <w:rsid w:val="00EB2049"/>
    <w:rsid w:val="00EB235F"/>
    <w:rsid w:val="00EB2E80"/>
    <w:rsid w:val="00EB4506"/>
    <w:rsid w:val="00EB48DC"/>
    <w:rsid w:val="00EB55B6"/>
    <w:rsid w:val="00EB56E4"/>
    <w:rsid w:val="00EB588E"/>
    <w:rsid w:val="00EB599A"/>
    <w:rsid w:val="00EB6A72"/>
    <w:rsid w:val="00EB6DC5"/>
    <w:rsid w:val="00EB740C"/>
    <w:rsid w:val="00EC00D1"/>
    <w:rsid w:val="00EC040E"/>
    <w:rsid w:val="00EC047C"/>
    <w:rsid w:val="00EC0808"/>
    <w:rsid w:val="00EC12FB"/>
    <w:rsid w:val="00EC1473"/>
    <w:rsid w:val="00EC2E8F"/>
    <w:rsid w:val="00EC42F7"/>
    <w:rsid w:val="00EC7DCB"/>
    <w:rsid w:val="00ED0387"/>
    <w:rsid w:val="00ED0D0D"/>
    <w:rsid w:val="00ED0DD2"/>
    <w:rsid w:val="00ED16A1"/>
    <w:rsid w:val="00ED432C"/>
    <w:rsid w:val="00ED49CF"/>
    <w:rsid w:val="00ED53A6"/>
    <w:rsid w:val="00ED59BC"/>
    <w:rsid w:val="00ED6641"/>
    <w:rsid w:val="00ED6B98"/>
    <w:rsid w:val="00ED7372"/>
    <w:rsid w:val="00EE0769"/>
    <w:rsid w:val="00EE1479"/>
    <w:rsid w:val="00EE19F7"/>
    <w:rsid w:val="00EE21E7"/>
    <w:rsid w:val="00EE26FF"/>
    <w:rsid w:val="00EE2720"/>
    <w:rsid w:val="00EE2D7B"/>
    <w:rsid w:val="00EE317A"/>
    <w:rsid w:val="00EE3203"/>
    <w:rsid w:val="00EE382F"/>
    <w:rsid w:val="00EE3DFD"/>
    <w:rsid w:val="00EE4527"/>
    <w:rsid w:val="00EE5CF8"/>
    <w:rsid w:val="00EE7637"/>
    <w:rsid w:val="00EE78B0"/>
    <w:rsid w:val="00EE7F2D"/>
    <w:rsid w:val="00EF2A28"/>
    <w:rsid w:val="00EF3857"/>
    <w:rsid w:val="00EF3B55"/>
    <w:rsid w:val="00EF4114"/>
    <w:rsid w:val="00EF4248"/>
    <w:rsid w:val="00EF528D"/>
    <w:rsid w:val="00EF65A7"/>
    <w:rsid w:val="00EF767A"/>
    <w:rsid w:val="00EF773D"/>
    <w:rsid w:val="00EF7F3A"/>
    <w:rsid w:val="00F00066"/>
    <w:rsid w:val="00F00284"/>
    <w:rsid w:val="00F004A0"/>
    <w:rsid w:val="00F004AE"/>
    <w:rsid w:val="00F00BCF"/>
    <w:rsid w:val="00F00FC6"/>
    <w:rsid w:val="00F02211"/>
    <w:rsid w:val="00F026CC"/>
    <w:rsid w:val="00F02B7B"/>
    <w:rsid w:val="00F036B0"/>
    <w:rsid w:val="00F0445C"/>
    <w:rsid w:val="00F046A7"/>
    <w:rsid w:val="00F046AA"/>
    <w:rsid w:val="00F04D3F"/>
    <w:rsid w:val="00F0576B"/>
    <w:rsid w:val="00F05910"/>
    <w:rsid w:val="00F06E17"/>
    <w:rsid w:val="00F11D54"/>
    <w:rsid w:val="00F13037"/>
    <w:rsid w:val="00F13100"/>
    <w:rsid w:val="00F13CA2"/>
    <w:rsid w:val="00F13D8B"/>
    <w:rsid w:val="00F143CF"/>
    <w:rsid w:val="00F145AE"/>
    <w:rsid w:val="00F15A52"/>
    <w:rsid w:val="00F15E1B"/>
    <w:rsid w:val="00F204DE"/>
    <w:rsid w:val="00F2087E"/>
    <w:rsid w:val="00F20EA3"/>
    <w:rsid w:val="00F2128F"/>
    <w:rsid w:val="00F21EFB"/>
    <w:rsid w:val="00F22827"/>
    <w:rsid w:val="00F24540"/>
    <w:rsid w:val="00F246ED"/>
    <w:rsid w:val="00F2475D"/>
    <w:rsid w:val="00F253BE"/>
    <w:rsid w:val="00F254CA"/>
    <w:rsid w:val="00F25B6A"/>
    <w:rsid w:val="00F2631F"/>
    <w:rsid w:val="00F26C58"/>
    <w:rsid w:val="00F27512"/>
    <w:rsid w:val="00F27603"/>
    <w:rsid w:val="00F276F1"/>
    <w:rsid w:val="00F278CE"/>
    <w:rsid w:val="00F32997"/>
    <w:rsid w:val="00F32E0D"/>
    <w:rsid w:val="00F32FBF"/>
    <w:rsid w:val="00F33239"/>
    <w:rsid w:val="00F34726"/>
    <w:rsid w:val="00F347A6"/>
    <w:rsid w:val="00F34E03"/>
    <w:rsid w:val="00F355CE"/>
    <w:rsid w:val="00F374F5"/>
    <w:rsid w:val="00F379B6"/>
    <w:rsid w:val="00F37C4D"/>
    <w:rsid w:val="00F37D60"/>
    <w:rsid w:val="00F37F74"/>
    <w:rsid w:val="00F40235"/>
    <w:rsid w:val="00F40641"/>
    <w:rsid w:val="00F408BC"/>
    <w:rsid w:val="00F417D5"/>
    <w:rsid w:val="00F4198B"/>
    <w:rsid w:val="00F41C67"/>
    <w:rsid w:val="00F42968"/>
    <w:rsid w:val="00F432E4"/>
    <w:rsid w:val="00F4342D"/>
    <w:rsid w:val="00F44372"/>
    <w:rsid w:val="00F467A8"/>
    <w:rsid w:val="00F46E9C"/>
    <w:rsid w:val="00F473CE"/>
    <w:rsid w:val="00F50B7A"/>
    <w:rsid w:val="00F516AE"/>
    <w:rsid w:val="00F52028"/>
    <w:rsid w:val="00F525FA"/>
    <w:rsid w:val="00F52C10"/>
    <w:rsid w:val="00F53AF4"/>
    <w:rsid w:val="00F53B04"/>
    <w:rsid w:val="00F5402B"/>
    <w:rsid w:val="00F55B76"/>
    <w:rsid w:val="00F55B97"/>
    <w:rsid w:val="00F5642F"/>
    <w:rsid w:val="00F56970"/>
    <w:rsid w:val="00F57520"/>
    <w:rsid w:val="00F57751"/>
    <w:rsid w:val="00F57DA6"/>
    <w:rsid w:val="00F617B5"/>
    <w:rsid w:val="00F62064"/>
    <w:rsid w:val="00F6261A"/>
    <w:rsid w:val="00F62CC2"/>
    <w:rsid w:val="00F62F2F"/>
    <w:rsid w:val="00F62FFE"/>
    <w:rsid w:val="00F63992"/>
    <w:rsid w:val="00F64C08"/>
    <w:rsid w:val="00F64CE0"/>
    <w:rsid w:val="00F654D9"/>
    <w:rsid w:val="00F65B01"/>
    <w:rsid w:val="00F66133"/>
    <w:rsid w:val="00F6678A"/>
    <w:rsid w:val="00F671F0"/>
    <w:rsid w:val="00F70CD8"/>
    <w:rsid w:val="00F70D61"/>
    <w:rsid w:val="00F712D9"/>
    <w:rsid w:val="00F712E4"/>
    <w:rsid w:val="00F717ED"/>
    <w:rsid w:val="00F71FEE"/>
    <w:rsid w:val="00F7256F"/>
    <w:rsid w:val="00F74678"/>
    <w:rsid w:val="00F74765"/>
    <w:rsid w:val="00F74CD1"/>
    <w:rsid w:val="00F75217"/>
    <w:rsid w:val="00F775A2"/>
    <w:rsid w:val="00F77ED0"/>
    <w:rsid w:val="00F81334"/>
    <w:rsid w:val="00F816A9"/>
    <w:rsid w:val="00F81A1A"/>
    <w:rsid w:val="00F81D79"/>
    <w:rsid w:val="00F82400"/>
    <w:rsid w:val="00F83157"/>
    <w:rsid w:val="00F836D3"/>
    <w:rsid w:val="00F83C76"/>
    <w:rsid w:val="00F845CA"/>
    <w:rsid w:val="00F84BA2"/>
    <w:rsid w:val="00F84D86"/>
    <w:rsid w:val="00F8551B"/>
    <w:rsid w:val="00F858DE"/>
    <w:rsid w:val="00F85B9C"/>
    <w:rsid w:val="00F85C9C"/>
    <w:rsid w:val="00F85DC1"/>
    <w:rsid w:val="00F865F1"/>
    <w:rsid w:val="00F869BC"/>
    <w:rsid w:val="00F86C12"/>
    <w:rsid w:val="00F86F48"/>
    <w:rsid w:val="00F900BC"/>
    <w:rsid w:val="00F90267"/>
    <w:rsid w:val="00F90303"/>
    <w:rsid w:val="00F90477"/>
    <w:rsid w:val="00F90B5D"/>
    <w:rsid w:val="00F916FC"/>
    <w:rsid w:val="00F91A1A"/>
    <w:rsid w:val="00F91E1E"/>
    <w:rsid w:val="00F9275D"/>
    <w:rsid w:val="00F93DA7"/>
    <w:rsid w:val="00F94E3F"/>
    <w:rsid w:val="00F9549C"/>
    <w:rsid w:val="00F955E1"/>
    <w:rsid w:val="00F96606"/>
    <w:rsid w:val="00F968BC"/>
    <w:rsid w:val="00F96A4B"/>
    <w:rsid w:val="00F96F4C"/>
    <w:rsid w:val="00F97E23"/>
    <w:rsid w:val="00FA0757"/>
    <w:rsid w:val="00FA07FC"/>
    <w:rsid w:val="00FA0AB0"/>
    <w:rsid w:val="00FA0F95"/>
    <w:rsid w:val="00FA1844"/>
    <w:rsid w:val="00FA2426"/>
    <w:rsid w:val="00FA2443"/>
    <w:rsid w:val="00FA2F69"/>
    <w:rsid w:val="00FA3CF2"/>
    <w:rsid w:val="00FA4BA1"/>
    <w:rsid w:val="00FA4EF6"/>
    <w:rsid w:val="00FA584B"/>
    <w:rsid w:val="00FA6C4E"/>
    <w:rsid w:val="00FA7033"/>
    <w:rsid w:val="00FA7A58"/>
    <w:rsid w:val="00FA7D80"/>
    <w:rsid w:val="00FB0C8D"/>
    <w:rsid w:val="00FB180F"/>
    <w:rsid w:val="00FB4FBB"/>
    <w:rsid w:val="00FB5038"/>
    <w:rsid w:val="00FB56FC"/>
    <w:rsid w:val="00FB644E"/>
    <w:rsid w:val="00FB6D11"/>
    <w:rsid w:val="00FB74E4"/>
    <w:rsid w:val="00FC03AA"/>
    <w:rsid w:val="00FC03DB"/>
    <w:rsid w:val="00FC0975"/>
    <w:rsid w:val="00FC0C60"/>
    <w:rsid w:val="00FC1125"/>
    <w:rsid w:val="00FC2007"/>
    <w:rsid w:val="00FC2A28"/>
    <w:rsid w:val="00FC34B6"/>
    <w:rsid w:val="00FC5190"/>
    <w:rsid w:val="00FC6389"/>
    <w:rsid w:val="00FC6D6B"/>
    <w:rsid w:val="00FD23D7"/>
    <w:rsid w:val="00FD2882"/>
    <w:rsid w:val="00FD28C1"/>
    <w:rsid w:val="00FD32EB"/>
    <w:rsid w:val="00FD3B18"/>
    <w:rsid w:val="00FD4336"/>
    <w:rsid w:val="00FD4DA8"/>
    <w:rsid w:val="00FD5204"/>
    <w:rsid w:val="00FD5B2D"/>
    <w:rsid w:val="00FD5DA5"/>
    <w:rsid w:val="00FD63E6"/>
    <w:rsid w:val="00FD6A54"/>
    <w:rsid w:val="00FD6BED"/>
    <w:rsid w:val="00FD6F4E"/>
    <w:rsid w:val="00FD73EA"/>
    <w:rsid w:val="00FE0429"/>
    <w:rsid w:val="00FE0BC7"/>
    <w:rsid w:val="00FE1006"/>
    <w:rsid w:val="00FE1D6B"/>
    <w:rsid w:val="00FE27C1"/>
    <w:rsid w:val="00FE2AAF"/>
    <w:rsid w:val="00FE2F5A"/>
    <w:rsid w:val="00FE3F60"/>
    <w:rsid w:val="00FE4D26"/>
    <w:rsid w:val="00FE50EB"/>
    <w:rsid w:val="00FE5A6F"/>
    <w:rsid w:val="00FE6523"/>
    <w:rsid w:val="00FE6716"/>
    <w:rsid w:val="00FE6733"/>
    <w:rsid w:val="00FE7C8C"/>
    <w:rsid w:val="00FE7E9A"/>
    <w:rsid w:val="00FE7EE6"/>
    <w:rsid w:val="00FF0231"/>
    <w:rsid w:val="00FF06C7"/>
    <w:rsid w:val="00FF0E1E"/>
    <w:rsid w:val="00FF0E5C"/>
    <w:rsid w:val="00FF2223"/>
    <w:rsid w:val="00FF259F"/>
    <w:rsid w:val="00FF267C"/>
    <w:rsid w:val="00FF2F6A"/>
    <w:rsid w:val="00FF348F"/>
    <w:rsid w:val="00FF3494"/>
    <w:rsid w:val="00FF36F2"/>
    <w:rsid w:val="00FF383E"/>
    <w:rsid w:val="00FF3A4A"/>
    <w:rsid w:val="00FF4162"/>
    <w:rsid w:val="00FF4E6F"/>
    <w:rsid w:val="00FF5185"/>
    <w:rsid w:val="00FF56AB"/>
    <w:rsid w:val="00FF5DFF"/>
    <w:rsid w:val="00FF606D"/>
    <w:rsid w:val="00FF690F"/>
    <w:rsid w:val="00FF6CB3"/>
    <w:rsid w:val="00FF7064"/>
    <w:rsid w:val="00FF7836"/>
    <w:rsid w:val="00FF7962"/>
    <w:rsid w:val="00FF7B7D"/>
    <w:rsid w:val="0101043C"/>
    <w:rsid w:val="01305DE8"/>
    <w:rsid w:val="0152D07E"/>
    <w:rsid w:val="016008AE"/>
    <w:rsid w:val="01AE6C04"/>
    <w:rsid w:val="01FAECE6"/>
    <w:rsid w:val="023439DE"/>
    <w:rsid w:val="0296FDB3"/>
    <w:rsid w:val="02FF3CAE"/>
    <w:rsid w:val="03165877"/>
    <w:rsid w:val="0323F62A"/>
    <w:rsid w:val="0356AD5F"/>
    <w:rsid w:val="038A7BD8"/>
    <w:rsid w:val="03B3E2ED"/>
    <w:rsid w:val="03CF9E23"/>
    <w:rsid w:val="03F633FB"/>
    <w:rsid w:val="041ACA39"/>
    <w:rsid w:val="045A2252"/>
    <w:rsid w:val="045F7EA8"/>
    <w:rsid w:val="04699FF7"/>
    <w:rsid w:val="0486DB0A"/>
    <w:rsid w:val="04878B49"/>
    <w:rsid w:val="049E3C6F"/>
    <w:rsid w:val="04DD15DC"/>
    <w:rsid w:val="04F05E87"/>
    <w:rsid w:val="052F67B4"/>
    <w:rsid w:val="0551F729"/>
    <w:rsid w:val="05D3E637"/>
    <w:rsid w:val="06135096"/>
    <w:rsid w:val="06313E50"/>
    <w:rsid w:val="064BC0BE"/>
    <w:rsid w:val="064C8629"/>
    <w:rsid w:val="067D4FAB"/>
    <w:rsid w:val="06C84EAE"/>
    <w:rsid w:val="06CC46A3"/>
    <w:rsid w:val="06F3C7C8"/>
    <w:rsid w:val="07512B8F"/>
    <w:rsid w:val="075D454F"/>
    <w:rsid w:val="07A64A1A"/>
    <w:rsid w:val="082C9835"/>
    <w:rsid w:val="08330B78"/>
    <w:rsid w:val="083B5701"/>
    <w:rsid w:val="085BACBC"/>
    <w:rsid w:val="087113CE"/>
    <w:rsid w:val="08B2A8CA"/>
    <w:rsid w:val="08B990A8"/>
    <w:rsid w:val="08D68168"/>
    <w:rsid w:val="08FD692E"/>
    <w:rsid w:val="0915F928"/>
    <w:rsid w:val="091BDF2B"/>
    <w:rsid w:val="092B82D5"/>
    <w:rsid w:val="094B505B"/>
    <w:rsid w:val="0993A63F"/>
    <w:rsid w:val="099BFAD4"/>
    <w:rsid w:val="09A2F28B"/>
    <w:rsid w:val="09BB0869"/>
    <w:rsid w:val="09C4C42F"/>
    <w:rsid w:val="0A0250E8"/>
    <w:rsid w:val="0A047208"/>
    <w:rsid w:val="0A07156E"/>
    <w:rsid w:val="0A175A9B"/>
    <w:rsid w:val="0A1A912B"/>
    <w:rsid w:val="0A75236E"/>
    <w:rsid w:val="0AA451EF"/>
    <w:rsid w:val="0AE22815"/>
    <w:rsid w:val="0B212041"/>
    <w:rsid w:val="0B2F389B"/>
    <w:rsid w:val="0B50305B"/>
    <w:rsid w:val="0B56E916"/>
    <w:rsid w:val="0B626B51"/>
    <w:rsid w:val="0BAF56C3"/>
    <w:rsid w:val="0C06E7EF"/>
    <w:rsid w:val="0C2F0AC9"/>
    <w:rsid w:val="0C38A055"/>
    <w:rsid w:val="0C41C0C9"/>
    <w:rsid w:val="0C7B0346"/>
    <w:rsid w:val="0CC4EA1E"/>
    <w:rsid w:val="0CCF85BC"/>
    <w:rsid w:val="0CE0A47F"/>
    <w:rsid w:val="0CF071AD"/>
    <w:rsid w:val="0CF0E7D4"/>
    <w:rsid w:val="0CF821FF"/>
    <w:rsid w:val="0CFEBD36"/>
    <w:rsid w:val="0D812C58"/>
    <w:rsid w:val="0DB8E084"/>
    <w:rsid w:val="0DF319D6"/>
    <w:rsid w:val="0DF88A53"/>
    <w:rsid w:val="0E49A45C"/>
    <w:rsid w:val="0E6CDA87"/>
    <w:rsid w:val="0E7B52D7"/>
    <w:rsid w:val="0EBD6E40"/>
    <w:rsid w:val="0EC9009A"/>
    <w:rsid w:val="0EE62A1C"/>
    <w:rsid w:val="0EEF09D4"/>
    <w:rsid w:val="0EF88D1B"/>
    <w:rsid w:val="0EFACFC5"/>
    <w:rsid w:val="0F161237"/>
    <w:rsid w:val="0F1671A8"/>
    <w:rsid w:val="0F2F9384"/>
    <w:rsid w:val="0F77C10B"/>
    <w:rsid w:val="0FB273D1"/>
    <w:rsid w:val="0FC8DA48"/>
    <w:rsid w:val="100A65BD"/>
    <w:rsid w:val="101B6DC3"/>
    <w:rsid w:val="10555288"/>
    <w:rsid w:val="1061D020"/>
    <w:rsid w:val="10772F2F"/>
    <w:rsid w:val="1094C59A"/>
    <w:rsid w:val="10D95E4C"/>
    <w:rsid w:val="10EE2761"/>
    <w:rsid w:val="1110B9EA"/>
    <w:rsid w:val="11388378"/>
    <w:rsid w:val="11CE9592"/>
    <w:rsid w:val="11F2E424"/>
    <w:rsid w:val="1202FECC"/>
    <w:rsid w:val="12FF4447"/>
    <w:rsid w:val="130172B5"/>
    <w:rsid w:val="130946A8"/>
    <w:rsid w:val="132246DC"/>
    <w:rsid w:val="13446E07"/>
    <w:rsid w:val="134D907C"/>
    <w:rsid w:val="1383BF20"/>
    <w:rsid w:val="13882EBD"/>
    <w:rsid w:val="138A6C9D"/>
    <w:rsid w:val="13A3EF09"/>
    <w:rsid w:val="13C0A326"/>
    <w:rsid w:val="1437469B"/>
    <w:rsid w:val="1437EA08"/>
    <w:rsid w:val="143DC8D0"/>
    <w:rsid w:val="1497D641"/>
    <w:rsid w:val="1497D943"/>
    <w:rsid w:val="14B4D41A"/>
    <w:rsid w:val="14E4A07C"/>
    <w:rsid w:val="1529927F"/>
    <w:rsid w:val="15641F28"/>
    <w:rsid w:val="156E47DF"/>
    <w:rsid w:val="15ADCB92"/>
    <w:rsid w:val="15AF6FAA"/>
    <w:rsid w:val="15C94601"/>
    <w:rsid w:val="15DECBED"/>
    <w:rsid w:val="15EB747D"/>
    <w:rsid w:val="15F9129C"/>
    <w:rsid w:val="161C3336"/>
    <w:rsid w:val="1657095A"/>
    <w:rsid w:val="16B4699E"/>
    <w:rsid w:val="16F4CA54"/>
    <w:rsid w:val="175E48A7"/>
    <w:rsid w:val="175F4217"/>
    <w:rsid w:val="177733B9"/>
    <w:rsid w:val="17863A0F"/>
    <w:rsid w:val="179027E3"/>
    <w:rsid w:val="179B5B17"/>
    <w:rsid w:val="17E8E995"/>
    <w:rsid w:val="17ED183F"/>
    <w:rsid w:val="17F0EC8A"/>
    <w:rsid w:val="18049A5A"/>
    <w:rsid w:val="18258E41"/>
    <w:rsid w:val="18401D25"/>
    <w:rsid w:val="18489C42"/>
    <w:rsid w:val="188CD6C6"/>
    <w:rsid w:val="18976E1A"/>
    <w:rsid w:val="189BA1F1"/>
    <w:rsid w:val="18B55C37"/>
    <w:rsid w:val="18B9C415"/>
    <w:rsid w:val="18E6A22E"/>
    <w:rsid w:val="18EBBD10"/>
    <w:rsid w:val="18F31CB8"/>
    <w:rsid w:val="193D1FB5"/>
    <w:rsid w:val="19421068"/>
    <w:rsid w:val="194A64A2"/>
    <w:rsid w:val="1976EC75"/>
    <w:rsid w:val="1977627D"/>
    <w:rsid w:val="19EBF855"/>
    <w:rsid w:val="1A000788"/>
    <w:rsid w:val="1A71B385"/>
    <w:rsid w:val="1A73F024"/>
    <w:rsid w:val="1AA20A56"/>
    <w:rsid w:val="1AB18B08"/>
    <w:rsid w:val="1B499727"/>
    <w:rsid w:val="1B4EEC63"/>
    <w:rsid w:val="1B52662A"/>
    <w:rsid w:val="1B9015F3"/>
    <w:rsid w:val="1B9F50C2"/>
    <w:rsid w:val="1C15B96D"/>
    <w:rsid w:val="1C2FA94E"/>
    <w:rsid w:val="1C3B0E58"/>
    <w:rsid w:val="1C4979E5"/>
    <w:rsid w:val="1C70EBB3"/>
    <w:rsid w:val="1C7267B8"/>
    <w:rsid w:val="1C7751D8"/>
    <w:rsid w:val="1C7D869F"/>
    <w:rsid w:val="1C8BFEF2"/>
    <w:rsid w:val="1CBABC53"/>
    <w:rsid w:val="1CCB21A4"/>
    <w:rsid w:val="1D37A380"/>
    <w:rsid w:val="1D50C3B2"/>
    <w:rsid w:val="1D55F2E7"/>
    <w:rsid w:val="1DC4F010"/>
    <w:rsid w:val="1DDC9567"/>
    <w:rsid w:val="1DFDE5C6"/>
    <w:rsid w:val="1E0DF853"/>
    <w:rsid w:val="1E650CFC"/>
    <w:rsid w:val="1E71F180"/>
    <w:rsid w:val="1E888264"/>
    <w:rsid w:val="1EAAC63C"/>
    <w:rsid w:val="1ED2A5DF"/>
    <w:rsid w:val="1F32563A"/>
    <w:rsid w:val="1F4CFC79"/>
    <w:rsid w:val="1F653450"/>
    <w:rsid w:val="1F9890B7"/>
    <w:rsid w:val="1FC73B2B"/>
    <w:rsid w:val="1FC8374A"/>
    <w:rsid w:val="202898E0"/>
    <w:rsid w:val="2031E940"/>
    <w:rsid w:val="204E80C0"/>
    <w:rsid w:val="205DC599"/>
    <w:rsid w:val="208AF614"/>
    <w:rsid w:val="209B2976"/>
    <w:rsid w:val="20D193E4"/>
    <w:rsid w:val="21168CB9"/>
    <w:rsid w:val="211BFD03"/>
    <w:rsid w:val="213F4040"/>
    <w:rsid w:val="21565D66"/>
    <w:rsid w:val="2171C8B3"/>
    <w:rsid w:val="21B0B94F"/>
    <w:rsid w:val="21BD86D3"/>
    <w:rsid w:val="21CB9D3A"/>
    <w:rsid w:val="21E549F8"/>
    <w:rsid w:val="21FE357E"/>
    <w:rsid w:val="22434F55"/>
    <w:rsid w:val="2246A71C"/>
    <w:rsid w:val="225331F4"/>
    <w:rsid w:val="2279B204"/>
    <w:rsid w:val="2279D10D"/>
    <w:rsid w:val="227E3C5B"/>
    <w:rsid w:val="22F0639D"/>
    <w:rsid w:val="2304EB5C"/>
    <w:rsid w:val="234FB78E"/>
    <w:rsid w:val="23BD7455"/>
    <w:rsid w:val="23C5C262"/>
    <w:rsid w:val="245AED92"/>
    <w:rsid w:val="24729ECD"/>
    <w:rsid w:val="24C17A58"/>
    <w:rsid w:val="25192242"/>
    <w:rsid w:val="251ED8B0"/>
    <w:rsid w:val="25BEC6C2"/>
    <w:rsid w:val="25F68984"/>
    <w:rsid w:val="261DB995"/>
    <w:rsid w:val="263B31DC"/>
    <w:rsid w:val="266D5FF5"/>
    <w:rsid w:val="26A42DCD"/>
    <w:rsid w:val="26B1FF1E"/>
    <w:rsid w:val="26B8AF1E"/>
    <w:rsid w:val="26C1997D"/>
    <w:rsid w:val="26D1A360"/>
    <w:rsid w:val="26E99276"/>
    <w:rsid w:val="26EF3502"/>
    <w:rsid w:val="26F7DAAE"/>
    <w:rsid w:val="27309C76"/>
    <w:rsid w:val="274F8F9C"/>
    <w:rsid w:val="2758C448"/>
    <w:rsid w:val="276CF9D9"/>
    <w:rsid w:val="2770113B"/>
    <w:rsid w:val="27A13F7D"/>
    <w:rsid w:val="27A57EC3"/>
    <w:rsid w:val="27B95784"/>
    <w:rsid w:val="27BF8AF8"/>
    <w:rsid w:val="27D02201"/>
    <w:rsid w:val="280F7270"/>
    <w:rsid w:val="285167FC"/>
    <w:rsid w:val="2852B4D0"/>
    <w:rsid w:val="286E5800"/>
    <w:rsid w:val="28817DBB"/>
    <w:rsid w:val="29B4472A"/>
    <w:rsid w:val="2A020D24"/>
    <w:rsid w:val="2A111876"/>
    <w:rsid w:val="2A413023"/>
    <w:rsid w:val="2A5A8B15"/>
    <w:rsid w:val="2AC61D8F"/>
    <w:rsid w:val="2AC99ABF"/>
    <w:rsid w:val="2AD6975C"/>
    <w:rsid w:val="2AD9B5EC"/>
    <w:rsid w:val="2B2BB247"/>
    <w:rsid w:val="2B315CA9"/>
    <w:rsid w:val="2B325312"/>
    <w:rsid w:val="2B36A63B"/>
    <w:rsid w:val="2B47D97C"/>
    <w:rsid w:val="2B55880C"/>
    <w:rsid w:val="2B7C6CCF"/>
    <w:rsid w:val="2B87FEF4"/>
    <w:rsid w:val="2B8E0EA1"/>
    <w:rsid w:val="2B93DF8A"/>
    <w:rsid w:val="2BAD7DAF"/>
    <w:rsid w:val="2BB260E2"/>
    <w:rsid w:val="2BCE2C0A"/>
    <w:rsid w:val="2BEE41E6"/>
    <w:rsid w:val="2C26C87E"/>
    <w:rsid w:val="2C6EBAA1"/>
    <w:rsid w:val="2C821A01"/>
    <w:rsid w:val="2CE77CBC"/>
    <w:rsid w:val="2CEAC044"/>
    <w:rsid w:val="2D0577C6"/>
    <w:rsid w:val="2D1B9043"/>
    <w:rsid w:val="2D378AD0"/>
    <w:rsid w:val="2D434070"/>
    <w:rsid w:val="2D5467D1"/>
    <w:rsid w:val="2D6E4A0C"/>
    <w:rsid w:val="2D7F0408"/>
    <w:rsid w:val="2D84FB50"/>
    <w:rsid w:val="2D8DE548"/>
    <w:rsid w:val="2DE7CE59"/>
    <w:rsid w:val="2E0399C1"/>
    <w:rsid w:val="2E197E80"/>
    <w:rsid w:val="2E433B44"/>
    <w:rsid w:val="2E684D57"/>
    <w:rsid w:val="2E8DB252"/>
    <w:rsid w:val="2EBC1E52"/>
    <w:rsid w:val="2ECC4AE1"/>
    <w:rsid w:val="2EDEC8B1"/>
    <w:rsid w:val="2EF9E2FE"/>
    <w:rsid w:val="2F05357E"/>
    <w:rsid w:val="2F52518F"/>
    <w:rsid w:val="2F696A8D"/>
    <w:rsid w:val="2F8006E8"/>
    <w:rsid w:val="2F840322"/>
    <w:rsid w:val="2F8CFFFE"/>
    <w:rsid w:val="2F93E286"/>
    <w:rsid w:val="2FABDA3E"/>
    <w:rsid w:val="2FB0730C"/>
    <w:rsid w:val="2FDAA075"/>
    <w:rsid w:val="301BB830"/>
    <w:rsid w:val="3037DB75"/>
    <w:rsid w:val="30392A36"/>
    <w:rsid w:val="304F750D"/>
    <w:rsid w:val="30721A2E"/>
    <w:rsid w:val="3096FFF7"/>
    <w:rsid w:val="30B88278"/>
    <w:rsid w:val="30D6D156"/>
    <w:rsid w:val="3116FF4D"/>
    <w:rsid w:val="31365DA6"/>
    <w:rsid w:val="31548E32"/>
    <w:rsid w:val="316EE4EB"/>
    <w:rsid w:val="31984C00"/>
    <w:rsid w:val="31C6BB8C"/>
    <w:rsid w:val="31D2288B"/>
    <w:rsid w:val="320ADA5A"/>
    <w:rsid w:val="321E72D9"/>
    <w:rsid w:val="322C1F4A"/>
    <w:rsid w:val="3246652D"/>
    <w:rsid w:val="327DE285"/>
    <w:rsid w:val="32BD98C1"/>
    <w:rsid w:val="32C9D712"/>
    <w:rsid w:val="32DB3D1A"/>
    <w:rsid w:val="331D397C"/>
    <w:rsid w:val="337791F7"/>
    <w:rsid w:val="338FD23A"/>
    <w:rsid w:val="33CC1DE8"/>
    <w:rsid w:val="33D16803"/>
    <w:rsid w:val="34001353"/>
    <w:rsid w:val="3427AB2A"/>
    <w:rsid w:val="34495036"/>
    <w:rsid w:val="34530D59"/>
    <w:rsid w:val="34872720"/>
    <w:rsid w:val="34A84C15"/>
    <w:rsid w:val="353BAA0C"/>
    <w:rsid w:val="357939FB"/>
    <w:rsid w:val="35A0EB89"/>
    <w:rsid w:val="35AEB2CE"/>
    <w:rsid w:val="35C9D5B6"/>
    <w:rsid w:val="35E4EBDB"/>
    <w:rsid w:val="35E53EE6"/>
    <w:rsid w:val="3632BC16"/>
    <w:rsid w:val="363E150A"/>
    <w:rsid w:val="36552577"/>
    <w:rsid w:val="36591C7C"/>
    <w:rsid w:val="366ACFDF"/>
    <w:rsid w:val="367F2B40"/>
    <w:rsid w:val="36993063"/>
    <w:rsid w:val="36EBB317"/>
    <w:rsid w:val="36F16756"/>
    <w:rsid w:val="370D3546"/>
    <w:rsid w:val="370FC12C"/>
    <w:rsid w:val="3716B0F7"/>
    <w:rsid w:val="3745E4A8"/>
    <w:rsid w:val="375E042E"/>
    <w:rsid w:val="37BA62F6"/>
    <w:rsid w:val="37CF4493"/>
    <w:rsid w:val="37E501AB"/>
    <w:rsid w:val="380DECBC"/>
    <w:rsid w:val="3854AC35"/>
    <w:rsid w:val="38664271"/>
    <w:rsid w:val="386C5DC1"/>
    <w:rsid w:val="38735389"/>
    <w:rsid w:val="3898AF17"/>
    <w:rsid w:val="38B12777"/>
    <w:rsid w:val="38B517D7"/>
    <w:rsid w:val="38E226BC"/>
    <w:rsid w:val="39372AF0"/>
    <w:rsid w:val="393D27C7"/>
    <w:rsid w:val="39426C69"/>
    <w:rsid w:val="3946132D"/>
    <w:rsid w:val="3947792A"/>
    <w:rsid w:val="396A234D"/>
    <w:rsid w:val="39AD261F"/>
    <w:rsid w:val="39F3B8A2"/>
    <w:rsid w:val="39F90D30"/>
    <w:rsid w:val="3A304AB8"/>
    <w:rsid w:val="3A4C43D4"/>
    <w:rsid w:val="3A7F578D"/>
    <w:rsid w:val="3AF119BF"/>
    <w:rsid w:val="3B100860"/>
    <w:rsid w:val="3B86B9E3"/>
    <w:rsid w:val="3B956B5F"/>
    <w:rsid w:val="3B9C4547"/>
    <w:rsid w:val="3B9F4119"/>
    <w:rsid w:val="3BCFA553"/>
    <w:rsid w:val="3BDB66E3"/>
    <w:rsid w:val="3BDFFB22"/>
    <w:rsid w:val="3BFEB23E"/>
    <w:rsid w:val="3C05516B"/>
    <w:rsid w:val="3C19BBD0"/>
    <w:rsid w:val="3C2C0108"/>
    <w:rsid w:val="3C41C398"/>
    <w:rsid w:val="3C443F74"/>
    <w:rsid w:val="3C50D863"/>
    <w:rsid w:val="3C9EBB34"/>
    <w:rsid w:val="3CA3E98B"/>
    <w:rsid w:val="3D08FA20"/>
    <w:rsid w:val="3D512D5A"/>
    <w:rsid w:val="3DC63204"/>
    <w:rsid w:val="3DD38C58"/>
    <w:rsid w:val="3DD5773A"/>
    <w:rsid w:val="3DE7529B"/>
    <w:rsid w:val="3E22F823"/>
    <w:rsid w:val="3E75EA63"/>
    <w:rsid w:val="3EC89C19"/>
    <w:rsid w:val="3EEB6DD0"/>
    <w:rsid w:val="3F042F5D"/>
    <w:rsid w:val="3F68D4FF"/>
    <w:rsid w:val="3F83A3EC"/>
    <w:rsid w:val="3FA25393"/>
    <w:rsid w:val="3FA6DE26"/>
    <w:rsid w:val="4018A26B"/>
    <w:rsid w:val="401C665D"/>
    <w:rsid w:val="40553779"/>
    <w:rsid w:val="4079BCDB"/>
    <w:rsid w:val="408D9885"/>
    <w:rsid w:val="40AB6099"/>
    <w:rsid w:val="40CEB83C"/>
    <w:rsid w:val="417A2114"/>
    <w:rsid w:val="419F2299"/>
    <w:rsid w:val="41ADAEA8"/>
    <w:rsid w:val="41B62A7F"/>
    <w:rsid w:val="41B7B283"/>
    <w:rsid w:val="41CC6DD1"/>
    <w:rsid w:val="41E1C640"/>
    <w:rsid w:val="424D61BD"/>
    <w:rsid w:val="428B6840"/>
    <w:rsid w:val="42B06DA4"/>
    <w:rsid w:val="42B9DE79"/>
    <w:rsid w:val="42BAABC4"/>
    <w:rsid w:val="42D5A8A0"/>
    <w:rsid w:val="431BE13A"/>
    <w:rsid w:val="43A8BBE2"/>
    <w:rsid w:val="43DD0C1B"/>
    <w:rsid w:val="4451F6FC"/>
    <w:rsid w:val="4468A2C0"/>
    <w:rsid w:val="4475C5E0"/>
    <w:rsid w:val="447D8B14"/>
    <w:rsid w:val="4483DCEB"/>
    <w:rsid w:val="448B1969"/>
    <w:rsid w:val="44B45CD5"/>
    <w:rsid w:val="44E939B2"/>
    <w:rsid w:val="44EA17FD"/>
    <w:rsid w:val="44F055F0"/>
    <w:rsid w:val="4502CF56"/>
    <w:rsid w:val="4542A458"/>
    <w:rsid w:val="456171DD"/>
    <w:rsid w:val="457A0AD0"/>
    <w:rsid w:val="45973320"/>
    <w:rsid w:val="4598AB07"/>
    <w:rsid w:val="45A7A635"/>
    <w:rsid w:val="45E2DA0A"/>
    <w:rsid w:val="45FEA612"/>
    <w:rsid w:val="46155E40"/>
    <w:rsid w:val="46261F48"/>
    <w:rsid w:val="46326D99"/>
    <w:rsid w:val="46392B58"/>
    <w:rsid w:val="467B844A"/>
    <w:rsid w:val="467E2960"/>
    <w:rsid w:val="46C9E427"/>
    <w:rsid w:val="46E9EBC7"/>
    <w:rsid w:val="47475427"/>
    <w:rsid w:val="4754C0CE"/>
    <w:rsid w:val="4757F247"/>
    <w:rsid w:val="47B27974"/>
    <w:rsid w:val="47CD44FB"/>
    <w:rsid w:val="4814B1FC"/>
    <w:rsid w:val="48260A61"/>
    <w:rsid w:val="4844B154"/>
    <w:rsid w:val="484D91DC"/>
    <w:rsid w:val="489487BC"/>
    <w:rsid w:val="489DB968"/>
    <w:rsid w:val="48AAC3C0"/>
    <w:rsid w:val="48FDC29C"/>
    <w:rsid w:val="491F2B20"/>
    <w:rsid w:val="4922C35D"/>
    <w:rsid w:val="4938855A"/>
    <w:rsid w:val="493E976F"/>
    <w:rsid w:val="49463465"/>
    <w:rsid w:val="4946911F"/>
    <w:rsid w:val="49ABC2C7"/>
    <w:rsid w:val="49E35803"/>
    <w:rsid w:val="49E84CFB"/>
    <w:rsid w:val="49F1C00E"/>
    <w:rsid w:val="49FA2280"/>
    <w:rsid w:val="4A11BC59"/>
    <w:rsid w:val="4A53C280"/>
    <w:rsid w:val="4A6B15F5"/>
    <w:rsid w:val="4A776E68"/>
    <w:rsid w:val="4A9D9B52"/>
    <w:rsid w:val="4ACC5660"/>
    <w:rsid w:val="4AD53F2A"/>
    <w:rsid w:val="4ADC3855"/>
    <w:rsid w:val="4B34A3E4"/>
    <w:rsid w:val="4B446666"/>
    <w:rsid w:val="4B7BEB0B"/>
    <w:rsid w:val="4B7EAD92"/>
    <w:rsid w:val="4BA15E48"/>
    <w:rsid w:val="4BE58E4A"/>
    <w:rsid w:val="4BEE145F"/>
    <w:rsid w:val="4C1A4586"/>
    <w:rsid w:val="4C292F0B"/>
    <w:rsid w:val="4C45F267"/>
    <w:rsid w:val="4C51221E"/>
    <w:rsid w:val="4C710EC4"/>
    <w:rsid w:val="4C7B3C89"/>
    <w:rsid w:val="4C854A37"/>
    <w:rsid w:val="4CAD4A7B"/>
    <w:rsid w:val="4CB2EA18"/>
    <w:rsid w:val="4CE0097D"/>
    <w:rsid w:val="4DD83D19"/>
    <w:rsid w:val="4E2DFF38"/>
    <w:rsid w:val="4E313A7C"/>
    <w:rsid w:val="4E73059D"/>
    <w:rsid w:val="4E9D5D99"/>
    <w:rsid w:val="4ECF5A0B"/>
    <w:rsid w:val="4EF00F26"/>
    <w:rsid w:val="4EF0EC7C"/>
    <w:rsid w:val="4EF31583"/>
    <w:rsid w:val="4EF36CDC"/>
    <w:rsid w:val="4EFE7632"/>
    <w:rsid w:val="4F065F18"/>
    <w:rsid w:val="4F2FD034"/>
    <w:rsid w:val="4F433C22"/>
    <w:rsid w:val="4F51954F"/>
    <w:rsid w:val="4F5E6604"/>
    <w:rsid w:val="4F7C96AD"/>
    <w:rsid w:val="4F85D654"/>
    <w:rsid w:val="4F9E9422"/>
    <w:rsid w:val="4FBABF3E"/>
    <w:rsid w:val="500EDF7E"/>
    <w:rsid w:val="501013F0"/>
    <w:rsid w:val="501C6A5F"/>
    <w:rsid w:val="50267700"/>
    <w:rsid w:val="50614993"/>
    <w:rsid w:val="5088D244"/>
    <w:rsid w:val="50B77663"/>
    <w:rsid w:val="50BABAFA"/>
    <w:rsid w:val="50BDF34E"/>
    <w:rsid w:val="50C06013"/>
    <w:rsid w:val="50C4AE63"/>
    <w:rsid w:val="50E89CAF"/>
    <w:rsid w:val="50F21C63"/>
    <w:rsid w:val="512D6E31"/>
    <w:rsid w:val="516EF946"/>
    <w:rsid w:val="517A0BCD"/>
    <w:rsid w:val="51A2691A"/>
    <w:rsid w:val="51CD80FF"/>
    <w:rsid w:val="522C495D"/>
    <w:rsid w:val="5249781A"/>
    <w:rsid w:val="524A459F"/>
    <w:rsid w:val="524B88FB"/>
    <w:rsid w:val="5263DF96"/>
    <w:rsid w:val="5280DD77"/>
    <w:rsid w:val="52A95707"/>
    <w:rsid w:val="52C4BD14"/>
    <w:rsid w:val="53058B39"/>
    <w:rsid w:val="530CB9BC"/>
    <w:rsid w:val="53122D0F"/>
    <w:rsid w:val="5321F13F"/>
    <w:rsid w:val="534AE20D"/>
    <w:rsid w:val="5364EBE9"/>
    <w:rsid w:val="538CE5EA"/>
    <w:rsid w:val="53F734B9"/>
    <w:rsid w:val="542595CF"/>
    <w:rsid w:val="543AFE8B"/>
    <w:rsid w:val="54446EDE"/>
    <w:rsid w:val="5455698D"/>
    <w:rsid w:val="5455A032"/>
    <w:rsid w:val="546A7DD2"/>
    <w:rsid w:val="5475501B"/>
    <w:rsid w:val="547A73D5"/>
    <w:rsid w:val="547B710C"/>
    <w:rsid w:val="549D035E"/>
    <w:rsid w:val="54A7AC56"/>
    <w:rsid w:val="54E8C6D4"/>
    <w:rsid w:val="55410068"/>
    <w:rsid w:val="5559CB2E"/>
    <w:rsid w:val="5565B6B8"/>
    <w:rsid w:val="556DEB5E"/>
    <w:rsid w:val="558967C2"/>
    <w:rsid w:val="55E07747"/>
    <w:rsid w:val="55EA582F"/>
    <w:rsid w:val="561A293B"/>
    <w:rsid w:val="5624D3E0"/>
    <w:rsid w:val="5634233E"/>
    <w:rsid w:val="56434D4E"/>
    <w:rsid w:val="564B896E"/>
    <w:rsid w:val="56E99AC8"/>
    <w:rsid w:val="570B1F13"/>
    <w:rsid w:val="571A1E7E"/>
    <w:rsid w:val="5722CBB2"/>
    <w:rsid w:val="573E14B0"/>
    <w:rsid w:val="57713DEB"/>
    <w:rsid w:val="578C2807"/>
    <w:rsid w:val="5810D91E"/>
    <w:rsid w:val="58284DE6"/>
    <w:rsid w:val="58484777"/>
    <w:rsid w:val="5894907A"/>
    <w:rsid w:val="58AE3109"/>
    <w:rsid w:val="58B5802F"/>
    <w:rsid w:val="58F7B5C9"/>
    <w:rsid w:val="591D54C8"/>
    <w:rsid w:val="5920DC46"/>
    <w:rsid w:val="592BC5F0"/>
    <w:rsid w:val="5941FD6A"/>
    <w:rsid w:val="5981B29E"/>
    <w:rsid w:val="59C2212C"/>
    <w:rsid w:val="59E7B7D5"/>
    <w:rsid w:val="59E82530"/>
    <w:rsid w:val="5A328CD2"/>
    <w:rsid w:val="5A5813B2"/>
    <w:rsid w:val="5AED2179"/>
    <w:rsid w:val="5AFD8737"/>
    <w:rsid w:val="5B38C953"/>
    <w:rsid w:val="5B3BB9AF"/>
    <w:rsid w:val="5B49889D"/>
    <w:rsid w:val="5B4D6066"/>
    <w:rsid w:val="5B8C47C8"/>
    <w:rsid w:val="5BCB556D"/>
    <w:rsid w:val="5BD5C5C4"/>
    <w:rsid w:val="5BDB7A40"/>
    <w:rsid w:val="5C4D8DBC"/>
    <w:rsid w:val="5C83C9CC"/>
    <w:rsid w:val="5C8B5508"/>
    <w:rsid w:val="5C99E20D"/>
    <w:rsid w:val="5CC70CFE"/>
    <w:rsid w:val="5CE8B671"/>
    <w:rsid w:val="5CF54749"/>
    <w:rsid w:val="5CFCAE27"/>
    <w:rsid w:val="5D19C420"/>
    <w:rsid w:val="5D3BC8F7"/>
    <w:rsid w:val="5DA0D2EF"/>
    <w:rsid w:val="5E1EC597"/>
    <w:rsid w:val="5E294E11"/>
    <w:rsid w:val="5E7CF55E"/>
    <w:rsid w:val="5EAFDEFB"/>
    <w:rsid w:val="5EBE09A1"/>
    <w:rsid w:val="5ECDBBBB"/>
    <w:rsid w:val="5F11B10E"/>
    <w:rsid w:val="5F3E49E9"/>
    <w:rsid w:val="5F4F52DB"/>
    <w:rsid w:val="5F6F22A7"/>
    <w:rsid w:val="5F9545F8"/>
    <w:rsid w:val="5FD1E022"/>
    <w:rsid w:val="6061CCE5"/>
    <w:rsid w:val="6097C9C9"/>
    <w:rsid w:val="60A74D50"/>
    <w:rsid w:val="60C117A8"/>
    <w:rsid w:val="60CB3087"/>
    <w:rsid w:val="60F982C0"/>
    <w:rsid w:val="611A855A"/>
    <w:rsid w:val="612B3E63"/>
    <w:rsid w:val="6131676F"/>
    <w:rsid w:val="614E0B3C"/>
    <w:rsid w:val="61BD93DB"/>
    <w:rsid w:val="61C514B7"/>
    <w:rsid w:val="61C741DE"/>
    <w:rsid w:val="62651BE3"/>
    <w:rsid w:val="6265CABF"/>
    <w:rsid w:val="62AC1CE5"/>
    <w:rsid w:val="62AFD1F4"/>
    <w:rsid w:val="62D9A006"/>
    <w:rsid w:val="62ECC67E"/>
    <w:rsid w:val="6314FD47"/>
    <w:rsid w:val="6378E4A4"/>
    <w:rsid w:val="637BAE90"/>
    <w:rsid w:val="6386A86E"/>
    <w:rsid w:val="639FBF4B"/>
    <w:rsid w:val="63AED663"/>
    <w:rsid w:val="63D742CE"/>
    <w:rsid w:val="64055BFB"/>
    <w:rsid w:val="6436F1BC"/>
    <w:rsid w:val="64466440"/>
    <w:rsid w:val="645DB7E3"/>
    <w:rsid w:val="646479AC"/>
    <w:rsid w:val="64B5E81A"/>
    <w:rsid w:val="64B87ACC"/>
    <w:rsid w:val="64DC5952"/>
    <w:rsid w:val="64EB6910"/>
    <w:rsid w:val="64F8163E"/>
    <w:rsid w:val="650EE9F0"/>
    <w:rsid w:val="651F7C7C"/>
    <w:rsid w:val="653B5BB1"/>
    <w:rsid w:val="65439095"/>
    <w:rsid w:val="6543EDDF"/>
    <w:rsid w:val="6562565E"/>
    <w:rsid w:val="65633A7E"/>
    <w:rsid w:val="65637FAD"/>
    <w:rsid w:val="6577FE55"/>
    <w:rsid w:val="65EF40AB"/>
    <w:rsid w:val="65FF0A15"/>
    <w:rsid w:val="660E752B"/>
    <w:rsid w:val="662CFC77"/>
    <w:rsid w:val="6668113E"/>
    <w:rsid w:val="668A4225"/>
    <w:rsid w:val="66C23F52"/>
    <w:rsid w:val="66D11130"/>
    <w:rsid w:val="66DD56BC"/>
    <w:rsid w:val="66EE0F44"/>
    <w:rsid w:val="66F2E207"/>
    <w:rsid w:val="673260E9"/>
    <w:rsid w:val="6734756C"/>
    <w:rsid w:val="674D12DE"/>
    <w:rsid w:val="676A07A0"/>
    <w:rsid w:val="67713F71"/>
    <w:rsid w:val="678FBDEF"/>
    <w:rsid w:val="67F5501B"/>
    <w:rsid w:val="681D6EF7"/>
    <w:rsid w:val="683E1AE0"/>
    <w:rsid w:val="68561D3F"/>
    <w:rsid w:val="68617FF0"/>
    <w:rsid w:val="687353D0"/>
    <w:rsid w:val="6887FF90"/>
    <w:rsid w:val="68A6C48A"/>
    <w:rsid w:val="68D21684"/>
    <w:rsid w:val="69008633"/>
    <w:rsid w:val="693400B0"/>
    <w:rsid w:val="693598F2"/>
    <w:rsid w:val="6952087B"/>
    <w:rsid w:val="6955899F"/>
    <w:rsid w:val="69B01AD3"/>
    <w:rsid w:val="69D6AB08"/>
    <w:rsid w:val="69DBF822"/>
    <w:rsid w:val="6A00E951"/>
    <w:rsid w:val="6A13D571"/>
    <w:rsid w:val="6A3E0CDE"/>
    <w:rsid w:val="6A63D65A"/>
    <w:rsid w:val="6A808946"/>
    <w:rsid w:val="6ADD53C0"/>
    <w:rsid w:val="6AE8301E"/>
    <w:rsid w:val="6AEDCC83"/>
    <w:rsid w:val="6B329EDC"/>
    <w:rsid w:val="6B3F7B0A"/>
    <w:rsid w:val="6B5D9289"/>
    <w:rsid w:val="6BA36CB3"/>
    <w:rsid w:val="6BAC51EF"/>
    <w:rsid w:val="6BB2DBF5"/>
    <w:rsid w:val="6BC525FB"/>
    <w:rsid w:val="6BD057F0"/>
    <w:rsid w:val="6C28A7AB"/>
    <w:rsid w:val="6C305340"/>
    <w:rsid w:val="6C4ADA9D"/>
    <w:rsid w:val="6C785B8C"/>
    <w:rsid w:val="6C98B6FF"/>
    <w:rsid w:val="6CB8A33D"/>
    <w:rsid w:val="6CF926F1"/>
    <w:rsid w:val="6D05B9E7"/>
    <w:rsid w:val="6D2AF339"/>
    <w:rsid w:val="6D4FBEAD"/>
    <w:rsid w:val="6D669BDD"/>
    <w:rsid w:val="6D7B2E47"/>
    <w:rsid w:val="6D986CE6"/>
    <w:rsid w:val="6DA65E6A"/>
    <w:rsid w:val="6DB233F9"/>
    <w:rsid w:val="6DD85740"/>
    <w:rsid w:val="6E2FF474"/>
    <w:rsid w:val="6E6078EA"/>
    <w:rsid w:val="6EB112B4"/>
    <w:rsid w:val="6EB4E72B"/>
    <w:rsid w:val="6EEC887C"/>
    <w:rsid w:val="6F5D6C8B"/>
    <w:rsid w:val="6F72591B"/>
    <w:rsid w:val="6F83C827"/>
    <w:rsid w:val="6F979E3A"/>
    <w:rsid w:val="6FAADB18"/>
    <w:rsid w:val="6FBB0CE6"/>
    <w:rsid w:val="702D6E1F"/>
    <w:rsid w:val="709E710E"/>
    <w:rsid w:val="70EF5392"/>
    <w:rsid w:val="7100FB08"/>
    <w:rsid w:val="7106A3EA"/>
    <w:rsid w:val="711489BE"/>
    <w:rsid w:val="712D0015"/>
    <w:rsid w:val="71478F51"/>
    <w:rsid w:val="719E693D"/>
    <w:rsid w:val="72106D59"/>
    <w:rsid w:val="72225C70"/>
    <w:rsid w:val="727929DC"/>
    <w:rsid w:val="727AC2F6"/>
    <w:rsid w:val="72949170"/>
    <w:rsid w:val="7326EB85"/>
    <w:rsid w:val="733B52DF"/>
    <w:rsid w:val="737BC79B"/>
    <w:rsid w:val="74035867"/>
    <w:rsid w:val="7403E5DF"/>
    <w:rsid w:val="7458E484"/>
    <w:rsid w:val="745BB794"/>
    <w:rsid w:val="746B0F5D"/>
    <w:rsid w:val="747AD64D"/>
    <w:rsid w:val="7482F649"/>
    <w:rsid w:val="7497593F"/>
    <w:rsid w:val="74A47D72"/>
    <w:rsid w:val="74A5E2EC"/>
    <w:rsid w:val="74FE9C68"/>
    <w:rsid w:val="7524F015"/>
    <w:rsid w:val="753EF34A"/>
    <w:rsid w:val="754A9EF3"/>
    <w:rsid w:val="75506FE0"/>
    <w:rsid w:val="75756281"/>
    <w:rsid w:val="757B5333"/>
    <w:rsid w:val="75A4A5DD"/>
    <w:rsid w:val="75BF7FBA"/>
    <w:rsid w:val="75CD6D50"/>
    <w:rsid w:val="75FB29F5"/>
    <w:rsid w:val="75FEBA0E"/>
    <w:rsid w:val="76052C97"/>
    <w:rsid w:val="76AAC33E"/>
    <w:rsid w:val="76BB7A29"/>
    <w:rsid w:val="76DEA29D"/>
    <w:rsid w:val="76E88AF9"/>
    <w:rsid w:val="7719D255"/>
    <w:rsid w:val="7719EFCE"/>
    <w:rsid w:val="7770457A"/>
    <w:rsid w:val="7782CE61"/>
    <w:rsid w:val="77D0A0CA"/>
    <w:rsid w:val="77E31705"/>
    <w:rsid w:val="7878D28F"/>
    <w:rsid w:val="78B005C9"/>
    <w:rsid w:val="78C68913"/>
    <w:rsid w:val="794D75E6"/>
    <w:rsid w:val="795515B0"/>
    <w:rsid w:val="79901F46"/>
    <w:rsid w:val="79A6BBC4"/>
    <w:rsid w:val="79CFECBA"/>
    <w:rsid w:val="79E6227F"/>
    <w:rsid w:val="7A30ED75"/>
    <w:rsid w:val="7A38158B"/>
    <w:rsid w:val="7A3F44D2"/>
    <w:rsid w:val="7A4B1765"/>
    <w:rsid w:val="7A5F638D"/>
    <w:rsid w:val="7A9B1242"/>
    <w:rsid w:val="7AC2AF00"/>
    <w:rsid w:val="7AC3D512"/>
    <w:rsid w:val="7AC66E03"/>
    <w:rsid w:val="7B04547C"/>
    <w:rsid w:val="7B315B84"/>
    <w:rsid w:val="7B81F72B"/>
    <w:rsid w:val="7BAC14E2"/>
    <w:rsid w:val="7BE19C33"/>
    <w:rsid w:val="7C1F9123"/>
    <w:rsid w:val="7C318462"/>
    <w:rsid w:val="7C51F3D4"/>
    <w:rsid w:val="7C633DA4"/>
    <w:rsid w:val="7C6B7374"/>
    <w:rsid w:val="7CB3F447"/>
    <w:rsid w:val="7CB9B76B"/>
    <w:rsid w:val="7CD6E925"/>
    <w:rsid w:val="7CE642D1"/>
    <w:rsid w:val="7CEAA664"/>
    <w:rsid w:val="7D1B89CA"/>
    <w:rsid w:val="7D9BE39B"/>
    <w:rsid w:val="7DD42E7B"/>
    <w:rsid w:val="7E8D4B2C"/>
    <w:rsid w:val="7E960173"/>
    <w:rsid w:val="7E96DCBB"/>
    <w:rsid w:val="7EE91D0A"/>
    <w:rsid w:val="7F405288"/>
    <w:rsid w:val="7F73F9C8"/>
    <w:rsid w:val="7F8E9AC2"/>
    <w:rsid w:val="7FAFD47F"/>
    <w:rsid w:val="7FC21F41"/>
    <w:rsid w:val="7FC93D30"/>
    <w:rsid w:val="7FFE60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D8B14"/>
  <w15:chartTrackingRefBased/>
  <w15:docId w15:val="{79501167-302C-424A-85C5-90EF8DCC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38"/>
    <w:rPr>
      <w:rFonts w:ascii="Arial Nova" w:hAnsi="Arial Nova"/>
    </w:rPr>
  </w:style>
  <w:style w:type="paragraph" w:styleId="Heading1">
    <w:name w:val="heading 1"/>
    <w:basedOn w:val="Normal"/>
    <w:next w:val="Normal"/>
    <w:link w:val="Heading1Char"/>
    <w:uiPriority w:val="9"/>
    <w:qFormat/>
    <w:rsid w:val="009C48A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9534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9C48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ap">
    <w:name w:val="Nova p"/>
    <w:basedOn w:val="Normal"/>
    <w:rsid w:val="004A2A3B"/>
    <w:pPr>
      <w:spacing w:after="0"/>
      <w:jc w:val="both"/>
    </w:pPr>
  </w:style>
  <w:style w:type="paragraph" w:customStyle="1" w:styleId="Novah1">
    <w:name w:val="Nova h1"/>
    <w:basedOn w:val="Heading1"/>
    <w:qFormat/>
    <w:rsid w:val="009C48A1"/>
    <w:rPr>
      <w:rFonts w:ascii="Arial Nova" w:hAnsi="Arial Nova"/>
      <w:b/>
      <w:color w:val="171717" w:themeColor="background2" w:themeShade="1A"/>
      <w:sz w:val="40"/>
    </w:rPr>
  </w:style>
  <w:style w:type="character" w:customStyle="1" w:styleId="Heading1Char">
    <w:name w:val="Heading 1 Char"/>
    <w:basedOn w:val="DefaultParagraphFont"/>
    <w:link w:val="Heading1"/>
    <w:uiPriority w:val="9"/>
    <w:rsid w:val="009C48A1"/>
    <w:rPr>
      <w:rFonts w:asciiTheme="majorHAnsi" w:eastAsiaTheme="majorEastAsia" w:hAnsiTheme="majorHAnsi" w:cstheme="majorBidi"/>
      <w:color w:val="0F4761" w:themeColor="accent1" w:themeShade="BF"/>
      <w:sz w:val="32"/>
      <w:szCs w:val="32"/>
    </w:rPr>
  </w:style>
  <w:style w:type="paragraph" w:customStyle="1" w:styleId="Novah2">
    <w:name w:val="Nova h2"/>
    <w:basedOn w:val="Heading2"/>
    <w:qFormat/>
    <w:rsid w:val="009C48A1"/>
    <w:pPr>
      <w:jc w:val="both"/>
    </w:pPr>
    <w:rPr>
      <w:rFonts w:ascii="Arial Nova" w:hAnsi="Arial Nova"/>
      <w:b/>
      <w:bCs/>
      <w:color w:val="3A3A3A" w:themeColor="background2" w:themeShade="40"/>
      <w:sz w:val="30"/>
      <w:szCs w:val="40"/>
    </w:rPr>
  </w:style>
  <w:style w:type="character" w:customStyle="1" w:styleId="Heading3Char">
    <w:name w:val="Heading 3 Char"/>
    <w:basedOn w:val="DefaultParagraphFont"/>
    <w:link w:val="Heading3"/>
    <w:uiPriority w:val="9"/>
    <w:semiHidden/>
    <w:rsid w:val="009C48A1"/>
    <w:rPr>
      <w:rFonts w:asciiTheme="majorHAnsi" w:eastAsiaTheme="majorEastAsia" w:hAnsiTheme="majorHAnsi" w:cstheme="majorBidi"/>
      <w:color w:val="0A2F40" w:themeColor="accent1" w:themeShade="7F"/>
    </w:rPr>
  </w:style>
  <w:style w:type="paragraph" w:customStyle="1" w:styleId="paragraph">
    <w:name w:val="paragraph"/>
    <w:basedOn w:val="Normal"/>
    <w:rsid w:val="00BE6F33"/>
    <w:pPr>
      <w:spacing w:before="100" w:beforeAutospacing="1" w:after="100" w:afterAutospacing="1" w:line="240" w:lineRule="auto"/>
    </w:pPr>
    <w:rPr>
      <w:rFonts w:ascii="Times New Roman" w:eastAsia="Times New Roman" w:hAnsi="Times New Roman" w:cs="Times New Roman"/>
      <w:lang w:val="en-GB" w:eastAsia="en-GB"/>
    </w:rPr>
  </w:style>
  <w:style w:type="character" w:customStyle="1" w:styleId="normaltextrun">
    <w:name w:val="normaltextrun"/>
    <w:basedOn w:val="DefaultParagraphFont"/>
    <w:rsid w:val="00BE6F33"/>
  </w:style>
  <w:style w:type="character" w:customStyle="1" w:styleId="eop">
    <w:name w:val="eop"/>
    <w:basedOn w:val="DefaultParagraphFont"/>
    <w:rsid w:val="00BE6F33"/>
  </w:style>
  <w:style w:type="paragraph" w:styleId="Header">
    <w:name w:val="header"/>
    <w:basedOn w:val="Normal"/>
    <w:link w:val="HeaderChar"/>
    <w:uiPriority w:val="99"/>
    <w:unhideWhenUsed/>
    <w:rsid w:val="00293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BA7"/>
    <w:rPr>
      <w:rFonts w:ascii="Arial Nova" w:hAnsi="Arial Nova"/>
    </w:rPr>
  </w:style>
  <w:style w:type="paragraph" w:styleId="Footer">
    <w:name w:val="footer"/>
    <w:basedOn w:val="Normal"/>
    <w:link w:val="FooterChar"/>
    <w:uiPriority w:val="99"/>
    <w:unhideWhenUsed/>
    <w:rsid w:val="00293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BA7"/>
    <w:rPr>
      <w:rFonts w:ascii="Arial Nova" w:hAnsi="Arial Nova"/>
    </w:rPr>
  </w:style>
  <w:style w:type="table" w:styleId="TableGrid">
    <w:name w:val="Table Grid"/>
    <w:basedOn w:val="TableNormal"/>
    <w:uiPriority w:val="59"/>
    <w:rsid w:val="008A46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A4601"/>
  </w:style>
  <w:style w:type="character" w:customStyle="1" w:styleId="s8">
    <w:name w:val="s8"/>
    <w:basedOn w:val="DefaultParagraphFont"/>
    <w:rsid w:val="008A4601"/>
  </w:style>
  <w:style w:type="paragraph" w:styleId="TOCHeading">
    <w:name w:val="TOC Heading"/>
    <w:basedOn w:val="Heading1"/>
    <w:next w:val="Normal"/>
    <w:uiPriority w:val="39"/>
    <w:unhideWhenUsed/>
    <w:qFormat/>
    <w:rsid w:val="00570630"/>
    <w:pPr>
      <w:spacing w:line="259" w:lineRule="auto"/>
      <w:outlineLvl w:val="9"/>
    </w:pPr>
    <w:rPr>
      <w:lang w:val="en-GB" w:eastAsia="en-GB"/>
    </w:rPr>
  </w:style>
  <w:style w:type="paragraph" w:styleId="TOC1">
    <w:name w:val="toc 1"/>
    <w:basedOn w:val="Normal"/>
    <w:next w:val="Normal"/>
    <w:autoRedefine/>
    <w:uiPriority w:val="39"/>
    <w:unhideWhenUsed/>
    <w:rsid w:val="00570630"/>
    <w:pPr>
      <w:spacing w:after="100"/>
    </w:pPr>
  </w:style>
  <w:style w:type="paragraph" w:styleId="TOC3">
    <w:name w:val="toc 3"/>
    <w:basedOn w:val="Normal"/>
    <w:next w:val="Normal"/>
    <w:autoRedefine/>
    <w:uiPriority w:val="39"/>
    <w:unhideWhenUsed/>
    <w:rsid w:val="008B748B"/>
    <w:pPr>
      <w:tabs>
        <w:tab w:val="right" w:leader="dot" w:pos="9016"/>
      </w:tabs>
      <w:spacing w:after="100"/>
      <w:ind w:left="480"/>
    </w:pPr>
  </w:style>
  <w:style w:type="character" w:styleId="Hyperlink">
    <w:name w:val="Hyperlink"/>
    <w:basedOn w:val="DefaultParagraphFont"/>
    <w:uiPriority w:val="99"/>
    <w:unhideWhenUsed/>
    <w:rsid w:val="00570630"/>
    <w:rPr>
      <w:color w:val="467886" w:themeColor="hyperlink"/>
      <w:u w:val="single"/>
    </w:rPr>
  </w:style>
  <w:style w:type="paragraph" w:styleId="FootnoteText">
    <w:name w:val="footnote text"/>
    <w:basedOn w:val="Normal"/>
    <w:link w:val="FootnoteTextChar"/>
    <w:uiPriority w:val="99"/>
    <w:semiHidden/>
    <w:unhideWhenUsed/>
    <w:rsid w:val="00553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1B3"/>
    <w:rPr>
      <w:rFonts w:ascii="Arial Nova" w:hAnsi="Arial Nova"/>
      <w:sz w:val="20"/>
      <w:szCs w:val="20"/>
    </w:rPr>
  </w:style>
  <w:style w:type="character" w:styleId="FootnoteReference">
    <w:name w:val="footnote reference"/>
    <w:basedOn w:val="DefaultParagraphFont"/>
    <w:uiPriority w:val="99"/>
    <w:semiHidden/>
    <w:unhideWhenUsed/>
    <w:rsid w:val="005531B3"/>
    <w:rPr>
      <w:vertAlign w:val="superscript"/>
    </w:rPr>
  </w:style>
  <w:style w:type="character" w:customStyle="1" w:styleId="Heading2Char">
    <w:name w:val="Heading 2 Char"/>
    <w:basedOn w:val="DefaultParagraphFont"/>
    <w:link w:val="Heading2"/>
    <w:uiPriority w:val="9"/>
    <w:semiHidden/>
    <w:rsid w:val="0019534C"/>
    <w:rPr>
      <w:rFonts w:asciiTheme="majorHAnsi" w:eastAsiaTheme="majorEastAsia" w:hAnsiTheme="majorHAnsi" w:cstheme="majorBidi"/>
      <w:color w:val="0F4761" w:themeColor="accent1" w:themeShade="BF"/>
      <w:sz w:val="26"/>
      <w:szCs w:val="26"/>
    </w:rPr>
  </w:style>
  <w:style w:type="paragraph" w:customStyle="1" w:styleId="Novah3">
    <w:name w:val="Nova h3"/>
    <w:basedOn w:val="Heading3"/>
    <w:qFormat/>
    <w:rsid w:val="0019534C"/>
    <w:rPr>
      <w:b/>
      <w:color w:val="747474" w:themeColor="background2" w:themeShade="80"/>
      <w:sz w:val="26"/>
    </w:rPr>
  </w:style>
  <w:style w:type="paragraph" w:styleId="TOC2">
    <w:name w:val="toc 2"/>
    <w:basedOn w:val="Normal"/>
    <w:next w:val="Normal"/>
    <w:autoRedefine/>
    <w:uiPriority w:val="39"/>
    <w:unhideWhenUsed/>
    <w:rsid w:val="0019534C"/>
    <w:pPr>
      <w:spacing w:after="100"/>
      <w:ind w:left="240"/>
    </w:pPr>
  </w:style>
  <w:style w:type="character" w:customStyle="1" w:styleId="s5">
    <w:name w:val="s5"/>
    <w:basedOn w:val="DefaultParagraphFont"/>
    <w:rsid w:val="001F2C5E"/>
  </w:style>
  <w:style w:type="paragraph" w:styleId="Caption">
    <w:name w:val="caption"/>
    <w:basedOn w:val="Normal"/>
    <w:next w:val="Normal"/>
    <w:uiPriority w:val="35"/>
    <w:unhideWhenUsed/>
    <w:qFormat/>
    <w:rsid w:val="00ED6641"/>
    <w:pPr>
      <w:spacing w:after="200" w:line="240" w:lineRule="auto"/>
    </w:pPr>
    <w:rPr>
      <w:i/>
      <w:iCs/>
      <w:color w:val="0E2841" w:themeColor="text2"/>
      <w:sz w:val="18"/>
      <w:szCs w:val="18"/>
    </w:rPr>
  </w:style>
  <w:style w:type="paragraph" w:styleId="CommentText">
    <w:name w:val="annotation text"/>
    <w:basedOn w:val="Normal"/>
    <w:link w:val="CommentTextChar"/>
    <w:uiPriority w:val="99"/>
    <w:unhideWhenUsed/>
    <w:rsid w:val="003254C6"/>
    <w:pPr>
      <w:spacing w:line="240" w:lineRule="auto"/>
    </w:pPr>
    <w:rPr>
      <w:sz w:val="20"/>
      <w:szCs w:val="20"/>
    </w:rPr>
  </w:style>
  <w:style w:type="character" w:customStyle="1" w:styleId="CommentTextChar">
    <w:name w:val="Comment Text Char"/>
    <w:basedOn w:val="DefaultParagraphFont"/>
    <w:link w:val="CommentText"/>
    <w:uiPriority w:val="99"/>
    <w:rsid w:val="003254C6"/>
    <w:rPr>
      <w:rFonts w:ascii="Arial Nova" w:hAnsi="Arial Nova"/>
      <w:sz w:val="20"/>
      <w:szCs w:val="20"/>
    </w:rPr>
  </w:style>
  <w:style w:type="character" w:styleId="CommentReference">
    <w:name w:val="annotation reference"/>
    <w:basedOn w:val="DefaultParagraphFont"/>
    <w:uiPriority w:val="99"/>
    <w:semiHidden/>
    <w:unhideWhenUsed/>
    <w:rsid w:val="003254C6"/>
    <w:rPr>
      <w:sz w:val="16"/>
      <w:szCs w:val="16"/>
    </w:rPr>
  </w:style>
  <w:style w:type="paragraph" w:styleId="CommentSubject">
    <w:name w:val="annotation subject"/>
    <w:basedOn w:val="CommentText"/>
    <w:next w:val="CommentText"/>
    <w:link w:val="CommentSubjectChar"/>
    <w:uiPriority w:val="99"/>
    <w:semiHidden/>
    <w:unhideWhenUsed/>
    <w:rsid w:val="002D7A5F"/>
    <w:rPr>
      <w:b/>
      <w:bCs/>
    </w:rPr>
  </w:style>
  <w:style w:type="character" w:customStyle="1" w:styleId="CommentSubjectChar">
    <w:name w:val="Comment Subject Char"/>
    <w:basedOn w:val="CommentTextChar"/>
    <w:link w:val="CommentSubject"/>
    <w:uiPriority w:val="99"/>
    <w:semiHidden/>
    <w:rsid w:val="002D7A5F"/>
    <w:rPr>
      <w:rFonts w:ascii="Arial Nova" w:hAnsi="Arial Nova"/>
      <w:b/>
      <w:bCs/>
      <w:sz w:val="20"/>
      <w:szCs w:val="20"/>
    </w:rPr>
  </w:style>
  <w:style w:type="paragraph" w:customStyle="1" w:styleId="p">
    <w:name w:val="p"/>
    <w:basedOn w:val="Normal"/>
    <w:link w:val="pCarattere"/>
    <w:qFormat/>
    <w:rsid w:val="001B1DE4"/>
    <w:pPr>
      <w:spacing w:after="0"/>
      <w:jc w:val="both"/>
    </w:pPr>
    <w:rPr>
      <w:rFonts w:asciiTheme="minorHAnsi" w:eastAsiaTheme="minorEastAsia" w:hAnsiTheme="minorHAnsi"/>
      <w:sz w:val="22"/>
      <w:lang w:val="en-US" w:eastAsia="ja-JP"/>
    </w:rPr>
  </w:style>
  <w:style w:type="paragraph" w:customStyle="1" w:styleId="apth1">
    <w:name w:val="apt h1"/>
    <w:basedOn w:val="Heading1"/>
    <w:link w:val="apth1Char"/>
    <w:qFormat/>
    <w:rsid w:val="00380CB4"/>
    <w:pPr>
      <w:spacing w:before="20" w:after="20"/>
      <w:ind w:right="5"/>
      <w:contextualSpacing/>
    </w:pPr>
    <w:rPr>
      <w:rFonts w:eastAsia="Segoe UI" w:cs="Segoe UI"/>
      <w:b/>
      <w:bCs/>
      <w:color w:val="77206D" w:themeColor="accent5" w:themeShade="BF"/>
    </w:rPr>
  </w:style>
  <w:style w:type="character" w:customStyle="1" w:styleId="apth1Char">
    <w:name w:val="apt h1 Char"/>
    <w:basedOn w:val="Heading1Char"/>
    <w:link w:val="apth1"/>
    <w:rsid w:val="00380CB4"/>
    <w:rPr>
      <w:rFonts w:asciiTheme="majorHAnsi" w:eastAsia="Segoe UI" w:hAnsiTheme="majorHAnsi" w:cs="Segoe UI"/>
      <w:b/>
      <w:bCs/>
      <w:color w:val="77206D" w:themeColor="accent5" w:themeShade="BF"/>
      <w:sz w:val="32"/>
      <w:szCs w:val="32"/>
    </w:rPr>
  </w:style>
  <w:style w:type="paragraph" w:customStyle="1" w:styleId="apth3">
    <w:name w:val="apt h3"/>
    <w:basedOn w:val="Heading3"/>
    <w:qFormat/>
    <w:rsid w:val="00B2093C"/>
    <w:rPr>
      <w:b/>
      <w:color w:val="D86DCB" w:themeColor="accent5" w:themeTint="99"/>
      <w:sz w:val="30"/>
    </w:rPr>
  </w:style>
  <w:style w:type="paragraph" w:customStyle="1" w:styleId="aptp">
    <w:name w:val="apt p"/>
    <w:basedOn w:val="p"/>
    <w:link w:val="aptpCarattere"/>
    <w:qFormat/>
    <w:rsid w:val="006F1B2F"/>
    <w:rPr>
      <w:rFonts w:eastAsia="Segoe UI"/>
      <w:sz w:val="24"/>
    </w:rPr>
  </w:style>
  <w:style w:type="character" w:styleId="PlaceholderText">
    <w:name w:val="Placeholder Text"/>
    <w:basedOn w:val="DefaultParagraphFont"/>
    <w:uiPriority w:val="99"/>
    <w:semiHidden/>
    <w:rsid w:val="009F031D"/>
    <w:rPr>
      <w:color w:val="666666"/>
    </w:rPr>
  </w:style>
  <w:style w:type="character" w:styleId="UnresolvedMention">
    <w:name w:val="Unresolved Mention"/>
    <w:basedOn w:val="DefaultParagraphFont"/>
    <w:uiPriority w:val="99"/>
    <w:semiHidden/>
    <w:unhideWhenUsed/>
    <w:rsid w:val="00822703"/>
    <w:rPr>
      <w:color w:val="605E5C"/>
      <w:shd w:val="clear" w:color="auto" w:fill="E1DFDD"/>
    </w:rPr>
  </w:style>
  <w:style w:type="paragraph" w:customStyle="1" w:styleId="aptdidascalie">
    <w:name w:val="apt didascalie"/>
    <w:basedOn w:val="aptp"/>
    <w:link w:val="aptdidascalieCarattere"/>
    <w:qFormat/>
    <w:rsid w:val="00BF6F2D"/>
    <w:rPr>
      <w:i/>
      <w:sz w:val="18"/>
      <w:lang w:val="it-IT"/>
    </w:rPr>
  </w:style>
  <w:style w:type="character" w:customStyle="1" w:styleId="pCarattere">
    <w:name w:val="p Carattere"/>
    <w:basedOn w:val="DefaultParagraphFont"/>
    <w:link w:val="p"/>
    <w:rsid w:val="00BF6F2D"/>
    <w:rPr>
      <w:rFonts w:eastAsiaTheme="minorEastAsia"/>
      <w:sz w:val="22"/>
      <w:lang w:val="en-US" w:eastAsia="ja-JP"/>
    </w:rPr>
  </w:style>
  <w:style w:type="character" w:customStyle="1" w:styleId="aptpCarattere">
    <w:name w:val="apt p Carattere"/>
    <w:basedOn w:val="pCarattere"/>
    <w:link w:val="aptp"/>
    <w:rsid w:val="00BF6F2D"/>
    <w:rPr>
      <w:rFonts w:eastAsia="Segoe UI"/>
      <w:sz w:val="22"/>
      <w:lang w:val="en-US" w:eastAsia="ja-JP"/>
    </w:rPr>
  </w:style>
  <w:style w:type="character" w:customStyle="1" w:styleId="aptdidascalieCarattere">
    <w:name w:val="apt didascalie Carattere"/>
    <w:basedOn w:val="aptpCarattere"/>
    <w:link w:val="aptdidascalie"/>
    <w:rsid w:val="00BF6F2D"/>
    <w:rPr>
      <w:rFonts w:eastAsia="Segoe UI"/>
      <w:i/>
      <w:sz w:val="18"/>
      <w:lang w:val="en-US" w:eastAsia="ja-JP"/>
    </w:rPr>
  </w:style>
  <w:style w:type="paragraph" w:styleId="ListParagraph">
    <w:name w:val="List Paragraph"/>
    <w:basedOn w:val="Normal"/>
    <w:uiPriority w:val="34"/>
    <w:qFormat/>
    <w:rsid w:val="00CB025D"/>
    <w:pPr>
      <w:spacing w:line="259" w:lineRule="auto"/>
      <w:ind w:left="720"/>
      <w:contextualSpacing/>
    </w:pPr>
    <w:rPr>
      <w:rFonts w:asciiTheme="minorHAnsi" w:hAnsiTheme="minorHAns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3474">
      <w:bodyDiv w:val="1"/>
      <w:marLeft w:val="0"/>
      <w:marRight w:val="0"/>
      <w:marTop w:val="0"/>
      <w:marBottom w:val="0"/>
      <w:divBdr>
        <w:top w:val="none" w:sz="0" w:space="0" w:color="auto"/>
        <w:left w:val="none" w:sz="0" w:space="0" w:color="auto"/>
        <w:bottom w:val="none" w:sz="0" w:space="0" w:color="auto"/>
        <w:right w:val="none" w:sz="0" w:space="0" w:color="auto"/>
      </w:divBdr>
    </w:div>
    <w:div w:id="490486750">
      <w:bodyDiv w:val="1"/>
      <w:marLeft w:val="0"/>
      <w:marRight w:val="0"/>
      <w:marTop w:val="0"/>
      <w:marBottom w:val="0"/>
      <w:divBdr>
        <w:top w:val="none" w:sz="0" w:space="0" w:color="auto"/>
        <w:left w:val="none" w:sz="0" w:space="0" w:color="auto"/>
        <w:bottom w:val="none" w:sz="0" w:space="0" w:color="auto"/>
        <w:right w:val="none" w:sz="0" w:space="0" w:color="auto"/>
      </w:divBdr>
      <w:divsChild>
        <w:div w:id="2013987553">
          <w:marLeft w:val="0"/>
          <w:marRight w:val="0"/>
          <w:marTop w:val="0"/>
          <w:marBottom w:val="0"/>
          <w:divBdr>
            <w:top w:val="none" w:sz="0" w:space="0" w:color="auto"/>
            <w:left w:val="none" w:sz="0" w:space="0" w:color="auto"/>
            <w:bottom w:val="none" w:sz="0" w:space="0" w:color="auto"/>
            <w:right w:val="none" w:sz="0" w:space="0" w:color="auto"/>
          </w:divBdr>
          <w:divsChild>
            <w:div w:id="1253393242">
              <w:marLeft w:val="0"/>
              <w:marRight w:val="0"/>
              <w:marTop w:val="0"/>
              <w:marBottom w:val="0"/>
              <w:divBdr>
                <w:top w:val="none" w:sz="0" w:space="0" w:color="auto"/>
                <w:left w:val="none" w:sz="0" w:space="0" w:color="auto"/>
                <w:bottom w:val="none" w:sz="0" w:space="0" w:color="auto"/>
                <w:right w:val="none" w:sz="0" w:space="0" w:color="auto"/>
              </w:divBdr>
            </w:div>
            <w:div w:id="1753308957">
              <w:marLeft w:val="0"/>
              <w:marRight w:val="0"/>
              <w:marTop w:val="0"/>
              <w:marBottom w:val="0"/>
              <w:divBdr>
                <w:top w:val="none" w:sz="0" w:space="0" w:color="auto"/>
                <w:left w:val="none" w:sz="0" w:space="0" w:color="auto"/>
                <w:bottom w:val="none" w:sz="0" w:space="0" w:color="auto"/>
                <w:right w:val="none" w:sz="0" w:space="0" w:color="auto"/>
              </w:divBdr>
            </w:div>
            <w:div w:id="1902445477">
              <w:marLeft w:val="0"/>
              <w:marRight w:val="0"/>
              <w:marTop w:val="0"/>
              <w:marBottom w:val="0"/>
              <w:divBdr>
                <w:top w:val="none" w:sz="0" w:space="0" w:color="auto"/>
                <w:left w:val="none" w:sz="0" w:space="0" w:color="auto"/>
                <w:bottom w:val="none" w:sz="0" w:space="0" w:color="auto"/>
                <w:right w:val="none" w:sz="0" w:space="0" w:color="auto"/>
              </w:divBdr>
            </w:div>
            <w:div w:id="1506439968">
              <w:marLeft w:val="0"/>
              <w:marRight w:val="0"/>
              <w:marTop w:val="0"/>
              <w:marBottom w:val="0"/>
              <w:divBdr>
                <w:top w:val="none" w:sz="0" w:space="0" w:color="auto"/>
                <w:left w:val="none" w:sz="0" w:space="0" w:color="auto"/>
                <w:bottom w:val="none" w:sz="0" w:space="0" w:color="auto"/>
                <w:right w:val="none" w:sz="0" w:space="0" w:color="auto"/>
              </w:divBdr>
            </w:div>
            <w:div w:id="911424166">
              <w:marLeft w:val="0"/>
              <w:marRight w:val="0"/>
              <w:marTop w:val="0"/>
              <w:marBottom w:val="0"/>
              <w:divBdr>
                <w:top w:val="none" w:sz="0" w:space="0" w:color="auto"/>
                <w:left w:val="none" w:sz="0" w:space="0" w:color="auto"/>
                <w:bottom w:val="none" w:sz="0" w:space="0" w:color="auto"/>
                <w:right w:val="none" w:sz="0" w:space="0" w:color="auto"/>
              </w:divBdr>
            </w:div>
            <w:div w:id="2033415866">
              <w:marLeft w:val="0"/>
              <w:marRight w:val="0"/>
              <w:marTop w:val="0"/>
              <w:marBottom w:val="0"/>
              <w:divBdr>
                <w:top w:val="none" w:sz="0" w:space="0" w:color="auto"/>
                <w:left w:val="none" w:sz="0" w:space="0" w:color="auto"/>
                <w:bottom w:val="none" w:sz="0" w:space="0" w:color="auto"/>
                <w:right w:val="none" w:sz="0" w:space="0" w:color="auto"/>
              </w:divBdr>
            </w:div>
            <w:div w:id="2064402597">
              <w:marLeft w:val="0"/>
              <w:marRight w:val="0"/>
              <w:marTop w:val="0"/>
              <w:marBottom w:val="0"/>
              <w:divBdr>
                <w:top w:val="none" w:sz="0" w:space="0" w:color="auto"/>
                <w:left w:val="none" w:sz="0" w:space="0" w:color="auto"/>
                <w:bottom w:val="none" w:sz="0" w:space="0" w:color="auto"/>
                <w:right w:val="none" w:sz="0" w:space="0" w:color="auto"/>
              </w:divBdr>
            </w:div>
            <w:div w:id="2036692203">
              <w:marLeft w:val="0"/>
              <w:marRight w:val="0"/>
              <w:marTop w:val="0"/>
              <w:marBottom w:val="0"/>
              <w:divBdr>
                <w:top w:val="none" w:sz="0" w:space="0" w:color="auto"/>
                <w:left w:val="none" w:sz="0" w:space="0" w:color="auto"/>
                <w:bottom w:val="none" w:sz="0" w:space="0" w:color="auto"/>
                <w:right w:val="none" w:sz="0" w:space="0" w:color="auto"/>
              </w:divBdr>
            </w:div>
            <w:div w:id="2004241421">
              <w:marLeft w:val="0"/>
              <w:marRight w:val="0"/>
              <w:marTop w:val="0"/>
              <w:marBottom w:val="0"/>
              <w:divBdr>
                <w:top w:val="none" w:sz="0" w:space="0" w:color="auto"/>
                <w:left w:val="none" w:sz="0" w:space="0" w:color="auto"/>
                <w:bottom w:val="none" w:sz="0" w:space="0" w:color="auto"/>
                <w:right w:val="none" w:sz="0" w:space="0" w:color="auto"/>
              </w:divBdr>
            </w:div>
            <w:div w:id="570890268">
              <w:marLeft w:val="0"/>
              <w:marRight w:val="0"/>
              <w:marTop w:val="0"/>
              <w:marBottom w:val="0"/>
              <w:divBdr>
                <w:top w:val="none" w:sz="0" w:space="0" w:color="auto"/>
                <w:left w:val="none" w:sz="0" w:space="0" w:color="auto"/>
                <w:bottom w:val="none" w:sz="0" w:space="0" w:color="auto"/>
                <w:right w:val="none" w:sz="0" w:space="0" w:color="auto"/>
              </w:divBdr>
            </w:div>
            <w:div w:id="2073234517">
              <w:marLeft w:val="0"/>
              <w:marRight w:val="0"/>
              <w:marTop w:val="0"/>
              <w:marBottom w:val="0"/>
              <w:divBdr>
                <w:top w:val="none" w:sz="0" w:space="0" w:color="auto"/>
                <w:left w:val="none" w:sz="0" w:space="0" w:color="auto"/>
                <w:bottom w:val="none" w:sz="0" w:space="0" w:color="auto"/>
                <w:right w:val="none" w:sz="0" w:space="0" w:color="auto"/>
              </w:divBdr>
            </w:div>
            <w:div w:id="499465984">
              <w:marLeft w:val="0"/>
              <w:marRight w:val="0"/>
              <w:marTop w:val="0"/>
              <w:marBottom w:val="0"/>
              <w:divBdr>
                <w:top w:val="none" w:sz="0" w:space="0" w:color="auto"/>
                <w:left w:val="none" w:sz="0" w:space="0" w:color="auto"/>
                <w:bottom w:val="none" w:sz="0" w:space="0" w:color="auto"/>
                <w:right w:val="none" w:sz="0" w:space="0" w:color="auto"/>
              </w:divBdr>
            </w:div>
            <w:div w:id="448742700">
              <w:marLeft w:val="0"/>
              <w:marRight w:val="0"/>
              <w:marTop w:val="0"/>
              <w:marBottom w:val="0"/>
              <w:divBdr>
                <w:top w:val="none" w:sz="0" w:space="0" w:color="auto"/>
                <w:left w:val="none" w:sz="0" w:space="0" w:color="auto"/>
                <w:bottom w:val="none" w:sz="0" w:space="0" w:color="auto"/>
                <w:right w:val="none" w:sz="0" w:space="0" w:color="auto"/>
              </w:divBdr>
            </w:div>
            <w:div w:id="875656815">
              <w:marLeft w:val="0"/>
              <w:marRight w:val="0"/>
              <w:marTop w:val="0"/>
              <w:marBottom w:val="0"/>
              <w:divBdr>
                <w:top w:val="none" w:sz="0" w:space="0" w:color="auto"/>
                <w:left w:val="none" w:sz="0" w:space="0" w:color="auto"/>
                <w:bottom w:val="none" w:sz="0" w:space="0" w:color="auto"/>
                <w:right w:val="none" w:sz="0" w:space="0" w:color="auto"/>
              </w:divBdr>
            </w:div>
            <w:div w:id="1750073578">
              <w:marLeft w:val="0"/>
              <w:marRight w:val="0"/>
              <w:marTop w:val="0"/>
              <w:marBottom w:val="0"/>
              <w:divBdr>
                <w:top w:val="none" w:sz="0" w:space="0" w:color="auto"/>
                <w:left w:val="none" w:sz="0" w:space="0" w:color="auto"/>
                <w:bottom w:val="none" w:sz="0" w:space="0" w:color="auto"/>
                <w:right w:val="none" w:sz="0" w:space="0" w:color="auto"/>
              </w:divBdr>
            </w:div>
            <w:div w:id="1336613489">
              <w:marLeft w:val="0"/>
              <w:marRight w:val="0"/>
              <w:marTop w:val="0"/>
              <w:marBottom w:val="0"/>
              <w:divBdr>
                <w:top w:val="none" w:sz="0" w:space="0" w:color="auto"/>
                <w:left w:val="none" w:sz="0" w:space="0" w:color="auto"/>
                <w:bottom w:val="none" w:sz="0" w:space="0" w:color="auto"/>
                <w:right w:val="none" w:sz="0" w:space="0" w:color="auto"/>
              </w:divBdr>
            </w:div>
          </w:divsChild>
        </w:div>
        <w:div w:id="443811876">
          <w:marLeft w:val="0"/>
          <w:marRight w:val="0"/>
          <w:marTop w:val="0"/>
          <w:marBottom w:val="0"/>
          <w:divBdr>
            <w:top w:val="none" w:sz="0" w:space="0" w:color="auto"/>
            <w:left w:val="none" w:sz="0" w:space="0" w:color="auto"/>
            <w:bottom w:val="none" w:sz="0" w:space="0" w:color="auto"/>
            <w:right w:val="none" w:sz="0" w:space="0" w:color="auto"/>
          </w:divBdr>
          <w:divsChild>
            <w:div w:id="987325097">
              <w:marLeft w:val="0"/>
              <w:marRight w:val="0"/>
              <w:marTop w:val="0"/>
              <w:marBottom w:val="0"/>
              <w:divBdr>
                <w:top w:val="none" w:sz="0" w:space="0" w:color="auto"/>
                <w:left w:val="none" w:sz="0" w:space="0" w:color="auto"/>
                <w:bottom w:val="none" w:sz="0" w:space="0" w:color="auto"/>
                <w:right w:val="none" w:sz="0" w:space="0" w:color="auto"/>
              </w:divBdr>
            </w:div>
            <w:div w:id="31199399">
              <w:marLeft w:val="0"/>
              <w:marRight w:val="0"/>
              <w:marTop w:val="0"/>
              <w:marBottom w:val="0"/>
              <w:divBdr>
                <w:top w:val="none" w:sz="0" w:space="0" w:color="auto"/>
                <w:left w:val="none" w:sz="0" w:space="0" w:color="auto"/>
                <w:bottom w:val="none" w:sz="0" w:space="0" w:color="auto"/>
                <w:right w:val="none" w:sz="0" w:space="0" w:color="auto"/>
              </w:divBdr>
            </w:div>
            <w:div w:id="1553301068">
              <w:marLeft w:val="0"/>
              <w:marRight w:val="0"/>
              <w:marTop w:val="0"/>
              <w:marBottom w:val="0"/>
              <w:divBdr>
                <w:top w:val="none" w:sz="0" w:space="0" w:color="auto"/>
                <w:left w:val="none" w:sz="0" w:space="0" w:color="auto"/>
                <w:bottom w:val="none" w:sz="0" w:space="0" w:color="auto"/>
                <w:right w:val="none" w:sz="0" w:space="0" w:color="auto"/>
              </w:divBdr>
            </w:div>
            <w:div w:id="746656196">
              <w:marLeft w:val="0"/>
              <w:marRight w:val="0"/>
              <w:marTop w:val="0"/>
              <w:marBottom w:val="0"/>
              <w:divBdr>
                <w:top w:val="none" w:sz="0" w:space="0" w:color="auto"/>
                <w:left w:val="none" w:sz="0" w:space="0" w:color="auto"/>
                <w:bottom w:val="none" w:sz="0" w:space="0" w:color="auto"/>
                <w:right w:val="none" w:sz="0" w:space="0" w:color="auto"/>
              </w:divBdr>
            </w:div>
            <w:div w:id="266812111">
              <w:marLeft w:val="0"/>
              <w:marRight w:val="0"/>
              <w:marTop w:val="0"/>
              <w:marBottom w:val="0"/>
              <w:divBdr>
                <w:top w:val="none" w:sz="0" w:space="0" w:color="auto"/>
                <w:left w:val="none" w:sz="0" w:space="0" w:color="auto"/>
                <w:bottom w:val="none" w:sz="0" w:space="0" w:color="auto"/>
                <w:right w:val="none" w:sz="0" w:space="0" w:color="auto"/>
              </w:divBdr>
            </w:div>
            <w:div w:id="1610888659">
              <w:marLeft w:val="0"/>
              <w:marRight w:val="0"/>
              <w:marTop w:val="0"/>
              <w:marBottom w:val="0"/>
              <w:divBdr>
                <w:top w:val="none" w:sz="0" w:space="0" w:color="auto"/>
                <w:left w:val="none" w:sz="0" w:space="0" w:color="auto"/>
                <w:bottom w:val="none" w:sz="0" w:space="0" w:color="auto"/>
                <w:right w:val="none" w:sz="0" w:space="0" w:color="auto"/>
              </w:divBdr>
            </w:div>
            <w:div w:id="924610858">
              <w:marLeft w:val="0"/>
              <w:marRight w:val="0"/>
              <w:marTop w:val="0"/>
              <w:marBottom w:val="0"/>
              <w:divBdr>
                <w:top w:val="none" w:sz="0" w:space="0" w:color="auto"/>
                <w:left w:val="none" w:sz="0" w:space="0" w:color="auto"/>
                <w:bottom w:val="none" w:sz="0" w:space="0" w:color="auto"/>
                <w:right w:val="none" w:sz="0" w:space="0" w:color="auto"/>
              </w:divBdr>
            </w:div>
            <w:div w:id="1100295632">
              <w:marLeft w:val="0"/>
              <w:marRight w:val="0"/>
              <w:marTop w:val="0"/>
              <w:marBottom w:val="0"/>
              <w:divBdr>
                <w:top w:val="none" w:sz="0" w:space="0" w:color="auto"/>
                <w:left w:val="none" w:sz="0" w:space="0" w:color="auto"/>
                <w:bottom w:val="none" w:sz="0" w:space="0" w:color="auto"/>
                <w:right w:val="none" w:sz="0" w:space="0" w:color="auto"/>
              </w:divBdr>
            </w:div>
          </w:divsChild>
        </w:div>
        <w:div w:id="1630159358">
          <w:marLeft w:val="0"/>
          <w:marRight w:val="0"/>
          <w:marTop w:val="0"/>
          <w:marBottom w:val="0"/>
          <w:divBdr>
            <w:top w:val="none" w:sz="0" w:space="0" w:color="auto"/>
            <w:left w:val="none" w:sz="0" w:space="0" w:color="auto"/>
            <w:bottom w:val="none" w:sz="0" w:space="0" w:color="auto"/>
            <w:right w:val="none" w:sz="0" w:space="0" w:color="auto"/>
          </w:divBdr>
          <w:divsChild>
            <w:div w:id="267590816">
              <w:marLeft w:val="0"/>
              <w:marRight w:val="0"/>
              <w:marTop w:val="0"/>
              <w:marBottom w:val="0"/>
              <w:divBdr>
                <w:top w:val="none" w:sz="0" w:space="0" w:color="auto"/>
                <w:left w:val="none" w:sz="0" w:space="0" w:color="auto"/>
                <w:bottom w:val="none" w:sz="0" w:space="0" w:color="auto"/>
                <w:right w:val="none" w:sz="0" w:space="0" w:color="auto"/>
              </w:divBdr>
            </w:div>
            <w:div w:id="1136604383">
              <w:marLeft w:val="0"/>
              <w:marRight w:val="0"/>
              <w:marTop w:val="0"/>
              <w:marBottom w:val="0"/>
              <w:divBdr>
                <w:top w:val="none" w:sz="0" w:space="0" w:color="auto"/>
                <w:left w:val="none" w:sz="0" w:space="0" w:color="auto"/>
                <w:bottom w:val="none" w:sz="0" w:space="0" w:color="auto"/>
                <w:right w:val="none" w:sz="0" w:space="0" w:color="auto"/>
              </w:divBdr>
            </w:div>
            <w:div w:id="1380714321">
              <w:marLeft w:val="0"/>
              <w:marRight w:val="0"/>
              <w:marTop w:val="0"/>
              <w:marBottom w:val="0"/>
              <w:divBdr>
                <w:top w:val="none" w:sz="0" w:space="0" w:color="auto"/>
                <w:left w:val="none" w:sz="0" w:space="0" w:color="auto"/>
                <w:bottom w:val="none" w:sz="0" w:space="0" w:color="auto"/>
                <w:right w:val="none" w:sz="0" w:space="0" w:color="auto"/>
              </w:divBdr>
            </w:div>
            <w:div w:id="1253660962">
              <w:marLeft w:val="0"/>
              <w:marRight w:val="0"/>
              <w:marTop w:val="0"/>
              <w:marBottom w:val="0"/>
              <w:divBdr>
                <w:top w:val="none" w:sz="0" w:space="0" w:color="auto"/>
                <w:left w:val="none" w:sz="0" w:space="0" w:color="auto"/>
                <w:bottom w:val="none" w:sz="0" w:space="0" w:color="auto"/>
                <w:right w:val="none" w:sz="0" w:space="0" w:color="auto"/>
              </w:divBdr>
            </w:div>
            <w:div w:id="2146242164">
              <w:marLeft w:val="0"/>
              <w:marRight w:val="0"/>
              <w:marTop w:val="0"/>
              <w:marBottom w:val="0"/>
              <w:divBdr>
                <w:top w:val="none" w:sz="0" w:space="0" w:color="auto"/>
                <w:left w:val="none" w:sz="0" w:space="0" w:color="auto"/>
                <w:bottom w:val="none" w:sz="0" w:space="0" w:color="auto"/>
                <w:right w:val="none" w:sz="0" w:space="0" w:color="auto"/>
              </w:divBdr>
            </w:div>
            <w:div w:id="1880043487">
              <w:marLeft w:val="0"/>
              <w:marRight w:val="0"/>
              <w:marTop w:val="0"/>
              <w:marBottom w:val="0"/>
              <w:divBdr>
                <w:top w:val="none" w:sz="0" w:space="0" w:color="auto"/>
                <w:left w:val="none" w:sz="0" w:space="0" w:color="auto"/>
                <w:bottom w:val="none" w:sz="0" w:space="0" w:color="auto"/>
                <w:right w:val="none" w:sz="0" w:space="0" w:color="auto"/>
              </w:divBdr>
            </w:div>
            <w:div w:id="2127115720">
              <w:marLeft w:val="0"/>
              <w:marRight w:val="0"/>
              <w:marTop w:val="0"/>
              <w:marBottom w:val="0"/>
              <w:divBdr>
                <w:top w:val="none" w:sz="0" w:space="0" w:color="auto"/>
                <w:left w:val="none" w:sz="0" w:space="0" w:color="auto"/>
                <w:bottom w:val="none" w:sz="0" w:space="0" w:color="auto"/>
                <w:right w:val="none" w:sz="0" w:space="0" w:color="auto"/>
              </w:divBdr>
            </w:div>
            <w:div w:id="1328558432">
              <w:marLeft w:val="0"/>
              <w:marRight w:val="0"/>
              <w:marTop w:val="0"/>
              <w:marBottom w:val="0"/>
              <w:divBdr>
                <w:top w:val="none" w:sz="0" w:space="0" w:color="auto"/>
                <w:left w:val="none" w:sz="0" w:space="0" w:color="auto"/>
                <w:bottom w:val="none" w:sz="0" w:space="0" w:color="auto"/>
                <w:right w:val="none" w:sz="0" w:space="0" w:color="auto"/>
              </w:divBdr>
            </w:div>
            <w:div w:id="1385565656">
              <w:marLeft w:val="0"/>
              <w:marRight w:val="0"/>
              <w:marTop w:val="0"/>
              <w:marBottom w:val="0"/>
              <w:divBdr>
                <w:top w:val="none" w:sz="0" w:space="0" w:color="auto"/>
                <w:left w:val="none" w:sz="0" w:space="0" w:color="auto"/>
                <w:bottom w:val="none" w:sz="0" w:space="0" w:color="auto"/>
                <w:right w:val="none" w:sz="0" w:space="0" w:color="auto"/>
              </w:divBdr>
            </w:div>
            <w:div w:id="592083512">
              <w:marLeft w:val="0"/>
              <w:marRight w:val="0"/>
              <w:marTop w:val="0"/>
              <w:marBottom w:val="0"/>
              <w:divBdr>
                <w:top w:val="none" w:sz="0" w:space="0" w:color="auto"/>
                <w:left w:val="none" w:sz="0" w:space="0" w:color="auto"/>
                <w:bottom w:val="none" w:sz="0" w:space="0" w:color="auto"/>
                <w:right w:val="none" w:sz="0" w:space="0" w:color="auto"/>
              </w:divBdr>
            </w:div>
            <w:div w:id="310839486">
              <w:marLeft w:val="0"/>
              <w:marRight w:val="0"/>
              <w:marTop w:val="0"/>
              <w:marBottom w:val="0"/>
              <w:divBdr>
                <w:top w:val="none" w:sz="0" w:space="0" w:color="auto"/>
                <w:left w:val="none" w:sz="0" w:space="0" w:color="auto"/>
                <w:bottom w:val="none" w:sz="0" w:space="0" w:color="auto"/>
                <w:right w:val="none" w:sz="0" w:space="0" w:color="auto"/>
              </w:divBdr>
            </w:div>
            <w:div w:id="1557741095">
              <w:marLeft w:val="0"/>
              <w:marRight w:val="0"/>
              <w:marTop w:val="0"/>
              <w:marBottom w:val="0"/>
              <w:divBdr>
                <w:top w:val="none" w:sz="0" w:space="0" w:color="auto"/>
                <w:left w:val="none" w:sz="0" w:space="0" w:color="auto"/>
                <w:bottom w:val="none" w:sz="0" w:space="0" w:color="auto"/>
                <w:right w:val="none" w:sz="0" w:space="0" w:color="auto"/>
              </w:divBdr>
            </w:div>
            <w:div w:id="1678071218">
              <w:marLeft w:val="0"/>
              <w:marRight w:val="0"/>
              <w:marTop w:val="0"/>
              <w:marBottom w:val="0"/>
              <w:divBdr>
                <w:top w:val="none" w:sz="0" w:space="0" w:color="auto"/>
                <w:left w:val="none" w:sz="0" w:space="0" w:color="auto"/>
                <w:bottom w:val="none" w:sz="0" w:space="0" w:color="auto"/>
                <w:right w:val="none" w:sz="0" w:space="0" w:color="auto"/>
              </w:divBdr>
            </w:div>
            <w:div w:id="980889393">
              <w:marLeft w:val="0"/>
              <w:marRight w:val="0"/>
              <w:marTop w:val="0"/>
              <w:marBottom w:val="0"/>
              <w:divBdr>
                <w:top w:val="none" w:sz="0" w:space="0" w:color="auto"/>
                <w:left w:val="none" w:sz="0" w:space="0" w:color="auto"/>
                <w:bottom w:val="none" w:sz="0" w:space="0" w:color="auto"/>
                <w:right w:val="none" w:sz="0" w:space="0" w:color="auto"/>
              </w:divBdr>
            </w:div>
            <w:div w:id="1136753336">
              <w:marLeft w:val="0"/>
              <w:marRight w:val="0"/>
              <w:marTop w:val="0"/>
              <w:marBottom w:val="0"/>
              <w:divBdr>
                <w:top w:val="none" w:sz="0" w:space="0" w:color="auto"/>
                <w:left w:val="none" w:sz="0" w:space="0" w:color="auto"/>
                <w:bottom w:val="none" w:sz="0" w:space="0" w:color="auto"/>
                <w:right w:val="none" w:sz="0" w:space="0" w:color="auto"/>
              </w:divBdr>
            </w:div>
            <w:div w:id="674769705">
              <w:marLeft w:val="0"/>
              <w:marRight w:val="0"/>
              <w:marTop w:val="0"/>
              <w:marBottom w:val="0"/>
              <w:divBdr>
                <w:top w:val="none" w:sz="0" w:space="0" w:color="auto"/>
                <w:left w:val="none" w:sz="0" w:space="0" w:color="auto"/>
                <w:bottom w:val="none" w:sz="0" w:space="0" w:color="auto"/>
                <w:right w:val="none" w:sz="0" w:space="0" w:color="auto"/>
              </w:divBdr>
            </w:div>
          </w:divsChild>
        </w:div>
        <w:div w:id="1301350439">
          <w:marLeft w:val="0"/>
          <w:marRight w:val="0"/>
          <w:marTop w:val="0"/>
          <w:marBottom w:val="0"/>
          <w:divBdr>
            <w:top w:val="none" w:sz="0" w:space="0" w:color="auto"/>
            <w:left w:val="none" w:sz="0" w:space="0" w:color="auto"/>
            <w:bottom w:val="none" w:sz="0" w:space="0" w:color="auto"/>
            <w:right w:val="none" w:sz="0" w:space="0" w:color="auto"/>
          </w:divBdr>
          <w:divsChild>
            <w:div w:id="1101875322">
              <w:marLeft w:val="0"/>
              <w:marRight w:val="0"/>
              <w:marTop w:val="0"/>
              <w:marBottom w:val="0"/>
              <w:divBdr>
                <w:top w:val="none" w:sz="0" w:space="0" w:color="auto"/>
                <w:left w:val="none" w:sz="0" w:space="0" w:color="auto"/>
                <w:bottom w:val="none" w:sz="0" w:space="0" w:color="auto"/>
                <w:right w:val="none" w:sz="0" w:space="0" w:color="auto"/>
              </w:divBdr>
            </w:div>
            <w:div w:id="314840107">
              <w:marLeft w:val="0"/>
              <w:marRight w:val="0"/>
              <w:marTop w:val="0"/>
              <w:marBottom w:val="0"/>
              <w:divBdr>
                <w:top w:val="none" w:sz="0" w:space="0" w:color="auto"/>
                <w:left w:val="none" w:sz="0" w:space="0" w:color="auto"/>
                <w:bottom w:val="none" w:sz="0" w:space="0" w:color="auto"/>
                <w:right w:val="none" w:sz="0" w:space="0" w:color="auto"/>
              </w:divBdr>
            </w:div>
            <w:div w:id="1764954695">
              <w:marLeft w:val="0"/>
              <w:marRight w:val="0"/>
              <w:marTop w:val="0"/>
              <w:marBottom w:val="0"/>
              <w:divBdr>
                <w:top w:val="none" w:sz="0" w:space="0" w:color="auto"/>
                <w:left w:val="none" w:sz="0" w:space="0" w:color="auto"/>
                <w:bottom w:val="none" w:sz="0" w:space="0" w:color="auto"/>
                <w:right w:val="none" w:sz="0" w:space="0" w:color="auto"/>
              </w:divBdr>
            </w:div>
            <w:div w:id="227035992">
              <w:marLeft w:val="0"/>
              <w:marRight w:val="0"/>
              <w:marTop w:val="0"/>
              <w:marBottom w:val="0"/>
              <w:divBdr>
                <w:top w:val="none" w:sz="0" w:space="0" w:color="auto"/>
                <w:left w:val="none" w:sz="0" w:space="0" w:color="auto"/>
                <w:bottom w:val="none" w:sz="0" w:space="0" w:color="auto"/>
                <w:right w:val="none" w:sz="0" w:space="0" w:color="auto"/>
              </w:divBdr>
            </w:div>
            <w:div w:id="249779127">
              <w:marLeft w:val="0"/>
              <w:marRight w:val="0"/>
              <w:marTop w:val="0"/>
              <w:marBottom w:val="0"/>
              <w:divBdr>
                <w:top w:val="none" w:sz="0" w:space="0" w:color="auto"/>
                <w:left w:val="none" w:sz="0" w:space="0" w:color="auto"/>
                <w:bottom w:val="none" w:sz="0" w:space="0" w:color="auto"/>
                <w:right w:val="none" w:sz="0" w:space="0" w:color="auto"/>
              </w:divBdr>
            </w:div>
            <w:div w:id="1648509925">
              <w:marLeft w:val="0"/>
              <w:marRight w:val="0"/>
              <w:marTop w:val="0"/>
              <w:marBottom w:val="0"/>
              <w:divBdr>
                <w:top w:val="none" w:sz="0" w:space="0" w:color="auto"/>
                <w:left w:val="none" w:sz="0" w:space="0" w:color="auto"/>
                <w:bottom w:val="none" w:sz="0" w:space="0" w:color="auto"/>
                <w:right w:val="none" w:sz="0" w:space="0" w:color="auto"/>
              </w:divBdr>
            </w:div>
            <w:div w:id="1746075947">
              <w:marLeft w:val="0"/>
              <w:marRight w:val="0"/>
              <w:marTop w:val="0"/>
              <w:marBottom w:val="0"/>
              <w:divBdr>
                <w:top w:val="none" w:sz="0" w:space="0" w:color="auto"/>
                <w:left w:val="none" w:sz="0" w:space="0" w:color="auto"/>
                <w:bottom w:val="none" w:sz="0" w:space="0" w:color="auto"/>
                <w:right w:val="none" w:sz="0" w:space="0" w:color="auto"/>
              </w:divBdr>
            </w:div>
            <w:div w:id="986780755">
              <w:marLeft w:val="0"/>
              <w:marRight w:val="0"/>
              <w:marTop w:val="0"/>
              <w:marBottom w:val="0"/>
              <w:divBdr>
                <w:top w:val="none" w:sz="0" w:space="0" w:color="auto"/>
                <w:left w:val="none" w:sz="0" w:space="0" w:color="auto"/>
                <w:bottom w:val="none" w:sz="0" w:space="0" w:color="auto"/>
                <w:right w:val="none" w:sz="0" w:space="0" w:color="auto"/>
              </w:divBdr>
            </w:div>
          </w:divsChild>
        </w:div>
        <w:div w:id="2021544483">
          <w:marLeft w:val="0"/>
          <w:marRight w:val="0"/>
          <w:marTop w:val="0"/>
          <w:marBottom w:val="0"/>
          <w:divBdr>
            <w:top w:val="none" w:sz="0" w:space="0" w:color="auto"/>
            <w:left w:val="none" w:sz="0" w:space="0" w:color="auto"/>
            <w:bottom w:val="none" w:sz="0" w:space="0" w:color="auto"/>
            <w:right w:val="none" w:sz="0" w:space="0" w:color="auto"/>
          </w:divBdr>
          <w:divsChild>
            <w:div w:id="1631469992">
              <w:marLeft w:val="0"/>
              <w:marRight w:val="0"/>
              <w:marTop w:val="0"/>
              <w:marBottom w:val="0"/>
              <w:divBdr>
                <w:top w:val="none" w:sz="0" w:space="0" w:color="auto"/>
                <w:left w:val="none" w:sz="0" w:space="0" w:color="auto"/>
                <w:bottom w:val="none" w:sz="0" w:space="0" w:color="auto"/>
                <w:right w:val="none" w:sz="0" w:space="0" w:color="auto"/>
              </w:divBdr>
            </w:div>
            <w:div w:id="1101146235">
              <w:marLeft w:val="0"/>
              <w:marRight w:val="0"/>
              <w:marTop w:val="0"/>
              <w:marBottom w:val="0"/>
              <w:divBdr>
                <w:top w:val="none" w:sz="0" w:space="0" w:color="auto"/>
                <w:left w:val="none" w:sz="0" w:space="0" w:color="auto"/>
                <w:bottom w:val="none" w:sz="0" w:space="0" w:color="auto"/>
                <w:right w:val="none" w:sz="0" w:space="0" w:color="auto"/>
              </w:divBdr>
            </w:div>
            <w:div w:id="645430024">
              <w:marLeft w:val="0"/>
              <w:marRight w:val="0"/>
              <w:marTop w:val="0"/>
              <w:marBottom w:val="0"/>
              <w:divBdr>
                <w:top w:val="none" w:sz="0" w:space="0" w:color="auto"/>
                <w:left w:val="none" w:sz="0" w:space="0" w:color="auto"/>
                <w:bottom w:val="none" w:sz="0" w:space="0" w:color="auto"/>
                <w:right w:val="none" w:sz="0" w:space="0" w:color="auto"/>
              </w:divBdr>
            </w:div>
            <w:div w:id="1589772951">
              <w:marLeft w:val="0"/>
              <w:marRight w:val="0"/>
              <w:marTop w:val="0"/>
              <w:marBottom w:val="0"/>
              <w:divBdr>
                <w:top w:val="none" w:sz="0" w:space="0" w:color="auto"/>
                <w:left w:val="none" w:sz="0" w:space="0" w:color="auto"/>
                <w:bottom w:val="none" w:sz="0" w:space="0" w:color="auto"/>
                <w:right w:val="none" w:sz="0" w:space="0" w:color="auto"/>
              </w:divBdr>
            </w:div>
            <w:div w:id="1926762982">
              <w:marLeft w:val="0"/>
              <w:marRight w:val="0"/>
              <w:marTop w:val="0"/>
              <w:marBottom w:val="0"/>
              <w:divBdr>
                <w:top w:val="none" w:sz="0" w:space="0" w:color="auto"/>
                <w:left w:val="none" w:sz="0" w:space="0" w:color="auto"/>
                <w:bottom w:val="none" w:sz="0" w:space="0" w:color="auto"/>
                <w:right w:val="none" w:sz="0" w:space="0" w:color="auto"/>
              </w:divBdr>
            </w:div>
            <w:div w:id="191385155">
              <w:marLeft w:val="0"/>
              <w:marRight w:val="0"/>
              <w:marTop w:val="0"/>
              <w:marBottom w:val="0"/>
              <w:divBdr>
                <w:top w:val="none" w:sz="0" w:space="0" w:color="auto"/>
                <w:left w:val="none" w:sz="0" w:space="0" w:color="auto"/>
                <w:bottom w:val="none" w:sz="0" w:space="0" w:color="auto"/>
                <w:right w:val="none" w:sz="0" w:space="0" w:color="auto"/>
              </w:divBdr>
            </w:div>
            <w:div w:id="194467811">
              <w:marLeft w:val="0"/>
              <w:marRight w:val="0"/>
              <w:marTop w:val="0"/>
              <w:marBottom w:val="0"/>
              <w:divBdr>
                <w:top w:val="none" w:sz="0" w:space="0" w:color="auto"/>
                <w:left w:val="none" w:sz="0" w:space="0" w:color="auto"/>
                <w:bottom w:val="none" w:sz="0" w:space="0" w:color="auto"/>
                <w:right w:val="none" w:sz="0" w:space="0" w:color="auto"/>
              </w:divBdr>
            </w:div>
            <w:div w:id="1859738121">
              <w:marLeft w:val="0"/>
              <w:marRight w:val="0"/>
              <w:marTop w:val="0"/>
              <w:marBottom w:val="0"/>
              <w:divBdr>
                <w:top w:val="none" w:sz="0" w:space="0" w:color="auto"/>
                <w:left w:val="none" w:sz="0" w:space="0" w:color="auto"/>
                <w:bottom w:val="none" w:sz="0" w:space="0" w:color="auto"/>
                <w:right w:val="none" w:sz="0" w:space="0" w:color="auto"/>
              </w:divBdr>
            </w:div>
            <w:div w:id="597445834">
              <w:marLeft w:val="0"/>
              <w:marRight w:val="0"/>
              <w:marTop w:val="0"/>
              <w:marBottom w:val="0"/>
              <w:divBdr>
                <w:top w:val="none" w:sz="0" w:space="0" w:color="auto"/>
                <w:left w:val="none" w:sz="0" w:space="0" w:color="auto"/>
                <w:bottom w:val="none" w:sz="0" w:space="0" w:color="auto"/>
                <w:right w:val="none" w:sz="0" w:space="0" w:color="auto"/>
              </w:divBdr>
            </w:div>
          </w:divsChild>
        </w:div>
        <w:div w:id="1591424444">
          <w:marLeft w:val="0"/>
          <w:marRight w:val="0"/>
          <w:marTop w:val="0"/>
          <w:marBottom w:val="0"/>
          <w:divBdr>
            <w:top w:val="none" w:sz="0" w:space="0" w:color="auto"/>
            <w:left w:val="none" w:sz="0" w:space="0" w:color="auto"/>
            <w:bottom w:val="none" w:sz="0" w:space="0" w:color="auto"/>
            <w:right w:val="none" w:sz="0" w:space="0" w:color="auto"/>
          </w:divBdr>
          <w:divsChild>
            <w:div w:id="1703632354">
              <w:marLeft w:val="0"/>
              <w:marRight w:val="0"/>
              <w:marTop w:val="0"/>
              <w:marBottom w:val="0"/>
              <w:divBdr>
                <w:top w:val="none" w:sz="0" w:space="0" w:color="auto"/>
                <w:left w:val="none" w:sz="0" w:space="0" w:color="auto"/>
                <w:bottom w:val="none" w:sz="0" w:space="0" w:color="auto"/>
                <w:right w:val="none" w:sz="0" w:space="0" w:color="auto"/>
              </w:divBdr>
            </w:div>
            <w:div w:id="535966208">
              <w:marLeft w:val="0"/>
              <w:marRight w:val="0"/>
              <w:marTop w:val="0"/>
              <w:marBottom w:val="0"/>
              <w:divBdr>
                <w:top w:val="none" w:sz="0" w:space="0" w:color="auto"/>
                <w:left w:val="none" w:sz="0" w:space="0" w:color="auto"/>
                <w:bottom w:val="none" w:sz="0" w:space="0" w:color="auto"/>
                <w:right w:val="none" w:sz="0" w:space="0" w:color="auto"/>
              </w:divBdr>
            </w:div>
            <w:div w:id="800539951">
              <w:marLeft w:val="0"/>
              <w:marRight w:val="0"/>
              <w:marTop w:val="0"/>
              <w:marBottom w:val="0"/>
              <w:divBdr>
                <w:top w:val="none" w:sz="0" w:space="0" w:color="auto"/>
                <w:left w:val="none" w:sz="0" w:space="0" w:color="auto"/>
                <w:bottom w:val="none" w:sz="0" w:space="0" w:color="auto"/>
                <w:right w:val="none" w:sz="0" w:space="0" w:color="auto"/>
              </w:divBdr>
            </w:div>
            <w:div w:id="1217817337">
              <w:marLeft w:val="0"/>
              <w:marRight w:val="0"/>
              <w:marTop w:val="0"/>
              <w:marBottom w:val="0"/>
              <w:divBdr>
                <w:top w:val="none" w:sz="0" w:space="0" w:color="auto"/>
                <w:left w:val="none" w:sz="0" w:space="0" w:color="auto"/>
                <w:bottom w:val="none" w:sz="0" w:space="0" w:color="auto"/>
                <w:right w:val="none" w:sz="0" w:space="0" w:color="auto"/>
              </w:divBdr>
            </w:div>
            <w:div w:id="8220844">
              <w:marLeft w:val="0"/>
              <w:marRight w:val="0"/>
              <w:marTop w:val="0"/>
              <w:marBottom w:val="0"/>
              <w:divBdr>
                <w:top w:val="none" w:sz="0" w:space="0" w:color="auto"/>
                <w:left w:val="none" w:sz="0" w:space="0" w:color="auto"/>
                <w:bottom w:val="none" w:sz="0" w:space="0" w:color="auto"/>
                <w:right w:val="none" w:sz="0" w:space="0" w:color="auto"/>
              </w:divBdr>
            </w:div>
            <w:div w:id="1883128928">
              <w:marLeft w:val="0"/>
              <w:marRight w:val="0"/>
              <w:marTop w:val="0"/>
              <w:marBottom w:val="0"/>
              <w:divBdr>
                <w:top w:val="none" w:sz="0" w:space="0" w:color="auto"/>
                <w:left w:val="none" w:sz="0" w:space="0" w:color="auto"/>
                <w:bottom w:val="none" w:sz="0" w:space="0" w:color="auto"/>
                <w:right w:val="none" w:sz="0" w:space="0" w:color="auto"/>
              </w:divBdr>
            </w:div>
            <w:div w:id="436103343">
              <w:marLeft w:val="0"/>
              <w:marRight w:val="0"/>
              <w:marTop w:val="0"/>
              <w:marBottom w:val="0"/>
              <w:divBdr>
                <w:top w:val="none" w:sz="0" w:space="0" w:color="auto"/>
                <w:left w:val="none" w:sz="0" w:space="0" w:color="auto"/>
                <w:bottom w:val="none" w:sz="0" w:space="0" w:color="auto"/>
                <w:right w:val="none" w:sz="0" w:space="0" w:color="auto"/>
              </w:divBdr>
            </w:div>
            <w:div w:id="301152979">
              <w:marLeft w:val="0"/>
              <w:marRight w:val="0"/>
              <w:marTop w:val="0"/>
              <w:marBottom w:val="0"/>
              <w:divBdr>
                <w:top w:val="none" w:sz="0" w:space="0" w:color="auto"/>
                <w:left w:val="none" w:sz="0" w:space="0" w:color="auto"/>
                <w:bottom w:val="none" w:sz="0" w:space="0" w:color="auto"/>
                <w:right w:val="none" w:sz="0" w:space="0" w:color="auto"/>
              </w:divBdr>
            </w:div>
            <w:div w:id="1167136175">
              <w:marLeft w:val="0"/>
              <w:marRight w:val="0"/>
              <w:marTop w:val="0"/>
              <w:marBottom w:val="0"/>
              <w:divBdr>
                <w:top w:val="none" w:sz="0" w:space="0" w:color="auto"/>
                <w:left w:val="none" w:sz="0" w:space="0" w:color="auto"/>
                <w:bottom w:val="none" w:sz="0" w:space="0" w:color="auto"/>
                <w:right w:val="none" w:sz="0" w:space="0" w:color="auto"/>
              </w:divBdr>
            </w:div>
            <w:div w:id="1719357713">
              <w:marLeft w:val="0"/>
              <w:marRight w:val="0"/>
              <w:marTop w:val="0"/>
              <w:marBottom w:val="0"/>
              <w:divBdr>
                <w:top w:val="none" w:sz="0" w:space="0" w:color="auto"/>
                <w:left w:val="none" w:sz="0" w:space="0" w:color="auto"/>
                <w:bottom w:val="none" w:sz="0" w:space="0" w:color="auto"/>
                <w:right w:val="none" w:sz="0" w:space="0" w:color="auto"/>
              </w:divBdr>
            </w:div>
            <w:div w:id="597642232">
              <w:marLeft w:val="0"/>
              <w:marRight w:val="0"/>
              <w:marTop w:val="0"/>
              <w:marBottom w:val="0"/>
              <w:divBdr>
                <w:top w:val="none" w:sz="0" w:space="0" w:color="auto"/>
                <w:left w:val="none" w:sz="0" w:space="0" w:color="auto"/>
                <w:bottom w:val="none" w:sz="0" w:space="0" w:color="auto"/>
                <w:right w:val="none" w:sz="0" w:space="0" w:color="auto"/>
              </w:divBdr>
            </w:div>
            <w:div w:id="2064133099">
              <w:marLeft w:val="0"/>
              <w:marRight w:val="0"/>
              <w:marTop w:val="0"/>
              <w:marBottom w:val="0"/>
              <w:divBdr>
                <w:top w:val="none" w:sz="0" w:space="0" w:color="auto"/>
                <w:left w:val="none" w:sz="0" w:space="0" w:color="auto"/>
                <w:bottom w:val="none" w:sz="0" w:space="0" w:color="auto"/>
                <w:right w:val="none" w:sz="0" w:space="0" w:color="auto"/>
              </w:divBdr>
            </w:div>
            <w:div w:id="1528642905">
              <w:marLeft w:val="0"/>
              <w:marRight w:val="0"/>
              <w:marTop w:val="0"/>
              <w:marBottom w:val="0"/>
              <w:divBdr>
                <w:top w:val="none" w:sz="0" w:space="0" w:color="auto"/>
                <w:left w:val="none" w:sz="0" w:space="0" w:color="auto"/>
                <w:bottom w:val="none" w:sz="0" w:space="0" w:color="auto"/>
                <w:right w:val="none" w:sz="0" w:space="0" w:color="auto"/>
              </w:divBdr>
            </w:div>
            <w:div w:id="1318270147">
              <w:marLeft w:val="0"/>
              <w:marRight w:val="0"/>
              <w:marTop w:val="0"/>
              <w:marBottom w:val="0"/>
              <w:divBdr>
                <w:top w:val="none" w:sz="0" w:space="0" w:color="auto"/>
                <w:left w:val="none" w:sz="0" w:space="0" w:color="auto"/>
                <w:bottom w:val="none" w:sz="0" w:space="0" w:color="auto"/>
                <w:right w:val="none" w:sz="0" w:space="0" w:color="auto"/>
              </w:divBdr>
            </w:div>
            <w:div w:id="616448824">
              <w:marLeft w:val="0"/>
              <w:marRight w:val="0"/>
              <w:marTop w:val="0"/>
              <w:marBottom w:val="0"/>
              <w:divBdr>
                <w:top w:val="none" w:sz="0" w:space="0" w:color="auto"/>
                <w:left w:val="none" w:sz="0" w:space="0" w:color="auto"/>
                <w:bottom w:val="none" w:sz="0" w:space="0" w:color="auto"/>
                <w:right w:val="none" w:sz="0" w:space="0" w:color="auto"/>
              </w:divBdr>
            </w:div>
          </w:divsChild>
        </w:div>
        <w:div w:id="318115903">
          <w:marLeft w:val="0"/>
          <w:marRight w:val="0"/>
          <w:marTop w:val="0"/>
          <w:marBottom w:val="0"/>
          <w:divBdr>
            <w:top w:val="none" w:sz="0" w:space="0" w:color="auto"/>
            <w:left w:val="none" w:sz="0" w:space="0" w:color="auto"/>
            <w:bottom w:val="none" w:sz="0" w:space="0" w:color="auto"/>
            <w:right w:val="none" w:sz="0" w:space="0" w:color="auto"/>
          </w:divBdr>
        </w:div>
        <w:div w:id="1517646723">
          <w:marLeft w:val="0"/>
          <w:marRight w:val="0"/>
          <w:marTop w:val="0"/>
          <w:marBottom w:val="0"/>
          <w:divBdr>
            <w:top w:val="none" w:sz="0" w:space="0" w:color="auto"/>
            <w:left w:val="none" w:sz="0" w:space="0" w:color="auto"/>
            <w:bottom w:val="none" w:sz="0" w:space="0" w:color="auto"/>
            <w:right w:val="none" w:sz="0" w:space="0" w:color="auto"/>
          </w:divBdr>
        </w:div>
      </w:divsChild>
    </w:div>
    <w:div w:id="1119447874">
      <w:bodyDiv w:val="1"/>
      <w:marLeft w:val="0"/>
      <w:marRight w:val="0"/>
      <w:marTop w:val="0"/>
      <w:marBottom w:val="0"/>
      <w:divBdr>
        <w:top w:val="none" w:sz="0" w:space="0" w:color="auto"/>
        <w:left w:val="none" w:sz="0" w:space="0" w:color="auto"/>
        <w:bottom w:val="none" w:sz="0" w:space="0" w:color="auto"/>
        <w:right w:val="none" w:sz="0" w:space="0" w:color="auto"/>
      </w:divBdr>
      <w:divsChild>
        <w:div w:id="1714961882">
          <w:marLeft w:val="0"/>
          <w:marRight w:val="0"/>
          <w:marTop w:val="0"/>
          <w:marBottom w:val="0"/>
          <w:divBdr>
            <w:top w:val="none" w:sz="0" w:space="0" w:color="auto"/>
            <w:left w:val="none" w:sz="0" w:space="0" w:color="auto"/>
            <w:bottom w:val="none" w:sz="0" w:space="0" w:color="auto"/>
            <w:right w:val="none" w:sz="0" w:space="0" w:color="auto"/>
          </w:divBdr>
          <w:divsChild>
            <w:div w:id="1106001391">
              <w:marLeft w:val="0"/>
              <w:marRight w:val="0"/>
              <w:marTop w:val="0"/>
              <w:marBottom w:val="0"/>
              <w:divBdr>
                <w:top w:val="none" w:sz="0" w:space="0" w:color="auto"/>
                <w:left w:val="none" w:sz="0" w:space="0" w:color="auto"/>
                <w:bottom w:val="none" w:sz="0" w:space="0" w:color="auto"/>
                <w:right w:val="none" w:sz="0" w:space="0" w:color="auto"/>
              </w:divBdr>
            </w:div>
            <w:div w:id="391730404">
              <w:marLeft w:val="0"/>
              <w:marRight w:val="0"/>
              <w:marTop w:val="0"/>
              <w:marBottom w:val="0"/>
              <w:divBdr>
                <w:top w:val="none" w:sz="0" w:space="0" w:color="auto"/>
                <w:left w:val="none" w:sz="0" w:space="0" w:color="auto"/>
                <w:bottom w:val="none" w:sz="0" w:space="0" w:color="auto"/>
                <w:right w:val="none" w:sz="0" w:space="0" w:color="auto"/>
              </w:divBdr>
            </w:div>
            <w:div w:id="1110781002">
              <w:marLeft w:val="0"/>
              <w:marRight w:val="0"/>
              <w:marTop w:val="0"/>
              <w:marBottom w:val="0"/>
              <w:divBdr>
                <w:top w:val="none" w:sz="0" w:space="0" w:color="auto"/>
                <w:left w:val="none" w:sz="0" w:space="0" w:color="auto"/>
                <w:bottom w:val="none" w:sz="0" w:space="0" w:color="auto"/>
                <w:right w:val="none" w:sz="0" w:space="0" w:color="auto"/>
              </w:divBdr>
            </w:div>
            <w:div w:id="534926776">
              <w:marLeft w:val="0"/>
              <w:marRight w:val="0"/>
              <w:marTop w:val="0"/>
              <w:marBottom w:val="0"/>
              <w:divBdr>
                <w:top w:val="none" w:sz="0" w:space="0" w:color="auto"/>
                <w:left w:val="none" w:sz="0" w:space="0" w:color="auto"/>
                <w:bottom w:val="none" w:sz="0" w:space="0" w:color="auto"/>
                <w:right w:val="none" w:sz="0" w:space="0" w:color="auto"/>
              </w:divBdr>
            </w:div>
            <w:div w:id="566961483">
              <w:marLeft w:val="0"/>
              <w:marRight w:val="0"/>
              <w:marTop w:val="0"/>
              <w:marBottom w:val="0"/>
              <w:divBdr>
                <w:top w:val="none" w:sz="0" w:space="0" w:color="auto"/>
                <w:left w:val="none" w:sz="0" w:space="0" w:color="auto"/>
                <w:bottom w:val="none" w:sz="0" w:space="0" w:color="auto"/>
                <w:right w:val="none" w:sz="0" w:space="0" w:color="auto"/>
              </w:divBdr>
            </w:div>
            <w:div w:id="1303971570">
              <w:marLeft w:val="0"/>
              <w:marRight w:val="0"/>
              <w:marTop w:val="0"/>
              <w:marBottom w:val="0"/>
              <w:divBdr>
                <w:top w:val="none" w:sz="0" w:space="0" w:color="auto"/>
                <w:left w:val="none" w:sz="0" w:space="0" w:color="auto"/>
                <w:bottom w:val="none" w:sz="0" w:space="0" w:color="auto"/>
                <w:right w:val="none" w:sz="0" w:space="0" w:color="auto"/>
              </w:divBdr>
            </w:div>
            <w:div w:id="2100977214">
              <w:marLeft w:val="0"/>
              <w:marRight w:val="0"/>
              <w:marTop w:val="0"/>
              <w:marBottom w:val="0"/>
              <w:divBdr>
                <w:top w:val="none" w:sz="0" w:space="0" w:color="auto"/>
                <w:left w:val="none" w:sz="0" w:space="0" w:color="auto"/>
                <w:bottom w:val="none" w:sz="0" w:space="0" w:color="auto"/>
                <w:right w:val="none" w:sz="0" w:space="0" w:color="auto"/>
              </w:divBdr>
            </w:div>
            <w:div w:id="627203622">
              <w:marLeft w:val="0"/>
              <w:marRight w:val="0"/>
              <w:marTop w:val="0"/>
              <w:marBottom w:val="0"/>
              <w:divBdr>
                <w:top w:val="none" w:sz="0" w:space="0" w:color="auto"/>
                <w:left w:val="none" w:sz="0" w:space="0" w:color="auto"/>
                <w:bottom w:val="none" w:sz="0" w:space="0" w:color="auto"/>
                <w:right w:val="none" w:sz="0" w:space="0" w:color="auto"/>
              </w:divBdr>
            </w:div>
            <w:div w:id="1868835038">
              <w:marLeft w:val="0"/>
              <w:marRight w:val="0"/>
              <w:marTop w:val="0"/>
              <w:marBottom w:val="0"/>
              <w:divBdr>
                <w:top w:val="none" w:sz="0" w:space="0" w:color="auto"/>
                <w:left w:val="none" w:sz="0" w:space="0" w:color="auto"/>
                <w:bottom w:val="none" w:sz="0" w:space="0" w:color="auto"/>
                <w:right w:val="none" w:sz="0" w:space="0" w:color="auto"/>
              </w:divBdr>
            </w:div>
            <w:div w:id="1745688561">
              <w:marLeft w:val="0"/>
              <w:marRight w:val="0"/>
              <w:marTop w:val="0"/>
              <w:marBottom w:val="0"/>
              <w:divBdr>
                <w:top w:val="none" w:sz="0" w:space="0" w:color="auto"/>
                <w:left w:val="none" w:sz="0" w:space="0" w:color="auto"/>
                <w:bottom w:val="none" w:sz="0" w:space="0" w:color="auto"/>
                <w:right w:val="none" w:sz="0" w:space="0" w:color="auto"/>
              </w:divBdr>
            </w:div>
            <w:div w:id="2023437078">
              <w:marLeft w:val="0"/>
              <w:marRight w:val="0"/>
              <w:marTop w:val="0"/>
              <w:marBottom w:val="0"/>
              <w:divBdr>
                <w:top w:val="none" w:sz="0" w:space="0" w:color="auto"/>
                <w:left w:val="none" w:sz="0" w:space="0" w:color="auto"/>
                <w:bottom w:val="none" w:sz="0" w:space="0" w:color="auto"/>
                <w:right w:val="none" w:sz="0" w:space="0" w:color="auto"/>
              </w:divBdr>
            </w:div>
            <w:div w:id="1575512433">
              <w:marLeft w:val="0"/>
              <w:marRight w:val="0"/>
              <w:marTop w:val="0"/>
              <w:marBottom w:val="0"/>
              <w:divBdr>
                <w:top w:val="none" w:sz="0" w:space="0" w:color="auto"/>
                <w:left w:val="none" w:sz="0" w:space="0" w:color="auto"/>
                <w:bottom w:val="none" w:sz="0" w:space="0" w:color="auto"/>
                <w:right w:val="none" w:sz="0" w:space="0" w:color="auto"/>
              </w:divBdr>
            </w:div>
            <w:div w:id="2090077581">
              <w:marLeft w:val="0"/>
              <w:marRight w:val="0"/>
              <w:marTop w:val="0"/>
              <w:marBottom w:val="0"/>
              <w:divBdr>
                <w:top w:val="none" w:sz="0" w:space="0" w:color="auto"/>
                <w:left w:val="none" w:sz="0" w:space="0" w:color="auto"/>
                <w:bottom w:val="none" w:sz="0" w:space="0" w:color="auto"/>
                <w:right w:val="none" w:sz="0" w:space="0" w:color="auto"/>
              </w:divBdr>
            </w:div>
            <w:div w:id="1619722751">
              <w:marLeft w:val="0"/>
              <w:marRight w:val="0"/>
              <w:marTop w:val="0"/>
              <w:marBottom w:val="0"/>
              <w:divBdr>
                <w:top w:val="none" w:sz="0" w:space="0" w:color="auto"/>
                <w:left w:val="none" w:sz="0" w:space="0" w:color="auto"/>
                <w:bottom w:val="none" w:sz="0" w:space="0" w:color="auto"/>
                <w:right w:val="none" w:sz="0" w:space="0" w:color="auto"/>
              </w:divBdr>
            </w:div>
            <w:div w:id="1660229034">
              <w:marLeft w:val="0"/>
              <w:marRight w:val="0"/>
              <w:marTop w:val="0"/>
              <w:marBottom w:val="0"/>
              <w:divBdr>
                <w:top w:val="none" w:sz="0" w:space="0" w:color="auto"/>
                <w:left w:val="none" w:sz="0" w:space="0" w:color="auto"/>
                <w:bottom w:val="none" w:sz="0" w:space="0" w:color="auto"/>
                <w:right w:val="none" w:sz="0" w:space="0" w:color="auto"/>
              </w:divBdr>
            </w:div>
            <w:div w:id="645745458">
              <w:marLeft w:val="0"/>
              <w:marRight w:val="0"/>
              <w:marTop w:val="0"/>
              <w:marBottom w:val="0"/>
              <w:divBdr>
                <w:top w:val="none" w:sz="0" w:space="0" w:color="auto"/>
                <w:left w:val="none" w:sz="0" w:space="0" w:color="auto"/>
                <w:bottom w:val="none" w:sz="0" w:space="0" w:color="auto"/>
                <w:right w:val="none" w:sz="0" w:space="0" w:color="auto"/>
              </w:divBdr>
            </w:div>
          </w:divsChild>
        </w:div>
        <w:div w:id="566764531">
          <w:marLeft w:val="0"/>
          <w:marRight w:val="0"/>
          <w:marTop w:val="0"/>
          <w:marBottom w:val="0"/>
          <w:divBdr>
            <w:top w:val="none" w:sz="0" w:space="0" w:color="auto"/>
            <w:left w:val="none" w:sz="0" w:space="0" w:color="auto"/>
            <w:bottom w:val="none" w:sz="0" w:space="0" w:color="auto"/>
            <w:right w:val="none" w:sz="0" w:space="0" w:color="auto"/>
          </w:divBdr>
          <w:divsChild>
            <w:div w:id="2040355739">
              <w:marLeft w:val="0"/>
              <w:marRight w:val="0"/>
              <w:marTop w:val="0"/>
              <w:marBottom w:val="0"/>
              <w:divBdr>
                <w:top w:val="none" w:sz="0" w:space="0" w:color="auto"/>
                <w:left w:val="none" w:sz="0" w:space="0" w:color="auto"/>
                <w:bottom w:val="none" w:sz="0" w:space="0" w:color="auto"/>
                <w:right w:val="none" w:sz="0" w:space="0" w:color="auto"/>
              </w:divBdr>
            </w:div>
            <w:div w:id="139926860">
              <w:marLeft w:val="0"/>
              <w:marRight w:val="0"/>
              <w:marTop w:val="0"/>
              <w:marBottom w:val="0"/>
              <w:divBdr>
                <w:top w:val="none" w:sz="0" w:space="0" w:color="auto"/>
                <w:left w:val="none" w:sz="0" w:space="0" w:color="auto"/>
                <w:bottom w:val="none" w:sz="0" w:space="0" w:color="auto"/>
                <w:right w:val="none" w:sz="0" w:space="0" w:color="auto"/>
              </w:divBdr>
            </w:div>
            <w:div w:id="1140155009">
              <w:marLeft w:val="0"/>
              <w:marRight w:val="0"/>
              <w:marTop w:val="0"/>
              <w:marBottom w:val="0"/>
              <w:divBdr>
                <w:top w:val="none" w:sz="0" w:space="0" w:color="auto"/>
                <w:left w:val="none" w:sz="0" w:space="0" w:color="auto"/>
                <w:bottom w:val="none" w:sz="0" w:space="0" w:color="auto"/>
                <w:right w:val="none" w:sz="0" w:space="0" w:color="auto"/>
              </w:divBdr>
            </w:div>
            <w:div w:id="870145936">
              <w:marLeft w:val="0"/>
              <w:marRight w:val="0"/>
              <w:marTop w:val="0"/>
              <w:marBottom w:val="0"/>
              <w:divBdr>
                <w:top w:val="none" w:sz="0" w:space="0" w:color="auto"/>
                <w:left w:val="none" w:sz="0" w:space="0" w:color="auto"/>
                <w:bottom w:val="none" w:sz="0" w:space="0" w:color="auto"/>
                <w:right w:val="none" w:sz="0" w:space="0" w:color="auto"/>
              </w:divBdr>
            </w:div>
            <w:div w:id="605625972">
              <w:marLeft w:val="0"/>
              <w:marRight w:val="0"/>
              <w:marTop w:val="0"/>
              <w:marBottom w:val="0"/>
              <w:divBdr>
                <w:top w:val="none" w:sz="0" w:space="0" w:color="auto"/>
                <w:left w:val="none" w:sz="0" w:space="0" w:color="auto"/>
                <w:bottom w:val="none" w:sz="0" w:space="0" w:color="auto"/>
                <w:right w:val="none" w:sz="0" w:space="0" w:color="auto"/>
              </w:divBdr>
            </w:div>
            <w:div w:id="612713355">
              <w:marLeft w:val="0"/>
              <w:marRight w:val="0"/>
              <w:marTop w:val="0"/>
              <w:marBottom w:val="0"/>
              <w:divBdr>
                <w:top w:val="none" w:sz="0" w:space="0" w:color="auto"/>
                <w:left w:val="none" w:sz="0" w:space="0" w:color="auto"/>
                <w:bottom w:val="none" w:sz="0" w:space="0" w:color="auto"/>
                <w:right w:val="none" w:sz="0" w:space="0" w:color="auto"/>
              </w:divBdr>
            </w:div>
            <w:div w:id="204218022">
              <w:marLeft w:val="0"/>
              <w:marRight w:val="0"/>
              <w:marTop w:val="0"/>
              <w:marBottom w:val="0"/>
              <w:divBdr>
                <w:top w:val="none" w:sz="0" w:space="0" w:color="auto"/>
                <w:left w:val="none" w:sz="0" w:space="0" w:color="auto"/>
                <w:bottom w:val="none" w:sz="0" w:space="0" w:color="auto"/>
                <w:right w:val="none" w:sz="0" w:space="0" w:color="auto"/>
              </w:divBdr>
            </w:div>
            <w:div w:id="1925218130">
              <w:marLeft w:val="0"/>
              <w:marRight w:val="0"/>
              <w:marTop w:val="0"/>
              <w:marBottom w:val="0"/>
              <w:divBdr>
                <w:top w:val="none" w:sz="0" w:space="0" w:color="auto"/>
                <w:left w:val="none" w:sz="0" w:space="0" w:color="auto"/>
                <w:bottom w:val="none" w:sz="0" w:space="0" w:color="auto"/>
                <w:right w:val="none" w:sz="0" w:space="0" w:color="auto"/>
              </w:divBdr>
            </w:div>
          </w:divsChild>
        </w:div>
        <w:div w:id="1460148554">
          <w:marLeft w:val="0"/>
          <w:marRight w:val="0"/>
          <w:marTop w:val="0"/>
          <w:marBottom w:val="0"/>
          <w:divBdr>
            <w:top w:val="none" w:sz="0" w:space="0" w:color="auto"/>
            <w:left w:val="none" w:sz="0" w:space="0" w:color="auto"/>
            <w:bottom w:val="none" w:sz="0" w:space="0" w:color="auto"/>
            <w:right w:val="none" w:sz="0" w:space="0" w:color="auto"/>
          </w:divBdr>
          <w:divsChild>
            <w:div w:id="2092121127">
              <w:marLeft w:val="0"/>
              <w:marRight w:val="0"/>
              <w:marTop w:val="0"/>
              <w:marBottom w:val="0"/>
              <w:divBdr>
                <w:top w:val="none" w:sz="0" w:space="0" w:color="auto"/>
                <w:left w:val="none" w:sz="0" w:space="0" w:color="auto"/>
                <w:bottom w:val="none" w:sz="0" w:space="0" w:color="auto"/>
                <w:right w:val="none" w:sz="0" w:space="0" w:color="auto"/>
              </w:divBdr>
            </w:div>
            <w:div w:id="1319381350">
              <w:marLeft w:val="0"/>
              <w:marRight w:val="0"/>
              <w:marTop w:val="0"/>
              <w:marBottom w:val="0"/>
              <w:divBdr>
                <w:top w:val="none" w:sz="0" w:space="0" w:color="auto"/>
                <w:left w:val="none" w:sz="0" w:space="0" w:color="auto"/>
                <w:bottom w:val="none" w:sz="0" w:space="0" w:color="auto"/>
                <w:right w:val="none" w:sz="0" w:space="0" w:color="auto"/>
              </w:divBdr>
            </w:div>
            <w:div w:id="1048191093">
              <w:marLeft w:val="0"/>
              <w:marRight w:val="0"/>
              <w:marTop w:val="0"/>
              <w:marBottom w:val="0"/>
              <w:divBdr>
                <w:top w:val="none" w:sz="0" w:space="0" w:color="auto"/>
                <w:left w:val="none" w:sz="0" w:space="0" w:color="auto"/>
                <w:bottom w:val="none" w:sz="0" w:space="0" w:color="auto"/>
                <w:right w:val="none" w:sz="0" w:space="0" w:color="auto"/>
              </w:divBdr>
            </w:div>
            <w:div w:id="1988506474">
              <w:marLeft w:val="0"/>
              <w:marRight w:val="0"/>
              <w:marTop w:val="0"/>
              <w:marBottom w:val="0"/>
              <w:divBdr>
                <w:top w:val="none" w:sz="0" w:space="0" w:color="auto"/>
                <w:left w:val="none" w:sz="0" w:space="0" w:color="auto"/>
                <w:bottom w:val="none" w:sz="0" w:space="0" w:color="auto"/>
                <w:right w:val="none" w:sz="0" w:space="0" w:color="auto"/>
              </w:divBdr>
            </w:div>
            <w:div w:id="1966354162">
              <w:marLeft w:val="0"/>
              <w:marRight w:val="0"/>
              <w:marTop w:val="0"/>
              <w:marBottom w:val="0"/>
              <w:divBdr>
                <w:top w:val="none" w:sz="0" w:space="0" w:color="auto"/>
                <w:left w:val="none" w:sz="0" w:space="0" w:color="auto"/>
                <w:bottom w:val="none" w:sz="0" w:space="0" w:color="auto"/>
                <w:right w:val="none" w:sz="0" w:space="0" w:color="auto"/>
              </w:divBdr>
            </w:div>
            <w:div w:id="1351374866">
              <w:marLeft w:val="0"/>
              <w:marRight w:val="0"/>
              <w:marTop w:val="0"/>
              <w:marBottom w:val="0"/>
              <w:divBdr>
                <w:top w:val="none" w:sz="0" w:space="0" w:color="auto"/>
                <w:left w:val="none" w:sz="0" w:space="0" w:color="auto"/>
                <w:bottom w:val="none" w:sz="0" w:space="0" w:color="auto"/>
                <w:right w:val="none" w:sz="0" w:space="0" w:color="auto"/>
              </w:divBdr>
            </w:div>
            <w:div w:id="44912804">
              <w:marLeft w:val="0"/>
              <w:marRight w:val="0"/>
              <w:marTop w:val="0"/>
              <w:marBottom w:val="0"/>
              <w:divBdr>
                <w:top w:val="none" w:sz="0" w:space="0" w:color="auto"/>
                <w:left w:val="none" w:sz="0" w:space="0" w:color="auto"/>
                <w:bottom w:val="none" w:sz="0" w:space="0" w:color="auto"/>
                <w:right w:val="none" w:sz="0" w:space="0" w:color="auto"/>
              </w:divBdr>
            </w:div>
            <w:div w:id="1299147602">
              <w:marLeft w:val="0"/>
              <w:marRight w:val="0"/>
              <w:marTop w:val="0"/>
              <w:marBottom w:val="0"/>
              <w:divBdr>
                <w:top w:val="none" w:sz="0" w:space="0" w:color="auto"/>
                <w:left w:val="none" w:sz="0" w:space="0" w:color="auto"/>
                <w:bottom w:val="none" w:sz="0" w:space="0" w:color="auto"/>
                <w:right w:val="none" w:sz="0" w:space="0" w:color="auto"/>
              </w:divBdr>
            </w:div>
            <w:div w:id="1156652642">
              <w:marLeft w:val="0"/>
              <w:marRight w:val="0"/>
              <w:marTop w:val="0"/>
              <w:marBottom w:val="0"/>
              <w:divBdr>
                <w:top w:val="none" w:sz="0" w:space="0" w:color="auto"/>
                <w:left w:val="none" w:sz="0" w:space="0" w:color="auto"/>
                <w:bottom w:val="none" w:sz="0" w:space="0" w:color="auto"/>
                <w:right w:val="none" w:sz="0" w:space="0" w:color="auto"/>
              </w:divBdr>
            </w:div>
            <w:div w:id="586381330">
              <w:marLeft w:val="0"/>
              <w:marRight w:val="0"/>
              <w:marTop w:val="0"/>
              <w:marBottom w:val="0"/>
              <w:divBdr>
                <w:top w:val="none" w:sz="0" w:space="0" w:color="auto"/>
                <w:left w:val="none" w:sz="0" w:space="0" w:color="auto"/>
                <w:bottom w:val="none" w:sz="0" w:space="0" w:color="auto"/>
                <w:right w:val="none" w:sz="0" w:space="0" w:color="auto"/>
              </w:divBdr>
            </w:div>
            <w:div w:id="1919902576">
              <w:marLeft w:val="0"/>
              <w:marRight w:val="0"/>
              <w:marTop w:val="0"/>
              <w:marBottom w:val="0"/>
              <w:divBdr>
                <w:top w:val="none" w:sz="0" w:space="0" w:color="auto"/>
                <w:left w:val="none" w:sz="0" w:space="0" w:color="auto"/>
                <w:bottom w:val="none" w:sz="0" w:space="0" w:color="auto"/>
                <w:right w:val="none" w:sz="0" w:space="0" w:color="auto"/>
              </w:divBdr>
            </w:div>
            <w:div w:id="1446851420">
              <w:marLeft w:val="0"/>
              <w:marRight w:val="0"/>
              <w:marTop w:val="0"/>
              <w:marBottom w:val="0"/>
              <w:divBdr>
                <w:top w:val="none" w:sz="0" w:space="0" w:color="auto"/>
                <w:left w:val="none" w:sz="0" w:space="0" w:color="auto"/>
                <w:bottom w:val="none" w:sz="0" w:space="0" w:color="auto"/>
                <w:right w:val="none" w:sz="0" w:space="0" w:color="auto"/>
              </w:divBdr>
            </w:div>
            <w:div w:id="2021547566">
              <w:marLeft w:val="0"/>
              <w:marRight w:val="0"/>
              <w:marTop w:val="0"/>
              <w:marBottom w:val="0"/>
              <w:divBdr>
                <w:top w:val="none" w:sz="0" w:space="0" w:color="auto"/>
                <w:left w:val="none" w:sz="0" w:space="0" w:color="auto"/>
                <w:bottom w:val="none" w:sz="0" w:space="0" w:color="auto"/>
                <w:right w:val="none" w:sz="0" w:space="0" w:color="auto"/>
              </w:divBdr>
            </w:div>
            <w:div w:id="553007494">
              <w:marLeft w:val="0"/>
              <w:marRight w:val="0"/>
              <w:marTop w:val="0"/>
              <w:marBottom w:val="0"/>
              <w:divBdr>
                <w:top w:val="none" w:sz="0" w:space="0" w:color="auto"/>
                <w:left w:val="none" w:sz="0" w:space="0" w:color="auto"/>
                <w:bottom w:val="none" w:sz="0" w:space="0" w:color="auto"/>
                <w:right w:val="none" w:sz="0" w:space="0" w:color="auto"/>
              </w:divBdr>
            </w:div>
            <w:div w:id="1696079108">
              <w:marLeft w:val="0"/>
              <w:marRight w:val="0"/>
              <w:marTop w:val="0"/>
              <w:marBottom w:val="0"/>
              <w:divBdr>
                <w:top w:val="none" w:sz="0" w:space="0" w:color="auto"/>
                <w:left w:val="none" w:sz="0" w:space="0" w:color="auto"/>
                <w:bottom w:val="none" w:sz="0" w:space="0" w:color="auto"/>
                <w:right w:val="none" w:sz="0" w:space="0" w:color="auto"/>
              </w:divBdr>
            </w:div>
            <w:div w:id="1513834810">
              <w:marLeft w:val="0"/>
              <w:marRight w:val="0"/>
              <w:marTop w:val="0"/>
              <w:marBottom w:val="0"/>
              <w:divBdr>
                <w:top w:val="none" w:sz="0" w:space="0" w:color="auto"/>
                <w:left w:val="none" w:sz="0" w:space="0" w:color="auto"/>
                <w:bottom w:val="none" w:sz="0" w:space="0" w:color="auto"/>
                <w:right w:val="none" w:sz="0" w:space="0" w:color="auto"/>
              </w:divBdr>
            </w:div>
          </w:divsChild>
        </w:div>
        <w:div w:id="1915628959">
          <w:marLeft w:val="0"/>
          <w:marRight w:val="0"/>
          <w:marTop w:val="0"/>
          <w:marBottom w:val="0"/>
          <w:divBdr>
            <w:top w:val="none" w:sz="0" w:space="0" w:color="auto"/>
            <w:left w:val="none" w:sz="0" w:space="0" w:color="auto"/>
            <w:bottom w:val="none" w:sz="0" w:space="0" w:color="auto"/>
            <w:right w:val="none" w:sz="0" w:space="0" w:color="auto"/>
          </w:divBdr>
          <w:divsChild>
            <w:div w:id="1308894898">
              <w:marLeft w:val="0"/>
              <w:marRight w:val="0"/>
              <w:marTop w:val="0"/>
              <w:marBottom w:val="0"/>
              <w:divBdr>
                <w:top w:val="none" w:sz="0" w:space="0" w:color="auto"/>
                <w:left w:val="none" w:sz="0" w:space="0" w:color="auto"/>
                <w:bottom w:val="none" w:sz="0" w:space="0" w:color="auto"/>
                <w:right w:val="none" w:sz="0" w:space="0" w:color="auto"/>
              </w:divBdr>
            </w:div>
            <w:div w:id="217326699">
              <w:marLeft w:val="0"/>
              <w:marRight w:val="0"/>
              <w:marTop w:val="0"/>
              <w:marBottom w:val="0"/>
              <w:divBdr>
                <w:top w:val="none" w:sz="0" w:space="0" w:color="auto"/>
                <w:left w:val="none" w:sz="0" w:space="0" w:color="auto"/>
                <w:bottom w:val="none" w:sz="0" w:space="0" w:color="auto"/>
                <w:right w:val="none" w:sz="0" w:space="0" w:color="auto"/>
              </w:divBdr>
            </w:div>
            <w:div w:id="199318334">
              <w:marLeft w:val="0"/>
              <w:marRight w:val="0"/>
              <w:marTop w:val="0"/>
              <w:marBottom w:val="0"/>
              <w:divBdr>
                <w:top w:val="none" w:sz="0" w:space="0" w:color="auto"/>
                <w:left w:val="none" w:sz="0" w:space="0" w:color="auto"/>
                <w:bottom w:val="none" w:sz="0" w:space="0" w:color="auto"/>
                <w:right w:val="none" w:sz="0" w:space="0" w:color="auto"/>
              </w:divBdr>
            </w:div>
            <w:div w:id="1585530216">
              <w:marLeft w:val="0"/>
              <w:marRight w:val="0"/>
              <w:marTop w:val="0"/>
              <w:marBottom w:val="0"/>
              <w:divBdr>
                <w:top w:val="none" w:sz="0" w:space="0" w:color="auto"/>
                <w:left w:val="none" w:sz="0" w:space="0" w:color="auto"/>
                <w:bottom w:val="none" w:sz="0" w:space="0" w:color="auto"/>
                <w:right w:val="none" w:sz="0" w:space="0" w:color="auto"/>
              </w:divBdr>
            </w:div>
            <w:div w:id="2089502225">
              <w:marLeft w:val="0"/>
              <w:marRight w:val="0"/>
              <w:marTop w:val="0"/>
              <w:marBottom w:val="0"/>
              <w:divBdr>
                <w:top w:val="none" w:sz="0" w:space="0" w:color="auto"/>
                <w:left w:val="none" w:sz="0" w:space="0" w:color="auto"/>
                <w:bottom w:val="none" w:sz="0" w:space="0" w:color="auto"/>
                <w:right w:val="none" w:sz="0" w:space="0" w:color="auto"/>
              </w:divBdr>
            </w:div>
            <w:div w:id="795635001">
              <w:marLeft w:val="0"/>
              <w:marRight w:val="0"/>
              <w:marTop w:val="0"/>
              <w:marBottom w:val="0"/>
              <w:divBdr>
                <w:top w:val="none" w:sz="0" w:space="0" w:color="auto"/>
                <w:left w:val="none" w:sz="0" w:space="0" w:color="auto"/>
                <w:bottom w:val="none" w:sz="0" w:space="0" w:color="auto"/>
                <w:right w:val="none" w:sz="0" w:space="0" w:color="auto"/>
              </w:divBdr>
            </w:div>
            <w:div w:id="1938562241">
              <w:marLeft w:val="0"/>
              <w:marRight w:val="0"/>
              <w:marTop w:val="0"/>
              <w:marBottom w:val="0"/>
              <w:divBdr>
                <w:top w:val="none" w:sz="0" w:space="0" w:color="auto"/>
                <w:left w:val="none" w:sz="0" w:space="0" w:color="auto"/>
                <w:bottom w:val="none" w:sz="0" w:space="0" w:color="auto"/>
                <w:right w:val="none" w:sz="0" w:space="0" w:color="auto"/>
              </w:divBdr>
            </w:div>
            <w:div w:id="506478719">
              <w:marLeft w:val="0"/>
              <w:marRight w:val="0"/>
              <w:marTop w:val="0"/>
              <w:marBottom w:val="0"/>
              <w:divBdr>
                <w:top w:val="none" w:sz="0" w:space="0" w:color="auto"/>
                <w:left w:val="none" w:sz="0" w:space="0" w:color="auto"/>
                <w:bottom w:val="none" w:sz="0" w:space="0" w:color="auto"/>
                <w:right w:val="none" w:sz="0" w:space="0" w:color="auto"/>
              </w:divBdr>
            </w:div>
          </w:divsChild>
        </w:div>
        <w:div w:id="1805275455">
          <w:marLeft w:val="0"/>
          <w:marRight w:val="0"/>
          <w:marTop w:val="0"/>
          <w:marBottom w:val="0"/>
          <w:divBdr>
            <w:top w:val="none" w:sz="0" w:space="0" w:color="auto"/>
            <w:left w:val="none" w:sz="0" w:space="0" w:color="auto"/>
            <w:bottom w:val="none" w:sz="0" w:space="0" w:color="auto"/>
            <w:right w:val="none" w:sz="0" w:space="0" w:color="auto"/>
          </w:divBdr>
          <w:divsChild>
            <w:div w:id="878588077">
              <w:marLeft w:val="0"/>
              <w:marRight w:val="0"/>
              <w:marTop w:val="0"/>
              <w:marBottom w:val="0"/>
              <w:divBdr>
                <w:top w:val="none" w:sz="0" w:space="0" w:color="auto"/>
                <w:left w:val="none" w:sz="0" w:space="0" w:color="auto"/>
                <w:bottom w:val="none" w:sz="0" w:space="0" w:color="auto"/>
                <w:right w:val="none" w:sz="0" w:space="0" w:color="auto"/>
              </w:divBdr>
            </w:div>
            <w:div w:id="812211203">
              <w:marLeft w:val="0"/>
              <w:marRight w:val="0"/>
              <w:marTop w:val="0"/>
              <w:marBottom w:val="0"/>
              <w:divBdr>
                <w:top w:val="none" w:sz="0" w:space="0" w:color="auto"/>
                <w:left w:val="none" w:sz="0" w:space="0" w:color="auto"/>
                <w:bottom w:val="none" w:sz="0" w:space="0" w:color="auto"/>
                <w:right w:val="none" w:sz="0" w:space="0" w:color="auto"/>
              </w:divBdr>
            </w:div>
            <w:div w:id="1983195430">
              <w:marLeft w:val="0"/>
              <w:marRight w:val="0"/>
              <w:marTop w:val="0"/>
              <w:marBottom w:val="0"/>
              <w:divBdr>
                <w:top w:val="none" w:sz="0" w:space="0" w:color="auto"/>
                <w:left w:val="none" w:sz="0" w:space="0" w:color="auto"/>
                <w:bottom w:val="none" w:sz="0" w:space="0" w:color="auto"/>
                <w:right w:val="none" w:sz="0" w:space="0" w:color="auto"/>
              </w:divBdr>
            </w:div>
            <w:div w:id="620038363">
              <w:marLeft w:val="0"/>
              <w:marRight w:val="0"/>
              <w:marTop w:val="0"/>
              <w:marBottom w:val="0"/>
              <w:divBdr>
                <w:top w:val="none" w:sz="0" w:space="0" w:color="auto"/>
                <w:left w:val="none" w:sz="0" w:space="0" w:color="auto"/>
                <w:bottom w:val="none" w:sz="0" w:space="0" w:color="auto"/>
                <w:right w:val="none" w:sz="0" w:space="0" w:color="auto"/>
              </w:divBdr>
            </w:div>
            <w:div w:id="1104692265">
              <w:marLeft w:val="0"/>
              <w:marRight w:val="0"/>
              <w:marTop w:val="0"/>
              <w:marBottom w:val="0"/>
              <w:divBdr>
                <w:top w:val="none" w:sz="0" w:space="0" w:color="auto"/>
                <w:left w:val="none" w:sz="0" w:space="0" w:color="auto"/>
                <w:bottom w:val="none" w:sz="0" w:space="0" w:color="auto"/>
                <w:right w:val="none" w:sz="0" w:space="0" w:color="auto"/>
              </w:divBdr>
            </w:div>
            <w:div w:id="988636137">
              <w:marLeft w:val="0"/>
              <w:marRight w:val="0"/>
              <w:marTop w:val="0"/>
              <w:marBottom w:val="0"/>
              <w:divBdr>
                <w:top w:val="none" w:sz="0" w:space="0" w:color="auto"/>
                <w:left w:val="none" w:sz="0" w:space="0" w:color="auto"/>
                <w:bottom w:val="none" w:sz="0" w:space="0" w:color="auto"/>
                <w:right w:val="none" w:sz="0" w:space="0" w:color="auto"/>
              </w:divBdr>
            </w:div>
            <w:div w:id="231502097">
              <w:marLeft w:val="0"/>
              <w:marRight w:val="0"/>
              <w:marTop w:val="0"/>
              <w:marBottom w:val="0"/>
              <w:divBdr>
                <w:top w:val="none" w:sz="0" w:space="0" w:color="auto"/>
                <w:left w:val="none" w:sz="0" w:space="0" w:color="auto"/>
                <w:bottom w:val="none" w:sz="0" w:space="0" w:color="auto"/>
                <w:right w:val="none" w:sz="0" w:space="0" w:color="auto"/>
              </w:divBdr>
            </w:div>
            <w:div w:id="1882354761">
              <w:marLeft w:val="0"/>
              <w:marRight w:val="0"/>
              <w:marTop w:val="0"/>
              <w:marBottom w:val="0"/>
              <w:divBdr>
                <w:top w:val="none" w:sz="0" w:space="0" w:color="auto"/>
                <w:left w:val="none" w:sz="0" w:space="0" w:color="auto"/>
                <w:bottom w:val="none" w:sz="0" w:space="0" w:color="auto"/>
                <w:right w:val="none" w:sz="0" w:space="0" w:color="auto"/>
              </w:divBdr>
            </w:div>
            <w:div w:id="1276403034">
              <w:marLeft w:val="0"/>
              <w:marRight w:val="0"/>
              <w:marTop w:val="0"/>
              <w:marBottom w:val="0"/>
              <w:divBdr>
                <w:top w:val="none" w:sz="0" w:space="0" w:color="auto"/>
                <w:left w:val="none" w:sz="0" w:space="0" w:color="auto"/>
                <w:bottom w:val="none" w:sz="0" w:space="0" w:color="auto"/>
                <w:right w:val="none" w:sz="0" w:space="0" w:color="auto"/>
              </w:divBdr>
            </w:div>
          </w:divsChild>
        </w:div>
        <w:div w:id="415905278">
          <w:marLeft w:val="0"/>
          <w:marRight w:val="0"/>
          <w:marTop w:val="0"/>
          <w:marBottom w:val="0"/>
          <w:divBdr>
            <w:top w:val="none" w:sz="0" w:space="0" w:color="auto"/>
            <w:left w:val="none" w:sz="0" w:space="0" w:color="auto"/>
            <w:bottom w:val="none" w:sz="0" w:space="0" w:color="auto"/>
            <w:right w:val="none" w:sz="0" w:space="0" w:color="auto"/>
          </w:divBdr>
          <w:divsChild>
            <w:div w:id="34431922">
              <w:marLeft w:val="0"/>
              <w:marRight w:val="0"/>
              <w:marTop w:val="0"/>
              <w:marBottom w:val="0"/>
              <w:divBdr>
                <w:top w:val="none" w:sz="0" w:space="0" w:color="auto"/>
                <w:left w:val="none" w:sz="0" w:space="0" w:color="auto"/>
                <w:bottom w:val="none" w:sz="0" w:space="0" w:color="auto"/>
                <w:right w:val="none" w:sz="0" w:space="0" w:color="auto"/>
              </w:divBdr>
            </w:div>
            <w:div w:id="517162731">
              <w:marLeft w:val="0"/>
              <w:marRight w:val="0"/>
              <w:marTop w:val="0"/>
              <w:marBottom w:val="0"/>
              <w:divBdr>
                <w:top w:val="none" w:sz="0" w:space="0" w:color="auto"/>
                <w:left w:val="none" w:sz="0" w:space="0" w:color="auto"/>
                <w:bottom w:val="none" w:sz="0" w:space="0" w:color="auto"/>
                <w:right w:val="none" w:sz="0" w:space="0" w:color="auto"/>
              </w:divBdr>
            </w:div>
            <w:div w:id="958296681">
              <w:marLeft w:val="0"/>
              <w:marRight w:val="0"/>
              <w:marTop w:val="0"/>
              <w:marBottom w:val="0"/>
              <w:divBdr>
                <w:top w:val="none" w:sz="0" w:space="0" w:color="auto"/>
                <w:left w:val="none" w:sz="0" w:space="0" w:color="auto"/>
                <w:bottom w:val="none" w:sz="0" w:space="0" w:color="auto"/>
                <w:right w:val="none" w:sz="0" w:space="0" w:color="auto"/>
              </w:divBdr>
            </w:div>
            <w:div w:id="1417899282">
              <w:marLeft w:val="0"/>
              <w:marRight w:val="0"/>
              <w:marTop w:val="0"/>
              <w:marBottom w:val="0"/>
              <w:divBdr>
                <w:top w:val="none" w:sz="0" w:space="0" w:color="auto"/>
                <w:left w:val="none" w:sz="0" w:space="0" w:color="auto"/>
                <w:bottom w:val="none" w:sz="0" w:space="0" w:color="auto"/>
                <w:right w:val="none" w:sz="0" w:space="0" w:color="auto"/>
              </w:divBdr>
            </w:div>
            <w:div w:id="1845124380">
              <w:marLeft w:val="0"/>
              <w:marRight w:val="0"/>
              <w:marTop w:val="0"/>
              <w:marBottom w:val="0"/>
              <w:divBdr>
                <w:top w:val="none" w:sz="0" w:space="0" w:color="auto"/>
                <w:left w:val="none" w:sz="0" w:space="0" w:color="auto"/>
                <w:bottom w:val="none" w:sz="0" w:space="0" w:color="auto"/>
                <w:right w:val="none" w:sz="0" w:space="0" w:color="auto"/>
              </w:divBdr>
            </w:div>
            <w:div w:id="1046638181">
              <w:marLeft w:val="0"/>
              <w:marRight w:val="0"/>
              <w:marTop w:val="0"/>
              <w:marBottom w:val="0"/>
              <w:divBdr>
                <w:top w:val="none" w:sz="0" w:space="0" w:color="auto"/>
                <w:left w:val="none" w:sz="0" w:space="0" w:color="auto"/>
                <w:bottom w:val="none" w:sz="0" w:space="0" w:color="auto"/>
                <w:right w:val="none" w:sz="0" w:space="0" w:color="auto"/>
              </w:divBdr>
            </w:div>
            <w:div w:id="484736292">
              <w:marLeft w:val="0"/>
              <w:marRight w:val="0"/>
              <w:marTop w:val="0"/>
              <w:marBottom w:val="0"/>
              <w:divBdr>
                <w:top w:val="none" w:sz="0" w:space="0" w:color="auto"/>
                <w:left w:val="none" w:sz="0" w:space="0" w:color="auto"/>
                <w:bottom w:val="none" w:sz="0" w:space="0" w:color="auto"/>
                <w:right w:val="none" w:sz="0" w:space="0" w:color="auto"/>
              </w:divBdr>
            </w:div>
            <w:div w:id="1435518825">
              <w:marLeft w:val="0"/>
              <w:marRight w:val="0"/>
              <w:marTop w:val="0"/>
              <w:marBottom w:val="0"/>
              <w:divBdr>
                <w:top w:val="none" w:sz="0" w:space="0" w:color="auto"/>
                <w:left w:val="none" w:sz="0" w:space="0" w:color="auto"/>
                <w:bottom w:val="none" w:sz="0" w:space="0" w:color="auto"/>
                <w:right w:val="none" w:sz="0" w:space="0" w:color="auto"/>
              </w:divBdr>
            </w:div>
            <w:div w:id="855580027">
              <w:marLeft w:val="0"/>
              <w:marRight w:val="0"/>
              <w:marTop w:val="0"/>
              <w:marBottom w:val="0"/>
              <w:divBdr>
                <w:top w:val="none" w:sz="0" w:space="0" w:color="auto"/>
                <w:left w:val="none" w:sz="0" w:space="0" w:color="auto"/>
                <w:bottom w:val="none" w:sz="0" w:space="0" w:color="auto"/>
                <w:right w:val="none" w:sz="0" w:space="0" w:color="auto"/>
              </w:divBdr>
            </w:div>
            <w:div w:id="1553805616">
              <w:marLeft w:val="0"/>
              <w:marRight w:val="0"/>
              <w:marTop w:val="0"/>
              <w:marBottom w:val="0"/>
              <w:divBdr>
                <w:top w:val="none" w:sz="0" w:space="0" w:color="auto"/>
                <w:left w:val="none" w:sz="0" w:space="0" w:color="auto"/>
                <w:bottom w:val="none" w:sz="0" w:space="0" w:color="auto"/>
                <w:right w:val="none" w:sz="0" w:space="0" w:color="auto"/>
              </w:divBdr>
            </w:div>
            <w:div w:id="1167749933">
              <w:marLeft w:val="0"/>
              <w:marRight w:val="0"/>
              <w:marTop w:val="0"/>
              <w:marBottom w:val="0"/>
              <w:divBdr>
                <w:top w:val="none" w:sz="0" w:space="0" w:color="auto"/>
                <w:left w:val="none" w:sz="0" w:space="0" w:color="auto"/>
                <w:bottom w:val="none" w:sz="0" w:space="0" w:color="auto"/>
                <w:right w:val="none" w:sz="0" w:space="0" w:color="auto"/>
              </w:divBdr>
            </w:div>
            <w:div w:id="15271993">
              <w:marLeft w:val="0"/>
              <w:marRight w:val="0"/>
              <w:marTop w:val="0"/>
              <w:marBottom w:val="0"/>
              <w:divBdr>
                <w:top w:val="none" w:sz="0" w:space="0" w:color="auto"/>
                <w:left w:val="none" w:sz="0" w:space="0" w:color="auto"/>
                <w:bottom w:val="none" w:sz="0" w:space="0" w:color="auto"/>
                <w:right w:val="none" w:sz="0" w:space="0" w:color="auto"/>
              </w:divBdr>
            </w:div>
            <w:div w:id="1501697961">
              <w:marLeft w:val="0"/>
              <w:marRight w:val="0"/>
              <w:marTop w:val="0"/>
              <w:marBottom w:val="0"/>
              <w:divBdr>
                <w:top w:val="none" w:sz="0" w:space="0" w:color="auto"/>
                <w:left w:val="none" w:sz="0" w:space="0" w:color="auto"/>
                <w:bottom w:val="none" w:sz="0" w:space="0" w:color="auto"/>
                <w:right w:val="none" w:sz="0" w:space="0" w:color="auto"/>
              </w:divBdr>
            </w:div>
            <w:div w:id="65303729">
              <w:marLeft w:val="0"/>
              <w:marRight w:val="0"/>
              <w:marTop w:val="0"/>
              <w:marBottom w:val="0"/>
              <w:divBdr>
                <w:top w:val="none" w:sz="0" w:space="0" w:color="auto"/>
                <w:left w:val="none" w:sz="0" w:space="0" w:color="auto"/>
                <w:bottom w:val="none" w:sz="0" w:space="0" w:color="auto"/>
                <w:right w:val="none" w:sz="0" w:space="0" w:color="auto"/>
              </w:divBdr>
            </w:div>
            <w:div w:id="1186091741">
              <w:marLeft w:val="0"/>
              <w:marRight w:val="0"/>
              <w:marTop w:val="0"/>
              <w:marBottom w:val="0"/>
              <w:divBdr>
                <w:top w:val="none" w:sz="0" w:space="0" w:color="auto"/>
                <w:left w:val="none" w:sz="0" w:space="0" w:color="auto"/>
                <w:bottom w:val="none" w:sz="0" w:space="0" w:color="auto"/>
                <w:right w:val="none" w:sz="0" w:space="0" w:color="auto"/>
              </w:divBdr>
            </w:div>
          </w:divsChild>
        </w:div>
        <w:div w:id="1972831095">
          <w:marLeft w:val="0"/>
          <w:marRight w:val="0"/>
          <w:marTop w:val="0"/>
          <w:marBottom w:val="0"/>
          <w:divBdr>
            <w:top w:val="none" w:sz="0" w:space="0" w:color="auto"/>
            <w:left w:val="none" w:sz="0" w:space="0" w:color="auto"/>
            <w:bottom w:val="none" w:sz="0" w:space="0" w:color="auto"/>
            <w:right w:val="none" w:sz="0" w:space="0" w:color="auto"/>
          </w:divBdr>
        </w:div>
        <w:div w:id="1788544846">
          <w:marLeft w:val="0"/>
          <w:marRight w:val="0"/>
          <w:marTop w:val="0"/>
          <w:marBottom w:val="0"/>
          <w:divBdr>
            <w:top w:val="none" w:sz="0" w:space="0" w:color="auto"/>
            <w:left w:val="none" w:sz="0" w:space="0" w:color="auto"/>
            <w:bottom w:val="none" w:sz="0" w:space="0" w:color="auto"/>
            <w:right w:val="none" w:sz="0" w:space="0" w:color="auto"/>
          </w:divBdr>
        </w:div>
      </w:divsChild>
    </w:div>
    <w:div w:id="21309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it.wikipedia.org/wiki/Elenco_dei_conflitti_militari_in_corso"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sg.finance.yahoo.com/markets/stocks/most-activ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dedaloinvest.com/education/didattica-investimenti/capm"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www.we-wealth.com/news/pace-ucraina-azioni-difesa"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krssclaire/portfolio-theory-defense-shares-study/blob/main/notebook/teoria-portafoglio.ipynb" TargetMode="External"/><Relationship Id="rId22" Type="http://schemas.openxmlformats.org/officeDocument/2006/relationships/image" Target="media/image9.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it.wikipedia.org/wiki/Elenco_dei_conflitti_militari_in_corso" TargetMode="External"/><Relationship Id="rId2" Type="http://schemas.openxmlformats.org/officeDocument/2006/relationships/hyperlink" Target="https://www.dedaloinvest.com/education/didattica-investimenti/capm" TargetMode="External"/><Relationship Id="rId1" Type="http://schemas.openxmlformats.org/officeDocument/2006/relationships/hyperlink" Target="https://www.we-wealth.com/news/pace-ucraina-azioni-dif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5F16-47DB-40BE-BE66-84C35BE4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3650</Words>
  <Characters>20810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24412</CharactersWithSpaces>
  <SharedDoc>false</SharedDoc>
  <HLinks>
    <vt:vector size="78" baseType="variant">
      <vt:variant>
        <vt:i4>1179702</vt:i4>
      </vt:variant>
      <vt:variant>
        <vt:i4>74</vt:i4>
      </vt:variant>
      <vt:variant>
        <vt:i4>0</vt:i4>
      </vt:variant>
      <vt:variant>
        <vt:i4>5</vt:i4>
      </vt:variant>
      <vt:variant>
        <vt:lpwstr/>
      </vt:variant>
      <vt:variant>
        <vt:lpwstr>_Toc168161935</vt:lpwstr>
      </vt:variant>
      <vt:variant>
        <vt:i4>1179702</vt:i4>
      </vt:variant>
      <vt:variant>
        <vt:i4>68</vt:i4>
      </vt:variant>
      <vt:variant>
        <vt:i4>0</vt:i4>
      </vt:variant>
      <vt:variant>
        <vt:i4>5</vt:i4>
      </vt:variant>
      <vt:variant>
        <vt:lpwstr/>
      </vt:variant>
      <vt:variant>
        <vt:lpwstr>_Toc168161934</vt:lpwstr>
      </vt:variant>
      <vt:variant>
        <vt:i4>1179702</vt:i4>
      </vt:variant>
      <vt:variant>
        <vt:i4>62</vt:i4>
      </vt:variant>
      <vt:variant>
        <vt:i4>0</vt:i4>
      </vt:variant>
      <vt:variant>
        <vt:i4>5</vt:i4>
      </vt:variant>
      <vt:variant>
        <vt:lpwstr/>
      </vt:variant>
      <vt:variant>
        <vt:lpwstr>_Toc168161933</vt:lpwstr>
      </vt:variant>
      <vt:variant>
        <vt:i4>1179702</vt:i4>
      </vt:variant>
      <vt:variant>
        <vt:i4>56</vt:i4>
      </vt:variant>
      <vt:variant>
        <vt:i4>0</vt:i4>
      </vt:variant>
      <vt:variant>
        <vt:i4>5</vt:i4>
      </vt:variant>
      <vt:variant>
        <vt:lpwstr/>
      </vt:variant>
      <vt:variant>
        <vt:lpwstr>_Toc168161932</vt:lpwstr>
      </vt:variant>
      <vt:variant>
        <vt:i4>1179702</vt:i4>
      </vt:variant>
      <vt:variant>
        <vt:i4>50</vt:i4>
      </vt:variant>
      <vt:variant>
        <vt:i4>0</vt:i4>
      </vt:variant>
      <vt:variant>
        <vt:i4>5</vt:i4>
      </vt:variant>
      <vt:variant>
        <vt:lpwstr/>
      </vt:variant>
      <vt:variant>
        <vt:lpwstr>_Toc168161931</vt:lpwstr>
      </vt:variant>
      <vt:variant>
        <vt:i4>1179702</vt:i4>
      </vt:variant>
      <vt:variant>
        <vt:i4>44</vt:i4>
      </vt:variant>
      <vt:variant>
        <vt:i4>0</vt:i4>
      </vt:variant>
      <vt:variant>
        <vt:i4>5</vt:i4>
      </vt:variant>
      <vt:variant>
        <vt:lpwstr/>
      </vt:variant>
      <vt:variant>
        <vt:lpwstr>_Toc168161930</vt:lpwstr>
      </vt:variant>
      <vt:variant>
        <vt:i4>1245238</vt:i4>
      </vt:variant>
      <vt:variant>
        <vt:i4>38</vt:i4>
      </vt:variant>
      <vt:variant>
        <vt:i4>0</vt:i4>
      </vt:variant>
      <vt:variant>
        <vt:i4>5</vt:i4>
      </vt:variant>
      <vt:variant>
        <vt:lpwstr/>
      </vt:variant>
      <vt:variant>
        <vt:lpwstr>_Toc168161929</vt:lpwstr>
      </vt:variant>
      <vt:variant>
        <vt:i4>1245238</vt:i4>
      </vt:variant>
      <vt:variant>
        <vt:i4>32</vt:i4>
      </vt:variant>
      <vt:variant>
        <vt:i4>0</vt:i4>
      </vt:variant>
      <vt:variant>
        <vt:i4>5</vt:i4>
      </vt:variant>
      <vt:variant>
        <vt:lpwstr/>
      </vt:variant>
      <vt:variant>
        <vt:lpwstr>_Toc168161928</vt:lpwstr>
      </vt:variant>
      <vt:variant>
        <vt:i4>1245238</vt:i4>
      </vt:variant>
      <vt:variant>
        <vt:i4>26</vt:i4>
      </vt:variant>
      <vt:variant>
        <vt:i4>0</vt:i4>
      </vt:variant>
      <vt:variant>
        <vt:i4>5</vt:i4>
      </vt:variant>
      <vt:variant>
        <vt:lpwstr/>
      </vt:variant>
      <vt:variant>
        <vt:lpwstr>_Toc168161927</vt:lpwstr>
      </vt:variant>
      <vt:variant>
        <vt:i4>1245238</vt:i4>
      </vt:variant>
      <vt:variant>
        <vt:i4>20</vt:i4>
      </vt:variant>
      <vt:variant>
        <vt:i4>0</vt:i4>
      </vt:variant>
      <vt:variant>
        <vt:i4>5</vt:i4>
      </vt:variant>
      <vt:variant>
        <vt:lpwstr/>
      </vt:variant>
      <vt:variant>
        <vt:lpwstr>_Toc168161926</vt:lpwstr>
      </vt:variant>
      <vt:variant>
        <vt:i4>1245238</vt:i4>
      </vt:variant>
      <vt:variant>
        <vt:i4>14</vt:i4>
      </vt:variant>
      <vt:variant>
        <vt:i4>0</vt:i4>
      </vt:variant>
      <vt:variant>
        <vt:i4>5</vt:i4>
      </vt:variant>
      <vt:variant>
        <vt:lpwstr/>
      </vt:variant>
      <vt:variant>
        <vt:lpwstr>_Toc168161925</vt:lpwstr>
      </vt:variant>
      <vt:variant>
        <vt:i4>1245238</vt:i4>
      </vt:variant>
      <vt:variant>
        <vt:i4>8</vt:i4>
      </vt:variant>
      <vt:variant>
        <vt:i4>0</vt:i4>
      </vt:variant>
      <vt:variant>
        <vt:i4>5</vt:i4>
      </vt:variant>
      <vt:variant>
        <vt:lpwstr/>
      </vt:variant>
      <vt:variant>
        <vt:lpwstr>_Toc168161924</vt:lpwstr>
      </vt:variant>
      <vt:variant>
        <vt:i4>1245238</vt:i4>
      </vt:variant>
      <vt:variant>
        <vt:i4>2</vt:i4>
      </vt:variant>
      <vt:variant>
        <vt:i4>0</vt:i4>
      </vt:variant>
      <vt:variant>
        <vt:i4>5</vt:i4>
      </vt:variant>
      <vt:variant>
        <vt:lpwstr/>
      </vt:variant>
      <vt:variant>
        <vt:lpwstr>_Toc168161923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CLAIRE JUGLAIR</dc:creator>
  <cp:keywords/>
  <dc:description/>
  <cp:lastModifiedBy>Kristel Juglair</cp:lastModifiedBy>
  <cp:revision>1362</cp:revision>
  <dcterms:created xsi:type="dcterms:W3CDTF">2024-05-14T10:15:00Z</dcterms:created>
  <dcterms:modified xsi:type="dcterms:W3CDTF">2025-09-10T10:29:00Z</dcterms:modified>
</cp:coreProperties>
</file>