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Calibri" w:cs="Calibri" w:eastAsia="Calibri" w:hAnsi="Calibri"/>
          <w:b/>
          <w:bCs/>
          <w:color w:val="1F4E79"/>
          <w:sz w:val="34"/>
          <w:szCs w:val="34"/>
        </w:rPr>
        <w:t xml:space="preserve">Sales Forecasting &amp; Demand Intelligence</w:t>
      </w:r>
    </w:p>
    <w:p>
      <w:pPr>
        <w:spacing w:after="200"/>
        <w:jc w:val="center"/>
      </w:pPr>
      <w:r>
        <w:rPr>
          <w:rFonts w:ascii="Calibri" w:cs="Calibri" w:eastAsia="Calibri" w:hAnsi="Calibri"/>
          <w:i/>
          <w:iCs/>
          <w:color w:val="595959"/>
          <w:sz w:val="20"/>
          <w:szCs w:val="20"/>
        </w:rPr>
        <w:t xml:space="preserve">Executive Summary, prepared for the Head of Supply Chain and CFO</w:t>
      </w:r>
    </w:p>
    <w:p>
      <w:pPr>
        <w:pStyle w:val="Heading1"/>
        <w:spacing w:after="100" w:before="200"/>
      </w:pPr>
      <w:r>
        <w:rPr>
          <w:rFonts w:ascii="Calibri" w:cs="Calibri" w:eastAsia="Calibri" w:hAnsi="Calibri"/>
          <w:b/>
          <w:bCs/>
          <w:color w:val="1F4E79"/>
          <w:sz w:val="26"/>
          <w:szCs w:val="26"/>
        </w:rPr>
        <w:t xml:space="preserve">Executive Summary</w:t>
      </w:r>
    </w:p>
    <w:p>
      <w:pPr>
        <w:spacing w:after="100"/>
      </w:pPr>
      <w:r>
        <w:rPr>
          <w:rFonts w:ascii="Calibri" w:cs="Calibri" w:eastAsia="Calibri" w:hAnsi="Calibri"/>
          <w:sz w:val="21"/>
          <w:szCs w:val="21"/>
        </w:rPr>
        <w:t xml:space="preserve">Over the past four years, sales have grown steadily and the growth is not random. It follows a clear yearly pattern, with November and December consistently the strongest months and January and February the weakest. Using this pattern, a forecasting model was built and tested against real sales that already happened, and it came within about 18 percent of the actual number on average. The same analysis also flagged unusual sales weeks worth a closer look, grouped our 17 product types into four demand groups so each can be stocked differently, and produced a live dashboard so this can be checked anytime rather than read once and filed away. The short version: the business is growing, the growth is seasonal and predictable enough to plan around, and a small number of products and weeks deserve extra attention.</w:t>
      </w:r>
    </w:p>
    <w:p>
      <w:pPr>
        <w:pStyle w:val="Heading1"/>
        <w:spacing w:after="100" w:before="200"/>
      </w:pPr>
      <w:r>
        <w:rPr>
          <w:rFonts w:ascii="Calibri" w:cs="Calibri" w:eastAsia="Calibri" w:hAnsi="Calibri"/>
          <w:b/>
          <w:bCs/>
          <w:color w:val="1F4E79"/>
          <w:sz w:val="26"/>
          <w:szCs w:val="26"/>
        </w:rPr>
        <w:t xml:space="preserve">Key Findings</w:t>
      </w:r>
    </w:p>
    <w:p>
      <w:pPr>
        <w:pStyle w:val="ListParagraph"/>
        <w:numPr>
          <w:ilvl w:val="0"/>
          <w:numId w:val="1"/>
        </w:numPr>
        <w:spacing w:after="60"/>
      </w:pPr>
      <w:r>
        <w:rPr>
          <w:rFonts w:ascii="Calibri" w:cs="Calibri" w:eastAsia="Calibri" w:hAnsi="Calibri"/>
          <w:sz w:val="21"/>
          <w:szCs w:val="21"/>
        </w:rPr>
        <w:t xml:space="preserve">Technology is the highest revenue category at roughly $827,000 over four years, ahead of Furniture ($729,000) and Office Supplies ($705,000).</w:t>
      </w:r>
    </w:p>
    <w:p>
      <w:pPr>
        <w:pStyle w:val="ListParagraph"/>
        <w:numPr>
          <w:ilvl w:val="0"/>
          <w:numId w:val="1"/>
        </w:numPr>
        <w:spacing w:after="60"/>
      </w:pPr>
      <w:r>
        <w:rPr>
          <w:rFonts w:ascii="Calibri" w:cs="Calibri" w:eastAsia="Calibri" w:hAnsi="Calibri"/>
          <w:sz w:val="21"/>
          <w:szCs w:val="21"/>
        </w:rPr>
        <w:t xml:space="preserve">The East region shows the steadiest year over year growth of all four regions, with sales rising every single year from 2015 to 2018 without a single down year.</w:t>
      </w:r>
    </w:p>
    <w:p>
      <w:pPr>
        <w:pStyle w:val="ListParagraph"/>
        <w:numPr>
          <w:ilvl w:val="0"/>
          <w:numId w:val="1"/>
        </w:numPr>
        <w:spacing w:after="60"/>
      </w:pPr>
      <w:r>
        <w:rPr>
          <w:rFonts w:ascii="Calibri" w:cs="Calibri" w:eastAsia="Calibri" w:hAnsi="Calibri"/>
          <w:sz w:val="21"/>
          <w:szCs w:val="21"/>
        </w:rPr>
        <w:t xml:space="preserve">Shipping takes about 4 days on average and this barely changes by region, so shipping speed is not currently a regional problem worth fixing.</w:t>
      </w:r>
    </w:p>
    <w:p>
      <w:pPr>
        <w:pStyle w:val="ListParagraph"/>
        <w:numPr>
          <w:ilvl w:val="0"/>
          <w:numId w:val="1"/>
        </w:numPr>
        <w:spacing w:after="60"/>
      </w:pPr>
      <w:r>
        <w:rPr>
          <w:rFonts w:ascii="Calibri" w:cs="Calibri" w:eastAsia="Calibri" w:hAnsi="Calibri"/>
          <w:sz w:val="21"/>
          <w:szCs w:val="21"/>
        </w:rPr>
        <w:t xml:space="preserve">November and December are reliably the strongest sales months every year, and January and February are reliably the weakest. This is a repeating pattern, not a one time event.</w:t>
      </w:r>
    </w:p>
    <w:p>
      <w:pPr>
        <w:pStyle w:val="ListParagraph"/>
        <w:numPr>
          <w:ilvl w:val="0"/>
          <w:numId w:val="1"/>
        </w:numPr>
        <w:spacing w:after="60"/>
      </w:pPr>
      <w:r>
        <w:rPr>
          <w:rFonts w:ascii="Calibri" w:cs="Calibri" w:eastAsia="Calibri" w:hAnsi="Calibri"/>
          <w:sz w:val="21"/>
          <w:szCs w:val="21"/>
        </w:rPr>
        <w:t xml:space="preserve">Three forecasting approaches were tested and compared on real held out data. SARIMA, a classical statistical method, was the most accurate, missing actual sales by about 18 percent on average, compared to 19 percent for a machine learning approach (XGBoost) and 22 percent for Prophet.</w:t>
      </w:r>
    </w:p>
    <w:p>
      <w:pPr>
        <w:pStyle w:val="Heading1"/>
        <w:spacing w:after="100" w:before="200"/>
      </w:pPr>
      <w:r>
        <w:rPr>
          <w:rFonts w:ascii="Calibri" w:cs="Calibri" w:eastAsia="Calibri" w:hAnsi="Calibri"/>
          <w:b/>
          <w:bCs/>
          <w:color w:val="1F4E79"/>
          <w:sz w:val="26"/>
          <w:szCs w:val="26"/>
        </w:rPr>
        <w:t xml:space="preserve">Three Month Sales Forecast (January to March 2019)</w:t>
      </w:r>
    </w:p>
    <w:p>
      <w:pPr>
        <w:spacing w:after="100"/>
      </w:pPr>
      <w:r>
        <w:rPr>
          <w:rFonts w:ascii="Calibri" w:cs="Calibri" w:eastAsia="Calibri" w:hAnsi="Calibri"/>
          <w:sz w:val="21"/>
          <w:szCs w:val="21"/>
        </w:rPr>
        <w:t xml:space="preserve">The chart below shows what the model expects for the next three months, along with a realistic best case and worst case range. The range matters as much as the middle number: it tells you how much buffer to plan for rather than treating the forecast as a guarantee.</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2800"/>
        <w:gridCol w:w="2800"/>
      </w:tblGrid>
      <w:tr>
        <w:tc>
          <w:tcPr>
            <w:tcW w:type="dxa" w:w="2400"/>
            <w:shd w:fill="1F4E79" w:val="clear"/>
            <w:tcMar>
              <w:top w:type="dxa" w:w="60"/>
              <w:left w:type="dxa" w:w="100"/>
              <w:bottom w:type="dxa" w:w="60"/>
              <w:right w:type="dxa" w:w="100"/>
            </w:tcMar>
          </w:tcPr>
          <w:p>
            <w:r>
              <w:rPr>
                <w:rFonts w:ascii="Calibri" w:cs="Calibri" w:eastAsia="Calibri" w:hAnsi="Calibri"/>
                <w:b/>
                <w:bCs/>
                <w:color w:val="FFFFFF"/>
                <w:sz w:val="19"/>
                <w:szCs w:val="19"/>
              </w:rPr>
              <w:t xml:space="preserve">Month</w:t>
            </w:r>
          </w:p>
        </w:tc>
        <w:tc>
          <w:tcPr>
            <w:tcW w:type="dxa" w:w="2600"/>
            <w:shd w:fill="1F4E79" w:val="clear"/>
            <w:tcMar>
              <w:top w:type="dxa" w:w="60"/>
              <w:left w:type="dxa" w:w="100"/>
              <w:bottom w:type="dxa" w:w="60"/>
              <w:right w:type="dxa" w:w="100"/>
            </w:tcMar>
          </w:tcPr>
          <w:p>
            <w:r>
              <w:rPr>
                <w:rFonts w:ascii="Calibri" w:cs="Calibri" w:eastAsia="Calibri" w:hAnsi="Calibri"/>
                <w:b/>
                <w:bCs/>
                <w:color w:val="FFFFFF"/>
                <w:sz w:val="19"/>
                <w:szCs w:val="19"/>
              </w:rPr>
              <w:t xml:space="preserve">Expected Sales</w:t>
            </w:r>
          </w:p>
        </w:tc>
        <w:tc>
          <w:tcPr>
            <w:tcW w:type="dxa" w:w="2800"/>
            <w:shd w:fill="1F4E79" w:val="clear"/>
            <w:tcMar>
              <w:top w:type="dxa" w:w="60"/>
              <w:left w:type="dxa" w:w="100"/>
              <w:bottom w:type="dxa" w:w="60"/>
              <w:right w:type="dxa" w:w="100"/>
            </w:tcMar>
          </w:tcPr>
          <w:p>
            <w:r>
              <w:rPr>
                <w:rFonts w:ascii="Calibri" w:cs="Calibri" w:eastAsia="Calibri" w:hAnsi="Calibri"/>
                <w:b/>
                <w:bCs/>
                <w:color w:val="FFFFFF"/>
                <w:sz w:val="19"/>
                <w:szCs w:val="19"/>
              </w:rPr>
              <w:t xml:space="preserve">Low End (worst case)</w:t>
            </w:r>
          </w:p>
        </w:tc>
        <w:tc>
          <w:tcPr>
            <w:tcW w:type="dxa" w:w="2800"/>
            <w:shd w:fill="1F4E79" w:val="clear"/>
            <w:tcMar>
              <w:top w:type="dxa" w:w="60"/>
              <w:left w:type="dxa" w:w="100"/>
              <w:bottom w:type="dxa" w:w="60"/>
              <w:right w:type="dxa" w:w="100"/>
            </w:tcMar>
          </w:tcPr>
          <w:p>
            <w:r>
              <w:rPr>
                <w:rFonts w:ascii="Calibri" w:cs="Calibri" w:eastAsia="Calibri" w:hAnsi="Calibri"/>
                <w:b/>
                <w:bCs/>
                <w:color w:val="FFFFFF"/>
                <w:sz w:val="19"/>
                <w:szCs w:val="19"/>
              </w:rPr>
              <w:t xml:space="preserve">High End (best case)</w:t>
            </w:r>
          </w:p>
        </w:tc>
      </w:tr>
      <w:tr>
        <w:tc>
          <w:tcPr>
            <w:tcW w:type="dxa" w:w="2400"/>
            <w:tcMar>
              <w:top w:type="dxa" w:w="60"/>
              <w:left w:type="dxa" w:w="100"/>
              <w:bottom w:type="dxa" w:w="60"/>
              <w:right w:type="dxa" w:w="100"/>
            </w:tcMar>
          </w:tcPr>
          <w:p>
            <w:r>
              <w:rPr>
                <w:rFonts w:ascii="Calibri" w:cs="Calibri" w:eastAsia="Calibri" w:hAnsi="Calibri"/>
                <w:b w:val="false"/>
                <w:bCs w:val="false"/>
                <w:color w:val="000000"/>
                <w:sz w:val="19"/>
                <w:szCs w:val="19"/>
              </w:rPr>
              <w:t xml:space="preserve">January 2019</w:t>
            </w:r>
          </w:p>
        </w:tc>
        <w:tc>
          <w:tcPr>
            <w:tcW w:type="dxa" w:w="2600"/>
            <w:tcMar>
              <w:top w:type="dxa" w:w="60"/>
              <w:left w:type="dxa" w:w="100"/>
              <w:bottom w:type="dxa" w:w="60"/>
              <w:right w:type="dxa" w:w="100"/>
            </w:tcMar>
          </w:tcPr>
          <w:p>
            <w:r>
              <w:rPr>
                <w:rFonts w:ascii="Calibri" w:cs="Calibri" w:eastAsia="Calibri" w:hAnsi="Calibri"/>
                <w:b w:val="false"/>
                <w:bCs w:val="false"/>
                <w:color w:val="000000"/>
                <w:sz w:val="19"/>
                <w:szCs w:val="19"/>
              </w:rPr>
              <w:t xml:space="preserve">$65,200</w:t>
            </w:r>
          </w:p>
        </w:tc>
        <w:tc>
          <w:tcPr>
            <w:tcW w:type="dxa" w:w="2800"/>
            <w:tcMar>
              <w:top w:type="dxa" w:w="60"/>
              <w:left w:type="dxa" w:w="100"/>
              <w:bottom w:type="dxa" w:w="60"/>
              <w:right w:type="dxa" w:w="100"/>
            </w:tcMar>
          </w:tcPr>
          <w:p>
            <w:r>
              <w:rPr>
                <w:rFonts w:ascii="Calibri" w:cs="Calibri" w:eastAsia="Calibri" w:hAnsi="Calibri"/>
                <w:b w:val="false"/>
                <w:bCs w:val="false"/>
                <w:color w:val="000000"/>
                <w:sz w:val="19"/>
                <w:szCs w:val="19"/>
              </w:rPr>
              <w:t xml:space="preserve">$20,200</w:t>
            </w:r>
          </w:p>
        </w:tc>
        <w:tc>
          <w:tcPr>
            <w:tcW w:type="dxa" w:w="2800"/>
            <w:tcMar>
              <w:top w:type="dxa" w:w="60"/>
              <w:left w:type="dxa" w:w="100"/>
              <w:bottom w:type="dxa" w:w="60"/>
              <w:right w:type="dxa" w:w="100"/>
            </w:tcMar>
          </w:tcPr>
          <w:p>
            <w:r>
              <w:rPr>
                <w:rFonts w:ascii="Calibri" w:cs="Calibri" w:eastAsia="Calibri" w:hAnsi="Calibri"/>
                <w:b w:val="false"/>
                <w:bCs w:val="false"/>
                <w:color w:val="000000"/>
                <w:sz w:val="19"/>
                <w:szCs w:val="19"/>
              </w:rPr>
              <w:t xml:space="preserve">$110,100</w:t>
            </w:r>
          </w:p>
        </w:tc>
      </w:tr>
      <w:tr>
        <w:tc>
          <w:tcPr>
            <w:tcW w:type="dxa" w:w="2400"/>
            <w:tcMar>
              <w:top w:type="dxa" w:w="60"/>
              <w:left w:type="dxa" w:w="100"/>
              <w:bottom w:type="dxa" w:w="60"/>
              <w:right w:type="dxa" w:w="100"/>
            </w:tcMar>
          </w:tcPr>
          <w:p>
            <w:r>
              <w:rPr>
                <w:rFonts w:ascii="Calibri" w:cs="Calibri" w:eastAsia="Calibri" w:hAnsi="Calibri"/>
                <w:b w:val="false"/>
                <w:bCs w:val="false"/>
                <w:color w:val="000000"/>
                <w:sz w:val="19"/>
                <w:szCs w:val="19"/>
              </w:rPr>
              <w:t xml:space="preserve">February 2019</w:t>
            </w:r>
          </w:p>
        </w:tc>
        <w:tc>
          <w:tcPr>
            <w:tcW w:type="dxa" w:w="2600"/>
            <w:tcMar>
              <w:top w:type="dxa" w:w="60"/>
              <w:left w:type="dxa" w:w="100"/>
              <w:bottom w:type="dxa" w:w="60"/>
              <w:right w:type="dxa" w:w="100"/>
            </w:tcMar>
          </w:tcPr>
          <w:p>
            <w:r>
              <w:rPr>
                <w:rFonts w:ascii="Calibri" w:cs="Calibri" w:eastAsia="Calibri" w:hAnsi="Calibri"/>
                <w:b w:val="false"/>
                <w:bCs w:val="false"/>
                <w:color w:val="000000"/>
                <w:sz w:val="19"/>
                <w:szCs w:val="19"/>
              </w:rPr>
              <w:t xml:space="preserve">$48,800</w:t>
            </w:r>
          </w:p>
        </w:tc>
        <w:tc>
          <w:tcPr>
            <w:tcW w:type="dxa" w:w="2800"/>
            <w:tcMar>
              <w:top w:type="dxa" w:w="60"/>
              <w:left w:type="dxa" w:w="100"/>
              <w:bottom w:type="dxa" w:w="60"/>
              <w:right w:type="dxa" w:w="100"/>
            </w:tcMar>
          </w:tcPr>
          <w:p>
            <w:r>
              <w:rPr>
                <w:rFonts w:ascii="Calibri" w:cs="Calibri" w:eastAsia="Calibri" w:hAnsi="Calibri"/>
                <w:b w:val="false"/>
                <w:bCs w:val="false"/>
                <w:color w:val="000000"/>
                <w:sz w:val="19"/>
                <w:szCs w:val="19"/>
              </w:rPr>
              <w:t xml:space="preserve">$2,600</w:t>
            </w:r>
          </w:p>
        </w:tc>
        <w:tc>
          <w:tcPr>
            <w:tcW w:type="dxa" w:w="2800"/>
            <w:tcMar>
              <w:top w:type="dxa" w:w="60"/>
              <w:left w:type="dxa" w:w="100"/>
              <w:bottom w:type="dxa" w:w="60"/>
              <w:right w:type="dxa" w:w="100"/>
            </w:tcMar>
          </w:tcPr>
          <w:p>
            <w:r>
              <w:rPr>
                <w:rFonts w:ascii="Calibri" w:cs="Calibri" w:eastAsia="Calibri" w:hAnsi="Calibri"/>
                <w:b w:val="false"/>
                <w:bCs w:val="false"/>
                <w:color w:val="000000"/>
                <w:sz w:val="19"/>
                <w:szCs w:val="19"/>
              </w:rPr>
              <w:t xml:space="preserve">$95,000</w:t>
            </w:r>
          </w:p>
        </w:tc>
      </w:tr>
      <w:tr>
        <w:tc>
          <w:tcPr>
            <w:tcW w:type="dxa" w:w="2400"/>
            <w:tcMar>
              <w:top w:type="dxa" w:w="60"/>
              <w:left w:type="dxa" w:w="100"/>
              <w:bottom w:type="dxa" w:w="60"/>
              <w:right w:type="dxa" w:w="100"/>
            </w:tcMar>
          </w:tcPr>
          <w:p>
            <w:r>
              <w:rPr>
                <w:rFonts w:ascii="Calibri" w:cs="Calibri" w:eastAsia="Calibri" w:hAnsi="Calibri"/>
                <w:b w:val="false"/>
                <w:bCs w:val="false"/>
                <w:color w:val="000000"/>
                <w:sz w:val="19"/>
                <w:szCs w:val="19"/>
              </w:rPr>
              <w:t xml:space="preserve">March 2019</w:t>
            </w:r>
          </w:p>
        </w:tc>
        <w:tc>
          <w:tcPr>
            <w:tcW w:type="dxa" w:w="2600"/>
            <w:tcMar>
              <w:top w:type="dxa" w:w="60"/>
              <w:left w:type="dxa" w:w="100"/>
              <w:bottom w:type="dxa" w:w="60"/>
              <w:right w:type="dxa" w:w="100"/>
            </w:tcMar>
          </w:tcPr>
          <w:p>
            <w:r>
              <w:rPr>
                <w:rFonts w:ascii="Calibri" w:cs="Calibri" w:eastAsia="Calibri" w:hAnsi="Calibri"/>
                <w:b w:val="false"/>
                <w:bCs w:val="false"/>
                <w:color w:val="000000"/>
                <w:sz w:val="19"/>
                <w:szCs w:val="19"/>
              </w:rPr>
              <w:t xml:space="preserve">$66,800</w:t>
            </w:r>
          </w:p>
        </w:tc>
        <w:tc>
          <w:tcPr>
            <w:tcW w:type="dxa" w:w="2800"/>
            <w:tcMar>
              <w:top w:type="dxa" w:w="60"/>
              <w:left w:type="dxa" w:w="100"/>
              <w:bottom w:type="dxa" w:w="60"/>
              <w:right w:type="dxa" w:w="100"/>
            </w:tcMar>
          </w:tcPr>
          <w:p>
            <w:r>
              <w:rPr>
                <w:rFonts w:ascii="Calibri" w:cs="Calibri" w:eastAsia="Calibri" w:hAnsi="Calibri"/>
                <w:b w:val="false"/>
                <w:bCs w:val="false"/>
                <w:color w:val="000000"/>
                <w:sz w:val="19"/>
                <w:szCs w:val="19"/>
              </w:rPr>
              <w:t xml:space="preserve">$18,000</w:t>
            </w:r>
          </w:p>
        </w:tc>
        <w:tc>
          <w:tcPr>
            <w:tcW w:type="dxa" w:w="2800"/>
            <w:tcMar>
              <w:top w:type="dxa" w:w="60"/>
              <w:left w:type="dxa" w:w="100"/>
              <w:bottom w:type="dxa" w:w="60"/>
              <w:right w:type="dxa" w:w="100"/>
            </w:tcMar>
          </w:tcPr>
          <w:p>
            <w:r>
              <w:rPr>
                <w:rFonts w:ascii="Calibri" w:cs="Calibri" w:eastAsia="Calibri" w:hAnsi="Calibri"/>
                <w:b w:val="false"/>
                <w:bCs w:val="false"/>
                <w:color w:val="000000"/>
                <w:sz w:val="19"/>
                <w:szCs w:val="19"/>
              </w:rPr>
              <w:t xml:space="preserve">$115,600</w:t>
            </w:r>
          </w:p>
        </w:tc>
      </w:tr>
    </w:tbl>
    <w:p>
      <w:pPr>
        <w:spacing w:after="100"/>
      </w:pPr>
      <w:r>
        <w:rPr>
          <w:rFonts w:ascii="Calibri" w:cs="Calibri" w:eastAsia="Calibri" w:hAnsi="Calibri"/>
          <w:i/>
          <w:iCs/>
          <w:color w:val="595959"/>
          <w:sz w:val="21"/>
          <w:szCs w:val="21"/>
        </w:rPr>
        <w:t xml:space="preserve">The ranges are wide, and that is a genuine and important limitation, not a display error. It reflects real month to month unpredictability in the historical data, and it means these numbers are best used for general planning and safety stock decisions rather than as an exact budget line.</w:t>
      </w:r>
    </w:p>
    <w:p>
      <w:pPr>
        <w:pStyle w:val="Heading1"/>
        <w:spacing w:after="100" w:before="200"/>
      </w:pPr>
      <w:r>
        <w:rPr>
          <w:rFonts w:ascii="Calibri" w:cs="Calibri" w:eastAsia="Calibri" w:hAnsi="Calibri"/>
          <w:b/>
          <w:bCs/>
          <w:color w:val="1F4E79"/>
          <w:sz w:val="26"/>
          <w:szCs w:val="26"/>
        </w:rPr>
        <w:t xml:space="preserve">Top 3 Anomalies Detected</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5800"/>
      </w:tblGrid>
      <w:tr>
        <w:tc>
          <w:tcPr>
            <w:tcW w:type="dxa" w:w="1800"/>
            <w:shd w:fill="1F4E79" w:val="clear"/>
            <w:tcMar>
              <w:top w:type="dxa" w:w="60"/>
              <w:left w:type="dxa" w:w="100"/>
              <w:bottom w:type="dxa" w:w="60"/>
              <w:right w:type="dxa" w:w="100"/>
            </w:tcMar>
          </w:tcPr>
          <w:p>
            <w:r>
              <w:rPr>
                <w:rFonts w:ascii="Calibri" w:cs="Calibri" w:eastAsia="Calibri" w:hAnsi="Calibri"/>
                <w:b/>
                <w:bCs/>
                <w:color w:val="FFFFFF"/>
                <w:sz w:val="19"/>
                <w:szCs w:val="19"/>
              </w:rPr>
              <w:t xml:space="preserve">Date</w:t>
            </w:r>
          </w:p>
        </w:tc>
        <w:tc>
          <w:tcPr>
            <w:tcW w:type="dxa" w:w="1800"/>
            <w:shd w:fill="1F4E79" w:val="clear"/>
            <w:tcMar>
              <w:top w:type="dxa" w:w="60"/>
              <w:left w:type="dxa" w:w="100"/>
              <w:bottom w:type="dxa" w:w="60"/>
              <w:right w:type="dxa" w:w="100"/>
            </w:tcMar>
          </w:tcPr>
          <w:p>
            <w:r>
              <w:rPr>
                <w:rFonts w:ascii="Calibri" w:cs="Calibri" w:eastAsia="Calibri" w:hAnsi="Calibri"/>
                <w:b/>
                <w:bCs/>
                <w:color w:val="FFFFFF"/>
                <w:sz w:val="19"/>
                <w:szCs w:val="19"/>
              </w:rPr>
              <w:t xml:space="preserve">Sales</w:t>
            </w:r>
          </w:p>
        </w:tc>
        <w:tc>
          <w:tcPr>
            <w:tcW w:type="dxa" w:w="5800"/>
            <w:shd w:fill="1F4E79" w:val="clear"/>
            <w:tcMar>
              <w:top w:type="dxa" w:w="60"/>
              <w:left w:type="dxa" w:w="100"/>
              <w:bottom w:type="dxa" w:w="60"/>
              <w:right w:type="dxa" w:w="100"/>
            </w:tcMar>
          </w:tcPr>
          <w:p>
            <w:r>
              <w:rPr>
                <w:rFonts w:ascii="Calibri" w:cs="Calibri" w:eastAsia="Calibri" w:hAnsi="Calibri"/>
                <w:b/>
                <w:bCs/>
                <w:color w:val="FFFFFF"/>
                <w:sz w:val="19"/>
                <w:szCs w:val="19"/>
              </w:rPr>
              <w:t xml:space="preserve">Likely Cause</w:t>
            </w:r>
          </w:p>
        </w:tc>
      </w:tr>
      <w:tr>
        <w:tc>
          <w:tcPr>
            <w:tcW w:type="dxa" w:w="1800"/>
            <w:tcMar>
              <w:top w:type="dxa" w:w="60"/>
              <w:left w:type="dxa" w:w="100"/>
              <w:bottom w:type="dxa" w:w="60"/>
              <w:right w:type="dxa" w:w="100"/>
            </w:tcMar>
          </w:tcPr>
          <w:p>
            <w:r>
              <w:rPr>
                <w:rFonts w:ascii="Calibri" w:cs="Calibri" w:eastAsia="Calibri" w:hAnsi="Calibri"/>
                <w:b w:val="false"/>
                <w:bCs w:val="false"/>
                <w:color w:val="000000"/>
                <w:sz w:val="19"/>
                <w:szCs w:val="19"/>
              </w:rPr>
              <w:t xml:space="preserve">March 22, 2015</w:t>
            </w:r>
          </w:p>
        </w:tc>
        <w:tc>
          <w:tcPr>
            <w:tcW w:type="dxa" w:w="1800"/>
            <w:tcMar>
              <w:top w:type="dxa" w:w="60"/>
              <w:left w:type="dxa" w:w="100"/>
              <w:bottom w:type="dxa" w:w="60"/>
              <w:right w:type="dxa" w:w="100"/>
            </w:tcMar>
          </w:tcPr>
          <w:p>
            <w:r>
              <w:rPr>
                <w:rFonts w:ascii="Calibri" w:cs="Calibri" w:eastAsia="Calibri" w:hAnsi="Calibri"/>
                <w:b w:val="false"/>
                <w:bCs w:val="false"/>
                <w:color w:val="000000"/>
                <w:sz w:val="19"/>
                <w:szCs w:val="19"/>
              </w:rPr>
              <w:t xml:space="preserve">$37,700</w:t>
            </w:r>
          </w:p>
        </w:tc>
        <w:tc>
          <w:tcPr>
            <w:tcW w:type="dxa" w:w="5800"/>
            <w:tcMar>
              <w:top w:type="dxa" w:w="60"/>
              <w:left w:type="dxa" w:w="100"/>
              <w:bottom w:type="dxa" w:w="60"/>
              <w:right w:type="dxa" w:w="100"/>
            </w:tcMar>
          </w:tcPr>
          <w:p>
            <w:r>
              <w:rPr>
                <w:rFonts w:ascii="Calibri" w:cs="Calibri" w:eastAsia="Calibri" w:hAnsi="Calibri"/>
                <w:b w:val="false"/>
                <w:bCs w:val="false"/>
                <w:color w:val="000000"/>
                <w:sz w:val="19"/>
                <w:szCs w:val="19"/>
              </w:rPr>
              <w:t xml:space="preserve">Highest sales week in four years. Falls at a fiscal quarter end, consistent with a large bulk order or quarter end budget spending, a common pattern in business to business office purchasing.</w:t>
            </w:r>
          </w:p>
        </w:tc>
      </w:tr>
      <w:tr>
        <w:tc>
          <w:tcPr>
            <w:tcW w:type="dxa" w:w="1800"/>
            <w:tcMar>
              <w:top w:type="dxa" w:w="60"/>
              <w:left w:type="dxa" w:w="100"/>
              <w:bottom w:type="dxa" w:w="60"/>
              <w:right w:type="dxa" w:w="100"/>
            </w:tcMar>
          </w:tcPr>
          <w:p>
            <w:r>
              <w:rPr>
                <w:rFonts w:ascii="Calibri" w:cs="Calibri" w:eastAsia="Calibri" w:hAnsi="Calibri"/>
                <w:b w:val="false"/>
                <w:bCs w:val="false"/>
                <w:color w:val="000000"/>
                <w:sz w:val="19"/>
                <w:szCs w:val="19"/>
              </w:rPr>
              <w:t xml:space="preserve">December 2, 2018</w:t>
            </w:r>
          </w:p>
        </w:tc>
        <w:tc>
          <w:tcPr>
            <w:tcW w:type="dxa" w:w="1800"/>
            <w:tcMar>
              <w:top w:type="dxa" w:w="60"/>
              <w:left w:type="dxa" w:w="100"/>
              <w:bottom w:type="dxa" w:w="60"/>
              <w:right w:type="dxa" w:w="100"/>
            </w:tcMar>
          </w:tcPr>
          <w:p>
            <w:r>
              <w:rPr>
                <w:rFonts w:ascii="Calibri" w:cs="Calibri" w:eastAsia="Calibri" w:hAnsi="Calibri"/>
                <w:b w:val="false"/>
                <w:bCs w:val="false"/>
                <w:color w:val="000000"/>
                <w:sz w:val="19"/>
                <w:szCs w:val="19"/>
              </w:rPr>
              <w:t xml:space="preserve">$36,000</w:t>
            </w:r>
          </w:p>
        </w:tc>
        <w:tc>
          <w:tcPr>
            <w:tcW w:type="dxa" w:w="5800"/>
            <w:tcMar>
              <w:top w:type="dxa" w:w="60"/>
              <w:left w:type="dxa" w:w="100"/>
              <w:bottom w:type="dxa" w:w="60"/>
              <w:right w:type="dxa" w:w="100"/>
            </w:tcMar>
          </w:tcPr>
          <w:p>
            <w:r>
              <w:rPr>
                <w:rFonts w:ascii="Calibri" w:cs="Calibri" w:eastAsia="Calibri" w:hAnsi="Calibri"/>
                <w:b w:val="false"/>
                <w:bCs w:val="false"/>
                <w:color w:val="000000"/>
                <w:sz w:val="19"/>
                <w:szCs w:val="19"/>
              </w:rPr>
              <w:t xml:space="preserve">First week of December, immediately after Cyber Monday. Likely carryover holiday and Cyber Week purchasing.</w:t>
            </w:r>
          </w:p>
        </w:tc>
      </w:tr>
      <w:tr>
        <w:tc>
          <w:tcPr>
            <w:tcW w:type="dxa" w:w="1800"/>
            <w:tcMar>
              <w:top w:type="dxa" w:w="60"/>
              <w:left w:type="dxa" w:w="100"/>
              <w:bottom w:type="dxa" w:w="60"/>
              <w:right w:type="dxa" w:w="100"/>
            </w:tcMar>
          </w:tcPr>
          <w:p>
            <w:r>
              <w:rPr>
                <w:rFonts w:ascii="Calibri" w:cs="Calibri" w:eastAsia="Calibri" w:hAnsi="Calibri"/>
                <w:b w:val="false"/>
                <w:bCs w:val="false"/>
                <w:color w:val="000000"/>
                <w:sz w:val="19"/>
                <w:szCs w:val="19"/>
              </w:rPr>
              <w:t xml:space="preserve">November 18, 2018</w:t>
            </w:r>
          </w:p>
        </w:tc>
        <w:tc>
          <w:tcPr>
            <w:tcW w:type="dxa" w:w="1800"/>
            <w:tcMar>
              <w:top w:type="dxa" w:w="60"/>
              <w:left w:type="dxa" w:w="100"/>
              <w:bottom w:type="dxa" w:w="60"/>
              <w:right w:type="dxa" w:w="100"/>
            </w:tcMar>
          </w:tcPr>
          <w:p>
            <w:r>
              <w:rPr>
                <w:rFonts w:ascii="Calibri" w:cs="Calibri" w:eastAsia="Calibri" w:hAnsi="Calibri"/>
                <w:b w:val="false"/>
                <w:bCs w:val="false"/>
                <w:color w:val="000000"/>
                <w:sz w:val="19"/>
                <w:szCs w:val="19"/>
              </w:rPr>
              <w:t xml:space="preserve">$30,600</w:t>
            </w:r>
          </w:p>
        </w:tc>
        <w:tc>
          <w:tcPr>
            <w:tcW w:type="dxa" w:w="5800"/>
            <w:tcMar>
              <w:top w:type="dxa" w:w="60"/>
              <w:left w:type="dxa" w:w="100"/>
              <w:bottom w:type="dxa" w:w="60"/>
              <w:right w:type="dxa" w:w="100"/>
            </w:tcMar>
          </w:tcPr>
          <w:p>
            <w:r>
              <w:rPr>
                <w:rFonts w:ascii="Calibri" w:cs="Calibri" w:eastAsia="Calibri" w:hAnsi="Calibri"/>
                <w:b w:val="false"/>
                <w:bCs w:val="false"/>
                <w:color w:val="000000"/>
                <w:sz w:val="19"/>
                <w:szCs w:val="19"/>
              </w:rPr>
              <w:t xml:space="preserve">One week before Thanksgiving 2018. Consistent with early holiday shopping buildup ahead of Black Friday.</w:t>
            </w:r>
          </w:p>
        </w:tc>
      </w:tr>
    </w:tbl>
    <w:p>
      <w:pPr>
        <w:pStyle w:val="Heading1"/>
        <w:spacing w:after="100" w:before="200"/>
      </w:pPr>
      <w:r>
        <w:rPr>
          <w:rFonts w:ascii="Calibri" w:cs="Calibri" w:eastAsia="Calibri" w:hAnsi="Calibri"/>
          <w:b/>
          <w:bCs/>
          <w:color w:val="1F4E79"/>
          <w:sz w:val="26"/>
          <w:szCs w:val="26"/>
        </w:rPr>
        <w:t xml:space="preserve">Product Demand Segments and Stocking Strategy</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600"/>
      </w:tblGrid>
      <w:tr>
        <w:tc>
          <w:tcPr>
            <w:tcW w:type="dxa" w:w="2600"/>
            <w:shd w:fill="1F4E79" w:val="clear"/>
            <w:tcMar>
              <w:top w:type="dxa" w:w="60"/>
              <w:left w:type="dxa" w:w="100"/>
              <w:bottom w:type="dxa" w:w="60"/>
              <w:right w:type="dxa" w:w="100"/>
            </w:tcMar>
          </w:tcPr>
          <w:p>
            <w:r>
              <w:rPr>
                <w:rFonts w:ascii="Calibri" w:cs="Calibri" w:eastAsia="Calibri" w:hAnsi="Calibri"/>
                <w:b/>
                <w:bCs/>
                <w:color w:val="FFFFFF"/>
                <w:sz w:val="19"/>
                <w:szCs w:val="19"/>
              </w:rPr>
              <w:t xml:space="preserve">Segment</w:t>
            </w:r>
          </w:p>
        </w:tc>
        <w:tc>
          <w:tcPr>
            <w:tcW w:type="dxa" w:w="3200"/>
            <w:shd w:fill="1F4E79" w:val="clear"/>
            <w:tcMar>
              <w:top w:type="dxa" w:w="60"/>
              <w:left w:type="dxa" w:w="100"/>
              <w:bottom w:type="dxa" w:w="60"/>
              <w:right w:type="dxa" w:w="100"/>
            </w:tcMar>
          </w:tcPr>
          <w:p>
            <w:r>
              <w:rPr>
                <w:rFonts w:ascii="Calibri" w:cs="Calibri" w:eastAsia="Calibri" w:hAnsi="Calibri"/>
                <w:b/>
                <w:bCs/>
                <w:color w:val="FFFFFF"/>
                <w:sz w:val="19"/>
                <w:szCs w:val="19"/>
              </w:rPr>
              <w:t xml:space="preserve">Products</w:t>
            </w:r>
          </w:p>
        </w:tc>
        <w:tc>
          <w:tcPr>
            <w:tcW w:type="dxa" w:w="3600"/>
            <w:shd w:fill="1F4E79" w:val="clear"/>
            <w:tcMar>
              <w:top w:type="dxa" w:w="60"/>
              <w:left w:type="dxa" w:w="100"/>
              <w:bottom w:type="dxa" w:w="60"/>
              <w:right w:type="dxa" w:w="100"/>
            </w:tcMar>
          </w:tcPr>
          <w:p>
            <w:r>
              <w:rPr>
                <w:rFonts w:ascii="Calibri" w:cs="Calibri" w:eastAsia="Calibri" w:hAnsi="Calibri"/>
                <w:b/>
                <w:bCs/>
                <w:color w:val="FFFFFF"/>
                <w:sz w:val="19"/>
                <w:szCs w:val="19"/>
              </w:rPr>
              <w:t xml:space="preserve">Recommended Approach</w:t>
            </w:r>
          </w:p>
        </w:tc>
      </w:tr>
      <w:tr>
        <w:tc>
          <w:tcPr>
            <w:tcW w:type="dxa" w:w="2600"/>
            <w:tcMar>
              <w:top w:type="dxa" w:w="60"/>
              <w:left w:type="dxa" w:w="100"/>
              <w:bottom w:type="dxa" w:w="60"/>
              <w:right w:type="dxa" w:w="100"/>
            </w:tcMar>
          </w:tcPr>
          <w:p>
            <w:r>
              <w:rPr>
                <w:rFonts w:ascii="Calibri" w:cs="Calibri" w:eastAsia="Calibri" w:hAnsi="Calibri"/>
                <w:b w:val="false"/>
                <w:bCs w:val="false"/>
                <w:color w:val="000000"/>
                <w:sz w:val="19"/>
                <w:szCs w:val="19"/>
              </w:rPr>
              <w:t xml:space="preserve">High Volume, Stable Demand</w:t>
            </w:r>
          </w:p>
        </w:tc>
        <w:tc>
          <w:tcPr>
            <w:tcW w:type="dxa" w:w="3200"/>
            <w:tcMar>
              <w:top w:type="dxa" w:w="60"/>
              <w:left w:type="dxa" w:w="100"/>
              <w:bottom w:type="dxa" w:w="60"/>
              <w:right w:type="dxa" w:w="100"/>
            </w:tcMar>
          </w:tcPr>
          <w:p>
            <w:r>
              <w:rPr>
                <w:rFonts w:ascii="Calibri" w:cs="Calibri" w:eastAsia="Calibri" w:hAnsi="Calibri"/>
                <w:b w:val="false"/>
                <w:bCs w:val="false"/>
                <w:color w:val="000000"/>
                <w:sz w:val="19"/>
                <w:szCs w:val="19"/>
              </w:rPr>
              <w:t xml:space="preserve">Accessories, Binders, Chairs, Phones, Storage, Tables</w:t>
            </w:r>
          </w:p>
        </w:tc>
        <w:tc>
          <w:tcPr>
            <w:tcW w:type="dxa" w:w="3600"/>
            <w:tcMar>
              <w:top w:type="dxa" w:w="60"/>
              <w:left w:type="dxa" w:w="100"/>
              <w:bottom w:type="dxa" w:w="60"/>
              <w:right w:type="dxa" w:w="100"/>
            </w:tcMar>
          </w:tcPr>
          <w:p>
            <w:r>
              <w:rPr>
                <w:rFonts w:ascii="Calibri" w:cs="Calibri" w:eastAsia="Calibri" w:hAnsi="Calibri"/>
                <w:b w:val="false"/>
                <w:bCs w:val="false"/>
                <w:color w:val="000000"/>
                <w:sz w:val="19"/>
                <w:szCs w:val="19"/>
              </w:rPr>
              <w:t xml:space="preserve">Standard restocking with moderate safety buffer. These are reliable sellers and the core of the business.</w:t>
            </w:r>
          </w:p>
        </w:tc>
      </w:tr>
      <w:tr>
        <w:tc>
          <w:tcPr>
            <w:tcW w:type="dxa" w:w="2600"/>
            <w:tcMar>
              <w:top w:type="dxa" w:w="60"/>
              <w:left w:type="dxa" w:w="100"/>
              <w:bottom w:type="dxa" w:w="60"/>
              <w:right w:type="dxa" w:w="100"/>
            </w:tcMar>
          </w:tcPr>
          <w:p>
            <w:r>
              <w:rPr>
                <w:rFonts w:ascii="Calibri" w:cs="Calibri" w:eastAsia="Calibri" w:hAnsi="Calibri"/>
                <w:b w:val="false"/>
                <w:bCs w:val="false"/>
                <w:color w:val="000000"/>
                <w:sz w:val="19"/>
                <w:szCs w:val="19"/>
              </w:rPr>
              <w:t xml:space="preserve">High Value, Unpredictable Demand</w:t>
            </w:r>
          </w:p>
        </w:tc>
        <w:tc>
          <w:tcPr>
            <w:tcW w:type="dxa" w:w="3200"/>
            <w:tcMar>
              <w:top w:type="dxa" w:w="60"/>
              <w:left w:type="dxa" w:w="100"/>
              <w:bottom w:type="dxa" w:w="60"/>
              <w:right w:type="dxa" w:w="100"/>
            </w:tcMar>
          </w:tcPr>
          <w:p>
            <w:r>
              <w:rPr>
                <w:rFonts w:ascii="Calibri" w:cs="Calibri" w:eastAsia="Calibri" w:hAnsi="Calibri"/>
                <w:b w:val="false"/>
                <w:bCs w:val="false"/>
                <w:color w:val="000000"/>
                <w:sz w:val="19"/>
                <w:szCs w:val="19"/>
              </w:rPr>
              <w:t xml:space="preserve">Copiers, Machines</w:t>
            </w:r>
          </w:p>
        </w:tc>
        <w:tc>
          <w:tcPr>
            <w:tcW w:type="dxa" w:w="3600"/>
            <w:tcMar>
              <w:top w:type="dxa" w:w="60"/>
              <w:left w:type="dxa" w:w="100"/>
              <w:bottom w:type="dxa" w:w="60"/>
              <w:right w:type="dxa" w:w="100"/>
            </w:tcMar>
          </w:tcPr>
          <w:p>
            <w:r>
              <w:rPr>
                <w:rFonts w:ascii="Calibri" w:cs="Calibri" w:eastAsia="Calibri" w:hAnsi="Calibri"/>
                <w:b w:val="false"/>
                <w:bCs w:val="false"/>
                <w:color w:val="000000"/>
                <w:sz w:val="19"/>
                <w:szCs w:val="19"/>
              </w:rPr>
              <w:t xml:space="preserve">Order in smaller batches, more often. These are expensive items with unpredictable demand, so large bulk orders carry real financial risk.</w:t>
            </w:r>
          </w:p>
        </w:tc>
      </w:tr>
      <w:tr>
        <w:tc>
          <w:tcPr>
            <w:tcW w:type="dxa" w:w="2600"/>
            <w:tcMar>
              <w:top w:type="dxa" w:w="60"/>
              <w:left w:type="dxa" w:w="100"/>
              <w:bottom w:type="dxa" w:w="60"/>
              <w:right w:type="dxa" w:w="100"/>
            </w:tcMar>
          </w:tcPr>
          <w:p>
            <w:r>
              <w:rPr>
                <w:rFonts w:ascii="Calibri" w:cs="Calibri" w:eastAsia="Calibri" w:hAnsi="Calibri"/>
                <w:b w:val="false"/>
                <w:bCs w:val="false"/>
                <w:color w:val="000000"/>
                <w:sz w:val="19"/>
                <w:szCs w:val="19"/>
              </w:rPr>
              <w:t xml:space="preserve">Low Volume, Slowly Declining</w:t>
            </w:r>
          </w:p>
        </w:tc>
        <w:tc>
          <w:tcPr>
            <w:tcW w:type="dxa" w:w="3200"/>
            <w:tcMar>
              <w:top w:type="dxa" w:w="60"/>
              <w:left w:type="dxa" w:w="100"/>
              <w:bottom w:type="dxa" w:w="60"/>
              <w:right w:type="dxa" w:w="100"/>
            </w:tcMar>
          </w:tcPr>
          <w:p>
            <w:r>
              <w:rPr>
                <w:rFonts w:ascii="Calibri" w:cs="Calibri" w:eastAsia="Calibri" w:hAnsi="Calibri"/>
                <w:b w:val="false"/>
                <w:bCs w:val="false"/>
                <w:color w:val="000000"/>
                <w:sz w:val="19"/>
                <w:szCs w:val="19"/>
              </w:rPr>
              <w:t xml:space="preserve">Bookcases, Appliances, Envelopes, Furnishings, Fasteners, Art, Paper, Labels</w:t>
            </w:r>
          </w:p>
        </w:tc>
        <w:tc>
          <w:tcPr>
            <w:tcW w:type="dxa" w:w="3600"/>
            <w:tcMar>
              <w:top w:type="dxa" w:w="60"/>
              <w:left w:type="dxa" w:w="100"/>
              <w:bottom w:type="dxa" w:w="60"/>
              <w:right w:type="dxa" w:w="100"/>
            </w:tcMar>
          </w:tcPr>
          <w:p>
            <w:r>
              <w:rPr>
                <w:rFonts w:ascii="Calibri" w:cs="Calibri" w:eastAsia="Calibri" w:hAnsi="Calibri"/>
                <w:b w:val="false"/>
                <w:bCs w:val="false"/>
                <w:color w:val="000000"/>
                <w:sz w:val="19"/>
                <w:szCs w:val="19"/>
              </w:rPr>
              <w:t xml:space="preserve">Reduce order quantities to avoid unsold stock. Demand here is small and gently shrinking.</w:t>
            </w:r>
          </w:p>
        </w:tc>
      </w:tr>
      <w:tr>
        <w:tc>
          <w:tcPr>
            <w:tcW w:type="dxa" w:w="2600"/>
            <w:tcMar>
              <w:top w:type="dxa" w:w="60"/>
              <w:left w:type="dxa" w:w="100"/>
              <w:bottom w:type="dxa" w:w="60"/>
              <w:right w:type="dxa" w:w="100"/>
            </w:tcMar>
          </w:tcPr>
          <w:p>
            <w:r>
              <w:rPr>
                <w:rFonts w:ascii="Calibri" w:cs="Calibri" w:eastAsia="Calibri" w:hAnsi="Calibri"/>
                <w:b w:val="false"/>
                <w:bCs w:val="false"/>
                <w:color w:val="000000"/>
                <w:sz w:val="19"/>
                <w:szCs w:val="19"/>
              </w:rPr>
              <w:t xml:space="preserve">Growing Demand</w:t>
            </w:r>
          </w:p>
        </w:tc>
        <w:tc>
          <w:tcPr>
            <w:tcW w:type="dxa" w:w="3200"/>
            <w:tcMar>
              <w:top w:type="dxa" w:w="60"/>
              <w:left w:type="dxa" w:w="100"/>
              <w:bottom w:type="dxa" w:w="60"/>
              <w:right w:type="dxa" w:w="100"/>
            </w:tcMar>
          </w:tcPr>
          <w:p>
            <w:r>
              <w:rPr>
                <w:rFonts w:ascii="Calibri" w:cs="Calibri" w:eastAsia="Calibri" w:hAnsi="Calibri"/>
                <w:b w:val="false"/>
                <w:bCs w:val="false"/>
                <w:color w:val="000000"/>
                <w:sz w:val="19"/>
                <w:szCs w:val="19"/>
              </w:rPr>
              <w:t xml:space="preserve">Supplies</w:t>
            </w:r>
          </w:p>
        </w:tc>
        <w:tc>
          <w:tcPr>
            <w:tcW w:type="dxa" w:w="3600"/>
            <w:tcMar>
              <w:top w:type="dxa" w:w="60"/>
              <w:left w:type="dxa" w:w="100"/>
              <w:bottom w:type="dxa" w:w="60"/>
              <w:right w:type="dxa" w:w="100"/>
            </w:tcMar>
          </w:tcPr>
          <w:p>
            <w:r>
              <w:rPr>
                <w:rFonts w:ascii="Calibri" w:cs="Calibri" w:eastAsia="Calibri" w:hAnsi="Calibri"/>
                <w:b w:val="false"/>
                <w:bCs w:val="false"/>
                <w:color w:val="000000"/>
                <w:sz w:val="19"/>
                <w:szCs w:val="19"/>
              </w:rPr>
              <w:t xml:space="preserve">Increase order quantities ahead of demand. This category is growing quickly, though from a small starting base.</w:t>
            </w:r>
          </w:p>
        </w:tc>
      </w:tr>
    </w:tbl>
    <w:p>
      <w:pPr>
        <w:pStyle w:val="Heading1"/>
        <w:spacing w:after="100" w:before="200"/>
      </w:pPr>
      <w:r>
        <w:rPr>
          <w:rFonts w:ascii="Calibri" w:cs="Calibri" w:eastAsia="Calibri" w:hAnsi="Calibri"/>
          <w:b/>
          <w:bCs/>
          <w:color w:val="1F4E79"/>
          <w:sz w:val="26"/>
          <w:szCs w:val="26"/>
        </w:rPr>
        <w:t xml:space="preserve">Business Recommendations</w:t>
      </w:r>
    </w:p>
    <w:p>
      <w:pPr>
        <w:pStyle w:val="ListParagraph"/>
        <w:numPr>
          <w:ilvl w:val="0"/>
          <w:numId w:val="1"/>
        </w:numPr>
        <w:spacing w:after="60"/>
      </w:pPr>
      <w:r>
        <w:rPr>
          <w:rFonts w:ascii="Calibri" w:cs="Calibri" w:eastAsia="Calibri" w:hAnsi="Calibri"/>
          <w:sz w:val="21"/>
          <w:szCs w:val="21"/>
        </w:rPr>
        <w:t xml:space="preserve">Increase Technology and Office Supplies inventory ahead of November, since these are high revenue categories and the data shows a strong, repeating spike in the final two months of every year. Being under-stocked here has the largest revenue impact of any seasonal decision in the data.</w:t>
      </w:r>
    </w:p>
    <w:p>
      <w:pPr>
        <w:pStyle w:val="ListParagraph"/>
        <w:numPr>
          <w:ilvl w:val="0"/>
          <w:numId w:val="1"/>
        </w:numPr>
        <w:spacing w:after="60"/>
      </w:pPr>
      <w:r>
        <w:rPr>
          <w:rFonts w:ascii="Calibri" w:cs="Calibri" w:eastAsia="Calibri" w:hAnsi="Calibri"/>
          <w:sz w:val="21"/>
          <w:szCs w:val="21"/>
        </w:rPr>
        <w:t xml:space="preserve">Move Copiers and Machines to a just in time ordering approach rather than bulk ordering. These two products have by far the highest average order value and the highest volatility of any product type, so a single wrong bulk order ties up a large amount of capital.</w:t>
      </w:r>
    </w:p>
    <w:p>
      <w:pPr>
        <w:pStyle w:val="ListParagraph"/>
        <w:numPr>
          <w:ilvl w:val="0"/>
          <w:numId w:val="1"/>
        </w:numPr>
        <w:spacing w:after="60"/>
      </w:pPr>
      <w:r>
        <w:rPr>
          <w:rFonts w:ascii="Calibri" w:cs="Calibri" w:eastAsia="Calibri" w:hAnsi="Calibri"/>
          <w:sz w:val="21"/>
          <w:szCs w:val="21"/>
        </w:rPr>
        <w:t xml:space="preserve">Prioritize the East region for continued investment and possible expansion. It is the only region with uninterrupted year over year growth across all four years, which is a stronger and more trustworthy signal than a region with higher total sales but a bumpier growth history.</w:t>
      </w:r>
    </w:p>
    <w:p>
      <w:pPr>
        <w:pStyle w:val="Heading1"/>
        <w:spacing w:after="100" w:before="200"/>
      </w:pPr>
      <w:r>
        <w:rPr>
          <w:rFonts w:ascii="Calibri" w:cs="Calibri" w:eastAsia="Calibri" w:hAnsi="Calibri"/>
          <w:b/>
          <w:bCs/>
          <w:color w:val="1F4E79"/>
          <w:sz w:val="26"/>
          <w:szCs w:val="26"/>
        </w:rPr>
        <w:t xml:space="preserve">Risk and Limitation</w:t>
      </w:r>
    </w:p>
    <w:p>
      <w:pPr>
        <w:spacing w:after="100"/>
      </w:pPr>
      <w:r>
        <w:rPr>
          <w:rFonts w:ascii="Calibri" w:cs="Calibri" w:eastAsia="Calibri" w:hAnsi="Calibri"/>
          <w:sz w:val="21"/>
          <w:szCs w:val="21"/>
        </w:rPr>
        <w:t xml:space="preserve">This system was built and tested on four years of monthly data, and the forecast accuracy above was measured on only three held out months. That is a small enough test window that the accuracy numbers should be treated as a reasonable estimate rather than a guarantee, and they may shift if measured over a longer future period. Relatedly, when the same forecasting approach was applied separately to smaller product and region groups, one of them initially produced an unstable, unrealistic result and had to be automatically caught and corrected. This is a useful reminder that any automated forecast, including this one, should be spot checked by a person before being used for a large purchasing decision, rather than trusted blindly.</w:t>
      </w:r>
    </w:p>
    <w:sectPr>
      <w:headerReference w:type="default" r:id="rId7"/>
      <w:footerReference w:type="default" r:id="rId8"/>
      <w:pgSz w:w="12240" w:h="15840"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08080"/>
        <w:sz w:val="16"/>
        <w:szCs w:val="16"/>
      </w:rPr>
      <w:t xml:space="preserve">Page </w:t>
    </w:r>
    <w:r>
      <w:rPr>
        <w:rFonts w:ascii="Calibri" w:cs="Calibri" w:eastAsia="Calibri" w:hAnsi="Calibri"/>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808080"/>
        <w:sz w:val="16"/>
        <w:szCs w:val="16"/>
      </w:rPr>
      <w:t xml:space="preserve">End-to-End Sales Forecasting &amp; Demand Intelligence System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2026-07-12T17:49:56.439Z</dcterms:created>
  <dcterms:modified xsi:type="dcterms:W3CDTF">2026-07-12T17:49:56.449Z</dcterms:modified>
</cp:coreProperties>
</file>

<file path=docProps/custom.xml><?xml version="1.0" encoding="utf-8"?>
<Properties xmlns="http://schemas.openxmlformats.org/officeDocument/2006/custom-properties" xmlns:vt="http://schemas.openxmlformats.org/officeDocument/2006/docPropsVTypes"/>
</file>