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A0001" w14:textId="77777777" w:rsidR="00095CF1" w:rsidRPr="008C2D1D" w:rsidRDefault="00095CF1" w:rsidP="008426CB">
      <w:pPr>
        <w:spacing w:line="360" w:lineRule="auto"/>
        <w:rPr>
          <w:sz w:val="24"/>
          <w:szCs w:val="24"/>
        </w:rPr>
      </w:pPr>
      <w:bookmarkStart w:id="0" w:name="OLE_LINK1"/>
      <w:r>
        <w:rPr>
          <w:sz w:val="24"/>
          <w:szCs w:val="24"/>
        </w:rPr>
        <w:t>УДК 004.855.5</w:t>
      </w:r>
    </w:p>
    <w:p w14:paraId="1F4216F8" w14:textId="03BBB25A" w:rsidR="008C2D1D" w:rsidRPr="008C2D1D" w:rsidRDefault="008C2D1D" w:rsidP="008426CB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И.С. Алексеев</w:t>
      </w:r>
    </w:p>
    <w:p w14:paraId="27B02271" w14:textId="2FE084AD" w:rsidR="008C2D1D" w:rsidRDefault="008C2D1D" w:rsidP="008426C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студент кафедры прикладной информатики</w:t>
      </w:r>
    </w:p>
    <w:p w14:paraId="505FAC2E" w14:textId="03B9A660" w:rsidR="008C2D1D" w:rsidRDefault="008C2D1D" w:rsidP="008426C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В.В. Боженко – старший преподаватель – научный руководитель</w:t>
      </w:r>
    </w:p>
    <w:p w14:paraId="4DDD3582" w14:textId="77777777" w:rsidR="008C2D1D" w:rsidRPr="005A1B6A" w:rsidRDefault="008C2D1D" w:rsidP="008426CB">
      <w:pPr>
        <w:spacing w:line="360" w:lineRule="auto"/>
        <w:rPr>
          <w:b/>
          <w:bCs/>
          <w:sz w:val="24"/>
          <w:szCs w:val="24"/>
        </w:rPr>
      </w:pPr>
    </w:p>
    <w:p w14:paraId="123A4277" w14:textId="4F873C50" w:rsidR="00095CF1" w:rsidRPr="005A1B6A" w:rsidRDefault="008C2D1D" w:rsidP="008426CB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Влияние методов балансировки данных на качество моделей машинного обучения в задаче обнаружения мошеннических транзакций</w:t>
      </w:r>
    </w:p>
    <w:p w14:paraId="6D0C058E" w14:textId="77777777" w:rsidR="00095CF1" w:rsidRPr="008C2D1D" w:rsidRDefault="000A41B0" w:rsidP="008426CB">
      <w:pPr>
        <w:spacing w:line="36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Введение</w:t>
      </w:r>
    </w:p>
    <w:p w14:paraId="013E12B9" w14:textId="429012F6" w:rsidR="00095CF1" w:rsidRPr="008C2D1D" w:rsidRDefault="000A41B0" w:rsidP="008426CB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Обнаружение мошеннических транзакций является одной из ключевых задач в сфере финансовой безопасности. Рост объёма электронных платежей приводит к увеличению числа мошеннических операций, что делает автоматизированные системы детектирования критически важными для банковского сектора [1].</w:t>
      </w:r>
    </w:p>
    <w:p w14:paraId="4560F9AE" w14:textId="2F7B84EB" w:rsidR="00095CF1" w:rsidRPr="008C2D1D" w:rsidRDefault="000A41B0" w:rsidP="008426CB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Основная сложность задачи заключается в экстремальном дисбалансе классов: доля мошеннических транзакций в реальных данных обычно составляет менее 1%. Модели машинного обучения, обученные на несбалансированных данных, обычно игнорируют миноритарный класс, предсказывая все транзакции как легитимные. Это обеспечивает высокую точность (accuracy &gt; 99%), однако делает систему бесполезной для обнаружения мошенничества.</w:t>
      </w:r>
    </w:p>
    <w:p w14:paraId="34576413" w14:textId="31F0BE01" w:rsidR="00095CF1" w:rsidRPr="008C2D1D" w:rsidRDefault="000A41B0" w:rsidP="008426CB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решения проблемы дисбаланса применяются различные методы балансировки: передискретизация (oversampling), например SMOTE, и недовыборка (undersampling). Однако их эффективность может варьироваться в зависимости от характеристик данных. Целью данной работы является сравнительная оценка влияния методов балансировки на качество моделей машинного обучения (ML) при различной степени дисбаланса и информативности признаков.</w:t>
      </w:r>
    </w:p>
    <w:p w14:paraId="7DAC1957" w14:textId="4EE4F89D" w:rsidR="00095CF1" w:rsidRPr="008C2D1D" w:rsidRDefault="0024458D" w:rsidP="008426CB">
      <w:pPr>
        <w:spacing w:line="36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Описание данных </w:t>
      </w:r>
    </w:p>
    <w:p w14:paraId="4E550C9A" w14:textId="73F3E8E5" w:rsidR="00095CF1" w:rsidRPr="008C2D1D" w:rsidRDefault="000A41B0" w:rsidP="008426CB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 работе использованы два открытых набора данных с различной структурой дисбаланса (рисунок 1):</w:t>
      </w:r>
    </w:p>
    <w:p w14:paraId="2FD13C4C" w14:textId="5F499A6E" w:rsidR="00095CF1" w:rsidRPr="008C2D1D" w:rsidRDefault="000A41B0" w:rsidP="008426CB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Credit Card Fraud Detection (ULB) – 284 807 транзакций европейских держателей карт, из которых 492 мошеннические (0,17%). Признаки: 28 PCA-компонент, время и сумма транзакции [2].</w:t>
      </w:r>
    </w:p>
    <w:p w14:paraId="55156C5F" w14:textId="6E5B6B4D" w:rsidR="00095CF1" w:rsidRPr="00E74FFD" w:rsidRDefault="000A41B0" w:rsidP="008426CB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 Bank Account Fraud (NeurIPS 2022) – 1 000 000 записей о заявках на открытие банковских счетов, из которых 11029 мошеннических (1,10 %). Признаки: возраст, доход, кредитный рейтинг и другие интерпретируемые характеристики [3]. Использована подвыборка 100 000 записей.</w:t>
      </w:r>
    </w:p>
    <w:p w14:paraId="31EB5007" w14:textId="77777777" w:rsidR="00095CF1" w:rsidRPr="008C2D1D" w:rsidRDefault="000A41B0" w:rsidP="008426CB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D415109" wp14:editId="436908FB">
            <wp:extent cx="5885409" cy="1937385"/>
            <wp:effectExtent l="0" t="0" r="1270" b="5715"/>
            <wp:docPr id="1" name="imbalance" descr="Сравнение дисбаланса классов" title="Дисбаланс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7010"/>
                    <a:stretch/>
                  </pic:blipFill>
                  <pic:spPr bwMode="auto">
                    <a:xfrm>
                      <a:off x="0" y="0"/>
                      <a:ext cx="5897276" cy="1941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9FC61" w14:textId="6BED717E" w:rsidR="00095CF1" w:rsidRDefault="000A41B0" w:rsidP="008426CB">
      <w:pPr>
        <w:spacing w:line="360" w:lineRule="auto"/>
        <w:ind w:firstLine="567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Рис. 1. Сравнение дисбаланса классов в двух датасетах</w:t>
      </w:r>
    </w:p>
    <w:p w14:paraId="0BA4BABE" w14:textId="77777777" w:rsidR="005A1B6A" w:rsidRPr="00E74FFD" w:rsidRDefault="005A1B6A" w:rsidP="008426CB">
      <w:pPr>
        <w:spacing w:line="360" w:lineRule="auto"/>
        <w:ind w:firstLine="567"/>
        <w:jc w:val="center"/>
        <w:rPr>
          <w:sz w:val="24"/>
          <w:szCs w:val="24"/>
        </w:rPr>
      </w:pPr>
    </w:p>
    <w:p w14:paraId="5445D0A3" w14:textId="684FC58E" w:rsidR="0024458D" w:rsidRPr="008C2D1D" w:rsidRDefault="0024458D" w:rsidP="008426CB">
      <w:pPr>
        <w:spacing w:line="360" w:lineRule="auto"/>
        <w:ind w:firstLine="567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Методы исследования</w:t>
      </w:r>
    </w:p>
    <w:p w14:paraId="5A0C7112" w14:textId="2E5F9FBF" w:rsidR="00095CF1" w:rsidRDefault="000A41B0" w:rsidP="008426CB">
      <w:pPr>
        <w:spacing w:line="360" w:lineRule="auto"/>
        <w:ind w:firstLine="567"/>
        <w:jc w:val="both"/>
        <w:rPr>
          <w:b/>
          <w:bCs/>
          <w:i/>
          <w:iCs/>
          <w:color w:val="EE0000"/>
          <w:sz w:val="24"/>
          <w:szCs w:val="24"/>
        </w:rPr>
      </w:pPr>
      <w:r>
        <w:rPr>
          <w:sz w:val="24"/>
          <w:szCs w:val="24"/>
        </w:rPr>
        <w:t xml:space="preserve">Для классификации использованы три алгоритма: логистическая регрессия (LogReg), случайный лес (Random Forest (</w:t>
      </w:r>
      <w:r>
        <w:rPr>
          <w:sz w:val="24"/>
          <w:szCs w:val="24"/>
          <w:lang w:val="en-US"/>
        </w:rPr>
        <w:t>RF</w:t>
      </w:r>
      <w:r>
        <w:rPr>
          <w:sz w:val="24"/>
          <w:szCs w:val="24"/>
        </w:rPr>
        <w:t xml:space="preserve">), 100 деревьев) и градиентный бустинг (XGBoost, 100 итераций [4]). Модели обучены без настройки гиперпараметров для обеспечения воспроизводимости. </w:t>
      </w:r>
    </w:p>
    <w:p w14:paraId="7F934E30" w14:textId="29E346DC" w:rsidR="00E74FFD" w:rsidRPr="00E74FFD" w:rsidRDefault="00E74FFD" w:rsidP="008426CB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Данные алгоритмы выбраны как наиболее распространённые в задачах обнаружения финансового мошенничества: логистическая регрессия служит интерпретируемым базовым классификатором, Random Forest обеспечивает устойчивость к дисбалансу классов, а XGBoost демонстрирует стабильно высокое качество на табличных данных [5].</w:t>
      </w:r>
    </w:p>
    <w:p w14:paraId="2A5AABBD" w14:textId="010E8735" w:rsidR="00095CF1" w:rsidRPr="00E74FFD" w:rsidRDefault="0024458D" w:rsidP="008426CB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эксперименте сравнивались три режима: (а) без балансировки (baseline), (б) SMOTE – синтетическая генерация объектов миноритарного класса [6], (в) Random Undersampling [7] – случайное удаление объектов мажоритарного класса. Балансировка применялась только к обучающей выборке.</w:t>
      </w:r>
    </w:p>
    <w:p w14:paraId="737B3039" w14:textId="240655FB" w:rsidR="00095CF1" w:rsidRPr="008C2D1D" w:rsidRDefault="0024458D" w:rsidP="008426CB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оценки качества использована стратифицированная 5-кратная кросс-валидация и метрики: </w:t>
      </w:r>
      <w:r>
        <w:rPr>
          <w:sz w:val="24"/>
          <w:szCs w:val="24"/>
          <w:lang w:val="en-US"/>
        </w:rPr>
        <w:t>F</w:t>
      </w:r>
      <w:r>
        <w:rPr>
          <w:sz w:val="24"/>
          <w:szCs w:val="24"/>
        </w:rPr>
        <w:t xml:space="preserve">1-мера, </w:t>
      </w:r>
      <w:r>
        <w:rPr>
          <w:sz w:val="24"/>
          <w:szCs w:val="24"/>
          <w:lang w:val="en-US"/>
        </w:rPr>
        <w:t>Precision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Recall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ROC</w:t>
      </w:r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AUC</w:t>
      </w:r>
      <w:r>
        <w:rPr>
          <w:sz w:val="24"/>
          <w:szCs w:val="24"/>
        </w:rPr>
        <w:t xml:space="preserve"> и </w:t>
      </w:r>
      <w:r>
        <w:rPr>
          <w:sz w:val="24"/>
          <w:szCs w:val="24"/>
          <w:lang w:val="en-US"/>
        </w:rPr>
        <w:t>PR</w:t>
      </w:r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AUC</w:t>
      </w:r>
      <w:r>
        <w:rPr>
          <w:sz w:val="24"/>
          <w:szCs w:val="24"/>
        </w:rPr>
        <w:t xml:space="preserve">. PR-AUC предпочтительнее ROC-AUC при сильном дисбалансе, так как учитывает соотношение Precision и Recall.</w:t>
      </w:r>
    </w:p>
    <w:p w14:paraId="57F5EE3F" w14:textId="77777777" w:rsidR="00095CF1" w:rsidRPr="008C2D1D" w:rsidRDefault="00095CF1" w:rsidP="008426CB">
      <w:pPr>
        <w:spacing w:line="360" w:lineRule="auto"/>
        <w:ind w:firstLine="567"/>
        <w:rPr>
          <w:sz w:val="24"/>
          <w:szCs w:val="24"/>
        </w:rPr>
      </w:pPr>
    </w:p>
    <w:p w14:paraId="10C1C453" w14:textId="56E6FC78" w:rsidR="00095CF1" w:rsidRPr="008C2D1D" w:rsidRDefault="000A41B0" w:rsidP="008426CB">
      <w:pPr>
        <w:spacing w:line="360" w:lineRule="auto"/>
        <w:ind w:firstLine="567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Результаты экспериментов</w:t>
      </w:r>
    </w:p>
    <w:p w14:paraId="23380BAB" w14:textId="661F0E9E" w:rsidR="00095CF1" w:rsidRPr="008C2D1D" w:rsidRDefault="008726DF" w:rsidP="008426CB">
      <w:pPr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Для датасета Credit Card Fraud Detection дисбаланс классов составляет 0,17 % (т.е. доля мошеннических транзакций — 0,17 % от всех). Результаты экспериментов приведены в таблице 1.</w:t>
      </w:r>
    </w:p>
    <w:p w14:paraId="59F73B0C" w14:textId="4FE4F4A3" w:rsidR="0024458D" w:rsidRPr="000A3813" w:rsidRDefault="000A41B0" w:rsidP="008426CB">
      <w:pPr>
        <w:spacing w:line="360" w:lineRule="auto"/>
        <w:ind w:firstLine="567"/>
        <w:jc w:val="right"/>
        <w:rPr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t>Таблица</w:t>
      </w:r>
      <w:r>
        <w:rPr>
          <w:sz w:val="24"/>
          <w:szCs w:val="24"/>
          <w:lang w:val="en-US"/>
        </w:rPr>
        <w:t xml:space="preserve"> 1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4"/>
        <w:gridCol w:w="2124"/>
        <w:gridCol w:w="1184"/>
        <w:gridCol w:w="1184"/>
        <w:gridCol w:w="1184"/>
        <w:gridCol w:w="1252"/>
        <w:gridCol w:w="1184"/>
      </w:tblGrid>
      <w:tr w:rsidR="00095CF1" w:rsidRPr="008C2D1D" w14:paraId="450F3245" w14:textId="77777777" w:rsidTr="00E74FFD">
        <w:tc>
          <w:tcPr>
            <w:tcW w:w="15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2EE99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Модель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85207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Балансировка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FA657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F1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D429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Prec.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0F678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Rec.</w:t>
            </w:r>
          </w:p>
        </w:tc>
        <w:tc>
          <w:tcPr>
            <w:tcW w:w="12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C4258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ROC-AUC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A0142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PR-AUC</w:t>
            </w:r>
          </w:p>
        </w:tc>
      </w:tr>
      <w:tr w:rsidR="00095CF1" w:rsidRPr="008C2D1D" w14:paraId="1DCE16CF" w14:textId="77777777" w:rsidTr="0024458D">
        <w:tc>
          <w:tcPr>
            <w:tcW w:w="15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84D1E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LogReg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35FC0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D194C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0.727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05C91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0.873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BE625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0.624</w:t>
            </w:r>
          </w:p>
        </w:tc>
        <w:tc>
          <w:tcPr>
            <w:tcW w:w="12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8C726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0.973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CCF00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0.757</w:t>
            </w:r>
          </w:p>
        </w:tc>
      </w:tr>
      <w:tr w:rsidR="00095CF1" w:rsidRPr="008C2D1D" w14:paraId="36197A1F" w14:textId="77777777" w:rsidTr="0024458D">
        <w:tc>
          <w:tcPr>
            <w:tcW w:w="15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DB495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LogReg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56023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SMOTE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61EC4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0.111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72F60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0.059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15E7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0.908</w:t>
            </w:r>
          </w:p>
        </w:tc>
        <w:tc>
          <w:tcPr>
            <w:tcW w:w="12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237AC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0.978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EBB05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0.755</w:t>
            </w:r>
          </w:p>
        </w:tc>
      </w:tr>
      <w:tr w:rsidR="00095CF1" w:rsidRPr="008C2D1D" w14:paraId="6369514D" w14:textId="77777777" w:rsidTr="0024458D">
        <w:tc>
          <w:tcPr>
            <w:tcW w:w="15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EBFCC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LogReg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0A1FE" w14:textId="2B279ACD" w:rsidR="00095CF1" w:rsidRPr="00B125B1" w:rsidRDefault="00E74FFD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Undersampling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35F8B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0.093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54245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0.049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C24AF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0.915</w:t>
            </w:r>
          </w:p>
        </w:tc>
        <w:tc>
          <w:tcPr>
            <w:tcW w:w="12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842B0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0.977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3301C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0.725</w:t>
            </w:r>
          </w:p>
        </w:tc>
      </w:tr>
      <w:tr w:rsidR="00095CF1" w:rsidRPr="008C2D1D" w14:paraId="2F37A18D" w14:textId="77777777" w:rsidTr="0024458D">
        <w:tc>
          <w:tcPr>
            <w:tcW w:w="15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0DA7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A5C8D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D6C15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0.859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839D2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0.949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EFF1D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0.785</w:t>
            </w:r>
          </w:p>
        </w:tc>
        <w:tc>
          <w:tcPr>
            <w:tcW w:w="12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DBC7F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0.947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5407B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0.852</w:t>
            </w:r>
          </w:p>
        </w:tc>
      </w:tr>
      <w:tr w:rsidR="00095CF1" w:rsidRPr="008C2D1D" w14:paraId="74F2812B" w14:textId="77777777" w:rsidTr="0024458D">
        <w:tc>
          <w:tcPr>
            <w:tcW w:w="15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D6329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1D391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SMOTE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E39F1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0.857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1AB58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0.893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70BD0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0.825</w:t>
            </w:r>
          </w:p>
        </w:tc>
        <w:tc>
          <w:tcPr>
            <w:tcW w:w="12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CF0EC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0.973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356B8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0.858</w:t>
            </w:r>
          </w:p>
        </w:tc>
      </w:tr>
      <w:tr w:rsidR="00095CF1" w:rsidRPr="008C2D1D" w14:paraId="084DE152" w14:textId="77777777" w:rsidTr="0024458D">
        <w:tc>
          <w:tcPr>
            <w:tcW w:w="15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254E5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F9BD9" w14:textId="16A25927" w:rsidR="00095CF1" w:rsidRPr="00B125B1" w:rsidRDefault="00E74FFD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Undersampling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AB8AF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0.114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BFE4B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0.061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772AB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0.907</w:t>
            </w:r>
          </w:p>
        </w:tc>
        <w:tc>
          <w:tcPr>
            <w:tcW w:w="12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6C17E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0.977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9E188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0.778</w:t>
            </w:r>
          </w:p>
        </w:tc>
      </w:tr>
      <w:tr w:rsidR="00095CF1" w:rsidRPr="008C2D1D" w14:paraId="40683DC8" w14:textId="77777777" w:rsidTr="0024458D">
        <w:tc>
          <w:tcPr>
            <w:tcW w:w="15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9C222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XGBoost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966CD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96EC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0.828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BE437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0.897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F11F4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0.770</w:t>
            </w:r>
          </w:p>
        </w:tc>
        <w:tc>
          <w:tcPr>
            <w:tcW w:w="12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0C722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0.945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4492F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0.801</w:t>
            </w:r>
          </w:p>
        </w:tc>
      </w:tr>
      <w:tr w:rsidR="00095CF1" w:rsidRPr="008C2D1D" w14:paraId="23B019AB" w14:textId="77777777" w:rsidTr="00E74FFD">
        <w:trPr>
          <w:trHeight w:val="18"/>
        </w:trPr>
        <w:tc>
          <w:tcPr>
            <w:tcW w:w="15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6F3D9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XGBoost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5D600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SMOTE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F95BD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0.795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06867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0.751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1EABE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0.845</w:t>
            </w:r>
          </w:p>
        </w:tc>
        <w:tc>
          <w:tcPr>
            <w:tcW w:w="12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76520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0.975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F37E5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0.856</w:t>
            </w:r>
          </w:p>
        </w:tc>
      </w:tr>
      <w:tr w:rsidR="00095CF1" w:rsidRPr="008C2D1D" w14:paraId="7CD152CF" w14:textId="77777777" w:rsidTr="0024458D">
        <w:tc>
          <w:tcPr>
            <w:tcW w:w="15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D587EB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XGBoost</w:t>
            </w:r>
          </w:p>
        </w:tc>
        <w:tc>
          <w:tcPr>
            <w:tcW w:w="2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C1132" w14:textId="385DBAE0" w:rsidR="00095CF1" w:rsidRPr="00B125B1" w:rsidRDefault="00E74FFD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Undersampling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C884D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0.083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5C358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0.043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3EAD8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0.911</w:t>
            </w:r>
          </w:p>
        </w:tc>
        <w:tc>
          <w:tcPr>
            <w:tcW w:w="12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5658B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0.979</w:t>
            </w:r>
          </w:p>
        </w:tc>
        <w:tc>
          <w:tcPr>
            <w:tcW w:w="11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54FC1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0.738</w:t>
            </w:r>
          </w:p>
        </w:tc>
      </w:tr>
    </w:tbl>
    <w:p w14:paraId="0C4817F7" w14:textId="77777777" w:rsidR="0024458D" w:rsidRDefault="0024458D" w:rsidP="008426CB">
      <w:pPr>
        <w:spacing w:line="360" w:lineRule="auto"/>
        <w:ind w:firstLine="567"/>
        <w:jc w:val="right"/>
        <w:rPr>
          <w:i/>
          <w:iCs/>
          <w:sz w:val="24"/>
          <w:szCs w:val="24"/>
        </w:rPr>
      </w:pPr>
    </w:p>
    <w:p w14:paraId="03E30096" w14:textId="4FC437AF" w:rsidR="0071267B" w:rsidRPr="0071267B" w:rsidRDefault="0071267B" w:rsidP="008426CB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Результаты экспериментов для датасета Bank Account Fraud (дисбаланс 1,1%) приведены в таблице 2.</w:t>
      </w:r>
    </w:p>
    <w:p w14:paraId="3CA41E2E" w14:textId="4F31C2FE" w:rsidR="00095CF1" w:rsidRPr="000A3813" w:rsidRDefault="0024458D" w:rsidP="008426CB">
      <w:pPr>
        <w:spacing w:line="360" w:lineRule="auto"/>
        <w:ind w:firstLine="567"/>
        <w:jc w:val="right"/>
        <w:rPr>
          <w:sz w:val="24"/>
          <w:szCs w:val="24"/>
        </w:rPr>
      </w:pPr>
      <w:r>
        <w:rPr>
          <w:i/>
          <w:iCs/>
          <w:sz w:val="24"/>
          <w:szCs w:val="24"/>
        </w:rPr>
        <w:t>Таблица</w:t>
      </w:r>
      <w:r>
        <w:rPr>
          <w:sz w:val="24"/>
          <w:szCs w:val="24"/>
          <w:lang w:val="en-US"/>
        </w:rPr>
        <w:t xml:space="preserve">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100"/>
        <w:gridCol w:w="1100"/>
        <w:gridCol w:w="1100"/>
        <w:gridCol w:w="1155"/>
        <w:gridCol w:w="1383"/>
      </w:tblGrid>
      <w:tr w:rsidR="00095CF1" w:rsidRPr="008C2D1D" w14:paraId="178153E7" w14:textId="77777777" w:rsidTr="000A381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6A106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Модель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C6CF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Балансировка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D67CB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3C0B2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Prec.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44082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Rec.</w:t>
            </w:r>
          </w:p>
        </w:tc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B9EE1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ROC-AUC</w:t>
            </w:r>
          </w:p>
        </w:tc>
        <w:tc>
          <w:tcPr>
            <w:tcW w:w="13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B0DE9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PR-AUC</w:t>
            </w:r>
          </w:p>
        </w:tc>
      </w:tr>
      <w:tr w:rsidR="00095CF1" w:rsidRPr="008C2D1D" w14:paraId="4B111D9D" w14:textId="77777777" w:rsidTr="000A381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C777E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LogReg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10DE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7FAE7D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0.019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5BB24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0.727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923BB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0.010</w:t>
            </w:r>
          </w:p>
        </w:tc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C73A1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0.869</w:t>
            </w:r>
          </w:p>
        </w:tc>
        <w:tc>
          <w:tcPr>
            <w:tcW w:w="13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CD842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0.121</w:t>
            </w:r>
          </w:p>
        </w:tc>
      </w:tr>
      <w:tr w:rsidR="00095CF1" w:rsidRPr="008C2D1D" w14:paraId="70B9042A" w14:textId="77777777" w:rsidTr="000A381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9EE5E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LogReg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A804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SMOTE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85F30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0.084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89924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0.044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7D8B6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0.744</w:t>
            </w:r>
          </w:p>
        </w:tc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1A7C4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0.867</w:t>
            </w:r>
          </w:p>
        </w:tc>
        <w:tc>
          <w:tcPr>
            <w:tcW w:w="13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DE862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0.115</w:t>
            </w:r>
          </w:p>
        </w:tc>
      </w:tr>
      <w:tr w:rsidR="00095CF1" w:rsidRPr="008C2D1D" w14:paraId="2B0A29A6" w14:textId="77777777" w:rsidTr="000A381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1B62C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LogReg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673A6" w14:textId="6E4A573E" w:rsidR="00095CF1" w:rsidRPr="00B125B1" w:rsidRDefault="005A1B6A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Undersampling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F93F4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0.072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BB9A6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0.038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E167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0.774</w:t>
            </w:r>
          </w:p>
        </w:tc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414C38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0.863</w:t>
            </w:r>
          </w:p>
        </w:tc>
        <w:tc>
          <w:tcPr>
            <w:tcW w:w="13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5CA99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0.111</w:t>
            </w:r>
          </w:p>
        </w:tc>
      </w:tr>
      <w:tr w:rsidR="00095CF1" w:rsidRPr="008C2D1D" w14:paraId="39324DE4" w14:textId="77777777" w:rsidTr="000A381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C8585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B0C57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55B51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D1A0D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D4695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</w:t>
            </w:r>
          </w:p>
        </w:tc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97E4D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0.804</w:t>
            </w:r>
          </w:p>
        </w:tc>
        <w:tc>
          <w:tcPr>
            <w:tcW w:w="13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EFDF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0.096</w:t>
            </w:r>
          </w:p>
        </w:tc>
      </w:tr>
      <w:tr w:rsidR="00095CF1" w:rsidRPr="008C2D1D" w14:paraId="4DB3816A" w14:textId="77777777" w:rsidTr="000A381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2F739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325E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SMOTE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2648B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0.081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7D693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0.200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FBA71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0.051</w:t>
            </w:r>
          </w:p>
        </w:tc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05040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0.835</w:t>
            </w:r>
          </w:p>
        </w:tc>
        <w:tc>
          <w:tcPr>
            <w:tcW w:w="13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380DE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0.084</w:t>
            </w:r>
          </w:p>
        </w:tc>
      </w:tr>
      <w:tr w:rsidR="00095CF1" w:rsidRPr="008C2D1D" w14:paraId="2C0A8994" w14:textId="77777777" w:rsidTr="000A381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8A542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8C872" w14:textId="4D834483" w:rsidR="00095CF1" w:rsidRPr="00B125B1" w:rsidRDefault="005A1B6A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Undersampling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E6D72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0.071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97274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0.037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8886B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0.762</w:t>
            </w:r>
          </w:p>
        </w:tc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662E0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0.852</w:t>
            </w:r>
          </w:p>
        </w:tc>
        <w:tc>
          <w:tcPr>
            <w:tcW w:w="13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C000B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0.093</w:t>
            </w:r>
          </w:p>
        </w:tc>
      </w:tr>
      <w:tr w:rsidR="00095CF1" w:rsidRPr="008C2D1D" w14:paraId="3A60BC02" w14:textId="77777777" w:rsidTr="000A381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CB59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XGBoost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FAFAF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3A523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0.082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C32461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0.379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77008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0.046</w:t>
            </w:r>
          </w:p>
        </w:tc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1D817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0.842</w:t>
            </w:r>
          </w:p>
        </w:tc>
        <w:tc>
          <w:tcPr>
            <w:tcW w:w="13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BEDD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0.100</w:t>
            </w:r>
          </w:p>
        </w:tc>
      </w:tr>
      <w:tr w:rsidR="00095CF1" w:rsidRPr="008C2D1D" w14:paraId="0E7D7C24" w14:textId="77777777" w:rsidTr="000A381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95D4A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XGBoost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C9B13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SMOTE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614C6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0.077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7C6D9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0.251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44148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0.045</w:t>
            </w:r>
          </w:p>
        </w:tc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947D0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0.848</w:t>
            </w:r>
          </w:p>
        </w:tc>
        <w:tc>
          <w:tcPr>
            <w:tcW w:w="13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4DC8B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0.102</w:t>
            </w:r>
          </w:p>
        </w:tc>
      </w:tr>
      <w:tr w:rsidR="00095CF1" w:rsidRPr="008C2D1D" w14:paraId="4DB629CC" w14:textId="77777777" w:rsidTr="000A381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03B07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XGBoost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58676" w14:textId="102E3E06" w:rsidR="00095CF1" w:rsidRPr="00B125B1" w:rsidRDefault="005A1B6A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Undersampling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42DB7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0.068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A9EF3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0.035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07F1C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0.768</w:t>
            </w:r>
          </w:p>
        </w:tc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91CCE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0.851</w:t>
            </w:r>
          </w:p>
        </w:tc>
        <w:tc>
          <w:tcPr>
            <w:tcW w:w="13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2D731" w14:textId="77777777" w:rsidR="00095CF1" w:rsidRPr="00B125B1" w:rsidRDefault="000A41B0" w:rsidP="008426C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0.105</w:t>
            </w:r>
          </w:p>
        </w:tc>
      </w:tr>
    </w:tbl>
    <w:p w14:paraId="4C9567DD" w14:textId="77777777" w:rsidR="005A1B6A" w:rsidRDefault="005A1B6A" w:rsidP="008426CB">
      <w:pPr>
        <w:pStyle w:val="font-claude-response-body"/>
        <w:spacing w:before="0" w:beforeAutospacing="0" w:after="0" w:afterAutospacing="0" w:line="360" w:lineRule="auto"/>
        <w:ind w:firstLine="709"/>
        <w:jc w:val="both"/>
      </w:pPr>
    </w:p>
    <w:p w14:paraId="48C630BB" w14:textId="3762BBFA" w:rsidR="00FB63E0" w:rsidRDefault="000A3813" w:rsidP="008426CB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>
        <w:t xml:space="preserve">Сравнительный анализ представлен в таблицах 1,2. На Credit Card Fraud Detection ансамблевые модели показали высокое качество без балансировки: Random Forest достиг F1 = 0,859 при Precision = 0,949, XGBoost – F1 = 0,828. SMOTE дал умеренный прирост Recall у RF (с 0,785 до 0,825) при незначительном снижении Precision. Random Undersampling оказался непригоден: при дисбалансе 0,17 % он отбрасывает почти все обучающие данные, F1 упал до 0,083–0,114. Logistic Regression без балансировки показала приемлемый результат (F1 = 0,727), однако при SMOTE и Undersampling её F1 резко снизился из-за падения Precision до 0,049–0,059.</w:t>
      </w:r>
    </w:p>
    <w:p w14:paraId="76483FF6" w14:textId="008AEA8C" w:rsidR="00FB63E0" w:rsidRPr="005A1B6A" w:rsidRDefault="00FB63E0" w:rsidP="008426CB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>
        <w:lastRenderedPageBreak/>
        <w:t xml:space="preserve">На датасете Bank Account Fraud картина принципиально иная: все модели показали низкое качество (F1 &lt; 0,1) независимо от метода балансировки. RF без балансировки не обнаружил ни одной мошеннической транзакции. SMOTE и Undersampling повысили Recall до 0,744–0,774 у LogReg, однако Precision упал до 0,035–0,044 – около 25 ложных срабатываний на каждое верно выявленное мошенничество. XGBoost без балансировки сохранил наибольший Precision (0,379), но Recall составил лишь 0,046.</w:t>
      </w:r>
    </w:p>
    <w:p w14:paraId="4CCAABE4" w14:textId="0583493A" w:rsidR="00FB63E0" w:rsidRDefault="00FB63E0" w:rsidP="008426CB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>
        <w:t xml:space="preserve">На рис. 2 представлено сравнение F1-score для различных методов балансировки.</w:t>
      </w:r>
    </w:p>
    <w:p w14:paraId="0501767C" w14:textId="77777777" w:rsidR="00095CF1" w:rsidRPr="008C2D1D" w:rsidRDefault="000A41B0" w:rsidP="008426CB">
      <w:pPr>
        <w:spacing w:line="360" w:lineRule="auto"/>
        <w:ind w:firstLine="567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997297" wp14:editId="0BC3A2CD">
            <wp:extent cx="5803764" cy="2032000"/>
            <wp:effectExtent l="0" t="0" r="6985" b="6350"/>
            <wp:docPr id="2" name="f1" descr="F1 score comparison" title="F1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5882"/>
                    <a:stretch/>
                  </pic:blipFill>
                  <pic:spPr bwMode="auto">
                    <a:xfrm>
                      <a:off x="0" y="0"/>
                      <a:ext cx="5818476" cy="2037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B2C85" w14:textId="180FDE7F" w:rsidR="00095CF1" w:rsidRDefault="000A41B0" w:rsidP="008426CB">
      <w:pPr>
        <w:spacing w:line="360" w:lineRule="auto"/>
        <w:ind w:firstLine="567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Рис. 2. Влияние методов балансировки на F1-score</w:t>
      </w:r>
    </w:p>
    <w:p w14:paraId="5FC53926" w14:textId="77777777" w:rsidR="005A1B6A" w:rsidRDefault="005A1B6A" w:rsidP="008426CB">
      <w:pPr>
        <w:spacing w:line="360" w:lineRule="auto"/>
        <w:ind w:firstLine="567"/>
        <w:jc w:val="center"/>
        <w:rPr>
          <w:i/>
          <w:iCs/>
          <w:sz w:val="24"/>
          <w:szCs w:val="24"/>
        </w:rPr>
      </w:pPr>
    </w:p>
    <w:p w14:paraId="51489656" w14:textId="77777777" w:rsidR="00FB63E0" w:rsidRDefault="00FB63E0" w:rsidP="008426CB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>
        <w:t xml:space="preserve">Рисунок 2 наглядно отражает различие между датасетами: на Credit Card Fraud все три метода дают сопоставимый F1 у RF и XGBoost, тогда как на Bank Account Fraud столбцы практически одинаково низкие у всех моделей вне зависимости от балансировки.</w:t>
      </w:r>
    </w:p>
    <w:p w14:paraId="2757AA02" w14:textId="4FA0DBE4" w:rsidR="00095CF1" w:rsidRPr="008C2D1D" w:rsidRDefault="00FB63E0" w:rsidP="008426CB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>
        <w:t>На рисунке 3 приведена сводная карта метрик по всем экспериментам.</w:t>
      </w:r>
    </w:p>
    <w:p w14:paraId="6921D156" w14:textId="77777777" w:rsidR="00095CF1" w:rsidRPr="008C2D1D" w:rsidRDefault="000A41B0" w:rsidP="008426CB">
      <w:pPr>
        <w:spacing w:line="360" w:lineRule="auto"/>
        <w:ind w:firstLine="142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648508" wp14:editId="7718EDCF">
            <wp:extent cx="5774346" cy="2350770"/>
            <wp:effectExtent l="0" t="0" r="0" b="0"/>
            <wp:docPr id="3" name="heatmap" descr="Heatmap of all metrics" title="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4882"/>
                    <a:stretch/>
                  </pic:blipFill>
                  <pic:spPr bwMode="auto">
                    <a:xfrm>
                      <a:off x="0" y="0"/>
                      <a:ext cx="5786199" cy="235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8BC70" w14:textId="0A7C9B98" w:rsidR="00095CF1" w:rsidRDefault="000A41B0" w:rsidP="008426CB">
      <w:pPr>
        <w:spacing w:line="360" w:lineRule="auto"/>
        <w:ind w:firstLine="567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Рис. 3. Сводная карта метрик по всем экспериментам</w:t>
      </w:r>
    </w:p>
    <w:p w14:paraId="20AB85DB" w14:textId="77777777" w:rsidR="00FB63E0" w:rsidRPr="00E74FFD" w:rsidRDefault="00FB63E0" w:rsidP="008426CB">
      <w:pPr>
        <w:spacing w:line="360" w:lineRule="auto"/>
        <w:ind w:firstLine="567"/>
        <w:jc w:val="center"/>
        <w:rPr>
          <w:sz w:val="24"/>
          <w:szCs w:val="24"/>
        </w:rPr>
      </w:pPr>
    </w:p>
    <w:p w14:paraId="3318D97F" w14:textId="24EDF8F1" w:rsidR="006B28C0" w:rsidRPr="006B28C0" w:rsidRDefault="006B28C0" w:rsidP="008426CB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Тепловая карта (рисунок 3) показывает, что высокие значения ROC-AUC наблюдаются в обоих датасетах, однако PR-AUC и F1 резко отличаются. Это подтверждает, что ROC-AUC </w:t>
        <w:lastRenderedPageBreak/>
        <w:t xml:space="preserve">при сильном дисбалансе может вводить в заблуждение: метрика выглядит хорошо, но реальное качество обнаружения мошенничества остаётся низким, поэтому PR-AUC является более показательной метрикой в данной задаче. Вместе с тем высокий ROC-AUC на Bank Account Fraud (0,804–0,869) указывает на то, что модели сохраняют способность ранжировать транзакции по степени подозрительности даже при низком F1. Это открывает возможность практического применения в виде систем скоринга риска, где пороговое значение классификации подбирается исходя из допустимого соотношения ложных срабатываний и пропущенных мошенничеств для конкретного банка – в отличие от фиксированного бинарного решения.</w:t>
      </w:r>
    </w:p>
    <w:p w14:paraId="6D69B29A" w14:textId="4C97D49E" w:rsidR="00FB63E0" w:rsidRDefault="00FB63E0" w:rsidP="008426CB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Полученные результаты объясняются в том числе природой самих данных. В датасете Credit Card Fraud признаки представлены PCA-компонентами – математическими комбинациями исходных переменных, построенными так, чтобы максимально сохранить различия между наблюдениями. За счёт этого мошеннические транзакции оказываются хорошо отделены от легитимных уже в исходном признаковом пространстве, что и обеспечивает высокое качество моделей. В датасете Bank Account Fraud признаки реальные и интерпретируемые (возраст, доход, кредитный рейтинг), однако они слабо коррелируют с фактом мошенничества – отсюда и принципиально низкая разделимость классов, которую балансировка устранить не способна.</w:t>
      </w:r>
    </w:p>
    <w:p w14:paraId="11831A4B" w14:textId="4F0AD3BC" w:rsidR="00095CF1" w:rsidRPr="008C2D1D" w:rsidRDefault="000A41B0" w:rsidP="008426CB">
      <w:pPr>
        <w:spacing w:line="360" w:lineRule="auto"/>
        <w:ind w:firstLine="567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Заключение</w:t>
      </w:r>
    </w:p>
    <w:p w14:paraId="1A2B3C01" w14:textId="1A2B3C01" w:rsidR="00FB63E0" w:rsidRPr="00FB63E0" w:rsidRDefault="00FB63E0" w:rsidP="008426CB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Проведённое исследование показывает, что методы балансировки классов (SMOTE, Random Undersampling) не повышают саму способность модели различать легитимные и мошеннические операции — они лишь смещают рабочую точку модели, то есть соотношение между Recall (долей найденных мошенничеств от их общего числа) и Precision (долей верных срабатываний среди всех поданных сигналов тревоги). Это видно на датасете Bank Account Fraud: у логистической регрессии SMOTE поднимает Recall с 0,010 до 0,744, однако ROC-AUC при этом почти не меняется (0,869 → 0,867) — модель как плохо отделяла классы, так и продолжает это делать, просто чаще сигнализирует о подозрении.</w:t>
      </w:r>
    </w:p>
    <w:p w14:paraId="1A2B3C02" w14:textId="1A2B3C02" w:rsidR="00FB63E0" w:rsidRPr="00FB63E0" w:rsidRDefault="00FB63E0" w:rsidP="008426CB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Random Undersampling при экстремальном дисбалансе (&lt;1 %) опасен даже на данных с хорошо разделимыми классами: на Credit Card Fraud, где Random Forest без какой-либо балансировки достигает F1 = 0,859, тот же Random Undersampling обрушивает F1 до 0,114. Причина не в качестве признаков, а в том, что при таком дисбалансе метод отбрасывает почти весь обучающий набор, оставляя слишком мало данных для обучения.</w:t>
      </w:r>
    </w:p>
    <w:p w14:paraId="1A2B3C03" w14:textId="1A2B3C03" w:rsidR="00FB63E0" w:rsidRPr="00FB63E0" w:rsidRDefault="00FB63E0" w:rsidP="008426CB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Качество признакового пространства задаёт жёсткий потолок, который балансировка преодолеть не может: на Bank Account Fraud, где признаки слабо коррелируют с фактом мошенничества, Random Forest без балансировки не находит ни одной мошеннической операции (F1 = 0), а после применения любого метода балансировки F1 не поднимается выше 0,08 независимо от алгоритма.</w:t>
      </w:r>
    </w:p>
    <w:p w14:paraId="1A2B3C04" w14:textId="1A2B3C04" w:rsidR="00FB63E0" w:rsidRPr="00FB63E0" w:rsidRDefault="00FB63E0" w:rsidP="008426CB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Отдельный практический вывод касается выбора метрики: при сильном дисбалансе классов ROC-AUC создаёт ложное ощущение качества модели (0,80–0,87 на Bank Account Fraud), тогда как PR-AUC (0,08–0,12) показывает, что реальная способность находить мошенничество остаётся крайне низкой — при мониторинге таких моделей в продакшене ориентироваться только на ROC-AUC нельзя. При этом ансамблевые модели (Random Forest, XGBoost) показали наилучшие результаты на обоих датасетах и оказались устойчивее линейной модели к выбору стратегии балансировки.</w:t>
      </w:r>
    </w:p>
    <w:p w14:paraId="28CB1428" w14:textId="56752A4D" w:rsidR="001C2561" w:rsidRPr="000A3813" w:rsidRDefault="00FB63E0" w:rsidP="008426CB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Перспективным направлением дальнейших исследований является анализ значимости признаков с применением SHAP-значений и оценки взаимной информации – это позволит выявить характеристики, действительно несущие информацию о мошенничестве. Помимо этого, заслуживают внимания методы конструирования новых признаков на основе поведенческих паттернов пользователей, что может существенно улучшить разделимость классов там, где стандартные демографические характеристики оказываются недостаточными.</w:t>
      </w:r>
    </w:p>
    <w:p w14:paraId="29A406A0" w14:textId="77777777" w:rsidR="00B125B1" w:rsidRDefault="00B125B1" w:rsidP="008426CB">
      <w:pPr>
        <w:spacing w:line="360" w:lineRule="auto"/>
        <w:jc w:val="center"/>
        <w:rPr>
          <w:b/>
          <w:bCs/>
          <w:sz w:val="24"/>
          <w:szCs w:val="24"/>
        </w:rPr>
      </w:pPr>
    </w:p>
    <w:p w14:paraId="7C372705" w14:textId="77777777" w:rsidR="00B125B1" w:rsidRDefault="00B125B1" w:rsidP="003D5F22">
      <w:pPr>
        <w:spacing w:line="360" w:lineRule="auto"/>
        <w:rPr>
          <w:b/>
          <w:bCs/>
          <w:sz w:val="24"/>
          <w:szCs w:val="24"/>
        </w:rPr>
      </w:pPr>
    </w:p>
    <w:p w14:paraId="7E429A0F" w14:textId="39C2AB6C" w:rsidR="00095CF1" w:rsidRDefault="000A41B0" w:rsidP="008426CB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Список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использованных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источников</w:t>
      </w:r>
    </w:p>
    <w:bookmarkEnd w:id="0"/>
    <w:p w14:paraId="4E660081" w14:textId="4A22E18A" w:rsidR="008726DF" w:rsidRPr="00B125B1" w:rsidRDefault="008726DF" w:rsidP="008426CB">
      <w:pPr>
        <w:pStyle w:val="a4"/>
        <w:numPr>
          <w:ilvl w:val="0"/>
          <w:numId w:val="2"/>
        </w:numPr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Siam A.M., Bhowmik P., Uddin M.P. Hybrid feature selection framework for enhanced credit card fraud detection using machine learning models / </w:t>
      </w:r>
      <w:r>
        <w:rPr>
          <w:sz w:val="24"/>
          <w:szCs w:val="24"/>
        </w:rPr>
        <w:t>под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ред</w:t>
      </w:r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 xml:space="preserve">Sharma S.K. // [Название журнала]. – 2025. – Vol. 12, No. 3. – P. 45–60. – URL: </w:t>
      </w:r>
      <w:hyperlink r:id="rId10" w:history="1">
        <w:r>
          <w:rPr>
            <w:rStyle w:val="a5"/>
            <w:sz w:val="24"/>
            <w:szCs w:val="24"/>
          </w:rPr>
          <w:t>https://pmc.ncbi.nlm.nih.gov/articles/PMC12266407/</w:t>
        </w:r>
      </w:hyperlink>
      <w:r>
        <w:rPr>
          <w:sz w:val="24"/>
          <w:szCs w:val="24"/>
        </w:rPr>
        <w:t xml:space="preserve"> (дата обращения: 27.03.2026).</w:t>
      </w:r>
    </w:p>
    <w:p w14:paraId="3A2E3380" w14:textId="1B660290" w:rsidR="008726DF" w:rsidRPr="00B125B1" w:rsidRDefault="008726DF" w:rsidP="008426CB">
      <w:pPr>
        <w:pStyle w:val="a4"/>
        <w:numPr>
          <w:ilvl w:val="0"/>
          <w:numId w:val="2"/>
        </w:numPr>
        <w:spacing w:line="360" w:lineRule="auto"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Credit Card Fraud Detection [</w:t>
      </w:r>
      <w:r>
        <w:rPr>
          <w:sz w:val="24"/>
          <w:szCs w:val="24"/>
        </w:rPr>
        <w:t>Электронный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ресурс</w:t>
      </w:r>
      <w:r>
        <w:rPr>
          <w:sz w:val="24"/>
          <w:szCs w:val="24"/>
          <w:lang w:val="en-US"/>
        </w:rPr>
        <w:t xml:space="preserve">] // Kaggle. – URL: </w:t>
      </w:r>
      <w:hyperlink r:id="rId11" w:history="1">
        <w:r>
          <w:rPr>
            <w:rStyle w:val="a5"/>
            <w:sz w:val="24"/>
            <w:szCs w:val="24"/>
            <w:lang w:val="en-US"/>
          </w:rPr>
          <w:t>https://www.kaggle.com/datasets/mlg-ulb/creditcardfraud</w:t>
        </w:r>
      </w:hyperlink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(</w:t>
      </w:r>
      <w:r>
        <w:rPr>
          <w:sz w:val="24"/>
          <w:szCs w:val="24"/>
        </w:rPr>
        <w:t>дата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обращения</w:t>
      </w:r>
      <w:r>
        <w:rPr>
          <w:sz w:val="24"/>
          <w:szCs w:val="24"/>
          <w:lang w:val="en-US"/>
        </w:rPr>
        <w:t>: 25.03.2026).</w:t>
      </w:r>
    </w:p>
    <w:p w14:paraId="197A78CA" w14:textId="337D0C81" w:rsidR="008726DF" w:rsidRPr="00B125B1" w:rsidRDefault="008726DF" w:rsidP="008426CB">
      <w:pPr>
        <w:pStyle w:val="a4"/>
        <w:numPr>
          <w:ilvl w:val="0"/>
          <w:numId w:val="2"/>
        </w:numPr>
        <w:spacing w:line="360" w:lineRule="auto"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Bank Account Fraud Dataset Suite (NeurIPS 2022) [</w:t>
      </w:r>
      <w:r>
        <w:rPr>
          <w:sz w:val="24"/>
          <w:szCs w:val="24"/>
        </w:rPr>
        <w:t>Электронный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ресурс</w:t>
      </w:r>
      <w:r>
        <w:rPr>
          <w:sz w:val="24"/>
          <w:szCs w:val="24"/>
          <w:lang w:val="en-US"/>
        </w:rPr>
        <w:t xml:space="preserve">] // Kaggle. – URL: </w:t>
      </w:r>
      <w:hyperlink r:id="rId12" w:history="1">
        <w:r>
          <w:rPr>
            <w:rStyle w:val="a5"/>
            <w:sz w:val="24"/>
            <w:szCs w:val="24"/>
            <w:lang w:val="en-US"/>
          </w:rPr>
          <w:t>https://www.kaggle.com/datasets/sgpjesus/bank-account-fraud-dataset-neurips-2022</w:t>
        </w:r>
      </w:hyperlink>
      <w:r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дата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обращения</w:t>
      </w:r>
      <w:r>
        <w:rPr>
          <w:sz w:val="24"/>
          <w:szCs w:val="24"/>
          <w:lang w:val="en-US"/>
        </w:rPr>
        <w:t>: 25.03.2026).</w:t>
      </w:r>
    </w:p>
    <w:p w14:paraId="0A789535" w14:textId="5CEF6086" w:rsidR="008726DF" w:rsidRPr="00B125B1" w:rsidRDefault="008726DF" w:rsidP="008426CB">
      <w:pPr>
        <w:pStyle w:val="a4"/>
        <w:numPr>
          <w:ilvl w:val="0"/>
          <w:numId w:val="2"/>
        </w:numPr>
        <w:spacing w:line="360" w:lineRule="auto"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Chen T., Guestrin C. XGBoost: A Scalable Tree Boosting System [</w:t>
      </w:r>
      <w:r>
        <w:rPr>
          <w:sz w:val="24"/>
          <w:szCs w:val="24"/>
        </w:rPr>
        <w:t>Текст</w:t>
      </w:r>
      <w:r>
        <w:rPr>
          <w:sz w:val="24"/>
          <w:szCs w:val="24"/>
          <w:lang w:val="en-US"/>
        </w:rPr>
        <w:t xml:space="preserve">] // Proceedings of the 22nd ACM SIGKDD International Conference on Knowledge Discovery and Data Mining. – San Francisco, 2016. – P. 785–794. – DOI: 10.1145/2939672.2939785. – URL: </w:t>
      </w:r>
      <w:hyperlink r:id="rId13" w:history="1">
        <w:r>
          <w:rPr>
            <w:rStyle w:val="a5"/>
            <w:sz w:val="24"/>
            <w:szCs w:val="24"/>
            <w:lang w:val="en-US"/>
          </w:rPr>
          <w:t>https://arxiv.org/abs/1603.02754</w:t>
        </w:r>
      </w:hyperlink>
      <w:r>
        <w:rPr>
          <w:sz w:val="24"/>
          <w:szCs w:val="24"/>
          <w:lang w:val="en-US"/>
        </w:rPr>
        <w:t xml:space="preserve">  (</w:t>
      </w:r>
      <w:r>
        <w:rPr>
          <w:sz w:val="24"/>
          <w:szCs w:val="24"/>
        </w:rPr>
        <w:t>дата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обращения</w:t>
      </w:r>
      <w:r>
        <w:rPr>
          <w:sz w:val="24"/>
          <w:szCs w:val="24"/>
          <w:lang w:val="en-US"/>
        </w:rPr>
        <w:t>: 28.03.2026).</w:t>
      </w:r>
    </w:p>
    <w:p w14:paraId="4F00D218" w14:textId="4066067B" w:rsidR="008726DF" w:rsidRPr="00B125B1" w:rsidRDefault="008726DF" w:rsidP="008426CB">
      <w:pPr>
        <w:pStyle w:val="a4"/>
        <w:numPr>
          <w:ilvl w:val="0"/>
          <w:numId w:val="2"/>
        </w:numPr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Liu G. Leveraging Machine Learning for Telecom Banking Card Fraud Detection: A Comparative Analysis of Logistic Regression, Random Forest, and XGBoost Models [Электронный ресурс] // Computers and Artificial Intelligence. – 2024. – Vol. 1, No. 1. – P. 13–27. – URL: </w:t>
      </w:r>
      <w:hyperlink r:id="rId14" w:history="1">
        <w:r>
          <w:rPr>
            <w:rStyle w:val="a5"/>
            <w:sz w:val="24"/>
            <w:szCs w:val="24"/>
          </w:rPr>
          <w:t>https://journals.zeuspress.org/index.php/CAI/article/view/66</w:t>
        </w:r>
      </w:hyperlink>
      <w:r>
        <w:rPr>
          <w:sz w:val="24"/>
          <w:szCs w:val="24"/>
        </w:rPr>
        <w:t xml:space="preserve"> (дата обращения: 28.03.2026).</w:t>
      </w:r>
    </w:p>
    <w:p w14:paraId="6D88B344" w14:textId="0F363BBC" w:rsidR="008726DF" w:rsidRPr="00B125B1" w:rsidRDefault="008726DF" w:rsidP="008426CB">
      <w:pPr>
        <w:pStyle w:val="a4"/>
        <w:numPr>
          <w:ilvl w:val="0"/>
          <w:numId w:val="2"/>
        </w:numPr>
        <w:spacing w:line="360" w:lineRule="auto"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Chawla N.V., Bowyer K.W., Hall L.O., Kegelmeyer W.P. SMOTE: Synthetic Minority Over-sampling Technique [</w:t>
      </w:r>
      <w:r>
        <w:rPr>
          <w:sz w:val="24"/>
          <w:szCs w:val="24"/>
        </w:rPr>
        <w:t>Текст</w:t>
      </w:r>
      <w:r>
        <w:rPr>
          <w:sz w:val="24"/>
          <w:szCs w:val="24"/>
          <w:lang w:val="en-US"/>
        </w:rPr>
        <w:t xml:space="preserve">] // Journal of Artificial Intelligence Research. – 2002. – Vol. 16. – P. 321–357. – DOI: 10.1613/jair.953. – URL: </w:t>
      </w:r>
      <w:hyperlink r:id="rId15" w:history="1">
        <w:r>
          <w:rPr>
            <w:rStyle w:val="a5"/>
            <w:sz w:val="24"/>
            <w:szCs w:val="24"/>
            <w:lang w:val="en-US"/>
          </w:rPr>
          <w:t>https://www.jair.org/index.php/jair/article/view/10302</w:t>
        </w:r>
      </w:hyperlink>
      <w:r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дата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обращения</w:t>
      </w:r>
      <w:r>
        <w:rPr>
          <w:sz w:val="24"/>
          <w:szCs w:val="24"/>
          <w:lang w:val="en-US"/>
        </w:rPr>
        <w:t>: 28.03.2026).</w:t>
      </w:r>
    </w:p>
    <w:p w14:paraId="30521BA9" w14:textId="1FF1FA2E" w:rsidR="008726DF" w:rsidRPr="00B125B1" w:rsidRDefault="008726DF" w:rsidP="008426CB">
      <w:pPr>
        <w:pStyle w:val="a4"/>
        <w:numPr>
          <w:ilvl w:val="0"/>
          <w:numId w:val="2"/>
        </w:numPr>
        <w:spacing w:line="360" w:lineRule="auto"/>
        <w:ind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Dal Pozzolo A., Caelen O., Bontempi G. Calibrating Probability with Undersampling for Unbalanced Classification [</w:t>
      </w:r>
      <w:r>
        <w:rPr>
          <w:sz w:val="24"/>
          <w:szCs w:val="24"/>
        </w:rPr>
        <w:t>Текст</w:t>
      </w:r>
      <w:r>
        <w:rPr>
          <w:sz w:val="24"/>
          <w:szCs w:val="24"/>
          <w:lang w:val="en-US"/>
        </w:rPr>
        <w:t xml:space="preserve">] // 2015 IEEE Symposium Series on Computational Intelligence (SSCI). – 2015. – P. 159–166. – DOI: 10.1109/SSCI.2015.33. – URL: </w:t>
      </w:r>
      <w:hyperlink r:id="rId16" w:history="1">
        <w:r>
          <w:rPr>
            <w:rStyle w:val="a5"/>
            <w:sz w:val="24"/>
            <w:szCs w:val="24"/>
            <w:lang w:val="en-US"/>
          </w:rPr>
          <w:t>https://ieeexplore.ieee.org/document/7376719</w:t>
        </w:r>
      </w:hyperlink>
      <w:r>
        <w:rPr>
          <w:sz w:val="24"/>
          <w:szCs w:val="24"/>
          <w:lang w:val="en-US"/>
        </w:rPr>
        <w:t xml:space="preserve">  (</w:t>
      </w:r>
      <w:r>
        <w:rPr>
          <w:sz w:val="24"/>
          <w:szCs w:val="24"/>
        </w:rPr>
        <w:t>дата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обращения</w:t>
      </w:r>
      <w:r>
        <w:rPr>
          <w:sz w:val="24"/>
          <w:szCs w:val="24"/>
          <w:lang w:val="en-US"/>
        </w:rPr>
        <w:t xml:space="preserve">: 30.03.2026).</w:t>
      </w:r>
    </w:p>
    <w:p w14:paraId="0CC22004" w14:textId="1B2EDB27" w:rsidR="00095CF1" w:rsidRPr="00B125B1" w:rsidRDefault="008726DF" w:rsidP="008426CB">
      <w:pPr>
        <w:pStyle w:val="a4"/>
        <w:numPr>
          <w:ilvl w:val="0"/>
          <w:numId w:val="2"/>
        </w:numPr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Константинов А.Ф., Дьяконова Л.П. Сравнительный анализ методов снижения дисбаланса классов при построении моделей машинного обучения в финансовом секторе [Электронный ресурс] // Известия Кабардино-Балкарского научного центра РАН. – 2025. – Т. 27, № 1. – С. 143–151. – URL </w:t>
      </w:r>
      <w:hyperlink r:id="rId17" w:history="1">
        <w:r>
          <w:rPr>
            <w:rStyle w:val="a5"/>
            <w:sz w:val="24"/>
            <w:szCs w:val="24"/>
          </w:rPr>
          <w:t>https://izvestiyakbncran.ru/wp-content/uploads/2025/03/konstantinov-13.pdf</w:t>
        </w:r>
      </w:hyperlink>
      <w:r>
        <w:rPr>
          <w:sz w:val="24"/>
          <w:szCs w:val="24"/>
        </w:rPr>
        <w:t xml:space="preserve"> (дата обращения: 25.03.2026).</w:t>
      </w:r>
    </w:p>
    <w:sectPr w:rsidR="00095CF1" w:rsidRPr="00B125B1" w:rsidSect="008C2D1D">
      <w:footerReference w:type="default" r:id="rId18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D82A5" w14:textId="77777777" w:rsidR="0041149A" w:rsidRDefault="0041149A" w:rsidP="000A3813">
      <w:r>
        <w:separator/>
      </w:r>
    </w:p>
  </w:endnote>
  <w:endnote w:type="continuationSeparator" w:id="0">
    <w:p w14:paraId="682DE1F6" w14:textId="77777777" w:rsidR="0041149A" w:rsidRDefault="0041149A" w:rsidP="000A3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971613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9F925BC" w14:textId="6B1221D5" w:rsidR="008426CB" w:rsidRDefault="008426CB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5DAAC9" w14:textId="77777777" w:rsidR="000A3813" w:rsidRDefault="000A3813" w:rsidP="000A3813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8E212" w14:textId="77777777" w:rsidR="0041149A" w:rsidRDefault="0041149A" w:rsidP="000A3813">
      <w:r>
        <w:separator/>
      </w:r>
    </w:p>
  </w:footnote>
  <w:footnote w:type="continuationSeparator" w:id="0">
    <w:p w14:paraId="542AFDDC" w14:textId="77777777" w:rsidR="0041149A" w:rsidRDefault="0041149A" w:rsidP="000A38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D15D9"/>
    <w:multiLevelType w:val="hybridMultilevel"/>
    <w:tmpl w:val="A6B87C94"/>
    <w:lvl w:ilvl="0" w:tplc="BC1874F4">
      <w:start w:val="1"/>
      <w:numFmt w:val="bullet"/>
      <w:lvlText w:val="●"/>
      <w:lvlJc w:val="left"/>
      <w:pPr>
        <w:ind w:left="720" w:hanging="360"/>
      </w:pPr>
    </w:lvl>
    <w:lvl w:ilvl="1" w:tplc="57FA88F0">
      <w:start w:val="1"/>
      <w:numFmt w:val="bullet"/>
      <w:lvlText w:val="○"/>
      <w:lvlJc w:val="left"/>
      <w:pPr>
        <w:ind w:left="1440" w:hanging="360"/>
      </w:pPr>
    </w:lvl>
    <w:lvl w:ilvl="2" w:tplc="015C9220">
      <w:start w:val="1"/>
      <w:numFmt w:val="bullet"/>
      <w:lvlText w:val="■"/>
      <w:lvlJc w:val="left"/>
      <w:pPr>
        <w:ind w:left="2160" w:hanging="360"/>
      </w:pPr>
    </w:lvl>
    <w:lvl w:ilvl="3" w:tplc="38E62F4C">
      <w:start w:val="1"/>
      <w:numFmt w:val="bullet"/>
      <w:lvlText w:val="●"/>
      <w:lvlJc w:val="left"/>
      <w:pPr>
        <w:ind w:left="2880" w:hanging="360"/>
      </w:pPr>
    </w:lvl>
    <w:lvl w:ilvl="4" w:tplc="DDE08970">
      <w:start w:val="1"/>
      <w:numFmt w:val="bullet"/>
      <w:lvlText w:val="○"/>
      <w:lvlJc w:val="left"/>
      <w:pPr>
        <w:ind w:left="3600" w:hanging="360"/>
      </w:pPr>
    </w:lvl>
    <w:lvl w:ilvl="5" w:tplc="0CEADD34">
      <w:start w:val="1"/>
      <w:numFmt w:val="bullet"/>
      <w:lvlText w:val="■"/>
      <w:lvlJc w:val="left"/>
      <w:pPr>
        <w:ind w:left="4320" w:hanging="360"/>
      </w:pPr>
    </w:lvl>
    <w:lvl w:ilvl="6" w:tplc="BC467F52">
      <w:start w:val="1"/>
      <w:numFmt w:val="bullet"/>
      <w:lvlText w:val="●"/>
      <w:lvlJc w:val="left"/>
      <w:pPr>
        <w:ind w:left="5040" w:hanging="360"/>
      </w:pPr>
    </w:lvl>
    <w:lvl w:ilvl="7" w:tplc="F97EF150">
      <w:start w:val="1"/>
      <w:numFmt w:val="bullet"/>
      <w:lvlText w:val="●"/>
      <w:lvlJc w:val="left"/>
      <w:pPr>
        <w:ind w:left="5760" w:hanging="360"/>
      </w:pPr>
    </w:lvl>
    <w:lvl w:ilvl="8" w:tplc="124680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F149CD"/>
    <w:multiLevelType w:val="hybridMultilevel"/>
    <w:tmpl w:val="184EE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CF1"/>
    <w:rsid w:val="00095CF1"/>
    <w:rsid w:val="000A3813"/>
    <w:rsid w:val="000A41B0"/>
    <w:rsid w:val="000B509B"/>
    <w:rsid w:val="001960D8"/>
    <w:rsid w:val="001C2561"/>
    <w:rsid w:val="0024458D"/>
    <w:rsid w:val="00284E73"/>
    <w:rsid w:val="003D5F22"/>
    <w:rsid w:val="0041149A"/>
    <w:rsid w:val="004A3ED9"/>
    <w:rsid w:val="00552AEA"/>
    <w:rsid w:val="005A1B6A"/>
    <w:rsid w:val="005E66AB"/>
    <w:rsid w:val="006B28C0"/>
    <w:rsid w:val="0071267B"/>
    <w:rsid w:val="00833AEB"/>
    <w:rsid w:val="008426CB"/>
    <w:rsid w:val="008726DF"/>
    <w:rsid w:val="008C2D1D"/>
    <w:rsid w:val="00B125B1"/>
    <w:rsid w:val="00BA14E7"/>
    <w:rsid w:val="00C90788"/>
    <w:rsid w:val="00CC4072"/>
    <w:rsid w:val="00DA4B37"/>
    <w:rsid w:val="00E74FFD"/>
    <w:rsid w:val="00EA4100"/>
    <w:rsid w:val="00FB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74FB1"/>
  <w15:docId w15:val="{6CD2595F-C79E-4DF1-B138-41AA6C94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8C2D1D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a"/>
    <w:rsid w:val="0071267B"/>
    <w:pPr>
      <w:spacing w:before="100" w:beforeAutospacing="1" w:after="100" w:afterAutospacing="1"/>
    </w:pPr>
    <w:rPr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0A381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0A3813"/>
  </w:style>
  <w:style w:type="paragraph" w:styleId="af">
    <w:name w:val="footer"/>
    <w:basedOn w:val="a"/>
    <w:link w:val="af0"/>
    <w:uiPriority w:val="99"/>
    <w:unhideWhenUsed/>
    <w:rsid w:val="000A381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0A3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2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0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1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7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2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rxiv.org/abs/1603.02754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kaggle.com/datasets/sgpjesus/bank-account-fraud-dataset-neurips-2022" TargetMode="External"/><Relationship Id="rId17" Type="http://schemas.openxmlformats.org/officeDocument/2006/relationships/hyperlink" Target="https://izvestiyakbncran.ru/wp-content/uploads/2025/03/konstantinov-13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ieeexplore.ieee.org/document/7376719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mlg-ulb/creditcardfrau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jair.org/index.php/jair/article/view/10302" TargetMode="External"/><Relationship Id="rId10" Type="http://schemas.openxmlformats.org/officeDocument/2006/relationships/hyperlink" Target="https://pmc.ncbi.nlm.nih.gov/articles/PMC12266407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journals.zeuspress.org/index.php/CAI/article/view/6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1692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Aleks</cp:lastModifiedBy>
  <cp:revision>20</cp:revision>
  <dcterms:created xsi:type="dcterms:W3CDTF">2026-04-25T13:52:00Z</dcterms:created>
  <dcterms:modified xsi:type="dcterms:W3CDTF">2026-05-03T09:41:00Z</dcterms:modified>
</cp:coreProperties>
</file>