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CC_OpenCl.dll</w:t>
        <w:br/>
        <w:t>Enterprise Agent-Ready Driver Documentation</w:t>
      </w:r>
    </w:p>
    <w:p>
      <w:pPr>
        <w:jc w:val="center"/>
      </w:pPr>
      <w:r>
        <w:rPr>
          <w:sz w:val="22"/>
        </w:rPr>
        <w:t>VRAM Budgeting · Agent Contracts · Pipeline Recipes · API Usage</w:t>
        <w:br/>
        <w:t>Stand: 2026-05-06</w:t>
      </w:r>
    </w:p>
    <w:p>
      <w:r>
        <w:br w:type="page"/>
      </w:r>
    </w:p>
    <w:p>
      <w:pPr>
        <w:pStyle w:val="Heading1"/>
      </w:pPr>
      <w:r>
        <w:t>1. Zweck und Architektur</w:t>
      </w:r>
    </w:p>
    <w:p>
      <w:r>
        <w:t>CC_OpenCl.dll ist ein Windows-x64-OpenCL-Treiber für GPU-beschleunigte Feld-, Agenten-, Mycelium-, SubQG-, Bio-Brain-, Quantum- und Enterprise-Algorithmus-Domänen. Diese Dokumentation ist so erweitert, dass Entwickler, KI-Agenten und autonome Codegeneratoren den Treiber sicher einsetzen können.</w:t>
      </w:r>
    </w:p>
    <w:p>
      <w:r>
        <w:t>Der Treiber ist zustandsbehaftet: Hostprogramme initialisieren eine GPU, erzeugen OpenCL-Buffer, übertragen Daten, starten Domänenfunktionen und lesen Ergebnisse zurück. Große Zustände sollten möglichst im VRAM bleiben.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Domäne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Technisches Modell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Typische Funktionen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Lifecycle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GPU-Kontext, Queue, Programme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initialize_gpu, shutdown_gpu, finish_gpu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OpenCL-Buffer und Transfers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allocate_gpu_memory, write/read_host_to_gpu_blocking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Mycelium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Nährstoff-, Pheromon-, Mood- und Koloniefelder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subqg_init_mycel, step_pheromone_*, step_mycel_update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SubQG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acht gekoppelte Multifield-Kanäle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subqg_set_multifield_state, subqg_get_multifield_state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Resonance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gekoppelte Feldoszillatoren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execute_resonant_field_step_gpu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Scheduler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GPU-seitige aktive Liste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execute_energy_gated_scheduler_gpu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Morphogenesis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tabellarische Zelltyp-Regeln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execute_morphogenetic_rule_step_gpu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Quantum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quantenähnliche Algorithmen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execute_grover_gpu, execute_vqe_gpu, execute_qaoa_gpu</w:t>
            </w:r>
          </w:p>
        </w:tc>
      </w:tr>
    </w:tbl>
    <w:p/>
    <w:p>
      <w:pPr>
        <w:pStyle w:val="Heading1"/>
      </w:pPr>
      <w:r>
        <w:t>2. Build und Einsatz</w:t>
      </w:r>
    </w:p>
    <w:p>
      <w:r>
        <w:t>Empfohlener Build auf AMD/Windows im x64 Native Tools Command Prompt for VS 2022:</w:t>
      </w:r>
    </w:p>
    <w:p>
      <w:pPr>
        <w:pStyle w:val="IntenseQuote"/>
      </w:pPr>
      <w:r>
        <w:t>cd /d D:\CC_OpenCl_Driver_Enterprise</w:t>
        <w:br/>
        <w:t>scripts\build_windows_msvc_amd_direct.bat</w:t>
      </w:r>
    </w:p>
    <w:p>
      <w:r>
        <w:t>Build-Ergebnis: build\CC_OpenCl.dll, build\CC_OpenCl.lib und build\CC_OpenCl.exp.</w:t>
      </w:r>
    </w:p>
    <w:p>
      <w:pPr>
        <w:pStyle w:val="Heading1"/>
      </w:pPr>
      <w:r>
        <w:t>3. Sichere Grundsequenz</w:t>
      </w:r>
    </w:p>
    <w:p>
      <w:pPr>
        <w:pStyle w:val="IntenseQuote"/>
      </w:pPr>
      <w:r>
        <w:t>initialize_gpu(gpu)</w:t>
        <w:br/>
        <w:t>allocate required buffers</w:t>
        <w:br/>
        <w:t>write initial data</w:t>
        <w:br/>
        <w:t>execute domain functions</w:t>
        <w:br/>
        <w:t>read result if needed</w:t>
        <w:br/>
        <w:t>free buffers</w:t>
        <w:br/>
        <w:t>shutdown_gpu(gpu)</w:t>
      </w:r>
    </w:p>
    <w:p>
      <w:r>
        <w:t>Ein Agent darf keine Domänenfunktion vor initialize_gpu aufrufen und darf keine GPU-Handles nach free_gpu_memory wiederverwenden.</w:t>
      </w:r>
    </w:p>
    <w:p>
      <w:pPr>
        <w:pStyle w:val="Heading1"/>
      </w:pPr>
      <w:r>
        <w:t>4. VRAM Budgeting</w:t>
      </w:r>
    </w:p>
    <w:p>
      <w:r>
        <w:t>Enterprise-Default: planned_bytes = required_bytes * 1.15 und planned_bytes &lt;= CL_DEVICE_GLOBAL_MEM_SIZE * 0.65.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Domäne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Formel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Standardverbrauch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Mycelium Core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pheromone[N*C*K]*float + mood[N*C]*float + nutrient[N]*float + potential[N]*float + colonies[N]*uint8 + neighbors[N*K]*int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185.00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SubQG Multifield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8 scalar channels[N]*float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32.00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Resonance Field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state/velocity/drive/energy[N]*float + neighbors[N*K]*int + weights[N*K]*float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80.00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Energy Scheduler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active_flags[N]*uchar + active_indices[N]*int + active_count[1]*uint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5.00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Morphogenesis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cell_type[N]*uchar + nutrient/energy/potential[N]*float + rule tables[R]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13.00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Bio-Brain Standard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neurons=N, fanout=K, synapses=N*K: neuron scalar buffers + sparse synapse tables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149.00 MiB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Quantum Statevector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complex amplitudes[2^q]*float2 + probability/phase scratch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256.00 MiB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Grid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Mycel MiB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SubQG MiB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Resonance MiB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Scheduler MiB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Morph MiB</w:t>
            </w:r>
          </w:p>
        </w:tc>
        <w:tc>
          <w:tcPr>
            <w:tcW w:type="dxa" w:w="1314"/>
            <w:shd w:fill="D9EAF7"/>
          </w:tcPr>
          <w:p>
            <w:r/>
            <w:r>
              <w:rPr>
                <w:b/>
                <w:sz w:val="16"/>
              </w:rPr>
              <w:t>Bio-Brain MiB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256x256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65,536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11.6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0.8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9.3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512x512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262,144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46.2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37.2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1024x1024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1,048,576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185.0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149.0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2048x2048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740.0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128.0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596.0</w:t>
            </w:r>
          </w:p>
        </w:tc>
      </w:tr>
      <w:tr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4096x4096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16,777,216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2960.0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512.0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1280.0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208.0</w:t>
            </w:r>
          </w:p>
        </w:tc>
        <w:tc>
          <w:tcPr>
            <w:tcW w:type="dxa" w:w="1314"/>
            <w:vAlign w:val="top"/>
          </w:tcPr>
          <w:p>
            <w:r/>
            <w:r>
              <w:rPr>
                <w:b w:val="0"/>
                <w:sz w:val="16"/>
              </w:rPr>
              <w:t>2384.0</w:t>
            </w:r>
          </w:p>
        </w:tc>
      </w:tr>
    </w:tbl>
    <w:p/>
    <w:p>
      <w:pPr>
        <w:pStyle w:val="Heading1"/>
      </w:pPr>
      <w:r>
        <w:t>5. Detail: Standard-Grid 1024 x 1024</w:t>
      </w:r>
    </w:p>
    <w:p>
      <w:pPr>
        <w:pStyle w:val="Heading2"/>
      </w:pPr>
      <w:r>
        <w:t>Mycelium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pheromone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N*C*K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134,217,728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128.00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mood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N*C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16,777,216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16.00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nutrient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potential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colonies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uint8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1,048,576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neighbors_sparse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</w:tbl>
    <w:p/>
    <w:p>
      <w:r>
        <w:t>Gesamt: 193,986,560 Bytes = 185.00 MiB.</w:t>
      </w:r>
    </w:p>
    <w:p>
      <w:pPr>
        <w:pStyle w:val="Heading2"/>
      </w:pPr>
      <w:r>
        <w:t>SubQG Multifield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pressure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gravity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magnetism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temperature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potential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drift_x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drift_y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</w:tbl>
    <w:p/>
    <w:p>
      <w:r>
        <w:t>Gesamt: 33,554,432 Bytes = 32.00 MiB.</w:t>
      </w:r>
    </w:p>
    <w:p>
      <w:pPr>
        <w:pStyle w:val="Heading2"/>
      </w:pPr>
      <w:r>
        <w:t>Resonance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velocity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drive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neighbors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weights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</w:tbl>
    <w:p/>
    <w:p>
      <w:r>
        <w:t>Gesamt: 83,886,080 Bytes = 80.00 MiB.</w:t>
      </w:r>
    </w:p>
    <w:p>
      <w:pPr>
        <w:pStyle w:val="Heading2"/>
      </w:pPr>
      <w:r>
        <w:t>Energy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active_flags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uchar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1,048,576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active_indices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active_count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uint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0.00</w:t>
            </w:r>
          </w:p>
        </w:tc>
      </w:tr>
    </w:tbl>
    <w:p/>
    <w:p>
      <w:r>
        <w:t>Gesamt: 5,242,884 Bytes = 5.00 MiB.</w:t>
      </w:r>
    </w:p>
    <w:p>
      <w:pPr>
        <w:pStyle w:val="Heading2"/>
      </w:pPr>
      <w:r>
        <w:t>Morphogenesis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cell_type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uchar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1,048,576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nutrient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potential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rule tables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mixed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0.00</w:t>
            </w:r>
          </w:p>
        </w:tc>
      </w:tr>
    </w:tbl>
    <w:p/>
    <w:p>
      <w:r>
        <w:t>Gesamt: 13,631,808 Bytes = 13.00 MiB.</w:t>
      </w:r>
    </w:p>
    <w:p>
      <w:pPr>
        <w:pStyle w:val="Heading2"/>
      </w:pPr>
      <w:r>
        <w:t>Bio-Brain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neuron_v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neuron_u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neuron_input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neuron_threshold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neuron_plasticity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4,194,304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spikes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uint8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1,048,576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synapse_weight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synapse_src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synapse_dst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synapse_trace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33,554,432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32.00</w:t>
            </w:r>
          </w:p>
        </w:tc>
      </w:tr>
    </w:tbl>
    <w:p/>
    <w:p>
      <w:r>
        <w:t>Gesamt: 156,237,824 Bytes = 149.00 MiB.</w:t>
      </w:r>
    </w:p>
    <w:p>
      <w:pPr>
        <w:pStyle w:val="Heading2"/>
      </w:pPr>
      <w:r>
        <w:t>Quantum Statevector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Elemente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Bytes/Element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Bytes</w:t>
            </w:r>
          </w:p>
        </w:tc>
        <w:tc>
          <w:tcPr>
            <w:tcW w:type="dxa" w:w="1752"/>
            <w:shd w:fill="D9EAF7"/>
          </w:tcPr>
          <w:p>
            <w:r/>
            <w:r>
              <w:rPr>
                <w:b/>
                <w:sz w:val="16"/>
              </w:rPr>
              <w:t>MiB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amplitude_real_imag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2^q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134,217,728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128.00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probability_scratch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2^q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67,108,864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64.00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phase_scratch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2^q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67,108,864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64.00</w:t>
            </w:r>
          </w:p>
        </w:tc>
      </w:tr>
    </w:tbl>
    <w:p/>
    <w:p>
      <w:r>
        <w:t>Gesamt: 268,435,456 Bytes = 256.00 MiB.</w:t>
      </w:r>
    </w:p>
    <w:p>
      <w:pPr>
        <w:pStyle w:val="Heading1"/>
      </w:pPr>
      <w:r>
        <w:t>6. Enterprise API Contracts</w:t>
      </w:r>
    </w:p>
    <w:p>
      <w:pPr>
        <w:pStyle w:val="Heading2"/>
      </w:pPr>
      <w:r>
        <w:t>execute_resonant_field_step_gpu</w:t>
      </w:r>
    </w:p>
    <w:p>
      <w:r>
        <w:t>Führt einen gekoppelten Feldschritt mit Nachbarschaftsgradient, Trägheit, Drive, Dämpfung und Energieausgabe aus.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Größe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Mutiert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state_buf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velocity_buf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drive_buf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energy_buf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neighbors_buf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weights_buf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N*K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Sicherer Bereich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4, 8, 16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0.001 - 0.05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damping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0.01 - 0.20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coupling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0.05 - 0.50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inertia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0.80 - 0.98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clamp_abs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&gt;0 empfohlen</w:t>
            </w:r>
          </w:p>
        </w:tc>
      </w:tr>
    </w:tbl>
    <w:p/>
    <w:p>
      <w:pPr>
        <w:pStyle w:val="Heading2"/>
      </w:pPr>
      <w:r>
        <w:t>execute_energy_gated_scheduler_gpu</w:t>
      </w:r>
    </w:p>
    <w:p>
      <w:r>
        <w:t>Extrahiert aktive Zellen/Agenten über ein Energiefeld und schreibt active_flags, active_indices und active_count. active_count_buf muss vor jedem Aufruf auf 0 gesetzt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Größe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Mutiert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energy_buf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nutrient_buf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active_flags_buf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uchar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active_indices_buf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active_count_buf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</w:tbl>
    <w:p/>
    <w:p>
      <w:pPr>
        <w:pStyle w:val="Heading2"/>
      </w:pPr>
      <w:r>
        <w:t>execute_morphogenetic_rule_step_gpu</w:t>
      </w:r>
    </w:p>
    <w:p>
      <w:r>
        <w:t>Transformiert cell_type[N] anhand tabellarischer Regeln. Die erste passende Regel gewinnt; Regelreihenfolge ist Teil der Simulation.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Buffer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Typ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Größe</w:t>
            </w:r>
          </w:p>
        </w:tc>
        <w:tc>
          <w:tcPr>
            <w:tcW w:type="dxa" w:w="2628"/>
            <w:shd w:fill="D9EAF7"/>
          </w:tcPr>
          <w:p>
            <w:r/>
            <w:r>
              <w:rPr>
                <w:b/>
                <w:sz w:val="16"/>
              </w:rPr>
              <w:t>Mutiert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cell_type_buf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uchar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nutrient_buf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energy_buf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potential_buf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ja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rule_in_type_buf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rule_min_nutrient_buf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rule_min_energy_buf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rule_out_type_buf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rule_delta_potential_buf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</w:tbl>
    <w:p/>
    <w:p>
      <w:pPr>
        <w:pStyle w:val="Heading1"/>
      </w:pPr>
      <w:r>
        <w:t>7. Agent Function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Ziel</w:t>
            </w:r>
          </w:p>
        </w:tc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Funktion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gekoppelte Feldaktivität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execute_resonant_field_step_gpu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aktive Teilmenge finden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execute_energy_gated_scheduler_gpu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Zelltypregeln anwenden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execute_morphogenetic_rule_step_gpu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Mycelium/Pheromone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step_pheromone_*, step_mycel_update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Multifeld lesen/schreiben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subqg_set_multifield_state, subqg_get_multifield_state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Quantum-Optimierung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Quantum-Funktionsgruppe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GPU-Speicher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Memory-Funktionsgruppe</w:t>
            </w:r>
          </w:p>
        </w:tc>
      </w:tr>
    </w:tbl>
    <w:p/>
    <w:p>
      <w:pPr>
        <w:pStyle w:val="Heading1"/>
      </w:pPr>
      <w:r>
        <w:t>8. Fehlerbehandlung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Fehler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Ursache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6"/>
              </w:rPr>
              <w:t>Agentenreaktion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CL_OUT_OF_RESOURCES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VRAM/Register/Workgroup erschöpft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 halbieren, K/C reduzieren, Domänen sequenziell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CL_MEM_OBJECT_ALLOCATION_FAILURE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Buffer zu groß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Einzelbuffer prüfen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CL_INVALID_MEM_OBJECT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falsches/gelöschtes Handle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Buffer neu erzeugen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CL_INVALID_KERNEL_ARGS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Vertragsbruch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Signatur und Buffergrößen prüfen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NaN/Inf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numerische Instabilität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clamp setzen, dt/coupling reduzieren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active_count == 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Scheduler bringt keinen Vorteil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Threshold erhöhen oder Full-Step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active_count == 0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keine Aktivität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Drive erhöhen oder Threshold senken</w:t>
            </w:r>
          </w:p>
        </w:tc>
      </w:tr>
    </w:tbl>
    <w:p/>
    <w:p>
      <w:pPr>
        <w:pStyle w:val="Heading1"/>
      </w:pPr>
      <w:r>
        <w:t>9. Pipeline Recipes</w:t>
      </w:r>
    </w:p>
    <w:p>
      <w:r>
        <w:t>Resonance + Scheduler:</w:t>
      </w:r>
    </w:p>
    <w:p>
      <w:pPr>
        <w:pStyle w:val="IntenseQuote"/>
      </w:pPr>
      <w:r>
        <w:t>initialize_gpu</w:t>
        <w:br/>
        <w:t>allocate state, velocity, drive, energy, neighbors, weights</w:t>
        <w:br/>
        <w:t>allocate active_flags, active_indices, active_count</w:t>
        <w:br/>
        <w:t>loop:</w:t>
        <w:br/>
        <w:t xml:space="preserve">    execute_resonant_field_step_gpu</w:t>
        <w:br/>
        <w:t xml:space="preserve">    write active_count = 0</w:t>
        <w:br/>
        <w:t xml:space="preserve">    execute_energy_gated_scheduler_gpu</w:t>
        <w:br/>
        <w:t xml:space="preserve">    read active_count</w:t>
        <w:br/>
        <w:t xml:space="preserve">    adapt threshold or process active indices</w:t>
      </w:r>
    </w:p>
    <w:p>
      <w:pPr>
        <w:pStyle w:val="Heading1"/>
      </w:pPr>
      <w:r>
        <w:t>10. Maschinenlesbare Nutzung</w:t>
      </w:r>
    </w:p>
    <w:p>
      <w:r>
        <w:t>docs/DRIVER_MANIFEST.json enthält Treibername, Plattform, Buildscript, Domänen, VRAM-Formeln, Bufferverträge, sichere Parameterbereiche, Exportfunktionsliste und Ressourcenpolitik. Agentensysteme sollten zuerst dieses Manifest lesen.</w:t>
      </w:r>
    </w:p>
    <w:p>
      <w:pPr>
        <w:pStyle w:val="Heading1"/>
      </w:pPr>
      <w:r>
        <w:t>11. Harte Regeln für KI-Agenten</w:t>
      </w:r>
    </w:p>
    <w:p>
      <w:pPr>
        <w:pStyle w:val="ListNumber"/>
      </w:pPr>
      <w:r>
        <w:t>Vor jeder Allokation VRAM schätzen.</w:t>
      </w:r>
    </w:p>
    <w:p>
      <w:pPr>
        <w:pStyle w:val="ListNumber"/>
      </w:pPr>
      <w:r>
        <w:t>planned_bytes &lt;= global_mem * 0.65.</w:t>
      </w:r>
    </w:p>
    <w:p>
      <w:pPr>
        <w:pStyle w:val="ListNumber"/>
      </w:pPr>
      <w:r>
        <w:t>active_count_buf vor Schedulerlauf auf 0 setzen.</w:t>
      </w:r>
    </w:p>
    <w:p>
      <w:pPr>
        <w:pStyle w:val="ListNumber"/>
      </w:pPr>
      <w:r>
        <w:t>Keine alten Handles nach Free verwenden.</w:t>
      </w:r>
    </w:p>
    <w:p>
      <w:pPr>
        <w:pStyle w:val="ListNumber"/>
      </w:pPr>
      <w:r>
        <w:t>Keine NaN/Inf-Ergebnisse akzeptieren.</w:t>
      </w:r>
    </w:p>
    <w:p>
      <w:pPr>
        <w:pStyle w:val="ListNumber"/>
      </w:pPr>
      <w:r>
        <w:t>Bei CL_OUT_OF_RESOURCES Problemgröße reduzieren.</w:t>
      </w:r>
    </w:p>
    <w:p>
      <w:pPr>
        <w:pStyle w:val="ListNumber"/>
      </w:pPr>
      <w:r>
        <w:t>Quantum-q nur nach neuer Speicherprüfung erhöhen.</w:t>
      </w:r>
    </w:p>
    <w:p>
      <w:pPr>
        <w:pStyle w:val="ListNumber"/>
      </w:pPr>
      <w:r>
        <w:t>Regelreihenfolgen dokumentieren und versionieren.</w:t>
      </w:r>
    </w:p>
    <w:p>
      <w:pPr>
        <w:pStyle w:val="Heading1"/>
      </w:pPr>
      <w:r>
        <w:t>12. Dokumentationsdateien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Datei</w:t>
            </w:r>
          </w:p>
        </w:tc>
        <w:tc>
          <w:tcPr>
            <w:tcW w:type="dxa" w:w="5256"/>
            <w:shd w:fill="D9EAF7"/>
          </w:tcPr>
          <w:p>
            <w:r/>
            <w:r>
              <w:rPr>
                <w:b/>
                <w:sz w:val="16"/>
              </w:rPr>
              <w:t>Zweck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docs/VRAM_BUDGETING.md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Speicherformeln und Tabellen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docs/AGENT_USAGE_GUIDE.md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KI-/Agenten-Nutzung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docs/AI_AGENT_CONTRACTS.md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harte API-Verträge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docs/DRIVER_MANIFEST.json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maschinenlesbarer Vertrag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docs/PIPELINE_RECIPES.md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Ablaufmuster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docs/ERROR_HANDLING.md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Recovery-Strategien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docs/PARAMETER_SAFETY.md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Parameterprofile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examples/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Referenzintegration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