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Tamara Hornich</w:t>
      </w:r>
    </w:p>
    <w:p>
      <w:r>
        <w:t xml:space="preserve">Mendestr. 1504, 49395 Kassel</w:t>
      </w:r>
    </w:p>
    <w:p>
      <w:r>
        <w:t xml:space="preserve">E-Mail: alenaconradi@example.net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invoice-0050: Monitor, Faelligkeit 2026-04-05, Betrag 3.000,00 EUR, Status OVERDUE</w:t>
      </w:r>
    </w:p>
    <w:p>
      <w:r>
        <w:t xml:space="preserve"/>
      </w:r>
    </w:p>
    <w:p>
      <w:r>
        <w:t xml:space="preserve">Der aktuell offene Gesamtbetrag betraegt 3.000,00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2026-04-09T08:33:04.173953+00:00</dcterms:created>
  <dcterms:modified xsi:type="dcterms:W3CDTF">2026-04-09T08:33:04.173953+00:00</dcterms:modified>
</cp:coreProperties>
</file>