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Valentine Ditschlerin</w:t>
      </w:r>
    </w:p>
    <w:p>
      <w:r>
        <w:t xml:space="preserve">Hannchen-Etzler-Weg 41-67, 32869 Kyritz</w:t>
      </w:r>
    </w:p>
    <w:p>
      <w:r>
        <w:t xml:space="preserve">E-Mail: kkoch-ii@example.org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521: Monitor, Faelligkeit 2026-03-05, Betrag 1.800,00 EUR, Status OVERDUE</w:t>
      </w:r>
    </w:p>
    <w:p>
      <w:r>
        <w:t xml:space="preserve"/>
      </w:r>
    </w:p>
    <w:p>
      <w:r>
        <w:t xml:space="preserve">Der aktuell offene Gesamtbetrag betraegt 1.800,00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2026-04-09T08:34:09.698684+00:00</dcterms:created>
  <dcterms:modified xsi:type="dcterms:W3CDTF">2026-04-09T08:34:09.698684+00:00</dcterms:modified>
</cp:coreProperties>
</file>