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 w:val="0"/>
        <w:keepLines w:val="0"/>
        <w:pageBreakBefore w:val="0"/>
        <w:spacing w:before="0" w:after="0" w:line="360" w:lineRule="auto"/>
        <w:jc w:val="center"/>
      </w:pPr>
    </w:p>
    <w:p>
      <w:pPr>
        <w:keepNext w:val="0"/>
        <w:keepLines w:val="0"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40"/>
        </w:rPr>
        <w:t>USTAWA</w:t>
      </w:r>
    </w:p>
    <w:p>
      <w:pPr>
        <w:keepNext w:val="0"/>
        <w:keepLines w:val="0"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z 23.10.2026 r.</w:t>
      </w:r>
    </w:p>
    <w:p>
      <w:pPr>
        <w:keepNext w:val="0"/>
        <w:keepLines w:val="0"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O KORONNYM BANKU CENTRALNYM</w:t>
      </w:r>
    </w:p>
    <w:p>
      <w:pPr>
        <w:keepNext w:val="0"/>
        <w:keepLines w:val="0"/>
        <w:pageBreakBefore w:val="0"/>
        <w:spacing w:before="0" w:after="0" w:line="360" w:lineRule="auto"/>
        <w:jc w:val="center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1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PRZEPISY OGÓLNE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Koronny Bank Centralny, zwany dalej „KBC”, jest bankiem centralnym Korony Krulestwa Multikont.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jest centralnym bankiem Krulestwa w rozumieniu art. 96 ust. 2 pkt 4 Konstytucji Korony Krulestwa Multikont.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Siedzibą KBC jest Tarkwinogród.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posiada osobowość prawną.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nie odpowiada za zobowiązania Skarbca Koronnego, a Skarbiec Koronny nie odpowiada za zobowiązania KBC, chyba że ustawa stanowi inaczej.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KBC prowadzi działalność na terytorium Korony oraz, w zakresie określonym ustawą, poza jej granicami.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działa na rzecz utrzymania stabilności pieniężnej i finansowej Korony, w szczególności stabilnego poziomu cen, oraz odpowiada za wartość koronnego pieniądza.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wspiera politykę gospodarczą Rządu Koronnego, jeżeli nie zagraża to realizacji celu określonego w ust. 1.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Do zadań KBC należy: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wykonywanie wyłącznego prawa emisji znaków pieniężnych;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prowadzenie polityki pieniężnej;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organizowanie rozliczeń pieniężnych;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4) prowadzenie gospodarki rezerwami dewizowymi;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5) prowadzenie bankowej obsługi Skarbca Koronnego i organów koronnych;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6) regulowanie płynności banków i ich refinansowanie;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7) działanie na rzecz stabilności i rozwoju systemu bankowego i finansowego;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8) wykonywanie innych zadań określonych ustawą.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5.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KBC jest jedynym emitentem znaków pieniężnych Korony.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6.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Organy KBC są niezawisłe i niezależne od innych organów państwa.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Organy KBC nie mogą zwracać się o instrukcje do organów państwa ani przyjmować takich instrukcji.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Organy państwa nie mogą wpływać na działalność KBC w sposób sprzeczny z ustawą.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KBC działa na podstawie i w granicach prawa.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7.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Zasady gospodarki finansowej KBC, w tym tworzenia funduszy i podziału zysku, określają art. 38 i art. 39.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8.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może tworzyć i znosić jednostki organizacyjne.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Organizację wewnętrzną KBC określa Wielki Skarbnik w drodze zarządzenia.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2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ORGANY KORONNEGO BANKU CENTRALNEGO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9.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Organami KBC są Wielki Skarbnik i Krulewska Rada Finansów.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10.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Wielki Skarbnik jest powoływany i odwoływany przez Krula.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Wielki Skarbnik nie może pełnić innych funkcji publicznych, być członkiem partii politycznej ani prowadzić działalności gospodarczej sprzecznej z niezależnością KBC.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Wielki Skarbnik jest przełożonym pracowników KBC.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11.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Wielki Skarbnik nadzoruje działalność KBC i reprezentuje KBC na zewnątrz.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Wielki Skarbnik: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realizuje uchwały Krulewskiej Rady Finansów;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wydaje rozporządzenia w sprawach niezastrzeżonych dla innych organów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realizuje politykę kursową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4) nadzoruje funkcjonowanie systemu bankowego;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5) uchwala plan działania i plan finansowy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6) ustala prowizje i opłaty bankowe stosowane przez KBC oraz ich wysokość;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7) określa zasady gospodarowania funduszami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8) przygotowuje projekty uchwał dla Krulewskiej Rady Finansów;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9) wykonuje inne zadania określone ustawą.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12.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Wielki Skarbnik mianuje swojego zastępcę lub zastępców.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 razie nieobecności Wielkiego Skarbnika zastępuje go wskazany przez niego zastępca, a w razie jego braku — najstarszy stażem zastępca.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Zastępcy Wielkiego Skarbnika wykonują zadania zlecone przez Wielkiego Skarbnika.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13.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Krulewska Rada Finansów jest organem decyzyjnym KBC.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 skład Krulewskiej Rady Finansów wchodzi Wielki Skarbnik jako przewodniczący oraz czterech członków wybieranych przez Senat Koronny.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Członkiem Krulewskiej Rady Finansów może być obywatel Korony, który wyróżnia się wiedzą z zakresu finansów, ekonomii lub bankowości i nie pełni funkcji publicznej sprzecznej z niezależnością KBC.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Kadencja członków Krulewskiej Rady Finansów trwa 6 lat. Członek może być wybrany ponownie tylko raz.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14.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Senat Koronny wybiera członków Krulewskiej Rady Finansów w trybie określonym w Regulaminie Senatu.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Wybór następuje większością 3/5 głosów w obecności co najmniej połowy ustawowej liczby senatorów.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Jeżeli Senat nie dokona wyboru w terminie 30 dni od dnia powstania wakatu, Krul wyznacza termin dodatkowego posiedzenia Senatu poświęconego wyborowi.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15.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Członek Krulewskiej Rady Finansów może być odwołany przed upływem kadencji wyłącznie w przypadku: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rezygnacji;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trwałej niezdolności do pełnienia funkcji, stwierdzonej uchwałą Senatu Koronnego;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prawomocnego skazania za przestępstwo umyślne;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4) rażącego naruszenia Konstytucji lub ustawy;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5) utraty obywatelstwa Korony;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6) nieusprawiedliwionej nieobecności na co najmniej trzech kolejnych posiedzeniach Rady.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Odwołania dokonuje Senat Koronny większością 2/3 głosów w obecności co najmniej połowy ustawowej liczby senatorów.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Odwołanie wymaga uprzedniego wysłuchania członka Rady, chyba że jest to niemożliwe.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Członek Rady nie może być odwołany z powodów politycznych.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16.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Krulewska Rada Finansów prowadzi politykę pieniężną Korony, ustala jej założenia oraz przedstawia je Senatowi Koronnemu i Przewodniczącemu Rządu Koronnego.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Krulewska Rada Finansów w szczególności: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ustala wysokość stóp procentowych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ustala stopy rezerwy obowiązkowej banków;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zatwierdza plan finansowy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4) uchwala inne akty w sprawach określonych ustawą.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Krulewska Rada Finansów wydaje uchwały.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Uchwały Krulewskiej Rady Finansów są publikowane w Monitorze Krulewskim.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17.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Krulewska Rada Finansów obraduje na posiedzeniach.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Posiedzenia zwołuje przewodniczący co najmniej raz na kwartał, a także na wniosek co najmniej dwóch członków Rady.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Rada podejmuje uchwały zwykłą większością głosów w obecności co najmniej trzech członków, w tym przewodniczącego. W razie równej liczby głosów decyduje głos przewodniczącego.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Rada może zapraszać na posiedzenia przedstawicieli Rządu Koronnego, Senatu i banków w celu zasięgnięcia opinii.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18.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Wielki Skarbnik przewodniczy Krulewskiej Radzie Finansów, zwołuje jej posiedzenia i prowadzi obrady.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Wielki Skarbnik ustala organizację wewnętrzną Krulewskiej Rady Finansów.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W posiedzeniach Krulewskiej Rady Finansów mogą brać udział zastępcy Wielkiego Skarbnika z głosem doradczym.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19.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Członkowie Krulewskiej Rady Finansów są obowiązani do zachowania tajemnicy służbowej i nie mogą ujawniać informacji poufnych.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Członkowie Krulewskiej Rady Finansów składają oświadczenia majątkowe na zasadach określonych w ustawie.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Wynagrodzenie członków Krulewskiej Rady Finansów określa Senat Koronny w drodze uchwały.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20.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Krulewska Rada Finansów może powoływać komitety doradcze i zespoły ekspertów.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Komitety i zespoły, o których mowa w ust. 1, nie mogą podejmować decyzji w imieniu Rady.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3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RELACJE KORONNEGO BANKU CENTRALNEGO Z ORGANAMI PAŃSTWA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21.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współdziała z organami państwa w celu kształtowania polityki gospodarczej Korony, dążąc do prawidłowej realizacji polityki pieniężnej.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współdziała w szczególności z: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Senatem Koronnym — w zakresie polityki pieniężnej i nadzoru nad KBC;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Przewodniczącym Rządu Koronnego — w zakresie koordynacji polityki gospodarczej;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ministrem koronnym właściwym do spraw finansów publicznych — w zakresie polityki fiskalnej i planów finansowych państwa.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KBC opiniuje projekty aktów normatywnych dotyczących prawa gospodarczego, bankowego i finansowego.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22.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Wielki Skarbnik może brać udział w posiedzeniach Senatu Koronnego i Rządu Koronnego z głosem doradczym albo na zaproszenie Krula, Pierwszego Senatora lub Przewodniczącego Rządu Koronnego.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Wielki Skarbnik przedstawia Senatowi Koronnemu roczne sprawozdanie z działalności KBC i realizacji polityki pieniężnej.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Senat Koronny może żądać od KBC informacji i wyjaśnień w zakresie jego zadań, z zachowaniem tajemnicy służbowej.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23.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realizuje politykę walutową Korony.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zarządza rezerwami dewizowymi Korony.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KBC może zawierać umowy z bankami centralnymi innych państw i organizacjami międzynarodowymi za zgodą Krula, w zakresie określonym ustawą.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24.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nie może finansować deficytu budżetowego ani udzielać pożyczek organom państwa, ani gwarantować ich zobowiązań.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może prowadzić rachunki organów państwa i jednostek organizacyjnych, o których mowa w art. 37.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4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EMISJA ZNAKÓW PIENIĘŻNYCH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25.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Znakami pieniężnymi Korony są monety opiewające na krulewskie jednostki pieniężne (kjp).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Znaki pieniężne emitowane przez KBC są prawnymi środkami płatniczymi na terytorium Korony.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Nikt inny nie może emitować znaków pieniężnych ani środków płatniczych imitujących znaki pieniężne.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26.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Wzory, wartość nominalną monet oraz czas ich wprowadzania ustala Wielki Skarbnik w drodze rozporządzenia.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Wielki Skarbnik może wycofać określone znaki pieniężne z obiegu, wskazując: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czas, w którym przestają być prawnym środkiem płatniczym;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sposób i miejsce wymiany;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kurs wymiany;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4) termin wymiany, nie krótszy niż 12 miesięcy od dnia wycofania.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Rozporządzenia Wielkiego Skarbnika są publikowane w Krulewskim Dzienniku Ustaw.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Wydanie rozporządzenia o wycofaniu znaków pieniężnych wymaga zasięgnięcia opinii Krulewskiej Rady Finansów.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27.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Fałszywe znaki pieniężne podlegają konfiskacie bez prawa do zwrotu ich równowartości.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współpracuje z organami ścigania w zakresie zwalczania fałszowania znaków pieniężnych.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KBC prowadzi rejestr fałszywych znaków pieniężnych.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28.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ma prawo sprzedaży w kraju i za granicą monet kolekcjonerskich.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Monety kolekcjonerskie nie są prawnym środkiem płatniczym, chyba że ustawa stanowi inaczej.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29.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KBC organizuje gospodarkę znakami pieniężnymi Korony, w szczególności: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planuje emisję;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prowadzi wymianę znaków wycofanych;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prowadzi ewidencję znaków w obiegu.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30.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Wartość nominalna znaków pieniężnych jest określona w krulewskich jednostkach pieniężnych (kjp).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Znaki pieniężne o tym samym nominale mają jednakową wartość, niezależnie od daty emisji.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Znaki pieniężne o tej samej nazwie, wprowadzone w różnych okresach, różnią się oznaczeniem roku emisji.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31.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Znaki pieniężne wycofane z obiegu podlegają wymianie w siedzibie KBC i w innych miejscach wskazanych przez Wielkiego Skarbnika.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Wymiana jest dokonywana po kursie określonym w rozporządzeniu Wielkiego Skarbnika o wycofaniu znaków pieniężnych.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Po upływie terminu wymiany znaki wycofane nie podlegają wymianie, chyba że ustawa stanowi inaczej.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5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INSTRUMENTY POLITYKI PIENIĘŻNEJ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32.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Instrumenty Wielkiego Skarbnika, oprócz tuby i trąbki, stanowią instrumenty polityki pieniężnej.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33.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Instrumentami polityki pieniężnej KBC są: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1) stopy procentowe;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2) rezerwa obowiązkowa;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3) operacje otwartego rynku;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4) kredyt refinansowy;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5) inne instrumenty określone ustawą.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34.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gromadzi rezerwy obowiązkowe banków w krulewskich jednostkach pieniężnych, walutach obcych, złocie i kamieniach szlachetnych.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Zasady, tryb naliczania i utrzymywania rezerwy obowiązkowej, z uwzględnieniem stóp rezerwy obowiązkowej ustalonych przez Krulewską Radę Finansów, ustala Wielki Skarbnik w drodze rozporządzenia.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Banki są obowiązane do utrzymywania rezerwy obowiązkowej; w razie naruszenia KBC może naliczyć odsetki od zwłoki.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35.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może udzielać bankom kredytu refinansowego w krulewskich jednostkach pieniężnych w celu uzupełnienia ich zasobów pieniężnych.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Warunki kredytu refinansowego, z uwzględnieniem stóp procentowych ustalonych przez Krulewską Radę Finansów, określa Wielki Skarbnik w drodze rozporządzenia.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36.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może emitować i sprzedawać papiery wartościowe oraz kupować i sprzedawać dłużne papiery wartościowe, z zastrzeżeniem art. 40.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może przeprowadzać operacje otwartego rynku.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6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RACHUNKI BANKOWE I GOSPODARKA FINANSOWA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37.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prowadzi rachunki banków, organów centralnych, Pałacu Krula, Skarbca Koronnego oraz innych osób za zgodą Wielkiego Skarbnika.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KBC może prowadzić rachunki w walutach obcych.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Środki na rachunkach są wolne od zajęcia, chyba że ustawa stanowi inaczej.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38.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prowadzi gospodarkę finansową na podstawie planu finansowego uchwalonego przez Wielkiego Skarbnika i zatwierdzonego przez Krulewską Radę Finansów.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Plan finansowy obejmuje przychody, wydatki, fundusze i rezerwy KBC.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Sprawozdanie finansowe KBC podlega badaniu przez biegłego rewidenta wybranego przez Krulewską Radę Finansów.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Sprawozdanie finansowe KBC zatwierdza Krulewska Rada Finansów.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39.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KBC tworzy fundusz rezerwowy, fundusz stabilizacyjny i fundusz rozwoju.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Zysk KBC przeznacza się na fundusze, o których mowa w ust. 1, a nadwyżkę przekazuje się do Skarbca Koronnego w terminie 3 miesięcy od dnia zatwierdzenia sprawozdania finansowego przez Krulewską Radę Finansów.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Krulewska Rada Finansów może zdecydować o pozostawieniu nadwyżki w KBC, jeżeli wymaga tego stabilność finansowa.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40.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KBC może nabywać skarbowe papiery wartościowe wyłącznie na rynku wtórnym.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41.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KBC podlega kontroli Koronnej Izby Kontroli w zakresie legalności i gospodarności, z zachowaniem niezależności KBC.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ROZDZIAŁ 7</w:t>
      </w:r>
    </w:p>
    <w:p>
      <w:pPr>
        <w:keepNext/>
        <w:keepLines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PRZEPISY PRZEJŚCIOWE I KOŃCOWE</w:t>
      </w:r>
    </w:p>
    <w:p>
      <w:pPr>
        <w:keepNext/>
        <w:keepLines w:val="0"/>
        <w:pageBreakBefore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42.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Ustawa z 02.04.2024 r. o Krulewskim Banku Centralnym (Kr. Dz. U. z 2024 r. poz. 8) traci moc.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43.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Dotychczasowe organy KBC działają do dnia powołania organów na podstawie ustawy.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Członkowie Krulewskiej Rady Finansów wybrani przed dniem wejścia w życie ustawy pełnią funkcję do dnia wyboru członków na podstawie ustawy, nie dłużej niż 6 miesięcy od dnia wejścia w życie ustawy.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3. Wielki Skarbnik pełni funkcję do dnia powołania nowego Wielkiego Skarbnika.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4. Do czasu wyboru członków Krulewskiej Rady Finansów na podstawie ustawy Rada działa w dotychczasowym składzie.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44.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1. Akty wykonawcze wydane na podstawie ustawy uchylonej zachowują moc do dnia wydania nowych aktów, nie dłużej niż 12 miesięcy od dnia wejścia w życie ustawy.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2. Sprawy wszczęte przed dniem wejścia w życie ustawy są rozpatrywane według przepisów dotychczasowych.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Art. 45.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Ustawa wchodzi w życie z dniem publikacji.</w:t>
      </w:r>
    </w:p>
    <w:p>
      <w:pPr>
        <w:keepNext w:val="0"/>
        <w:keepLines w:val="0"/>
        <w:pageBreakBefore w:val="0"/>
        <w:spacing w:before="0" w:after="0" w:line="360" w:lineRule="auto"/>
        <w:jc w:val="both"/>
      </w:pPr>
    </w:p>
    <w:p>
      <w:pPr>
        <w:keepNext w:val="0"/>
        <w:keepLines w:val="0"/>
        <w:pageBreakBefore/>
        <w:spacing w:before="0" w:after="0" w:line="360" w:lineRule="auto"/>
        <w:jc w:val="right"/>
      </w:pPr>
      <w:r>
        <w:rPr>
          <w:rFonts w:ascii="Times New Roman" w:hAnsi="Times New Roman" w:eastAsia="Times New Roman" w:cs="Times New Roman"/>
          <w:b/>
          <w:i w:val="0"/>
          <w:sz w:val="22"/>
        </w:rPr>
        <w:t>Załącznik nr 1</w:t>
      </w:r>
    </w:p>
    <w:p>
      <w:pPr>
        <w:keepNext w:val="0"/>
        <w:keepLines w:val="0"/>
        <w:pageBreakBefore w:val="0"/>
        <w:spacing w:before="0" w:after="0" w:line="36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do ustawy z dnia 23.10.2026 r. o Koronnym Banku Centralnym</w:t>
      </w:r>
    </w:p>
    <w:p>
      <w:pPr>
        <w:keepNext w:val="0"/>
        <w:keepLines w:val="0"/>
        <w:pageBreakBefore w:val="0"/>
        <w:spacing w:before="0" w:after="0" w:line="360" w:lineRule="auto"/>
        <w:jc w:val="center"/>
      </w:pPr>
    </w:p>
    <w:p>
      <w:pPr>
        <w:keepNext w:val="0"/>
        <w:keepLines w:val="0"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LOGO KORONNEGO BANKU CENTRALNEGO</w:t>
      </w:r>
    </w:p>
    <w:p>
      <w:pPr>
        <w:keepNext w:val="0"/>
        <w:keepLines w:val="0"/>
        <w:pageBreakBefore w:val="0"/>
        <w:spacing w:before="0" w:after="0" w:line="360" w:lineRule="auto"/>
        <w:jc w:val="center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kb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spacing w:before="0" w:after="0" w:line="360" w:lineRule="auto"/>
        <w:jc w:val="center"/>
      </w:pPr>
    </w:p>
    <w:p>
      <w:pPr>
        <w:keepNext w:val="0"/>
        <w:keepLines w:val="0"/>
        <w:pageBreakBefore w:val="0"/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0"/>
        </w:rPr>
        <w:t>Logo Koronnego Banku Centralnego</w:t>
      </w:r>
    </w:p>
    <w:sectPr w:rsidR="00937124" w:rsidRPr="00937124" w:rsidSect="00A160C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BA3B1" w14:textId="77777777" w:rsidR="001954E4" w:rsidRDefault="001954E4" w:rsidP="008D64EC">
      <w:pPr>
        <w:spacing w:after="0" w:line="240" w:lineRule="auto"/>
      </w:pPr>
      <w:r>
        <w:separator/>
      </w:r>
    </w:p>
  </w:endnote>
  <w:endnote w:type="continuationSeparator" w:id="0">
    <w:p w14:paraId="3BE15D55" w14:textId="77777777" w:rsidR="001954E4" w:rsidRDefault="001954E4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393653E" w14:textId="0385AB1C" w:rsidR="00DE5DF7" w:rsidRPr="00262643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262643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26264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26264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26264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26264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26264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  <w:r w:rsidRPr="00262643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26264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26264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26264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26264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26264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7F98BC50" w14:textId="77777777" w:rsidR="00DE5DF7" w:rsidRPr="00262643" w:rsidRDefault="00DE5DF7">
    <w:pPr>
      <w:pStyle w:val="Stopka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19128946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1173064848"/>
          <w:docPartObj>
            <w:docPartGallery w:val="Page Numbers (Top of Page)"/>
            <w:docPartUnique/>
          </w:docPartObj>
        </w:sdtPr>
        <w:sdtEndPr/>
        <w:sdtContent>
          <w:p w14:paraId="6A61BCDA" w14:textId="44A997D0" w:rsidR="005376A7" w:rsidRPr="005376A7" w:rsidRDefault="005376A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376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376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376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929BA0A" w14:textId="77777777" w:rsidR="005376A7" w:rsidRPr="005376A7" w:rsidRDefault="005376A7">
    <w:pPr>
      <w:pStyle w:val="Stopka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273CF" w14:textId="77777777" w:rsidR="001954E4" w:rsidRDefault="001954E4" w:rsidP="008D64EC">
      <w:pPr>
        <w:spacing w:after="0" w:line="240" w:lineRule="auto"/>
      </w:pPr>
      <w:r>
        <w:separator/>
      </w:r>
    </w:p>
  </w:footnote>
  <w:footnote w:type="continuationSeparator" w:id="0">
    <w:p w14:paraId="74C200DB" w14:textId="77777777" w:rsidR="001954E4" w:rsidRDefault="001954E4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199A0217" w:rsidR="008D64EC" w:rsidRPr="00262643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262643">
      <w:rPr>
        <w:rFonts w:ascii="Times New Roman" w:hAnsi="Times New Roman" w:cs="Times New Roman"/>
        <w:sz w:val="18"/>
        <w:szCs w:val="18"/>
      </w:rPr>
      <w:t>Kancelaria Senatu Koronnego</w:t>
    </w:r>
    <w:r w:rsidR="005460C8" w:rsidRPr="00262643">
      <w:rPr>
        <w:rFonts w:ascii="Times New Roman" w:hAnsi="Times New Roman" w:cs="Times New Roman"/>
        <w:sz w:val="18"/>
        <w:szCs w:val="18"/>
      </w:rPr>
      <w:tab/>
    </w:r>
    <w:r w:rsidR="00262643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CC5DB0">
      <w:rPr>
        <w:rFonts w:ascii="Times New Roman" w:hAnsi="Times New Roman" w:cs="Times New Roman"/>
        <w:b/>
        <w:bCs/>
        <w:sz w:val="18"/>
        <w:szCs w:val="18"/>
      </w:rPr>
      <w:t>6</w:t>
    </w:r>
    <w:r w:rsidR="00262643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CC5DB0">
      <w:rPr>
        <w:rFonts w:ascii="Times New Roman" w:hAnsi="Times New Roman" w:cs="Times New Roman"/>
        <w:b/>
        <w:bCs/>
        <w:sz w:val="18"/>
        <w:szCs w:val="18"/>
      </w:rPr>
      <w:t>54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4F069" w14:textId="47DFFCD1" w:rsidR="008D64EC" w:rsidRPr="00A160C0" w:rsidRDefault="009A3654" w:rsidP="00A160C0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7D4AC2B6" wp14:editId="381CCE8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A160C0">
      <w:tab/>
    </w:r>
    <w:r w:rsidR="00A160C0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CC5DB0">
      <w:rPr>
        <w:rFonts w:ascii="Times New Roman" w:hAnsi="Times New Roman" w:cs="Times New Roman"/>
        <w:b/>
        <w:bCs/>
        <w:sz w:val="18"/>
        <w:szCs w:val="18"/>
      </w:rPr>
      <w:t>6</w:t>
    </w:r>
    <w:r w:rsidR="00A160C0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CC5DB0">
      <w:rPr>
        <w:rFonts w:ascii="Times New Roman" w:hAnsi="Times New Roman" w:cs="Times New Roman"/>
        <w:b/>
        <w:bCs/>
        <w:sz w:val="18"/>
        <w:szCs w:val="18"/>
      </w:rPr>
      <w:t>54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3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2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4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8039DF"/>
    <w:multiLevelType w:val="hybridMultilevel"/>
    <w:tmpl w:val="A3CC5FA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8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1"/>
  </w:num>
  <w:num w:numId="3" w16cid:durableId="165244951">
    <w:abstractNumId w:val="12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2"/>
  </w:num>
  <w:num w:numId="7" w16cid:durableId="1170372467">
    <w:abstractNumId w:val="10"/>
  </w:num>
  <w:num w:numId="8" w16cid:durableId="1601139872">
    <w:abstractNumId w:val="19"/>
  </w:num>
  <w:num w:numId="9" w16cid:durableId="1844123885">
    <w:abstractNumId w:val="13"/>
  </w:num>
  <w:num w:numId="10" w16cid:durableId="537821115">
    <w:abstractNumId w:val="5"/>
  </w:num>
  <w:num w:numId="11" w16cid:durableId="1986280655">
    <w:abstractNumId w:val="14"/>
  </w:num>
  <w:num w:numId="12" w16cid:durableId="258952614">
    <w:abstractNumId w:val="17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7"/>
  </w:num>
  <w:num w:numId="16" w16cid:durableId="901403149">
    <w:abstractNumId w:val="23"/>
  </w:num>
  <w:num w:numId="17" w16cid:durableId="1973099912">
    <w:abstractNumId w:val="21"/>
  </w:num>
  <w:num w:numId="18" w16cid:durableId="644698532">
    <w:abstractNumId w:val="18"/>
  </w:num>
  <w:num w:numId="19" w16cid:durableId="1015546055">
    <w:abstractNumId w:val="24"/>
  </w:num>
  <w:num w:numId="20" w16cid:durableId="2008439383">
    <w:abstractNumId w:val="26"/>
  </w:num>
  <w:num w:numId="21" w16cid:durableId="2112819523">
    <w:abstractNumId w:val="28"/>
  </w:num>
  <w:num w:numId="22" w16cid:durableId="1712420379">
    <w:abstractNumId w:val="1"/>
  </w:num>
  <w:num w:numId="23" w16cid:durableId="1275554091">
    <w:abstractNumId w:val="20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5"/>
  </w:num>
  <w:num w:numId="27" w16cid:durableId="1159922771">
    <w:abstractNumId w:val="16"/>
  </w:num>
  <w:num w:numId="28" w16cid:durableId="54165420">
    <w:abstractNumId w:val="0"/>
  </w:num>
  <w:num w:numId="29" w16cid:durableId="8081301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4139691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CD2"/>
    <w:rsid w:val="00002EEE"/>
    <w:rsid w:val="00003AD2"/>
    <w:rsid w:val="00005125"/>
    <w:rsid w:val="00006F50"/>
    <w:rsid w:val="00011713"/>
    <w:rsid w:val="0001447A"/>
    <w:rsid w:val="00014A33"/>
    <w:rsid w:val="000151A4"/>
    <w:rsid w:val="00022EE9"/>
    <w:rsid w:val="0002419D"/>
    <w:rsid w:val="00024681"/>
    <w:rsid w:val="00026631"/>
    <w:rsid w:val="00026DCA"/>
    <w:rsid w:val="000317BA"/>
    <w:rsid w:val="0003216F"/>
    <w:rsid w:val="00033416"/>
    <w:rsid w:val="00036EF9"/>
    <w:rsid w:val="0004115B"/>
    <w:rsid w:val="00041181"/>
    <w:rsid w:val="00043BB7"/>
    <w:rsid w:val="00043FB7"/>
    <w:rsid w:val="00045650"/>
    <w:rsid w:val="00050A17"/>
    <w:rsid w:val="0005162A"/>
    <w:rsid w:val="00053A83"/>
    <w:rsid w:val="00055704"/>
    <w:rsid w:val="00055953"/>
    <w:rsid w:val="000566B4"/>
    <w:rsid w:val="000611A7"/>
    <w:rsid w:val="00062A8F"/>
    <w:rsid w:val="00062B88"/>
    <w:rsid w:val="00066C9E"/>
    <w:rsid w:val="0006738C"/>
    <w:rsid w:val="00067607"/>
    <w:rsid w:val="00067B03"/>
    <w:rsid w:val="00067F0A"/>
    <w:rsid w:val="00074857"/>
    <w:rsid w:val="000768AF"/>
    <w:rsid w:val="000804AB"/>
    <w:rsid w:val="00080CA3"/>
    <w:rsid w:val="000828EF"/>
    <w:rsid w:val="00082C6D"/>
    <w:rsid w:val="00083BB8"/>
    <w:rsid w:val="00086308"/>
    <w:rsid w:val="0009256E"/>
    <w:rsid w:val="0009574F"/>
    <w:rsid w:val="000A1620"/>
    <w:rsid w:val="000A1D2D"/>
    <w:rsid w:val="000A1F13"/>
    <w:rsid w:val="000A458B"/>
    <w:rsid w:val="000A59BB"/>
    <w:rsid w:val="000B096F"/>
    <w:rsid w:val="000B199A"/>
    <w:rsid w:val="000B1ACA"/>
    <w:rsid w:val="000B3939"/>
    <w:rsid w:val="000B4BC1"/>
    <w:rsid w:val="000C16A6"/>
    <w:rsid w:val="000C1DF7"/>
    <w:rsid w:val="000D1196"/>
    <w:rsid w:val="000D22A7"/>
    <w:rsid w:val="000D26F8"/>
    <w:rsid w:val="000D29E0"/>
    <w:rsid w:val="000D6E4A"/>
    <w:rsid w:val="000E1675"/>
    <w:rsid w:val="000E16EF"/>
    <w:rsid w:val="000E31AE"/>
    <w:rsid w:val="000E3620"/>
    <w:rsid w:val="000E373B"/>
    <w:rsid w:val="000E3879"/>
    <w:rsid w:val="000E3E0E"/>
    <w:rsid w:val="000E54B0"/>
    <w:rsid w:val="000E680F"/>
    <w:rsid w:val="000E68C2"/>
    <w:rsid w:val="000E7D2E"/>
    <w:rsid w:val="000F0661"/>
    <w:rsid w:val="000F0A64"/>
    <w:rsid w:val="000F1C0F"/>
    <w:rsid w:val="000F29A5"/>
    <w:rsid w:val="000F2AF6"/>
    <w:rsid w:val="000F38FE"/>
    <w:rsid w:val="000F4EE3"/>
    <w:rsid w:val="000F535C"/>
    <w:rsid w:val="001001B6"/>
    <w:rsid w:val="00101E13"/>
    <w:rsid w:val="00103F3B"/>
    <w:rsid w:val="00104DD8"/>
    <w:rsid w:val="001051C3"/>
    <w:rsid w:val="0010534B"/>
    <w:rsid w:val="00106EEC"/>
    <w:rsid w:val="001078F7"/>
    <w:rsid w:val="00107911"/>
    <w:rsid w:val="001105ED"/>
    <w:rsid w:val="001136C7"/>
    <w:rsid w:val="001139DB"/>
    <w:rsid w:val="00116872"/>
    <w:rsid w:val="00117A9C"/>
    <w:rsid w:val="001235AD"/>
    <w:rsid w:val="00124F42"/>
    <w:rsid w:val="001254F2"/>
    <w:rsid w:val="00126931"/>
    <w:rsid w:val="00130570"/>
    <w:rsid w:val="00130A19"/>
    <w:rsid w:val="00135302"/>
    <w:rsid w:val="001357B8"/>
    <w:rsid w:val="001358D8"/>
    <w:rsid w:val="00135BE7"/>
    <w:rsid w:val="00136413"/>
    <w:rsid w:val="00137412"/>
    <w:rsid w:val="00141A09"/>
    <w:rsid w:val="00141FC0"/>
    <w:rsid w:val="001448FA"/>
    <w:rsid w:val="00144F14"/>
    <w:rsid w:val="00153344"/>
    <w:rsid w:val="001550FA"/>
    <w:rsid w:val="00157EC0"/>
    <w:rsid w:val="001628B9"/>
    <w:rsid w:val="0016309C"/>
    <w:rsid w:val="00163179"/>
    <w:rsid w:val="0016625F"/>
    <w:rsid w:val="00167A0A"/>
    <w:rsid w:val="00170B74"/>
    <w:rsid w:val="00172F46"/>
    <w:rsid w:val="00172FD8"/>
    <w:rsid w:val="00176233"/>
    <w:rsid w:val="00180716"/>
    <w:rsid w:val="0018079B"/>
    <w:rsid w:val="00182AF4"/>
    <w:rsid w:val="00184D78"/>
    <w:rsid w:val="0019162A"/>
    <w:rsid w:val="00191D78"/>
    <w:rsid w:val="001938E7"/>
    <w:rsid w:val="001954E4"/>
    <w:rsid w:val="001973E3"/>
    <w:rsid w:val="001A310B"/>
    <w:rsid w:val="001A5C17"/>
    <w:rsid w:val="001A6A5F"/>
    <w:rsid w:val="001B0450"/>
    <w:rsid w:val="001C096D"/>
    <w:rsid w:val="001C18D1"/>
    <w:rsid w:val="001C3CE3"/>
    <w:rsid w:val="001C53EB"/>
    <w:rsid w:val="001C7070"/>
    <w:rsid w:val="001D21D8"/>
    <w:rsid w:val="001D236B"/>
    <w:rsid w:val="001D2436"/>
    <w:rsid w:val="001D24C6"/>
    <w:rsid w:val="001D3780"/>
    <w:rsid w:val="001D52A2"/>
    <w:rsid w:val="001D596E"/>
    <w:rsid w:val="001D61F1"/>
    <w:rsid w:val="001D66CC"/>
    <w:rsid w:val="001D6E77"/>
    <w:rsid w:val="001E1514"/>
    <w:rsid w:val="001E2C8E"/>
    <w:rsid w:val="001E35E5"/>
    <w:rsid w:val="001E67AF"/>
    <w:rsid w:val="001E6973"/>
    <w:rsid w:val="001F21A8"/>
    <w:rsid w:val="001F2F69"/>
    <w:rsid w:val="001F6B6B"/>
    <w:rsid w:val="0020077E"/>
    <w:rsid w:val="0020106C"/>
    <w:rsid w:val="00201677"/>
    <w:rsid w:val="00201C84"/>
    <w:rsid w:val="002049BA"/>
    <w:rsid w:val="002053A4"/>
    <w:rsid w:val="00207358"/>
    <w:rsid w:val="002079DA"/>
    <w:rsid w:val="00210A47"/>
    <w:rsid w:val="00211149"/>
    <w:rsid w:val="002138B0"/>
    <w:rsid w:val="002140BB"/>
    <w:rsid w:val="00215363"/>
    <w:rsid w:val="00215503"/>
    <w:rsid w:val="00217C85"/>
    <w:rsid w:val="0022311C"/>
    <w:rsid w:val="00223162"/>
    <w:rsid w:val="0022441D"/>
    <w:rsid w:val="00226070"/>
    <w:rsid w:val="00226DBF"/>
    <w:rsid w:val="00230F8A"/>
    <w:rsid w:val="002345AD"/>
    <w:rsid w:val="002346DC"/>
    <w:rsid w:val="00237F80"/>
    <w:rsid w:val="00241296"/>
    <w:rsid w:val="00246E1F"/>
    <w:rsid w:val="00247090"/>
    <w:rsid w:val="002470BA"/>
    <w:rsid w:val="00247147"/>
    <w:rsid w:val="00250E92"/>
    <w:rsid w:val="00252F8A"/>
    <w:rsid w:val="00256D62"/>
    <w:rsid w:val="002572B7"/>
    <w:rsid w:val="002613D7"/>
    <w:rsid w:val="00262643"/>
    <w:rsid w:val="00262BC1"/>
    <w:rsid w:val="00267BCD"/>
    <w:rsid w:val="002717F5"/>
    <w:rsid w:val="00275401"/>
    <w:rsid w:val="00277472"/>
    <w:rsid w:val="00280362"/>
    <w:rsid w:val="00280D58"/>
    <w:rsid w:val="00281574"/>
    <w:rsid w:val="002815B0"/>
    <w:rsid w:val="00283347"/>
    <w:rsid w:val="002860DC"/>
    <w:rsid w:val="002877B3"/>
    <w:rsid w:val="00287D84"/>
    <w:rsid w:val="00290ABD"/>
    <w:rsid w:val="00291384"/>
    <w:rsid w:val="00291C08"/>
    <w:rsid w:val="00291C29"/>
    <w:rsid w:val="00294C42"/>
    <w:rsid w:val="00296465"/>
    <w:rsid w:val="002A0B49"/>
    <w:rsid w:val="002A1187"/>
    <w:rsid w:val="002A6157"/>
    <w:rsid w:val="002A7F29"/>
    <w:rsid w:val="002A7F46"/>
    <w:rsid w:val="002B04FC"/>
    <w:rsid w:val="002B076C"/>
    <w:rsid w:val="002B4262"/>
    <w:rsid w:val="002B4612"/>
    <w:rsid w:val="002B79FC"/>
    <w:rsid w:val="002C009E"/>
    <w:rsid w:val="002C0718"/>
    <w:rsid w:val="002C0760"/>
    <w:rsid w:val="002C0CEB"/>
    <w:rsid w:val="002C27F0"/>
    <w:rsid w:val="002C2B69"/>
    <w:rsid w:val="002C3399"/>
    <w:rsid w:val="002C48E1"/>
    <w:rsid w:val="002C69E7"/>
    <w:rsid w:val="002D1505"/>
    <w:rsid w:val="002D1E05"/>
    <w:rsid w:val="002D2424"/>
    <w:rsid w:val="002D41F9"/>
    <w:rsid w:val="002D4C3A"/>
    <w:rsid w:val="002D6A0F"/>
    <w:rsid w:val="002D6F51"/>
    <w:rsid w:val="002D6FF1"/>
    <w:rsid w:val="002D73BE"/>
    <w:rsid w:val="002E3254"/>
    <w:rsid w:val="002E42A5"/>
    <w:rsid w:val="002E5E33"/>
    <w:rsid w:val="002E6758"/>
    <w:rsid w:val="002F29E9"/>
    <w:rsid w:val="002F31F2"/>
    <w:rsid w:val="002F3850"/>
    <w:rsid w:val="002F4178"/>
    <w:rsid w:val="002F4774"/>
    <w:rsid w:val="002F5E21"/>
    <w:rsid w:val="00301902"/>
    <w:rsid w:val="003024E7"/>
    <w:rsid w:val="0030471B"/>
    <w:rsid w:val="003106E6"/>
    <w:rsid w:val="00311B8D"/>
    <w:rsid w:val="00311E87"/>
    <w:rsid w:val="00312CBB"/>
    <w:rsid w:val="00313F7D"/>
    <w:rsid w:val="003147EE"/>
    <w:rsid w:val="00314FE2"/>
    <w:rsid w:val="003161E0"/>
    <w:rsid w:val="00317620"/>
    <w:rsid w:val="003229CC"/>
    <w:rsid w:val="00323307"/>
    <w:rsid w:val="00326AAE"/>
    <w:rsid w:val="00327485"/>
    <w:rsid w:val="00330B85"/>
    <w:rsid w:val="00333499"/>
    <w:rsid w:val="00334472"/>
    <w:rsid w:val="003362B7"/>
    <w:rsid w:val="00340050"/>
    <w:rsid w:val="0034067D"/>
    <w:rsid w:val="003416E8"/>
    <w:rsid w:val="00341815"/>
    <w:rsid w:val="0034547F"/>
    <w:rsid w:val="0035057C"/>
    <w:rsid w:val="00350665"/>
    <w:rsid w:val="003514BB"/>
    <w:rsid w:val="003540A7"/>
    <w:rsid w:val="0036092E"/>
    <w:rsid w:val="00365ADF"/>
    <w:rsid w:val="00366694"/>
    <w:rsid w:val="00370211"/>
    <w:rsid w:val="00370C75"/>
    <w:rsid w:val="00371DCC"/>
    <w:rsid w:val="003726A3"/>
    <w:rsid w:val="003734A0"/>
    <w:rsid w:val="00381C0D"/>
    <w:rsid w:val="00381DFB"/>
    <w:rsid w:val="00385F3A"/>
    <w:rsid w:val="00387009"/>
    <w:rsid w:val="003905C8"/>
    <w:rsid w:val="00390F49"/>
    <w:rsid w:val="0039166F"/>
    <w:rsid w:val="00395C02"/>
    <w:rsid w:val="003A1D8B"/>
    <w:rsid w:val="003A32F5"/>
    <w:rsid w:val="003A372A"/>
    <w:rsid w:val="003A38DB"/>
    <w:rsid w:val="003A3998"/>
    <w:rsid w:val="003A4284"/>
    <w:rsid w:val="003A48DF"/>
    <w:rsid w:val="003A5C14"/>
    <w:rsid w:val="003B06E8"/>
    <w:rsid w:val="003B12A9"/>
    <w:rsid w:val="003B3727"/>
    <w:rsid w:val="003B56E2"/>
    <w:rsid w:val="003B6717"/>
    <w:rsid w:val="003B787B"/>
    <w:rsid w:val="003C2FBC"/>
    <w:rsid w:val="003C37A2"/>
    <w:rsid w:val="003C4579"/>
    <w:rsid w:val="003C77FA"/>
    <w:rsid w:val="003C7F1F"/>
    <w:rsid w:val="003D06B9"/>
    <w:rsid w:val="003D2070"/>
    <w:rsid w:val="003D2AFE"/>
    <w:rsid w:val="003D391F"/>
    <w:rsid w:val="003D4894"/>
    <w:rsid w:val="003D49C7"/>
    <w:rsid w:val="003D4FB4"/>
    <w:rsid w:val="003D6781"/>
    <w:rsid w:val="003D73AC"/>
    <w:rsid w:val="003D7FCC"/>
    <w:rsid w:val="003E01E3"/>
    <w:rsid w:val="003E1301"/>
    <w:rsid w:val="003E1E61"/>
    <w:rsid w:val="003E7FFD"/>
    <w:rsid w:val="003F04D5"/>
    <w:rsid w:val="003F10EF"/>
    <w:rsid w:val="003F493B"/>
    <w:rsid w:val="003F52F4"/>
    <w:rsid w:val="003F74C4"/>
    <w:rsid w:val="00400552"/>
    <w:rsid w:val="004016E7"/>
    <w:rsid w:val="00404C0F"/>
    <w:rsid w:val="00406E4C"/>
    <w:rsid w:val="004074A8"/>
    <w:rsid w:val="00407F0C"/>
    <w:rsid w:val="00413347"/>
    <w:rsid w:val="00416DBC"/>
    <w:rsid w:val="00416F08"/>
    <w:rsid w:val="00423403"/>
    <w:rsid w:val="00423669"/>
    <w:rsid w:val="00423CBE"/>
    <w:rsid w:val="004257FE"/>
    <w:rsid w:val="004311C8"/>
    <w:rsid w:val="004311CC"/>
    <w:rsid w:val="00432CFA"/>
    <w:rsid w:val="004330A9"/>
    <w:rsid w:val="00434703"/>
    <w:rsid w:val="00441CCB"/>
    <w:rsid w:val="00441CE6"/>
    <w:rsid w:val="004420E0"/>
    <w:rsid w:val="00443601"/>
    <w:rsid w:val="0044520D"/>
    <w:rsid w:val="00447F3A"/>
    <w:rsid w:val="00447FA1"/>
    <w:rsid w:val="00451CE1"/>
    <w:rsid w:val="0045594C"/>
    <w:rsid w:val="00456804"/>
    <w:rsid w:val="00457836"/>
    <w:rsid w:val="0046098B"/>
    <w:rsid w:val="00460C55"/>
    <w:rsid w:val="0046261F"/>
    <w:rsid w:val="00464047"/>
    <w:rsid w:val="00466352"/>
    <w:rsid w:val="00470DDF"/>
    <w:rsid w:val="00474A32"/>
    <w:rsid w:val="00476412"/>
    <w:rsid w:val="00476DA5"/>
    <w:rsid w:val="00477E7B"/>
    <w:rsid w:val="004815B6"/>
    <w:rsid w:val="004830C6"/>
    <w:rsid w:val="0048373C"/>
    <w:rsid w:val="00483A6A"/>
    <w:rsid w:val="00485CB7"/>
    <w:rsid w:val="004870B1"/>
    <w:rsid w:val="004926A7"/>
    <w:rsid w:val="00492EF2"/>
    <w:rsid w:val="00493FA5"/>
    <w:rsid w:val="00494424"/>
    <w:rsid w:val="00495911"/>
    <w:rsid w:val="004965A1"/>
    <w:rsid w:val="004A0306"/>
    <w:rsid w:val="004A0D0E"/>
    <w:rsid w:val="004A0E53"/>
    <w:rsid w:val="004A2F74"/>
    <w:rsid w:val="004A4015"/>
    <w:rsid w:val="004A4345"/>
    <w:rsid w:val="004A6287"/>
    <w:rsid w:val="004B2603"/>
    <w:rsid w:val="004B27CA"/>
    <w:rsid w:val="004B303F"/>
    <w:rsid w:val="004B4310"/>
    <w:rsid w:val="004B5A42"/>
    <w:rsid w:val="004B6FF7"/>
    <w:rsid w:val="004C00D4"/>
    <w:rsid w:val="004C01FE"/>
    <w:rsid w:val="004C0F39"/>
    <w:rsid w:val="004C206D"/>
    <w:rsid w:val="004C25D3"/>
    <w:rsid w:val="004C466F"/>
    <w:rsid w:val="004C51B9"/>
    <w:rsid w:val="004C52FB"/>
    <w:rsid w:val="004C72FE"/>
    <w:rsid w:val="004D0E55"/>
    <w:rsid w:val="004D13E5"/>
    <w:rsid w:val="004D1C56"/>
    <w:rsid w:val="004D1C6D"/>
    <w:rsid w:val="004D49BA"/>
    <w:rsid w:val="004D4F38"/>
    <w:rsid w:val="004D5D65"/>
    <w:rsid w:val="004D60F5"/>
    <w:rsid w:val="004E1499"/>
    <w:rsid w:val="004E2300"/>
    <w:rsid w:val="004E3A8B"/>
    <w:rsid w:val="004E3D02"/>
    <w:rsid w:val="004E535F"/>
    <w:rsid w:val="004F0312"/>
    <w:rsid w:val="004F13AF"/>
    <w:rsid w:val="004F5495"/>
    <w:rsid w:val="004F6CF1"/>
    <w:rsid w:val="0050036B"/>
    <w:rsid w:val="00500472"/>
    <w:rsid w:val="005010F5"/>
    <w:rsid w:val="00501B6D"/>
    <w:rsid w:val="00501E1A"/>
    <w:rsid w:val="00501EF8"/>
    <w:rsid w:val="005068D1"/>
    <w:rsid w:val="005074FC"/>
    <w:rsid w:val="00507D36"/>
    <w:rsid w:val="00512169"/>
    <w:rsid w:val="00512A15"/>
    <w:rsid w:val="0051302C"/>
    <w:rsid w:val="005172E7"/>
    <w:rsid w:val="005210FE"/>
    <w:rsid w:val="0052517A"/>
    <w:rsid w:val="00526482"/>
    <w:rsid w:val="0052658E"/>
    <w:rsid w:val="005271A6"/>
    <w:rsid w:val="00527FC9"/>
    <w:rsid w:val="00532396"/>
    <w:rsid w:val="00533370"/>
    <w:rsid w:val="00535B36"/>
    <w:rsid w:val="00535EC7"/>
    <w:rsid w:val="0053756D"/>
    <w:rsid w:val="005376A7"/>
    <w:rsid w:val="00545546"/>
    <w:rsid w:val="005460C8"/>
    <w:rsid w:val="005471DA"/>
    <w:rsid w:val="00547E90"/>
    <w:rsid w:val="00553A6D"/>
    <w:rsid w:val="00554622"/>
    <w:rsid w:val="00556FA8"/>
    <w:rsid w:val="00560210"/>
    <w:rsid w:val="005609DA"/>
    <w:rsid w:val="00562CA2"/>
    <w:rsid w:val="00562DBA"/>
    <w:rsid w:val="00563455"/>
    <w:rsid w:val="00563551"/>
    <w:rsid w:val="005635E2"/>
    <w:rsid w:val="005657A3"/>
    <w:rsid w:val="00566066"/>
    <w:rsid w:val="00566997"/>
    <w:rsid w:val="00567A01"/>
    <w:rsid w:val="00571923"/>
    <w:rsid w:val="00571BFA"/>
    <w:rsid w:val="00571D0C"/>
    <w:rsid w:val="005728D6"/>
    <w:rsid w:val="0057333E"/>
    <w:rsid w:val="00573525"/>
    <w:rsid w:val="0057354E"/>
    <w:rsid w:val="00573F5D"/>
    <w:rsid w:val="00577E20"/>
    <w:rsid w:val="0058349C"/>
    <w:rsid w:val="005836D2"/>
    <w:rsid w:val="00585B21"/>
    <w:rsid w:val="00586035"/>
    <w:rsid w:val="00586D7E"/>
    <w:rsid w:val="0059009E"/>
    <w:rsid w:val="00591BFA"/>
    <w:rsid w:val="005928A7"/>
    <w:rsid w:val="00597A79"/>
    <w:rsid w:val="005A029F"/>
    <w:rsid w:val="005A1921"/>
    <w:rsid w:val="005A1D7C"/>
    <w:rsid w:val="005A3205"/>
    <w:rsid w:val="005A5DD4"/>
    <w:rsid w:val="005A655C"/>
    <w:rsid w:val="005A69CE"/>
    <w:rsid w:val="005B1AC6"/>
    <w:rsid w:val="005B2955"/>
    <w:rsid w:val="005B4D96"/>
    <w:rsid w:val="005B713E"/>
    <w:rsid w:val="005B78D5"/>
    <w:rsid w:val="005C0F8B"/>
    <w:rsid w:val="005C30F7"/>
    <w:rsid w:val="005C37C6"/>
    <w:rsid w:val="005C4142"/>
    <w:rsid w:val="005C76B3"/>
    <w:rsid w:val="005D354C"/>
    <w:rsid w:val="005D38E5"/>
    <w:rsid w:val="005D3E05"/>
    <w:rsid w:val="005D4832"/>
    <w:rsid w:val="005D5623"/>
    <w:rsid w:val="005D6E3E"/>
    <w:rsid w:val="005E021C"/>
    <w:rsid w:val="005E0E26"/>
    <w:rsid w:val="005E4300"/>
    <w:rsid w:val="005E52F1"/>
    <w:rsid w:val="005E64E0"/>
    <w:rsid w:val="005E6DFA"/>
    <w:rsid w:val="005F1305"/>
    <w:rsid w:val="005F1687"/>
    <w:rsid w:val="005F5803"/>
    <w:rsid w:val="005F58AE"/>
    <w:rsid w:val="005F5FCD"/>
    <w:rsid w:val="005F696B"/>
    <w:rsid w:val="005F7917"/>
    <w:rsid w:val="006008AD"/>
    <w:rsid w:val="0060143C"/>
    <w:rsid w:val="0060369C"/>
    <w:rsid w:val="006049B5"/>
    <w:rsid w:val="00606883"/>
    <w:rsid w:val="006115DA"/>
    <w:rsid w:val="00611F46"/>
    <w:rsid w:val="0061247C"/>
    <w:rsid w:val="006125E6"/>
    <w:rsid w:val="006130A2"/>
    <w:rsid w:val="00613B51"/>
    <w:rsid w:val="006162EB"/>
    <w:rsid w:val="006178E0"/>
    <w:rsid w:val="00617D33"/>
    <w:rsid w:val="006223D9"/>
    <w:rsid w:val="00623A33"/>
    <w:rsid w:val="00623A36"/>
    <w:rsid w:val="00625B0B"/>
    <w:rsid w:val="006271C2"/>
    <w:rsid w:val="00631E0A"/>
    <w:rsid w:val="0063240C"/>
    <w:rsid w:val="006338F9"/>
    <w:rsid w:val="00636416"/>
    <w:rsid w:val="00637CF5"/>
    <w:rsid w:val="00642238"/>
    <w:rsid w:val="006424F6"/>
    <w:rsid w:val="00644161"/>
    <w:rsid w:val="0064573F"/>
    <w:rsid w:val="00646A02"/>
    <w:rsid w:val="00650A46"/>
    <w:rsid w:val="00650DE1"/>
    <w:rsid w:val="006512C6"/>
    <w:rsid w:val="00651C92"/>
    <w:rsid w:val="006521A1"/>
    <w:rsid w:val="00652DE5"/>
    <w:rsid w:val="0065372A"/>
    <w:rsid w:val="00653AFD"/>
    <w:rsid w:val="0065573E"/>
    <w:rsid w:val="00657C84"/>
    <w:rsid w:val="006602E5"/>
    <w:rsid w:val="00666541"/>
    <w:rsid w:val="00667557"/>
    <w:rsid w:val="00667BB3"/>
    <w:rsid w:val="00667ECB"/>
    <w:rsid w:val="00670DF3"/>
    <w:rsid w:val="00670E31"/>
    <w:rsid w:val="00672534"/>
    <w:rsid w:val="00672644"/>
    <w:rsid w:val="00672729"/>
    <w:rsid w:val="006732E0"/>
    <w:rsid w:val="0067579F"/>
    <w:rsid w:val="0067773B"/>
    <w:rsid w:val="006834F2"/>
    <w:rsid w:val="006859B7"/>
    <w:rsid w:val="00685F85"/>
    <w:rsid w:val="006874AC"/>
    <w:rsid w:val="006904F7"/>
    <w:rsid w:val="0069185E"/>
    <w:rsid w:val="00693799"/>
    <w:rsid w:val="00694D6F"/>
    <w:rsid w:val="0069630A"/>
    <w:rsid w:val="00697B8D"/>
    <w:rsid w:val="00697D5A"/>
    <w:rsid w:val="006A3AEF"/>
    <w:rsid w:val="006A3CAC"/>
    <w:rsid w:val="006A3E29"/>
    <w:rsid w:val="006A46AF"/>
    <w:rsid w:val="006A7844"/>
    <w:rsid w:val="006B0123"/>
    <w:rsid w:val="006B01D8"/>
    <w:rsid w:val="006B0CC2"/>
    <w:rsid w:val="006B3762"/>
    <w:rsid w:val="006B420F"/>
    <w:rsid w:val="006B4830"/>
    <w:rsid w:val="006B7DB6"/>
    <w:rsid w:val="006C0BAF"/>
    <w:rsid w:val="006C136A"/>
    <w:rsid w:val="006C22F4"/>
    <w:rsid w:val="006C34A5"/>
    <w:rsid w:val="006C48B5"/>
    <w:rsid w:val="006C4E56"/>
    <w:rsid w:val="006D1B97"/>
    <w:rsid w:val="006D1E53"/>
    <w:rsid w:val="006D25F9"/>
    <w:rsid w:val="006D493A"/>
    <w:rsid w:val="006D745B"/>
    <w:rsid w:val="006E023B"/>
    <w:rsid w:val="006E222B"/>
    <w:rsid w:val="006E36DF"/>
    <w:rsid w:val="006E502C"/>
    <w:rsid w:val="006E570C"/>
    <w:rsid w:val="006F09EF"/>
    <w:rsid w:val="006F0A1F"/>
    <w:rsid w:val="006F33FE"/>
    <w:rsid w:val="006F3AD3"/>
    <w:rsid w:val="006F7687"/>
    <w:rsid w:val="007058D8"/>
    <w:rsid w:val="00705CEA"/>
    <w:rsid w:val="00705FEC"/>
    <w:rsid w:val="007075EB"/>
    <w:rsid w:val="00707AB2"/>
    <w:rsid w:val="00707E36"/>
    <w:rsid w:val="00710938"/>
    <w:rsid w:val="00711D89"/>
    <w:rsid w:val="007129EE"/>
    <w:rsid w:val="00712E72"/>
    <w:rsid w:val="00714ED1"/>
    <w:rsid w:val="0071608A"/>
    <w:rsid w:val="00716D82"/>
    <w:rsid w:val="00720DE0"/>
    <w:rsid w:val="00725EC3"/>
    <w:rsid w:val="00732885"/>
    <w:rsid w:val="0073429D"/>
    <w:rsid w:val="007355F1"/>
    <w:rsid w:val="00735B80"/>
    <w:rsid w:val="00737EBC"/>
    <w:rsid w:val="00742774"/>
    <w:rsid w:val="00742F5D"/>
    <w:rsid w:val="0075157D"/>
    <w:rsid w:val="0075312D"/>
    <w:rsid w:val="00755AF2"/>
    <w:rsid w:val="00756406"/>
    <w:rsid w:val="00756A7E"/>
    <w:rsid w:val="00757F31"/>
    <w:rsid w:val="00760CFB"/>
    <w:rsid w:val="00761010"/>
    <w:rsid w:val="0076155E"/>
    <w:rsid w:val="0076385D"/>
    <w:rsid w:val="00763A74"/>
    <w:rsid w:val="00764569"/>
    <w:rsid w:val="007661AC"/>
    <w:rsid w:val="00771795"/>
    <w:rsid w:val="007735A6"/>
    <w:rsid w:val="0077504D"/>
    <w:rsid w:val="0077554A"/>
    <w:rsid w:val="00777837"/>
    <w:rsid w:val="00783556"/>
    <w:rsid w:val="0078441A"/>
    <w:rsid w:val="0078659A"/>
    <w:rsid w:val="0079015E"/>
    <w:rsid w:val="00790AE9"/>
    <w:rsid w:val="00790E4D"/>
    <w:rsid w:val="00791C49"/>
    <w:rsid w:val="00791C90"/>
    <w:rsid w:val="007A13A6"/>
    <w:rsid w:val="007A38D7"/>
    <w:rsid w:val="007A669D"/>
    <w:rsid w:val="007A6F8B"/>
    <w:rsid w:val="007A6F96"/>
    <w:rsid w:val="007A74F2"/>
    <w:rsid w:val="007A7A8D"/>
    <w:rsid w:val="007B06DB"/>
    <w:rsid w:val="007B1D01"/>
    <w:rsid w:val="007B1D24"/>
    <w:rsid w:val="007B4222"/>
    <w:rsid w:val="007B6AEC"/>
    <w:rsid w:val="007C00E8"/>
    <w:rsid w:val="007C09D6"/>
    <w:rsid w:val="007C16FE"/>
    <w:rsid w:val="007C27C5"/>
    <w:rsid w:val="007C3764"/>
    <w:rsid w:val="007C3DCE"/>
    <w:rsid w:val="007C7AD6"/>
    <w:rsid w:val="007D01D3"/>
    <w:rsid w:val="007D2230"/>
    <w:rsid w:val="007D3576"/>
    <w:rsid w:val="007D3E50"/>
    <w:rsid w:val="007D633D"/>
    <w:rsid w:val="007D6512"/>
    <w:rsid w:val="007D6943"/>
    <w:rsid w:val="007D7559"/>
    <w:rsid w:val="007E2607"/>
    <w:rsid w:val="007E3CB4"/>
    <w:rsid w:val="007E621E"/>
    <w:rsid w:val="007E62DC"/>
    <w:rsid w:val="007F00B5"/>
    <w:rsid w:val="007F09A0"/>
    <w:rsid w:val="007F12C0"/>
    <w:rsid w:val="007F1AD3"/>
    <w:rsid w:val="007F27AD"/>
    <w:rsid w:val="007F7463"/>
    <w:rsid w:val="00800BA2"/>
    <w:rsid w:val="00802421"/>
    <w:rsid w:val="00802568"/>
    <w:rsid w:val="00803DBF"/>
    <w:rsid w:val="00804C15"/>
    <w:rsid w:val="008063DA"/>
    <w:rsid w:val="00810C75"/>
    <w:rsid w:val="008116AB"/>
    <w:rsid w:val="008209AE"/>
    <w:rsid w:val="00821527"/>
    <w:rsid w:val="00821991"/>
    <w:rsid w:val="00821DBE"/>
    <w:rsid w:val="0082261B"/>
    <w:rsid w:val="0082267B"/>
    <w:rsid w:val="008227A6"/>
    <w:rsid w:val="008237ED"/>
    <w:rsid w:val="00823DE8"/>
    <w:rsid w:val="0082448A"/>
    <w:rsid w:val="00825DBB"/>
    <w:rsid w:val="008307CE"/>
    <w:rsid w:val="00834C7F"/>
    <w:rsid w:val="00836E20"/>
    <w:rsid w:val="00841822"/>
    <w:rsid w:val="00846236"/>
    <w:rsid w:val="008529FF"/>
    <w:rsid w:val="00856981"/>
    <w:rsid w:val="00860153"/>
    <w:rsid w:val="00860851"/>
    <w:rsid w:val="008623F3"/>
    <w:rsid w:val="008631DA"/>
    <w:rsid w:val="00866188"/>
    <w:rsid w:val="00866394"/>
    <w:rsid w:val="0086777D"/>
    <w:rsid w:val="00870A38"/>
    <w:rsid w:val="00870E22"/>
    <w:rsid w:val="0087128B"/>
    <w:rsid w:val="008726CD"/>
    <w:rsid w:val="008729A4"/>
    <w:rsid w:val="008733CA"/>
    <w:rsid w:val="00873E77"/>
    <w:rsid w:val="00877983"/>
    <w:rsid w:val="00890702"/>
    <w:rsid w:val="00892C4F"/>
    <w:rsid w:val="008947FB"/>
    <w:rsid w:val="00895C2C"/>
    <w:rsid w:val="00896856"/>
    <w:rsid w:val="00897111"/>
    <w:rsid w:val="008A294A"/>
    <w:rsid w:val="008A5D5B"/>
    <w:rsid w:val="008A62D2"/>
    <w:rsid w:val="008A7610"/>
    <w:rsid w:val="008B06F1"/>
    <w:rsid w:val="008B13E0"/>
    <w:rsid w:val="008B144C"/>
    <w:rsid w:val="008B223B"/>
    <w:rsid w:val="008B4501"/>
    <w:rsid w:val="008B498D"/>
    <w:rsid w:val="008B4BD8"/>
    <w:rsid w:val="008B6063"/>
    <w:rsid w:val="008C2AC2"/>
    <w:rsid w:val="008C3679"/>
    <w:rsid w:val="008C50ED"/>
    <w:rsid w:val="008C6A22"/>
    <w:rsid w:val="008C7ED1"/>
    <w:rsid w:val="008D00A0"/>
    <w:rsid w:val="008D043A"/>
    <w:rsid w:val="008D0D9C"/>
    <w:rsid w:val="008D2138"/>
    <w:rsid w:val="008D3F11"/>
    <w:rsid w:val="008D479E"/>
    <w:rsid w:val="008D5AD7"/>
    <w:rsid w:val="008D64EC"/>
    <w:rsid w:val="008D7095"/>
    <w:rsid w:val="008D743B"/>
    <w:rsid w:val="008D7A55"/>
    <w:rsid w:val="008E0CB6"/>
    <w:rsid w:val="008E0ED3"/>
    <w:rsid w:val="008E371E"/>
    <w:rsid w:val="008E3D5E"/>
    <w:rsid w:val="008F08A7"/>
    <w:rsid w:val="008F10AC"/>
    <w:rsid w:val="008F1E7F"/>
    <w:rsid w:val="008F3DE1"/>
    <w:rsid w:val="008F59C9"/>
    <w:rsid w:val="009020CE"/>
    <w:rsid w:val="009022CA"/>
    <w:rsid w:val="009030D3"/>
    <w:rsid w:val="0090338B"/>
    <w:rsid w:val="009043B7"/>
    <w:rsid w:val="00906CA0"/>
    <w:rsid w:val="00907248"/>
    <w:rsid w:val="009074BA"/>
    <w:rsid w:val="00907833"/>
    <w:rsid w:val="00912927"/>
    <w:rsid w:val="00913D46"/>
    <w:rsid w:val="00915C93"/>
    <w:rsid w:val="00915E92"/>
    <w:rsid w:val="009163A1"/>
    <w:rsid w:val="009172B7"/>
    <w:rsid w:val="009213E3"/>
    <w:rsid w:val="00927F79"/>
    <w:rsid w:val="00930186"/>
    <w:rsid w:val="009328D6"/>
    <w:rsid w:val="00932921"/>
    <w:rsid w:val="00932B0E"/>
    <w:rsid w:val="00932C1C"/>
    <w:rsid w:val="009349CE"/>
    <w:rsid w:val="009354D6"/>
    <w:rsid w:val="00935FB0"/>
    <w:rsid w:val="00936297"/>
    <w:rsid w:val="009365AB"/>
    <w:rsid w:val="00937124"/>
    <w:rsid w:val="00940431"/>
    <w:rsid w:val="0094140E"/>
    <w:rsid w:val="0094179E"/>
    <w:rsid w:val="00942031"/>
    <w:rsid w:val="00942938"/>
    <w:rsid w:val="00942EEC"/>
    <w:rsid w:val="00943208"/>
    <w:rsid w:val="00943A83"/>
    <w:rsid w:val="009446D3"/>
    <w:rsid w:val="00945AF1"/>
    <w:rsid w:val="00947F9A"/>
    <w:rsid w:val="00950857"/>
    <w:rsid w:val="00952DF4"/>
    <w:rsid w:val="0096041B"/>
    <w:rsid w:val="00962201"/>
    <w:rsid w:val="009664C5"/>
    <w:rsid w:val="00967447"/>
    <w:rsid w:val="00973190"/>
    <w:rsid w:val="009731A1"/>
    <w:rsid w:val="00973B71"/>
    <w:rsid w:val="00973DF3"/>
    <w:rsid w:val="00976564"/>
    <w:rsid w:val="009769FB"/>
    <w:rsid w:val="009812D7"/>
    <w:rsid w:val="00983C35"/>
    <w:rsid w:val="00986917"/>
    <w:rsid w:val="009917D1"/>
    <w:rsid w:val="00991C9A"/>
    <w:rsid w:val="00992727"/>
    <w:rsid w:val="00994E80"/>
    <w:rsid w:val="00995252"/>
    <w:rsid w:val="00995983"/>
    <w:rsid w:val="0099750D"/>
    <w:rsid w:val="00997FC2"/>
    <w:rsid w:val="009A0917"/>
    <w:rsid w:val="009A15F7"/>
    <w:rsid w:val="009A3654"/>
    <w:rsid w:val="009A46EA"/>
    <w:rsid w:val="009B4A29"/>
    <w:rsid w:val="009B58C3"/>
    <w:rsid w:val="009C1716"/>
    <w:rsid w:val="009C1734"/>
    <w:rsid w:val="009C191F"/>
    <w:rsid w:val="009C196F"/>
    <w:rsid w:val="009C46A2"/>
    <w:rsid w:val="009C5328"/>
    <w:rsid w:val="009D1197"/>
    <w:rsid w:val="009D154C"/>
    <w:rsid w:val="009D1CDD"/>
    <w:rsid w:val="009D383B"/>
    <w:rsid w:val="009D38DA"/>
    <w:rsid w:val="009D7937"/>
    <w:rsid w:val="009D7F44"/>
    <w:rsid w:val="009E025E"/>
    <w:rsid w:val="009E07F8"/>
    <w:rsid w:val="009E3458"/>
    <w:rsid w:val="009E362B"/>
    <w:rsid w:val="009E3C0C"/>
    <w:rsid w:val="009E63C6"/>
    <w:rsid w:val="009E77C2"/>
    <w:rsid w:val="009F1354"/>
    <w:rsid w:val="009F220B"/>
    <w:rsid w:val="009F235C"/>
    <w:rsid w:val="009F2823"/>
    <w:rsid w:val="009F324F"/>
    <w:rsid w:val="009F3E91"/>
    <w:rsid w:val="009F4431"/>
    <w:rsid w:val="009F5CB7"/>
    <w:rsid w:val="009F79C8"/>
    <w:rsid w:val="00A01066"/>
    <w:rsid w:val="00A01582"/>
    <w:rsid w:val="00A02504"/>
    <w:rsid w:val="00A037CF"/>
    <w:rsid w:val="00A071DC"/>
    <w:rsid w:val="00A11068"/>
    <w:rsid w:val="00A1141A"/>
    <w:rsid w:val="00A11948"/>
    <w:rsid w:val="00A11EC8"/>
    <w:rsid w:val="00A12464"/>
    <w:rsid w:val="00A1420B"/>
    <w:rsid w:val="00A147DC"/>
    <w:rsid w:val="00A160C0"/>
    <w:rsid w:val="00A216B2"/>
    <w:rsid w:val="00A22D2D"/>
    <w:rsid w:val="00A23D41"/>
    <w:rsid w:val="00A2438F"/>
    <w:rsid w:val="00A254F3"/>
    <w:rsid w:val="00A259B2"/>
    <w:rsid w:val="00A3262D"/>
    <w:rsid w:val="00A35444"/>
    <w:rsid w:val="00A3570F"/>
    <w:rsid w:val="00A365FD"/>
    <w:rsid w:val="00A3669A"/>
    <w:rsid w:val="00A37693"/>
    <w:rsid w:val="00A4030B"/>
    <w:rsid w:val="00A4376C"/>
    <w:rsid w:val="00A4461C"/>
    <w:rsid w:val="00A44637"/>
    <w:rsid w:val="00A45572"/>
    <w:rsid w:val="00A4560B"/>
    <w:rsid w:val="00A459AC"/>
    <w:rsid w:val="00A46BA4"/>
    <w:rsid w:val="00A503CA"/>
    <w:rsid w:val="00A52B84"/>
    <w:rsid w:val="00A52C80"/>
    <w:rsid w:val="00A53566"/>
    <w:rsid w:val="00A54A19"/>
    <w:rsid w:val="00A54E52"/>
    <w:rsid w:val="00A55B2E"/>
    <w:rsid w:val="00A616C6"/>
    <w:rsid w:val="00A62E4E"/>
    <w:rsid w:val="00A63D7E"/>
    <w:rsid w:val="00A64D5B"/>
    <w:rsid w:val="00A651BA"/>
    <w:rsid w:val="00A6672D"/>
    <w:rsid w:val="00A67980"/>
    <w:rsid w:val="00A70017"/>
    <w:rsid w:val="00A70CD3"/>
    <w:rsid w:val="00A731DB"/>
    <w:rsid w:val="00A75B3F"/>
    <w:rsid w:val="00A75FAE"/>
    <w:rsid w:val="00A80003"/>
    <w:rsid w:val="00A83056"/>
    <w:rsid w:val="00A8617B"/>
    <w:rsid w:val="00A86F7B"/>
    <w:rsid w:val="00A87367"/>
    <w:rsid w:val="00A91202"/>
    <w:rsid w:val="00A91584"/>
    <w:rsid w:val="00AA1162"/>
    <w:rsid w:val="00AA187D"/>
    <w:rsid w:val="00AA32E1"/>
    <w:rsid w:val="00AA3453"/>
    <w:rsid w:val="00AA7738"/>
    <w:rsid w:val="00AA7FFA"/>
    <w:rsid w:val="00AB24EF"/>
    <w:rsid w:val="00AB2B1C"/>
    <w:rsid w:val="00AB35CC"/>
    <w:rsid w:val="00AB782E"/>
    <w:rsid w:val="00AC124C"/>
    <w:rsid w:val="00AC23E5"/>
    <w:rsid w:val="00AC25C0"/>
    <w:rsid w:val="00AC3255"/>
    <w:rsid w:val="00AC423F"/>
    <w:rsid w:val="00AD0374"/>
    <w:rsid w:val="00AD10BE"/>
    <w:rsid w:val="00AD33E8"/>
    <w:rsid w:val="00AD36ED"/>
    <w:rsid w:val="00AD3765"/>
    <w:rsid w:val="00AD4CE7"/>
    <w:rsid w:val="00AD65F9"/>
    <w:rsid w:val="00AD7B56"/>
    <w:rsid w:val="00AE046F"/>
    <w:rsid w:val="00AE129C"/>
    <w:rsid w:val="00AE1BD0"/>
    <w:rsid w:val="00AE2C5B"/>
    <w:rsid w:val="00AE5BE1"/>
    <w:rsid w:val="00AE5C30"/>
    <w:rsid w:val="00AE7CE4"/>
    <w:rsid w:val="00AF4020"/>
    <w:rsid w:val="00AF6F1E"/>
    <w:rsid w:val="00B0061E"/>
    <w:rsid w:val="00B01640"/>
    <w:rsid w:val="00B01CF1"/>
    <w:rsid w:val="00B026EB"/>
    <w:rsid w:val="00B02F64"/>
    <w:rsid w:val="00B03B90"/>
    <w:rsid w:val="00B0654D"/>
    <w:rsid w:val="00B07BCE"/>
    <w:rsid w:val="00B12620"/>
    <w:rsid w:val="00B17310"/>
    <w:rsid w:val="00B17900"/>
    <w:rsid w:val="00B20785"/>
    <w:rsid w:val="00B20FF7"/>
    <w:rsid w:val="00B237E7"/>
    <w:rsid w:val="00B2394E"/>
    <w:rsid w:val="00B26FB3"/>
    <w:rsid w:val="00B31531"/>
    <w:rsid w:val="00B3583E"/>
    <w:rsid w:val="00B35FA4"/>
    <w:rsid w:val="00B36730"/>
    <w:rsid w:val="00B374CF"/>
    <w:rsid w:val="00B37DF3"/>
    <w:rsid w:val="00B402DD"/>
    <w:rsid w:val="00B409B1"/>
    <w:rsid w:val="00B46EF8"/>
    <w:rsid w:val="00B47D5D"/>
    <w:rsid w:val="00B515B1"/>
    <w:rsid w:val="00B55D43"/>
    <w:rsid w:val="00B56693"/>
    <w:rsid w:val="00B57077"/>
    <w:rsid w:val="00B575D1"/>
    <w:rsid w:val="00B62533"/>
    <w:rsid w:val="00B6649D"/>
    <w:rsid w:val="00B678BE"/>
    <w:rsid w:val="00B67E76"/>
    <w:rsid w:val="00B71172"/>
    <w:rsid w:val="00B72700"/>
    <w:rsid w:val="00B729D3"/>
    <w:rsid w:val="00B738FA"/>
    <w:rsid w:val="00B74617"/>
    <w:rsid w:val="00B75B17"/>
    <w:rsid w:val="00B76236"/>
    <w:rsid w:val="00B77E65"/>
    <w:rsid w:val="00B83583"/>
    <w:rsid w:val="00B83AAD"/>
    <w:rsid w:val="00B86423"/>
    <w:rsid w:val="00B8681C"/>
    <w:rsid w:val="00B86EE3"/>
    <w:rsid w:val="00B87EFA"/>
    <w:rsid w:val="00B94F47"/>
    <w:rsid w:val="00B95502"/>
    <w:rsid w:val="00B97E5C"/>
    <w:rsid w:val="00B97FE1"/>
    <w:rsid w:val="00BA017C"/>
    <w:rsid w:val="00BA15AC"/>
    <w:rsid w:val="00BA3717"/>
    <w:rsid w:val="00BA3962"/>
    <w:rsid w:val="00BA40F8"/>
    <w:rsid w:val="00BA72E2"/>
    <w:rsid w:val="00BB1268"/>
    <w:rsid w:val="00BB2ADD"/>
    <w:rsid w:val="00BB3608"/>
    <w:rsid w:val="00BB6891"/>
    <w:rsid w:val="00BC250F"/>
    <w:rsid w:val="00BC2AD5"/>
    <w:rsid w:val="00BC33CC"/>
    <w:rsid w:val="00BC55B0"/>
    <w:rsid w:val="00BD09E5"/>
    <w:rsid w:val="00BD1CA5"/>
    <w:rsid w:val="00BD355D"/>
    <w:rsid w:val="00BD517D"/>
    <w:rsid w:val="00BD5F9D"/>
    <w:rsid w:val="00BD6AD3"/>
    <w:rsid w:val="00BE0A8B"/>
    <w:rsid w:val="00BE361A"/>
    <w:rsid w:val="00BE379D"/>
    <w:rsid w:val="00BE42BA"/>
    <w:rsid w:val="00BF08B0"/>
    <w:rsid w:val="00BF0D82"/>
    <w:rsid w:val="00BF1502"/>
    <w:rsid w:val="00BF1591"/>
    <w:rsid w:val="00BF362D"/>
    <w:rsid w:val="00BF4B4A"/>
    <w:rsid w:val="00BF52DB"/>
    <w:rsid w:val="00BF6B83"/>
    <w:rsid w:val="00C01153"/>
    <w:rsid w:val="00C02252"/>
    <w:rsid w:val="00C03F21"/>
    <w:rsid w:val="00C04883"/>
    <w:rsid w:val="00C04E25"/>
    <w:rsid w:val="00C07592"/>
    <w:rsid w:val="00C079D3"/>
    <w:rsid w:val="00C07A41"/>
    <w:rsid w:val="00C07C9E"/>
    <w:rsid w:val="00C07E87"/>
    <w:rsid w:val="00C10D9B"/>
    <w:rsid w:val="00C10DB8"/>
    <w:rsid w:val="00C11736"/>
    <w:rsid w:val="00C1242B"/>
    <w:rsid w:val="00C12CEB"/>
    <w:rsid w:val="00C12EED"/>
    <w:rsid w:val="00C23234"/>
    <w:rsid w:val="00C25B6C"/>
    <w:rsid w:val="00C261B8"/>
    <w:rsid w:val="00C3170C"/>
    <w:rsid w:val="00C3237C"/>
    <w:rsid w:val="00C34EAB"/>
    <w:rsid w:val="00C50013"/>
    <w:rsid w:val="00C50545"/>
    <w:rsid w:val="00C51A47"/>
    <w:rsid w:val="00C51EE2"/>
    <w:rsid w:val="00C52D3A"/>
    <w:rsid w:val="00C53AB4"/>
    <w:rsid w:val="00C56937"/>
    <w:rsid w:val="00C56F9C"/>
    <w:rsid w:val="00C578B3"/>
    <w:rsid w:val="00C604B3"/>
    <w:rsid w:val="00C61132"/>
    <w:rsid w:val="00C6114A"/>
    <w:rsid w:val="00C63124"/>
    <w:rsid w:val="00C637E0"/>
    <w:rsid w:val="00C64EFD"/>
    <w:rsid w:val="00C65824"/>
    <w:rsid w:val="00C667C4"/>
    <w:rsid w:val="00C668C7"/>
    <w:rsid w:val="00C72368"/>
    <w:rsid w:val="00C729D5"/>
    <w:rsid w:val="00C72FC7"/>
    <w:rsid w:val="00C74759"/>
    <w:rsid w:val="00C75141"/>
    <w:rsid w:val="00C76181"/>
    <w:rsid w:val="00C76478"/>
    <w:rsid w:val="00C77644"/>
    <w:rsid w:val="00C82260"/>
    <w:rsid w:val="00C82B0D"/>
    <w:rsid w:val="00C84EB1"/>
    <w:rsid w:val="00C946CC"/>
    <w:rsid w:val="00C94B0D"/>
    <w:rsid w:val="00C94C91"/>
    <w:rsid w:val="00C94ECE"/>
    <w:rsid w:val="00C95121"/>
    <w:rsid w:val="00C957C1"/>
    <w:rsid w:val="00C95EFE"/>
    <w:rsid w:val="00C9664F"/>
    <w:rsid w:val="00CA00CB"/>
    <w:rsid w:val="00CA00FE"/>
    <w:rsid w:val="00CA103C"/>
    <w:rsid w:val="00CA134D"/>
    <w:rsid w:val="00CA2CB6"/>
    <w:rsid w:val="00CA54AC"/>
    <w:rsid w:val="00CA5C9D"/>
    <w:rsid w:val="00CA6533"/>
    <w:rsid w:val="00CA6C88"/>
    <w:rsid w:val="00CA6E0C"/>
    <w:rsid w:val="00CA7E54"/>
    <w:rsid w:val="00CB23B2"/>
    <w:rsid w:val="00CB35A6"/>
    <w:rsid w:val="00CB3F96"/>
    <w:rsid w:val="00CB464C"/>
    <w:rsid w:val="00CB4FAF"/>
    <w:rsid w:val="00CB559B"/>
    <w:rsid w:val="00CB7C52"/>
    <w:rsid w:val="00CC5958"/>
    <w:rsid w:val="00CC5DB0"/>
    <w:rsid w:val="00CC6EBC"/>
    <w:rsid w:val="00CC7831"/>
    <w:rsid w:val="00CD02EE"/>
    <w:rsid w:val="00CD1C2A"/>
    <w:rsid w:val="00CD287B"/>
    <w:rsid w:val="00CD3E72"/>
    <w:rsid w:val="00CD5C09"/>
    <w:rsid w:val="00CE1C70"/>
    <w:rsid w:val="00CE1E6A"/>
    <w:rsid w:val="00CE7E5A"/>
    <w:rsid w:val="00CF0061"/>
    <w:rsid w:val="00CF29AA"/>
    <w:rsid w:val="00CF4242"/>
    <w:rsid w:val="00CF5685"/>
    <w:rsid w:val="00CF6074"/>
    <w:rsid w:val="00CF7095"/>
    <w:rsid w:val="00CF77DF"/>
    <w:rsid w:val="00D0140E"/>
    <w:rsid w:val="00D01CC2"/>
    <w:rsid w:val="00D03501"/>
    <w:rsid w:val="00D045FC"/>
    <w:rsid w:val="00D045FE"/>
    <w:rsid w:val="00D10375"/>
    <w:rsid w:val="00D142A0"/>
    <w:rsid w:val="00D14DA4"/>
    <w:rsid w:val="00D161B6"/>
    <w:rsid w:val="00D16571"/>
    <w:rsid w:val="00D16752"/>
    <w:rsid w:val="00D16ED3"/>
    <w:rsid w:val="00D17BA6"/>
    <w:rsid w:val="00D23415"/>
    <w:rsid w:val="00D243DB"/>
    <w:rsid w:val="00D25CBF"/>
    <w:rsid w:val="00D312DA"/>
    <w:rsid w:val="00D31816"/>
    <w:rsid w:val="00D32C11"/>
    <w:rsid w:val="00D341FE"/>
    <w:rsid w:val="00D37612"/>
    <w:rsid w:val="00D42A48"/>
    <w:rsid w:val="00D44214"/>
    <w:rsid w:val="00D47616"/>
    <w:rsid w:val="00D47FA9"/>
    <w:rsid w:val="00D50C15"/>
    <w:rsid w:val="00D50DB5"/>
    <w:rsid w:val="00D52102"/>
    <w:rsid w:val="00D537BE"/>
    <w:rsid w:val="00D538FD"/>
    <w:rsid w:val="00D53D21"/>
    <w:rsid w:val="00D54087"/>
    <w:rsid w:val="00D54862"/>
    <w:rsid w:val="00D571A9"/>
    <w:rsid w:val="00D60A75"/>
    <w:rsid w:val="00D60E0E"/>
    <w:rsid w:val="00D6140B"/>
    <w:rsid w:val="00D63320"/>
    <w:rsid w:val="00D645B1"/>
    <w:rsid w:val="00D65309"/>
    <w:rsid w:val="00D6547D"/>
    <w:rsid w:val="00D66723"/>
    <w:rsid w:val="00D676A2"/>
    <w:rsid w:val="00D67709"/>
    <w:rsid w:val="00D720E7"/>
    <w:rsid w:val="00D738BC"/>
    <w:rsid w:val="00D755FD"/>
    <w:rsid w:val="00D809CB"/>
    <w:rsid w:val="00D8155A"/>
    <w:rsid w:val="00D82F3A"/>
    <w:rsid w:val="00D96806"/>
    <w:rsid w:val="00D97E4C"/>
    <w:rsid w:val="00DA12A4"/>
    <w:rsid w:val="00DA3253"/>
    <w:rsid w:val="00DA3389"/>
    <w:rsid w:val="00DA4512"/>
    <w:rsid w:val="00DA55F1"/>
    <w:rsid w:val="00DB4ACC"/>
    <w:rsid w:val="00DB5436"/>
    <w:rsid w:val="00DB6205"/>
    <w:rsid w:val="00DB778C"/>
    <w:rsid w:val="00DC0FED"/>
    <w:rsid w:val="00DC2AE7"/>
    <w:rsid w:val="00DC4352"/>
    <w:rsid w:val="00DC4A20"/>
    <w:rsid w:val="00DC5DC2"/>
    <w:rsid w:val="00DC5FDB"/>
    <w:rsid w:val="00DC6D18"/>
    <w:rsid w:val="00DD2743"/>
    <w:rsid w:val="00DD5305"/>
    <w:rsid w:val="00DE101B"/>
    <w:rsid w:val="00DE1424"/>
    <w:rsid w:val="00DE168C"/>
    <w:rsid w:val="00DE26D9"/>
    <w:rsid w:val="00DE47DB"/>
    <w:rsid w:val="00DE5DF7"/>
    <w:rsid w:val="00DE738E"/>
    <w:rsid w:val="00DF0E7E"/>
    <w:rsid w:val="00DF1803"/>
    <w:rsid w:val="00DF205D"/>
    <w:rsid w:val="00DF312B"/>
    <w:rsid w:val="00DF3E09"/>
    <w:rsid w:val="00DF66BC"/>
    <w:rsid w:val="00DF7A5C"/>
    <w:rsid w:val="00E00B7B"/>
    <w:rsid w:val="00E01B0B"/>
    <w:rsid w:val="00E01DDA"/>
    <w:rsid w:val="00E021A1"/>
    <w:rsid w:val="00E02459"/>
    <w:rsid w:val="00E030ED"/>
    <w:rsid w:val="00E03205"/>
    <w:rsid w:val="00E057C7"/>
    <w:rsid w:val="00E05F08"/>
    <w:rsid w:val="00E109C6"/>
    <w:rsid w:val="00E10A5B"/>
    <w:rsid w:val="00E12A88"/>
    <w:rsid w:val="00E13EF8"/>
    <w:rsid w:val="00E151EA"/>
    <w:rsid w:val="00E15247"/>
    <w:rsid w:val="00E16368"/>
    <w:rsid w:val="00E16DE2"/>
    <w:rsid w:val="00E16E19"/>
    <w:rsid w:val="00E17783"/>
    <w:rsid w:val="00E17E66"/>
    <w:rsid w:val="00E226BA"/>
    <w:rsid w:val="00E24305"/>
    <w:rsid w:val="00E25A3F"/>
    <w:rsid w:val="00E25CB6"/>
    <w:rsid w:val="00E26368"/>
    <w:rsid w:val="00E31004"/>
    <w:rsid w:val="00E326F8"/>
    <w:rsid w:val="00E32B95"/>
    <w:rsid w:val="00E32E6D"/>
    <w:rsid w:val="00E3387A"/>
    <w:rsid w:val="00E33A5C"/>
    <w:rsid w:val="00E370A2"/>
    <w:rsid w:val="00E378AA"/>
    <w:rsid w:val="00E4032F"/>
    <w:rsid w:val="00E40D67"/>
    <w:rsid w:val="00E5095B"/>
    <w:rsid w:val="00E50B09"/>
    <w:rsid w:val="00E50BBF"/>
    <w:rsid w:val="00E63142"/>
    <w:rsid w:val="00E64E4C"/>
    <w:rsid w:val="00E65ACF"/>
    <w:rsid w:val="00E66258"/>
    <w:rsid w:val="00E733D4"/>
    <w:rsid w:val="00E749AF"/>
    <w:rsid w:val="00E759F9"/>
    <w:rsid w:val="00E75BE8"/>
    <w:rsid w:val="00E76C26"/>
    <w:rsid w:val="00E77CA5"/>
    <w:rsid w:val="00E827D3"/>
    <w:rsid w:val="00E83651"/>
    <w:rsid w:val="00E8685D"/>
    <w:rsid w:val="00E86D76"/>
    <w:rsid w:val="00E8729B"/>
    <w:rsid w:val="00E90882"/>
    <w:rsid w:val="00E9187E"/>
    <w:rsid w:val="00E96618"/>
    <w:rsid w:val="00E97848"/>
    <w:rsid w:val="00E97E6B"/>
    <w:rsid w:val="00EA1823"/>
    <w:rsid w:val="00EA269B"/>
    <w:rsid w:val="00EA3343"/>
    <w:rsid w:val="00EA3A30"/>
    <w:rsid w:val="00EA4E4E"/>
    <w:rsid w:val="00EB1503"/>
    <w:rsid w:val="00EB36BE"/>
    <w:rsid w:val="00EB3984"/>
    <w:rsid w:val="00EB59B1"/>
    <w:rsid w:val="00EB716B"/>
    <w:rsid w:val="00EB761C"/>
    <w:rsid w:val="00EB7EF2"/>
    <w:rsid w:val="00EC01E9"/>
    <w:rsid w:val="00EC031B"/>
    <w:rsid w:val="00EC0BD8"/>
    <w:rsid w:val="00EC41BB"/>
    <w:rsid w:val="00EC44CC"/>
    <w:rsid w:val="00ED02B7"/>
    <w:rsid w:val="00ED432C"/>
    <w:rsid w:val="00ED620D"/>
    <w:rsid w:val="00ED690C"/>
    <w:rsid w:val="00ED77E2"/>
    <w:rsid w:val="00ED7AEE"/>
    <w:rsid w:val="00EE13F4"/>
    <w:rsid w:val="00EE13FC"/>
    <w:rsid w:val="00EE25A6"/>
    <w:rsid w:val="00EE25F5"/>
    <w:rsid w:val="00EE3A71"/>
    <w:rsid w:val="00EE47DD"/>
    <w:rsid w:val="00EE52D5"/>
    <w:rsid w:val="00EF13C9"/>
    <w:rsid w:val="00EF1F0F"/>
    <w:rsid w:val="00EF27E9"/>
    <w:rsid w:val="00EF3E0D"/>
    <w:rsid w:val="00EF4C64"/>
    <w:rsid w:val="00EF5EC9"/>
    <w:rsid w:val="00EF760F"/>
    <w:rsid w:val="00F00B99"/>
    <w:rsid w:val="00F0297E"/>
    <w:rsid w:val="00F03FF3"/>
    <w:rsid w:val="00F06A6E"/>
    <w:rsid w:val="00F11D29"/>
    <w:rsid w:val="00F120EA"/>
    <w:rsid w:val="00F121FC"/>
    <w:rsid w:val="00F1255D"/>
    <w:rsid w:val="00F13A5B"/>
    <w:rsid w:val="00F14361"/>
    <w:rsid w:val="00F1452B"/>
    <w:rsid w:val="00F14641"/>
    <w:rsid w:val="00F14750"/>
    <w:rsid w:val="00F27F9B"/>
    <w:rsid w:val="00F30616"/>
    <w:rsid w:val="00F312A3"/>
    <w:rsid w:val="00F3289F"/>
    <w:rsid w:val="00F34B17"/>
    <w:rsid w:val="00F35517"/>
    <w:rsid w:val="00F3741C"/>
    <w:rsid w:val="00F4340F"/>
    <w:rsid w:val="00F46CCD"/>
    <w:rsid w:val="00F47B4C"/>
    <w:rsid w:val="00F54523"/>
    <w:rsid w:val="00F56D18"/>
    <w:rsid w:val="00F6002F"/>
    <w:rsid w:val="00F7199C"/>
    <w:rsid w:val="00F722ED"/>
    <w:rsid w:val="00F753AC"/>
    <w:rsid w:val="00F756E9"/>
    <w:rsid w:val="00F757F2"/>
    <w:rsid w:val="00F817D9"/>
    <w:rsid w:val="00F8236B"/>
    <w:rsid w:val="00F84752"/>
    <w:rsid w:val="00F90CA7"/>
    <w:rsid w:val="00F931E4"/>
    <w:rsid w:val="00F93279"/>
    <w:rsid w:val="00F94B36"/>
    <w:rsid w:val="00F973E0"/>
    <w:rsid w:val="00F97FC1"/>
    <w:rsid w:val="00FA0646"/>
    <w:rsid w:val="00FA0681"/>
    <w:rsid w:val="00FA0D98"/>
    <w:rsid w:val="00FA1A15"/>
    <w:rsid w:val="00FA2EC8"/>
    <w:rsid w:val="00FB010E"/>
    <w:rsid w:val="00FB0CFE"/>
    <w:rsid w:val="00FB23BA"/>
    <w:rsid w:val="00FB26CE"/>
    <w:rsid w:val="00FB31A4"/>
    <w:rsid w:val="00FB48DC"/>
    <w:rsid w:val="00FB635A"/>
    <w:rsid w:val="00FB7A16"/>
    <w:rsid w:val="00FC15A3"/>
    <w:rsid w:val="00FC2BE9"/>
    <w:rsid w:val="00FC2C7B"/>
    <w:rsid w:val="00FC4ACD"/>
    <w:rsid w:val="00FC6951"/>
    <w:rsid w:val="00FD4531"/>
    <w:rsid w:val="00FD54D4"/>
    <w:rsid w:val="00FD690F"/>
    <w:rsid w:val="00FD792C"/>
    <w:rsid w:val="00FE004C"/>
    <w:rsid w:val="00FE153D"/>
    <w:rsid w:val="00FE2312"/>
    <w:rsid w:val="00FE25F1"/>
    <w:rsid w:val="00FE38B4"/>
    <w:rsid w:val="00FE57C2"/>
    <w:rsid w:val="00FE6124"/>
    <w:rsid w:val="00FF05D9"/>
    <w:rsid w:val="00FF0CA3"/>
    <w:rsid w:val="00FF15ED"/>
    <w:rsid w:val="00FF485E"/>
    <w:rsid w:val="00FF51C1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D24C6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19</Pages>
  <Words>5941</Words>
  <Characters>35650</Characters>
  <Application>Microsoft Office Word</Application>
  <DocSecurity>0</DocSecurity>
  <Lines>297</Lines>
  <Paragraphs>83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1175</cp:revision>
  <cp:lastPrinted>2025-08-15T22:23:00Z</cp:lastPrinted>
  <dcterms:created xsi:type="dcterms:W3CDTF">2023-05-27T22:58:00Z</dcterms:created>
  <dcterms:modified xsi:type="dcterms:W3CDTF">2026-03-31T19:20:00Z</dcterms:modified>
</cp:coreProperties>
</file>