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D7EAF" w14:textId="77777777" w:rsidR="00091263" w:rsidRDefault="00091263" w:rsidP="00307418">
      <w:pPr>
        <w:rPr>
          <w:b/>
          <w:u w:val="single"/>
        </w:rPr>
      </w:pPr>
      <w:bookmarkStart w:id="0" w:name="_GoBack"/>
      <w:bookmarkEnd w:id="0"/>
    </w:p>
    <w:p w14:paraId="778C00CF" w14:textId="451944B4" w:rsidR="00307418" w:rsidRPr="00091263" w:rsidRDefault="00091263" w:rsidP="00307418">
      <w:pPr>
        <w:rPr>
          <w:b/>
          <w:u w:val="single"/>
        </w:rPr>
      </w:pPr>
      <w:r w:rsidRPr="00091263">
        <w:rPr>
          <w:b/>
          <w:u w:val="single"/>
        </w:rPr>
        <w:t>REPORTABLE (99)</w:t>
      </w:r>
    </w:p>
    <w:p w14:paraId="5107F2BE" w14:textId="77777777" w:rsidR="00307418" w:rsidRPr="00DD694E" w:rsidRDefault="00307418" w:rsidP="00307418">
      <w:pPr>
        <w:rPr>
          <w:b/>
        </w:rPr>
      </w:pPr>
    </w:p>
    <w:p w14:paraId="38F85271" w14:textId="77777777" w:rsidR="00307418" w:rsidRPr="00DD694E" w:rsidRDefault="00307418" w:rsidP="00307418">
      <w:pPr>
        <w:tabs>
          <w:tab w:val="left" w:pos="6495"/>
        </w:tabs>
      </w:pPr>
      <w:r>
        <w:tab/>
      </w:r>
    </w:p>
    <w:p w14:paraId="04A202DA" w14:textId="77777777" w:rsidR="00091263" w:rsidRDefault="00091263" w:rsidP="004B61F3">
      <w:pPr>
        <w:jc w:val="center"/>
        <w:rPr>
          <w:b/>
        </w:rPr>
      </w:pPr>
    </w:p>
    <w:p w14:paraId="297F96B6" w14:textId="339D946F" w:rsidR="00307418" w:rsidRPr="0000529A" w:rsidRDefault="00DE6597" w:rsidP="004B61F3">
      <w:pPr>
        <w:jc w:val="center"/>
        <w:rPr>
          <w:b/>
        </w:rPr>
      </w:pPr>
      <w:r w:rsidRPr="0000529A">
        <w:rPr>
          <w:b/>
        </w:rPr>
        <w:t xml:space="preserve">MASTER </w:t>
      </w:r>
      <w:r>
        <w:rPr>
          <w:b/>
        </w:rPr>
        <w:t>OF</w:t>
      </w:r>
      <w:r w:rsidRPr="0000529A">
        <w:rPr>
          <w:b/>
        </w:rPr>
        <w:t xml:space="preserve"> </w:t>
      </w:r>
      <w:r>
        <w:rPr>
          <w:b/>
        </w:rPr>
        <w:t>THE</w:t>
      </w:r>
      <w:r w:rsidRPr="0000529A">
        <w:rPr>
          <w:b/>
        </w:rPr>
        <w:t xml:space="preserve"> </w:t>
      </w:r>
      <w:r>
        <w:rPr>
          <w:b/>
        </w:rPr>
        <w:t>HIGH</w:t>
      </w:r>
      <w:r w:rsidRPr="0000529A">
        <w:rPr>
          <w:b/>
        </w:rPr>
        <w:t xml:space="preserve"> </w:t>
      </w:r>
      <w:r>
        <w:rPr>
          <w:b/>
        </w:rPr>
        <w:t>COURT</w:t>
      </w:r>
      <w:r w:rsidRPr="0000529A">
        <w:rPr>
          <w:b/>
        </w:rPr>
        <w:t xml:space="preserve"> </w:t>
      </w:r>
      <w:r>
        <w:rPr>
          <w:b/>
        </w:rPr>
        <w:t>OF</w:t>
      </w:r>
      <w:r w:rsidRPr="0000529A">
        <w:rPr>
          <w:b/>
        </w:rPr>
        <w:t xml:space="preserve"> </w:t>
      </w:r>
      <w:r>
        <w:rPr>
          <w:b/>
        </w:rPr>
        <w:t>ZIMBABWE</w:t>
      </w:r>
      <w:r w:rsidRPr="0000529A">
        <w:rPr>
          <w:b/>
        </w:rPr>
        <w:t xml:space="preserve"> </w:t>
      </w:r>
      <w:r>
        <w:rPr>
          <w:b/>
        </w:rPr>
        <w:t>N</w:t>
      </w:r>
      <w:r w:rsidR="00307418" w:rsidRPr="0000529A">
        <w:rPr>
          <w:b/>
        </w:rPr>
        <w:t>. O.</w:t>
      </w:r>
    </w:p>
    <w:p w14:paraId="1EC59FE8" w14:textId="77777777" w:rsidR="00307418" w:rsidRPr="0000529A" w:rsidRDefault="00307418" w:rsidP="00307418">
      <w:pPr>
        <w:jc w:val="center"/>
        <w:rPr>
          <w:b/>
        </w:rPr>
      </w:pPr>
      <w:r w:rsidRPr="0000529A">
        <w:rPr>
          <w:b/>
        </w:rPr>
        <w:t xml:space="preserve">v </w:t>
      </w:r>
    </w:p>
    <w:p w14:paraId="3A8D3465" w14:textId="640E62C2" w:rsidR="00307418" w:rsidRPr="0000529A" w:rsidRDefault="00256C70" w:rsidP="00307418">
      <w:pPr>
        <w:pStyle w:val="ListParagraph"/>
        <w:numPr>
          <w:ilvl w:val="0"/>
          <w:numId w:val="15"/>
        </w:numPr>
        <w:jc w:val="center"/>
        <w:rPr>
          <w:b/>
        </w:rPr>
      </w:pPr>
      <w:r w:rsidRPr="0000529A">
        <w:rPr>
          <w:b/>
        </w:rPr>
        <w:t xml:space="preserve">DAVID </w:t>
      </w:r>
      <w:r w:rsidR="00DE6597">
        <w:rPr>
          <w:b/>
        </w:rPr>
        <w:t xml:space="preserve"> </w:t>
      </w:r>
      <w:r w:rsidR="00307418" w:rsidRPr="0000529A">
        <w:rPr>
          <w:b/>
        </w:rPr>
        <w:t>TAKAENDESA</w:t>
      </w:r>
      <w:r w:rsidR="004B61F3" w:rsidRPr="0000529A">
        <w:rPr>
          <w:b/>
        </w:rPr>
        <w:t xml:space="preserve"> </w:t>
      </w:r>
      <w:r w:rsidR="00DE6597">
        <w:rPr>
          <w:b/>
        </w:rPr>
        <w:t xml:space="preserve"> </w:t>
      </w:r>
      <w:r w:rsidR="004B61F3" w:rsidRPr="0000529A">
        <w:rPr>
          <w:b/>
        </w:rPr>
        <w:t xml:space="preserve">(2) </w:t>
      </w:r>
      <w:r w:rsidR="00DE6597">
        <w:rPr>
          <w:b/>
        </w:rPr>
        <w:t xml:space="preserve"> </w:t>
      </w:r>
      <w:r w:rsidR="00307418" w:rsidRPr="0000529A">
        <w:rPr>
          <w:b/>
        </w:rPr>
        <w:t xml:space="preserve">MACDONALD </w:t>
      </w:r>
      <w:r w:rsidR="00DE6597">
        <w:rPr>
          <w:b/>
        </w:rPr>
        <w:t xml:space="preserve"> </w:t>
      </w:r>
      <w:r w:rsidR="00307418" w:rsidRPr="0000529A">
        <w:rPr>
          <w:b/>
        </w:rPr>
        <w:t>TAKAENDESA</w:t>
      </w:r>
      <w:r w:rsidR="00DE6597">
        <w:rPr>
          <w:b/>
        </w:rPr>
        <w:t xml:space="preserve"> </w:t>
      </w:r>
      <w:r w:rsidR="004B61F3" w:rsidRPr="0000529A">
        <w:rPr>
          <w:b/>
        </w:rPr>
        <w:t xml:space="preserve"> (3)</w:t>
      </w:r>
    </w:p>
    <w:p w14:paraId="09DB0931" w14:textId="4D78F5B3" w:rsidR="00307418" w:rsidRPr="0000529A" w:rsidRDefault="00307418" w:rsidP="00307418">
      <w:pPr>
        <w:jc w:val="center"/>
        <w:rPr>
          <w:b/>
        </w:rPr>
      </w:pPr>
      <w:r w:rsidRPr="0000529A">
        <w:rPr>
          <w:b/>
        </w:rPr>
        <w:t>DEN</w:t>
      </w:r>
      <w:r w:rsidR="00DE6597">
        <w:rPr>
          <w:b/>
        </w:rPr>
        <w:t xml:space="preserve"> </w:t>
      </w:r>
      <w:r w:rsidRPr="0000529A">
        <w:rPr>
          <w:b/>
        </w:rPr>
        <w:t xml:space="preserve"> TAKAENDESA</w:t>
      </w:r>
      <w:r w:rsidR="004B61F3" w:rsidRPr="0000529A">
        <w:rPr>
          <w:b/>
        </w:rPr>
        <w:t xml:space="preserve"> </w:t>
      </w:r>
      <w:r w:rsidR="00DE6597">
        <w:rPr>
          <w:b/>
        </w:rPr>
        <w:t xml:space="preserve"> </w:t>
      </w:r>
      <w:r w:rsidR="004B61F3" w:rsidRPr="0000529A">
        <w:rPr>
          <w:b/>
        </w:rPr>
        <w:t xml:space="preserve">(4) </w:t>
      </w:r>
      <w:r w:rsidR="00DE6597">
        <w:rPr>
          <w:b/>
        </w:rPr>
        <w:t xml:space="preserve"> </w:t>
      </w:r>
      <w:r w:rsidRPr="0000529A">
        <w:rPr>
          <w:b/>
        </w:rPr>
        <w:t xml:space="preserve">HOUSE </w:t>
      </w:r>
      <w:r w:rsidR="00DE6597">
        <w:rPr>
          <w:b/>
        </w:rPr>
        <w:t xml:space="preserve"> </w:t>
      </w:r>
      <w:r w:rsidRPr="0000529A">
        <w:rPr>
          <w:b/>
        </w:rPr>
        <w:t xml:space="preserve">OF </w:t>
      </w:r>
      <w:r w:rsidR="00DE6597">
        <w:rPr>
          <w:b/>
        </w:rPr>
        <w:t xml:space="preserve"> </w:t>
      </w:r>
      <w:r w:rsidRPr="0000529A">
        <w:rPr>
          <w:b/>
        </w:rPr>
        <w:t xml:space="preserve">SARI </w:t>
      </w:r>
      <w:r w:rsidR="00DE6597">
        <w:rPr>
          <w:b/>
        </w:rPr>
        <w:t xml:space="preserve"> </w:t>
      </w:r>
      <w:r w:rsidRPr="0000529A">
        <w:rPr>
          <w:b/>
        </w:rPr>
        <w:t>(PVT)</w:t>
      </w:r>
      <w:r w:rsidR="00DE6597">
        <w:rPr>
          <w:b/>
        </w:rPr>
        <w:t xml:space="preserve"> </w:t>
      </w:r>
      <w:r w:rsidRPr="0000529A">
        <w:rPr>
          <w:b/>
        </w:rPr>
        <w:t xml:space="preserve"> LTD</w:t>
      </w:r>
      <w:r w:rsidR="004B61F3" w:rsidRPr="0000529A">
        <w:rPr>
          <w:b/>
        </w:rPr>
        <w:t xml:space="preserve"> </w:t>
      </w:r>
      <w:r w:rsidR="00DE6597">
        <w:rPr>
          <w:b/>
        </w:rPr>
        <w:t xml:space="preserve"> </w:t>
      </w:r>
      <w:r w:rsidR="004B61F3" w:rsidRPr="0000529A">
        <w:rPr>
          <w:b/>
        </w:rPr>
        <w:t xml:space="preserve">(5) </w:t>
      </w:r>
      <w:r w:rsidR="00DE6597">
        <w:rPr>
          <w:b/>
        </w:rPr>
        <w:t xml:space="preserve"> </w:t>
      </w:r>
      <w:r w:rsidRPr="0000529A">
        <w:rPr>
          <w:b/>
        </w:rPr>
        <w:t xml:space="preserve">RUGARE MANDIMA </w:t>
      </w:r>
      <w:r w:rsidR="00DE6597">
        <w:rPr>
          <w:b/>
        </w:rPr>
        <w:t xml:space="preserve"> </w:t>
      </w:r>
      <w:r w:rsidRPr="0000529A">
        <w:rPr>
          <w:b/>
        </w:rPr>
        <w:t>N. O.</w:t>
      </w:r>
      <w:r w:rsidR="004B61F3" w:rsidRPr="0000529A">
        <w:rPr>
          <w:b/>
        </w:rPr>
        <w:t xml:space="preserve"> </w:t>
      </w:r>
      <w:r w:rsidR="00DE6597">
        <w:rPr>
          <w:b/>
        </w:rPr>
        <w:t xml:space="preserve"> </w:t>
      </w:r>
      <w:r w:rsidR="004B61F3" w:rsidRPr="0000529A">
        <w:rPr>
          <w:b/>
        </w:rPr>
        <w:t xml:space="preserve">(6) </w:t>
      </w:r>
      <w:r w:rsidR="00DE6597">
        <w:rPr>
          <w:b/>
        </w:rPr>
        <w:t xml:space="preserve"> </w:t>
      </w:r>
      <w:r w:rsidR="00DE6597" w:rsidRPr="0000529A">
        <w:rPr>
          <w:b/>
        </w:rPr>
        <w:t xml:space="preserve">REGISTRAR </w:t>
      </w:r>
      <w:r w:rsidR="00DE6597">
        <w:rPr>
          <w:b/>
        </w:rPr>
        <w:t>OF</w:t>
      </w:r>
      <w:r w:rsidR="00DE6597" w:rsidRPr="0000529A">
        <w:rPr>
          <w:b/>
        </w:rPr>
        <w:t xml:space="preserve"> </w:t>
      </w:r>
      <w:r w:rsidR="00DE6597">
        <w:rPr>
          <w:b/>
        </w:rPr>
        <w:t>DEEDS</w:t>
      </w:r>
    </w:p>
    <w:p w14:paraId="5053C283" w14:textId="77777777" w:rsidR="004B61F3" w:rsidRPr="0000529A" w:rsidRDefault="004B61F3" w:rsidP="00307418">
      <w:pPr>
        <w:jc w:val="center"/>
        <w:rPr>
          <w:b/>
        </w:rPr>
      </w:pPr>
    </w:p>
    <w:p w14:paraId="51E75B4F" w14:textId="77777777" w:rsidR="004B61F3" w:rsidRPr="0000529A" w:rsidRDefault="004B61F3" w:rsidP="00307418">
      <w:pPr>
        <w:jc w:val="center"/>
        <w:rPr>
          <w:b/>
        </w:rPr>
      </w:pPr>
    </w:p>
    <w:p w14:paraId="32FC4D81" w14:textId="77777777" w:rsidR="00307418" w:rsidRPr="0000529A" w:rsidRDefault="00307418" w:rsidP="00307418"/>
    <w:p w14:paraId="14362A41" w14:textId="2BEF8CA2" w:rsidR="00307418" w:rsidRPr="0000529A" w:rsidRDefault="00DE6597" w:rsidP="004B61F3">
      <w:pPr>
        <w:jc w:val="center"/>
        <w:rPr>
          <w:b/>
        </w:rPr>
      </w:pPr>
      <w:r w:rsidRPr="0000529A">
        <w:rPr>
          <w:b/>
        </w:rPr>
        <w:t xml:space="preserve">RUGARE </w:t>
      </w:r>
      <w:r>
        <w:rPr>
          <w:b/>
        </w:rPr>
        <w:t xml:space="preserve">MANDIMA </w:t>
      </w:r>
      <w:r w:rsidRPr="0000529A">
        <w:rPr>
          <w:b/>
        </w:rPr>
        <w:t>N</w:t>
      </w:r>
      <w:r w:rsidR="00307418" w:rsidRPr="0000529A">
        <w:rPr>
          <w:b/>
        </w:rPr>
        <w:t>. O.</w:t>
      </w:r>
    </w:p>
    <w:p w14:paraId="7CFFB1A9" w14:textId="77777777" w:rsidR="00307418" w:rsidRPr="0000529A" w:rsidRDefault="00307418" w:rsidP="00307418">
      <w:pPr>
        <w:jc w:val="center"/>
        <w:rPr>
          <w:b/>
        </w:rPr>
      </w:pPr>
      <w:r w:rsidRPr="0000529A">
        <w:rPr>
          <w:b/>
        </w:rPr>
        <w:t>v</w:t>
      </w:r>
    </w:p>
    <w:p w14:paraId="68A9D9DE" w14:textId="0534B3EE" w:rsidR="00307418" w:rsidRPr="0000529A" w:rsidRDefault="00307418" w:rsidP="00307418">
      <w:pPr>
        <w:pStyle w:val="ListParagraph"/>
        <w:numPr>
          <w:ilvl w:val="0"/>
          <w:numId w:val="16"/>
        </w:numPr>
        <w:jc w:val="center"/>
        <w:rPr>
          <w:b/>
        </w:rPr>
      </w:pPr>
      <w:r w:rsidRPr="0000529A">
        <w:rPr>
          <w:b/>
        </w:rPr>
        <w:t>DAVID TAKAENDESA</w:t>
      </w:r>
      <w:r w:rsidR="004B61F3" w:rsidRPr="0000529A">
        <w:rPr>
          <w:b/>
        </w:rPr>
        <w:t xml:space="preserve"> (2) </w:t>
      </w:r>
      <w:r w:rsidRPr="0000529A">
        <w:rPr>
          <w:b/>
        </w:rPr>
        <w:t xml:space="preserve">MACDONALD TAKAENDESA </w:t>
      </w:r>
      <w:r w:rsidR="004B61F3" w:rsidRPr="0000529A">
        <w:rPr>
          <w:b/>
        </w:rPr>
        <w:t xml:space="preserve">(3) </w:t>
      </w:r>
      <w:r w:rsidRPr="0000529A">
        <w:rPr>
          <w:b/>
        </w:rPr>
        <w:t>DEN TAKAENDESA</w:t>
      </w:r>
      <w:r w:rsidR="004B61F3" w:rsidRPr="0000529A">
        <w:rPr>
          <w:b/>
        </w:rPr>
        <w:t xml:space="preserve"> (4) </w:t>
      </w:r>
      <w:r w:rsidRPr="0000529A">
        <w:rPr>
          <w:b/>
        </w:rPr>
        <w:t>MASTER OF THE HIGH COURT</w:t>
      </w:r>
      <w:r w:rsidR="00CA49AC" w:rsidRPr="0000529A">
        <w:rPr>
          <w:b/>
        </w:rPr>
        <w:t xml:space="preserve"> N.O.</w:t>
      </w:r>
      <w:r w:rsidR="004B61F3" w:rsidRPr="0000529A">
        <w:rPr>
          <w:b/>
        </w:rPr>
        <w:t xml:space="preserve"> (4) </w:t>
      </w:r>
      <w:r w:rsidRPr="0000529A">
        <w:rPr>
          <w:b/>
        </w:rPr>
        <w:t>HOUSE OF SARI (PVT) LTD</w:t>
      </w:r>
      <w:r w:rsidR="004B61F3" w:rsidRPr="0000529A">
        <w:rPr>
          <w:b/>
        </w:rPr>
        <w:t xml:space="preserve"> (5) </w:t>
      </w:r>
      <w:r w:rsidRPr="0000529A">
        <w:rPr>
          <w:b/>
        </w:rPr>
        <w:t>REGISTRAR DEEDS</w:t>
      </w:r>
    </w:p>
    <w:p w14:paraId="066757FC" w14:textId="77777777" w:rsidR="004B61F3" w:rsidRPr="0000529A" w:rsidRDefault="004B61F3" w:rsidP="004B61F3">
      <w:pPr>
        <w:pStyle w:val="ListParagraph"/>
        <w:ind w:left="1080"/>
        <w:rPr>
          <w:b/>
        </w:rPr>
      </w:pPr>
    </w:p>
    <w:p w14:paraId="33A6BD7B" w14:textId="77777777" w:rsidR="004B61F3" w:rsidRPr="0000529A" w:rsidRDefault="004B61F3" w:rsidP="004B61F3">
      <w:pPr>
        <w:pStyle w:val="ListParagraph"/>
        <w:ind w:left="1080"/>
        <w:rPr>
          <w:b/>
        </w:rPr>
      </w:pPr>
    </w:p>
    <w:p w14:paraId="57180FD0" w14:textId="77777777" w:rsidR="00307418" w:rsidRPr="0000529A" w:rsidRDefault="00307418" w:rsidP="00307418">
      <w:pPr>
        <w:jc w:val="center"/>
        <w:rPr>
          <w:b/>
        </w:rPr>
      </w:pPr>
    </w:p>
    <w:p w14:paraId="51237195" w14:textId="32E0B1B2" w:rsidR="00307418" w:rsidRPr="0000529A" w:rsidRDefault="00307418" w:rsidP="004B61F3">
      <w:pPr>
        <w:jc w:val="center"/>
        <w:rPr>
          <w:b/>
        </w:rPr>
      </w:pPr>
      <w:r w:rsidRPr="0000529A">
        <w:rPr>
          <w:b/>
        </w:rPr>
        <w:t>HOUSE OF SARI (PVT) LTD</w:t>
      </w:r>
    </w:p>
    <w:p w14:paraId="57C944DB" w14:textId="77777777" w:rsidR="00307418" w:rsidRPr="0000529A" w:rsidRDefault="00307418" w:rsidP="00307418">
      <w:pPr>
        <w:jc w:val="center"/>
        <w:rPr>
          <w:b/>
        </w:rPr>
      </w:pPr>
      <w:r w:rsidRPr="0000529A">
        <w:rPr>
          <w:b/>
        </w:rPr>
        <w:t>v</w:t>
      </w:r>
    </w:p>
    <w:p w14:paraId="77EE5ED9" w14:textId="6A4C2654" w:rsidR="00307418" w:rsidRPr="0000529A" w:rsidRDefault="00307418" w:rsidP="00307418">
      <w:pPr>
        <w:pStyle w:val="ListParagraph"/>
        <w:numPr>
          <w:ilvl w:val="0"/>
          <w:numId w:val="17"/>
        </w:numPr>
        <w:jc w:val="center"/>
        <w:rPr>
          <w:b/>
        </w:rPr>
      </w:pPr>
      <w:r w:rsidRPr="0000529A">
        <w:rPr>
          <w:b/>
        </w:rPr>
        <w:t>DAVID TAKAENDESA</w:t>
      </w:r>
      <w:r w:rsidR="004B61F3" w:rsidRPr="0000529A">
        <w:rPr>
          <w:b/>
        </w:rPr>
        <w:t xml:space="preserve"> (2) </w:t>
      </w:r>
      <w:r w:rsidRPr="0000529A">
        <w:rPr>
          <w:b/>
        </w:rPr>
        <w:t>MACDONALD TAKAENDESA</w:t>
      </w:r>
      <w:r w:rsidR="004B61F3" w:rsidRPr="0000529A">
        <w:rPr>
          <w:b/>
        </w:rPr>
        <w:t xml:space="preserve"> (3) </w:t>
      </w:r>
      <w:r w:rsidRPr="0000529A">
        <w:rPr>
          <w:b/>
        </w:rPr>
        <w:t>DEN TAKAENDESA</w:t>
      </w:r>
      <w:r w:rsidR="004B61F3" w:rsidRPr="0000529A">
        <w:rPr>
          <w:b/>
        </w:rPr>
        <w:t xml:space="preserve"> (4) </w:t>
      </w:r>
      <w:r w:rsidRPr="0000529A">
        <w:rPr>
          <w:b/>
        </w:rPr>
        <w:t>RUGARE MANDIMA N. O.</w:t>
      </w:r>
      <w:r w:rsidR="004B61F3" w:rsidRPr="0000529A">
        <w:rPr>
          <w:b/>
        </w:rPr>
        <w:t xml:space="preserve"> (5) </w:t>
      </w:r>
      <w:r w:rsidRPr="0000529A">
        <w:rPr>
          <w:b/>
        </w:rPr>
        <w:t>MASTER OF THE HIGH COURT N. O.</w:t>
      </w:r>
      <w:r w:rsidR="004B61F3" w:rsidRPr="0000529A">
        <w:rPr>
          <w:b/>
        </w:rPr>
        <w:t xml:space="preserve">(6) </w:t>
      </w:r>
      <w:r w:rsidRPr="0000529A">
        <w:rPr>
          <w:b/>
        </w:rPr>
        <w:t>REGISTRAR OF DEEDS</w:t>
      </w:r>
    </w:p>
    <w:p w14:paraId="0EB9B59A" w14:textId="77777777" w:rsidR="00307418" w:rsidRPr="0000529A" w:rsidRDefault="00307418" w:rsidP="00307418">
      <w:pPr>
        <w:jc w:val="center"/>
        <w:rPr>
          <w:b/>
        </w:rPr>
      </w:pPr>
    </w:p>
    <w:p w14:paraId="057897B6" w14:textId="77777777" w:rsidR="00307418" w:rsidRPr="0000529A" w:rsidRDefault="00307418" w:rsidP="00307418">
      <w:pPr>
        <w:jc w:val="center"/>
        <w:rPr>
          <w:b/>
        </w:rPr>
      </w:pPr>
    </w:p>
    <w:p w14:paraId="7E60CE85" w14:textId="77777777" w:rsidR="00307418" w:rsidRPr="0000529A" w:rsidRDefault="00307418" w:rsidP="00307418">
      <w:pPr>
        <w:spacing w:line="480" w:lineRule="auto"/>
        <w:jc w:val="both"/>
        <w:rPr>
          <w:b/>
        </w:rPr>
      </w:pPr>
    </w:p>
    <w:p w14:paraId="62DFC75D" w14:textId="77777777" w:rsidR="00307418" w:rsidRPr="0000529A" w:rsidRDefault="00307418" w:rsidP="00307418">
      <w:pPr>
        <w:jc w:val="both"/>
        <w:rPr>
          <w:b/>
        </w:rPr>
      </w:pPr>
      <w:r w:rsidRPr="0000529A">
        <w:rPr>
          <w:b/>
        </w:rPr>
        <w:t>SUPREME COURT OF ZIMBABWE</w:t>
      </w:r>
    </w:p>
    <w:p w14:paraId="3DF02F26" w14:textId="77777777" w:rsidR="00307418" w:rsidRPr="0000529A" w:rsidRDefault="00307418" w:rsidP="00307418">
      <w:pPr>
        <w:jc w:val="both"/>
        <w:rPr>
          <w:b/>
        </w:rPr>
      </w:pPr>
      <w:r w:rsidRPr="0000529A">
        <w:rPr>
          <w:b/>
        </w:rPr>
        <w:t>GUVAVA JA, KUDYA JA &amp; MWAYERA JA</w:t>
      </w:r>
    </w:p>
    <w:p w14:paraId="424DA204" w14:textId="622718D5" w:rsidR="00307418" w:rsidRPr="0000529A" w:rsidRDefault="00307418" w:rsidP="00307418">
      <w:pPr>
        <w:jc w:val="both"/>
        <w:rPr>
          <w:b/>
        </w:rPr>
      </w:pPr>
      <w:r w:rsidRPr="0000529A">
        <w:rPr>
          <w:b/>
        </w:rPr>
        <w:t xml:space="preserve">HARARE: </w:t>
      </w:r>
      <w:r w:rsidR="008D6154">
        <w:rPr>
          <w:b/>
        </w:rPr>
        <w:t xml:space="preserve">19 </w:t>
      </w:r>
      <w:r w:rsidRPr="0000529A">
        <w:rPr>
          <w:b/>
        </w:rPr>
        <w:t>OCTOBER, 2021</w:t>
      </w:r>
      <w:r w:rsidR="00824A17" w:rsidRPr="0000529A">
        <w:rPr>
          <w:b/>
        </w:rPr>
        <w:t xml:space="preserve"> &amp; </w:t>
      </w:r>
      <w:r w:rsidR="00DE24DB">
        <w:rPr>
          <w:b/>
        </w:rPr>
        <w:t>26</w:t>
      </w:r>
      <w:r w:rsidR="00824A17" w:rsidRPr="0000529A">
        <w:rPr>
          <w:b/>
        </w:rPr>
        <w:t xml:space="preserve"> SEPTEMBER</w:t>
      </w:r>
      <w:r w:rsidRPr="0000529A">
        <w:rPr>
          <w:b/>
        </w:rPr>
        <w:t xml:space="preserve"> 2022</w:t>
      </w:r>
    </w:p>
    <w:p w14:paraId="6C7AD01E" w14:textId="77777777" w:rsidR="00824A17" w:rsidRPr="0000529A" w:rsidRDefault="00824A17" w:rsidP="00307418">
      <w:pPr>
        <w:jc w:val="both"/>
        <w:rPr>
          <w:b/>
        </w:rPr>
      </w:pPr>
    </w:p>
    <w:p w14:paraId="3E8EF939" w14:textId="77777777" w:rsidR="00824A17" w:rsidRPr="0000529A" w:rsidRDefault="00824A17" w:rsidP="00307418">
      <w:pPr>
        <w:jc w:val="both"/>
      </w:pPr>
    </w:p>
    <w:p w14:paraId="374D4BCB" w14:textId="77777777" w:rsidR="00AC2E32" w:rsidRPr="0000529A" w:rsidRDefault="00AC2E32" w:rsidP="00307418">
      <w:pPr>
        <w:jc w:val="both"/>
      </w:pPr>
    </w:p>
    <w:p w14:paraId="2B618A82" w14:textId="1065B217" w:rsidR="00307418" w:rsidRPr="0000529A" w:rsidRDefault="00AC2E32" w:rsidP="00307418">
      <w:pPr>
        <w:spacing w:line="480" w:lineRule="auto"/>
        <w:jc w:val="both"/>
      </w:pPr>
      <w:r w:rsidRPr="0000529A">
        <w:rPr>
          <w:i/>
        </w:rPr>
        <w:t>A.</w:t>
      </w:r>
      <w:r w:rsidR="00307418" w:rsidRPr="0000529A">
        <w:rPr>
          <w:i/>
        </w:rPr>
        <w:t xml:space="preserve">B.C. </w:t>
      </w:r>
      <w:proofErr w:type="spellStart"/>
      <w:r w:rsidR="00307418" w:rsidRPr="0000529A">
        <w:rPr>
          <w:i/>
        </w:rPr>
        <w:t>Chinake</w:t>
      </w:r>
      <w:proofErr w:type="spellEnd"/>
      <w:r w:rsidR="00307418" w:rsidRPr="0000529A">
        <w:t xml:space="preserve">, for the </w:t>
      </w:r>
      <w:r w:rsidR="00824A17" w:rsidRPr="0000529A">
        <w:t>first</w:t>
      </w:r>
      <w:r w:rsidR="00A40D27" w:rsidRPr="0000529A">
        <w:t xml:space="preserve"> </w:t>
      </w:r>
      <w:r w:rsidR="00307418" w:rsidRPr="0000529A">
        <w:t xml:space="preserve">appellant </w:t>
      </w:r>
    </w:p>
    <w:p w14:paraId="580B55F2" w14:textId="1649C162" w:rsidR="00307418" w:rsidRPr="0000529A" w:rsidRDefault="00AC2E32" w:rsidP="00307418">
      <w:pPr>
        <w:spacing w:line="480" w:lineRule="auto"/>
        <w:jc w:val="both"/>
      </w:pPr>
      <w:r w:rsidRPr="0000529A">
        <w:rPr>
          <w:i/>
        </w:rPr>
        <w:t>G. R. J. Sithole,</w:t>
      </w:r>
      <w:r w:rsidRPr="0000529A">
        <w:t xml:space="preserve"> for the</w:t>
      </w:r>
      <w:r w:rsidR="00A40D27" w:rsidRPr="0000529A">
        <w:t xml:space="preserve"> </w:t>
      </w:r>
      <w:r w:rsidR="00824A17" w:rsidRPr="0000529A">
        <w:t>second</w:t>
      </w:r>
      <w:r w:rsidRPr="0000529A">
        <w:t xml:space="preserve"> appellant </w:t>
      </w:r>
    </w:p>
    <w:p w14:paraId="45ED1202" w14:textId="794DB796" w:rsidR="00AC2E32" w:rsidRPr="0000529A" w:rsidRDefault="00AC2E32" w:rsidP="00307418">
      <w:pPr>
        <w:spacing w:line="480" w:lineRule="auto"/>
        <w:jc w:val="both"/>
      </w:pPr>
      <w:r w:rsidRPr="0000529A">
        <w:rPr>
          <w:i/>
        </w:rPr>
        <w:t xml:space="preserve">T. W. </w:t>
      </w:r>
      <w:proofErr w:type="spellStart"/>
      <w:r w:rsidRPr="0000529A">
        <w:rPr>
          <w:i/>
        </w:rPr>
        <w:t>Nyamakura</w:t>
      </w:r>
      <w:proofErr w:type="spellEnd"/>
      <w:r w:rsidRPr="0000529A">
        <w:t xml:space="preserve">, for the </w:t>
      </w:r>
      <w:r w:rsidR="00824A17" w:rsidRPr="0000529A">
        <w:t>third</w:t>
      </w:r>
      <w:r w:rsidR="00A40D27" w:rsidRPr="0000529A">
        <w:t xml:space="preserve"> </w:t>
      </w:r>
      <w:r w:rsidRPr="0000529A">
        <w:t xml:space="preserve">appellant </w:t>
      </w:r>
    </w:p>
    <w:p w14:paraId="32D8C28D" w14:textId="1B9E1759" w:rsidR="00307418" w:rsidRPr="0000529A" w:rsidRDefault="00AC2E32" w:rsidP="00307418">
      <w:pPr>
        <w:spacing w:line="480" w:lineRule="auto"/>
        <w:jc w:val="both"/>
      </w:pPr>
      <w:r w:rsidRPr="0000529A">
        <w:rPr>
          <w:i/>
        </w:rPr>
        <w:t xml:space="preserve">F. </w:t>
      </w:r>
      <w:proofErr w:type="spellStart"/>
      <w:r w:rsidRPr="0000529A">
        <w:rPr>
          <w:i/>
        </w:rPr>
        <w:t>Mahere</w:t>
      </w:r>
      <w:proofErr w:type="spellEnd"/>
      <w:r w:rsidRPr="0000529A">
        <w:t xml:space="preserve">, for the </w:t>
      </w:r>
      <w:r w:rsidR="00824A17" w:rsidRPr="0000529A">
        <w:t>first</w:t>
      </w:r>
      <w:r w:rsidRPr="0000529A">
        <w:t xml:space="preserve">, </w:t>
      </w:r>
      <w:r w:rsidR="00824A17" w:rsidRPr="0000529A">
        <w:t>second</w:t>
      </w:r>
      <w:r w:rsidRPr="0000529A">
        <w:t xml:space="preserve"> and </w:t>
      </w:r>
      <w:r w:rsidR="00824A17" w:rsidRPr="0000529A">
        <w:t>third</w:t>
      </w:r>
      <w:r w:rsidRPr="0000529A">
        <w:t xml:space="preserve"> </w:t>
      </w:r>
      <w:r w:rsidR="00307418" w:rsidRPr="0000529A">
        <w:t>respondents</w:t>
      </w:r>
    </w:p>
    <w:p w14:paraId="2F84817B" w14:textId="0CA95C51" w:rsidR="00307418" w:rsidRPr="0000529A" w:rsidRDefault="00AC2E32" w:rsidP="00307418">
      <w:pPr>
        <w:spacing w:line="480" w:lineRule="auto"/>
        <w:jc w:val="both"/>
      </w:pPr>
      <w:r w:rsidRPr="0000529A">
        <w:t xml:space="preserve">No appearance for the </w:t>
      </w:r>
      <w:r w:rsidR="00824A17" w:rsidRPr="0000529A">
        <w:t>fourth</w:t>
      </w:r>
      <w:r w:rsidRPr="0000529A">
        <w:t xml:space="preserve"> respondent</w:t>
      </w:r>
    </w:p>
    <w:p w14:paraId="0968271A" w14:textId="77777777" w:rsidR="00957137" w:rsidRPr="0000529A" w:rsidRDefault="00AC2E32" w:rsidP="00963D98">
      <w:pPr>
        <w:spacing w:before="240" w:line="480" w:lineRule="auto"/>
        <w:jc w:val="both"/>
        <w:rPr>
          <w:b/>
        </w:rPr>
      </w:pPr>
      <w:r w:rsidRPr="0000529A">
        <w:rPr>
          <w:b/>
        </w:rPr>
        <w:lastRenderedPageBreak/>
        <w:t>GUVAVA</w:t>
      </w:r>
      <w:r w:rsidR="00307418" w:rsidRPr="0000529A">
        <w:rPr>
          <w:b/>
        </w:rPr>
        <w:t xml:space="preserve"> JA:</w:t>
      </w:r>
    </w:p>
    <w:p w14:paraId="7BB0B4A2" w14:textId="51556094" w:rsidR="00963D98" w:rsidRPr="0000529A" w:rsidRDefault="00957137" w:rsidP="004C4DFA">
      <w:pPr>
        <w:spacing w:line="480" w:lineRule="auto"/>
        <w:jc w:val="both"/>
        <w:rPr>
          <w:u w:val="single"/>
        </w:rPr>
      </w:pPr>
      <w:r w:rsidRPr="0000529A">
        <w:rPr>
          <w:b/>
          <w:u w:val="single"/>
        </w:rPr>
        <w:t>INTRODUCTION</w:t>
      </w:r>
    </w:p>
    <w:p w14:paraId="5D3B3BA0" w14:textId="32106F69" w:rsidR="00307418" w:rsidRDefault="002D182D" w:rsidP="008A1C47">
      <w:pPr>
        <w:spacing w:before="240" w:line="480" w:lineRule="auto"/>
        <w:ind w:left="630" w:hanging="630"/>
        <w:jc w:val="both"/>
        <w:rPr>
          <w:lang w:val="en-ZW"/>
        </w:rPr>
      </w:pPr>
      <w:r>
        <w:t>[1</w:t>
      </w:r>
      <w:r w:rsidR="008A1C47" w:rsidRPr="0000529A">
        <w:t xml:space="preserve">] </w:t>
      </w:r>
      <w:r w:rsidR="0000529A">
        <w:t xml:space="preserve">  </w:t>
      </w:r>
      <w:r w:rsidR="008A1C47" w:rsidRPr="0000529A">
        <w:t>At</w:t>
      </w:r>
      <w:r w:rsidR="00AC2E32" w:rsidRPr="0000529A">
        <w:t xml:space="preserve"> the hearing</w:t>
      </w:r>
      <w:r w:rsidR="00963D98" w:rsidRPr="0000529A">
        <w:t>,</w:t>
      </w:r>
      <w:r w:rsidR="00AC2E32" w:rsidRPr="0000529A">
        <w:t xml:space="preserve"> the appe</w:t>
      </w:r>
      <w:r w:rsidR="0030134D" w:rsidRPr="0000529A">
        <w:t xml:space="preserve">als were consolidated </w:t>
      </w:r>
      <w:r w:rsidR="00CE020D" w:rsidRPr="0000529A">
        <w:t>with the consent of the parties,</w:t>
      </w:r>
      <w:r w:rsidR="00AC2E32" w:rsidRPr="0000529A">
        <w:rPr>
          <w:lang w:val="en-ZW"/>
        </w:rPr>
        <w:t xml:space="preserve"> </w:t>
      </w:r>
      <w:r w:rsidR="0022448C" w:rsidRPr="0000529A">
        <w:rPr>
          <w:lang w:val="en-ZW"/>
        </w:rPr>
        <w:t xml:space="preserve">and </w:t>
      </w:r>
      <w:r w:rsidR="00AC2E32" w:rsidRPr="0000529A">
        <w:rPr>
          <w:lang w:val="en-ZW"/>
        </w:rPr>
        <w:t>heard in the following manner</w:t>
      </w:r>
      <w:r w:rsidR="0022448C" w:rsidRPr="0000529A">
        <w:rPr>
          <w:lang w:val="en-ZW"/>
        </w:rPr>
        <w:t>;</w:t>
      </w:r>
      <w:r w:rsidR="00AC2E32" w:rsidRPr="0000529A">
        <w:rPr>
          <w:lang w:val="en-ZW"/>
        </w:rPr>
        <w:t xml:space="preserve"> the appellant in SC 109/21 made submissions as the </w:t>
      </w:r>
      <w:r w:rsidR="002D3E05" w:rsidRPr="0000529A">
        <w:rPr>
          <w:lang w:val="en-ZW"/>
        </w:rPr>
        <w:t>first</w:t>
      </w:r>
      <w:r w:rsidR="00AC2E32" w:rsidRPr="0000529A">
        <w:rPr>
          <w:lang w:val="en-ZW"/>
        </w:rPr>
        <w:t xml:space="preserve"> appellant, the appellant in SC 15/21 as </w:t>
      </w:r>
      <w:r w:rsidR="0089506C" w:rsidRPr="0000529A">
        <w:rPr>
          <w:lang w:val="en-ZW"/>
        </w:rPr>
        <w:t xml:space="preserve">second </w:t>
      </w:r>
      <w:r w:rsidR="00AC2E32" w:rsidRPr="0000529A">
        <w:rPr>
          <w:lang w:val="en-ZW"/>
        </w:rPr>
        <w:t xml:space="preserve">appellant, and the appellant in SC 17/21 as the </w:t>
      </w:r>
      <w:r w:rsidR="0089506C" w:rsidRPr="0000529A">
        <w:rPr>
          <w:lang w:val="en-ZW"/>
        </w:rPr>
        <w:t>third</w:t>
      </w:r>
      <w:r w:rsidR="00AC2E32" w:rsidRPr="0000529A">
        <w:rPr>
          <w:lang w:val="en-ZW"/>
        </w:rPr>
        <w:t xml:space="preserve"> appellant. The </w:t>
      </w:r>
      <w:r w:rsidR="0089506C" w:rsidRPr="0000529A">
        <w:rPr>
          <w:lang w:val="en-ZW"/>
        </w:rPr>
        <w:t>first</w:t>
      </w:r>
      <w:r w:rsidR="00AC2E32" w:rsidRPr="0000529A">
        <w:rPr>
          <w:lang w:val="en-ZW"/>
        </w:rPr>
        <w:t xml:space="preserve"> to </w:t>
      </w:r>
      <w:r w:rsidR="0089506C" w:rsidRPr="0000529A">
        <w:rPr>
          <w:lang w:val="en-ZW"/>
        </w:rPr>
        <w:t xml:space="preserve">third </w:t>
      </w:r>
      <w:r w:rsidR="00AC2E32" w:rsidRPr="0000529A">
        <w:rPr>
          <w:lang w:val="en-ZW"/>
        </w:rPr>
        <w:t>respondents in all the appeals remained as</w:t>
      </w:r>
      <w:r w:rsidR="0022448C" w:rsidRPr="0000529A">
        <w:rPr>
          <w:lang w:val="en-ZW"/>
        </w:rPr>
        <w:t xml:space="preserve"> previously cited,</w:t>
      </w:r>
      <w:r w:rsidR="00AC2E32" w:rsidRPr="0000529A">
        <w:rPr>
          <w:lang w:val="en-ZW"/>
        </w:rPr>
        <w:t xml:space="preserve"> with the Registrar of Deeds </w:t>
      </w:r>
      <w:r w:rsidR="0022448C" w:rsidRPr="0000529A">
        <w:rPr>
          <w:lang w:val="en-ZW"/>
        </w:rPr>
        <w:t>being</w:t>
      </w:r>
      <w:r w:rsidR="00AC2E32" w:rsidRPr="0000529A">
        <w:rPr>
          <w:lang w:val="en-ZW"/>
        </w:rPr>
        <w:t xml:space="preserve"> the </w:t>
      </w:r>
      <w:r w:rsidR="0089506C" w:rsidRPr="0000529A">
        <w:rPr>
          <w:lang w:val="en-ZW"/>
        </w:rPr>
        <w:t>fourth</w:t>
      </w:r>
      <w:r w:rsidR="00AC2E32" w:rsidRPr="0000529A">
        <w:rPr>
          <w:lang w:val="en-ZW"/>
        </w:rPr>
        <w:t xml:space="preserve"> respondent</w:t>
      </w:r>
      <w:r w:rsidR="000F0D02" w:rsidRPr="0000529A">
        <w:rPr>
          <w:lang w:val="en-ZW"/>
        </w:rPr>
        <w:t>,</w:t>
      </w:r>
      <w:r w:rsidR="00AC2E32" w:rsidRPr="0000529A">
        <w:rPr>
          <w:lang w:val="en-ZW"/>
        </w:rPr>
        <w:t xml:space="preserve"> though there was no appearance on his behalf.</w:t>
      </w:r>
      <w:r w:rsidR="00957137" w:rsidRPr="0000529A">
        <w:rPr>
          <w:lang w:val="en-ZW"/>
        </w:rPr>
        <w:t xml:space="preserve"> Although there were three different appeals attacking the same judgment, I intend to address all the appeals in one composite judgment</w:t>
      </w:r>
      <w:r w:rsidR="00CE020D" w:rsidRPr="0000529A">
        <w:rPr>
          <w:lang w:val="en-ZW"/>
        </w:rPr>
        <w:t xml:space="preserve"> as the issues raised are similar</w:t>
      </w:r>
      <w:r w:rsidR="00957137" w:rsidRPr="0000529A">
        <w:rPr>
          <w:lang w:val="en-ZW"/>
        </w:rPr>
        <w:t>.</w:t>
      </w:r>
      <w:r w:rsidR="00CB05C7" w:rsidRPr="0000529A">
        <w:rPr>
          <w:lang w:val="en-ZW"/>
        </w:rPr>
        <w:t xml:space="preserve"> In this judgment I will also refer to </w:t>
      </w:r>
      <w:r w:rsidR="003B15F6">
        <w:rPr>
          <w:lang w:val="en-ZW"/>
        </w:rPr>
        <w:t xml:space="preserve">the </w:t>
      </w:r>
      <w:r w:rsidR="00CB05C7" w:rsidRPr="0000529A">
        <w:rPr>
          <w:lang w:val="en-ZW"/>
        </w:rPr>
        <w:t xml:space="preserve">first appellant as ‘the Master,’ the second </w:t>
      </w:r>
      <w:r w:rsidR="00F6262C">
        <w:rPr>
          <w:lang w:val="en-ZW"/>
        </w:rPr>
        <w:t>appellant</w:t>
      </w:r>
      <w:r w:rsidR="00CB05C7" w:rsidRPr="0000529A">
        <w:rPr>
          <w:lang w:val="en-ZW"/>
        </w:rPr>
        <w:t xml:space="preserve"> as ‘the executor’</w:t>
      </w:r>
      <w:r w:rsidR="00193058" w:rsidRPr="0000529A">
        <w:rPr>
          <w:lang w:val="en-ZW"/>
        </w:rPr>
        <w:t>, the third appellant as ‘the purchaser’</w:t>
      </w:r>
      <w:r w:rsidR="00CB05C7" w:rsidRPr="0000529A">
        <w:rPr>
          <w:lang w:val="en-ZW"/>
        </w:rPr>
        <w:t xml:space="preserve"> and the first to third respondents as ‘the </w:t>
      </w:r>
      <w:r w:rsidR="00B33F40" w:rsidRPr="0000529A">
        <w:rPr>
          <w:lang w:val="en-ZW"/>
        </w:rPr>
        <w:t>beneficiaries’</w:t>
      </w:r>
      <w:r w:rsidR="00CB05C7" w:rsidRPr="0000529A">
        <w:rPr>
          <w:lang w:val="en-ZW"/>
        </w:rPr>
        <w:t>.</w:t>
      </w:r>
    </w:p>
    <w:p w14:paraId="101EF150" w14:textId="77777777" w:rsidR="002D182D" w:rsidRPr="0000529A" w:rsidRDefault="002D182D" w:rsidP="002D182D">
      <w:pPr>
        <w:ind w:left="630" w:hanging="630"/>
        <w:jc w:val="both"/>
        <w:rPr>
          <w:lang w:val="en-ZW"/>
        </w:rPr>
      </w:pPr>
    </w:p>
    <w:p w14:paraId="5AE4A1C5" w14:textId="722B78A2" w:rsidR="002D182D" w:rsidRPr="0000529A" w:rsidRDefault="002D182D" w:rsidP="002D182D">
      <w:pPr>
        <w:spacing w:line="480" w:lineRule="auto"/>
        <w:ind w:left="720" w:hanging="720"/>
        <w:jc w:val="both"/>
      </w:pPr>
      <w:r w:rsidRPr="0000529A">
        <w:t>[</w:t>
      </w:r>
      <w:r>
        <w:t>2</w:t>
      </w:r>
      <w:r w:rsidRPr="0000529A">
        <w:t xml:space="preserve">] </w:t>
      </w:r>
      <w:r>
        <w:t xml:space="preserve">   </w:t>
      </w:r>
      <w:r w:rsidRPr="0000529A">
        <w:t xml:space="preserve">The three appeals herein are against judgment No HH806/20 of the High Court (‘court </w:t>
      </w:r>
      <w:r w:rsidRPr="0000529A">
        <w:rPr>
          <w:i/>
        </w:rPr>
        <w:t>a quo’</w:t>
      </w:r>
      <w:r w:rsidRPr="0000529A">
        <w:t xml:space="preserve">) dated 16 December 2020, which granted an application to set aside </w:t>
      </w:r>
      <w:r>
        <w:t>“</w:t>
      </w:r>
      <w:r w:rsidRPr="0000529A">
        <w:t>two consents of sale</w:t>
      </w:r>
      <w:r>
        <w:t>”</w:t>
      </w:r>
      <w:r w:rsidRPr="0000529A">
        <w:t xml:space="preserve"> issued by the </w:t>
      </w:r>
      <w:r>
        <w:t>Master</w:t>
      </w:r>
      <w:r w:rsidRPr="0000529A">
        <w:t xml:space="preserve">, agreements of sale signed between the </w:t>
      </w:r>
      <w:r>
        <w:t>executor</w:t>
      </w:r>
      <w:r w:rsidRPr="0000529A">
        <w:t xml:space="preserve"> and the </w:t>
      </w:r>
      <w:r>
        <w:t xml:space="preserve">purchaser </w:t>
      </w:r>
      <w:r w:rsidRPr="0000529A">
        <w:t xml:space="preserve">and finally set aside the transfer of title made in favour of the </w:t>
      </w:r>
      <w:r>
        <w:t>purchaser</w:t>
      </w:r>
      <w:r w:rsidRPr="0000529A">
        <w:t>.</w:t>
      </w:r>
    </w:p>
    <w:p w14:paraId="6AD305D9" w14:textId="77777777" w:rsidR="004C4DFA" w:rsidRPr="0000529A" w:rsidRDefault="004C4DFA" w:rsidP="00EC2E02">
      <w:pPr>
        <w:jc w:val="both"/>
        <w:rPr>
          <w:lang w:val="en-ZW"/>
        </w:rPr>
      </w:pPr>
    </w:p>
    <w:p w14:paraId="446B4596" w14:textId="77777777" w:rsidR="00957137" w:rsidRPr="0000529A" w:rsidRDefault="00957137" w:rsidP="004C4DFA">
      <w:pPr>
        <w:spacing w:line="480" w:lineRule="auto"/>
        <w:jc w:val="both"/>
        <w:rPr>
          <w:b/>
          <w:u w:val="single"/>
          <w:lang w:val="en-ZW"/>
        </w:rPr>
      </w:pPr>
      <w:r w:rsidRPr="0000529A">
        <w:rPr>
          <w:b/>
          <w:u w:val="single"/>
          <w:lang w:val="en-ZW"/>
        </w:rPr>
        <w:t>BACKGROUND FACTS</w:t>
      </w:r>
    </w:p>
    <w:p w14:paraId="601BB41E" w14:textId="3FC4E2C1" w:rsidR="00D7324E" w:rsidRPr="0000529A" w:rsidRDefault="00963D98" w:rsidP="008A1C47">
      <w:pPr>
        <w:spacing w:line="480" w:lineRule="auto"/>
        <w:ind w:left="630" w:hanging="630"/>
        <w:jc w:val="both"/>
        <w:rPr>
          <w:lang w:val="en-ZW"/>
        </w:rPr>
      </w:pPr>
      <w:r w:rsidRPr="0000529A">
        <w:rPr>
          <w:lang w:val="en-ZW"/>
        </w:rPr>
        <w:t>[3</w:t>
      </w:r>
      <w:r w:rsidR="008A1C47" w:rsidRPr="0000529A">
        <w:rPr>
          <w:lang w:val="en-ZW"/>
        </w:rPr>
        <w:t xml:space="preserve">] </w:t>
      </w:r>
      <w:r w:rsidR="0000529A">
        <w:rPr>
          <w:lang w:val="en-ZW"/>
        </w:rPr>
        <w:t xml:space="preserve">  </w:t>
      </w:r>
      <w:r w:rsidR="008A1C47" w:rsidRPr="0000529A">
        <w:rPr>
          <w:lang w:val="en-ZW"/>
        </w:rPr>
        <w:t>The</w:t>
      </w:r>
      <w:r w:rsidR="0030134D" w:rsidRPr="0000529A">
        <w:rPr>
          <w:lang w:val="en-ZW"/>
        </w:rPr>
        <w:t xml:space="preserve"> </w:t>
      </w:r>
      <w:r w:rsidR="00B27CE6" w:rsidRPr="0000529A">
        <w:rPr>
          <w:lang w:val="en-ZW"/>
        </w:rPr>
        <w:t>first</w:t>
      </w:r>
      <w:r w:rsidR="00A40D27" w:rsidRPr="0000529A">
        <w:rPr>
          <w:lang w:val="en-ZW"/>
        </w:rPr>
        <w:t xml:space="preserve"> to </w:t>
      </w:r>
      <w:r w:rsidR="00B27CE6" w:rsidRPr="0000529A">
        <w:rPr>
          <w:lang w:val="en-ZW"/>
        </w:rPr>
        <w:t>third</w:t>
      </w:r>
      <w:r w:rsidR="00A40D27" w:rsidRPr="0000529A">
        <w:rPr>
          <w:lang w:val="en-ZW"/>
        </w:rPr>
        <w:t xml:space="preserve"> </w:t>
      </w:r>
      <w:r w:rsidR="0030134D" w:rsidRPr="0000529A">
        <w:rPr>
          <w:lang w:val="en-ZW"/>
        </w:rPr>
        <w:t>respondents are beneficiaries</w:t>
      </w:r>
      <w:r w:rsidR="00014314" w:rsidRPr="0000529A">
        <w:rPr>
          <w:lang w:val="en-ZW"/>
        </w:rPr>
        <w:t xml:space="preserve"> </w:t>
      </w:r>
      <w:r w:rsidR="0030134D" w:rsidRPr="0000529A">
        <w:rPr>
          <w:lang w:val="en-ZW"/>
        </w:rPr>
        <w:t xml:space="preserve">of the estate of the late Kudzai </w:t>
      </w:r>
      <w:proofErr w:type="spellStart"/>
      <w:r w:rsidR="0030134D" w:rsidRPr="0000529A">
        <w:rPr>
          <w:lang w:val="en-ZW"/>
        </w:rPr>
        <w:t>Takaendesa</w:t>
      </w:r>
      <w:proofErr w:type="spellEnd"/>
      <w:r w:rsidR="000F0D02" w:rsidRPr="0000529A">
        <w:rPr>
          <w:lang w:val="en-ZW"/>
        </w:rPr>
        <w:t xml:space="preserve"> (the deceased),</w:t>
      </w:r>
      <w:r w:rsidR="0030134D" w:rsidRPr="0000529A">
        <w:rPr>
          <w:lang w:val="en-ZW"/>
        </w:rPr>
        <w:t xml:space="preserve"> who died on 15 July 2015.  The </w:t>
      </w:r>
      <w:r w:rsidR="00B27CE6" w:rsidRPr="0000529A">
        <w:rPr>
          <w:lang w:val="en-ZW"/>
        </w:rPr>
        <w:t xml:space="preserve">second </w:t>
      </w:r>
      <w:r w:rsidR="0030134D" w:rsidRPr="0000529A">
        <w:rPr>
          <w:lang w:val="en-ZW"/>
        </w:rPr>
        <w:t xml:space="preserve">appellant was </w:t>
      </w:r>
      <w:r w:rsidR="00A84C34" w:rsidRPr="0000529A">
        <w:rPr>
          <w:lang w:val="en-ZW"/>
        </w:rPr>
        <w:t>appointed as the executor of the</w:t>
      </w:r>
      <w:r w:rsidR="0030134D" w:rsidRPr="0000529A">
        <w:rPr>
          <w:lang w:val="en-ZW"/>
        </w:rPr>
        <w:t xml:space="preserve"> estate</w:t>
      </w:r>
      <w:r w:rsidR="000A31CC" w:rsidRPr="0000529A">
        <w:rPr>
          <w:lang w:val="en-ZW"/>
        </w:rPr>
        <w:t xml:space="preserve"> in terms of a W</w:t>
      </w:r>
      <w:r w:rsidR="00A84C34" w:rsidRPr="0000529A">
        <w:rPr>
          <w:lang w:val="en-ZW"/>
        </w:rPr>
        <w:t>ill in which the deceased</w:t>
      </w:r>
      <w:r w:rsidR="0030134D" w:rsidRPr="0000529A">
        <w:rPr>
          <w:lang w:val="en-ZW"/>
        </w:rPr>
        <w:t xml:space="preserve"> </w:t>
      </w:r>
      <w:r w:rsidR="0030134D" w:rsidRPr="0000529A">
        <w:rPr>
          <w:lang w:val="en-ZW"/>
        </w:rPr>
        <w:lastRenderedPageBreak/>
        <w:t>directed that the senior partner</w:t>
      </w:r>
      <w:r w:rsidR="00CA49AC" w:rsidRPr="0000529A">
        <w:rPr>
          <w:lang w:val="en-ZW"/>
        </w:rPr>
        <w:t xml:space="preserve"> of Danziger and Partners </w:t>
      </w:r>
      <w:r w:rsidR="0030134D" w:rsidRPr="0000529A">
        <w:rPr>
          <w:lang w:val="en-ZW"/>
        </w:rPr>
        <w:t xml:space="preserve">be appointed as such </w:t>
      </w:r>
      <w:r w:rsidR="0072619A" w:rsidRPr="0000529A">
        <w:rPr>
          <w:lang w:val="en-ZW"/>
        </w:rPr>
        <w:t>up</w:t>
      </w:r>
      <w:r w:rsidR="0030134D" w:rsidRPr="0000529A">
        <w:rPr>
          <w:lang w:val="en-ZW"/>
        </w:rPr>
        <w:t xml:space="preserve">on her passing.  The estate </w:t>
      </w:r>
      <w:r w:rsidR="00A40D27" w:rsidRPr="0000529A">
        <w:rPr>
          <w:lang w:val="en-ZW"/>
        </w:rPr>
        <w:t>comprised</w:t>
      </w:r>
      <w:r w:rsidR="0030134D" w:rsidRPr="0000529A">
        <w:rPr>
          <w:lang w:val="en-ZW"/>
        </w:rPr>
        <w:t xml:space="preserve"> three </w:t>
      </w:r>
      <w:r w:rsidR="00D13AFD" w:rsidRPr="0000529A">
        <w:rPr>
          <w:lang w:val="en-ZW"/>
        </w:rPr>
        <w:t xml:space="preserve">farms </w:t>
      </w:r>
      <w:r w:rsidR="0072619A" w:rsidRPr="0000529A">
        <w:rPr>
          <w:lang w:val="en-ZW"/>
        </w:rPr>
        <w:t>being</w:t>
      </w:r>
      <w:r w:rsidR="00D13AFD" w:rsidRPr="0000529A">
        <w:rPr>
          <w:lang w:val="en-ZW"/>
        </w:rPr>
        <w:t>; Certain piece of Land situate</w:t>
      </w:r>
      <w:r w:rsidR="00CA49AC" w:rsidRPr="0000529A">
        <w:rPr>
          <w:lang w:val="en-ZW"/>
        </w:rPr>
        <w:t>d</w:t>
      </w:r>
      <w:r w:rsidR="00D13AFD" w:rsidRPr="0000529A">
        <w:rPr>
          <w:lang w:val="en-ZW"/>
        </w:rPr>
        <w:t xml:space="preserve"> in the District of </w:t>
      </w:r>
      <w:proofErr w:type="spellStart"/>
      <w:r w:rsidR="00D13AFD" w:rsidRPr="0000529A">
        <w:rPr>
          <w:lang w:val="en-ZW"/>
        </w:rPr>
        <w:t>Gatooma</w:t>
      </w:r>
      <w:proofErr w:type="spellEnd"/>
      <w:r w:rsidR="00D13AFD" w:rsidRPr="0000529A">
        <w:rPr>
          <w:lang w:val="en-ZW"/>
        </w:rPr>
        <w:t xml:space="preserve"> called </w:t>
      </w:r>
      <w:proofErr w:type="spellStart"/>
      <w:r w:rsidR="00D13AFD" w:rsidRPr="0000529A">
        <w:rPr>
          <w:lang w:val="en-ZW"/>
        </w:rPr>
        <w:t>Koppies</w:t>
      </w:r>
      <w:proofErr w:type="spellEnd"/>
      <w:r w:rsidR="00D13AFD" w:rsidRPr="0000529A">
        <w:rPr>
          <w:lang w:val="en-ZW"/>
        </w:rPr>
        <w:t xml:space="preserve"> </w:t>
      </w:r>
      <w:r w:rsidR="0030134D" w:rsidRPr="0000529A">
        <w:rPr>
          <w:lang w:val="en-ZW"/>
        </w:rPr>
        <w:t>measuring 1, 358, 0053</w:t>
      </w:r>
      <w:r w:rsidR="00D13AFD" w:rsidRPr="0000529A">
        <w:rPr>
          <w:lang w:val="en-ZW"/>
        </w:rPr>
        <w:t xml:space="preserve"> hectares</w:t>
      </w:r>
      <w:r w:rsidR="0030134D" w:rsidRPr="0000529A">
        <w:rPr>
          <w:lang w:val="en-ZW"/>
        </w:rPr>
        <w:t xml:space="preserve">, </w:t>
      </w:r>
      <w:r w:rsidR="00D13AFD" w:rsidRPr="0000529A">
        <w:rPr>
          <w:lang w:val="en-ZW"/>
        </w:rPr>
        <w:t>Certain piece of Land situate</w:t>
      </w:r>
      <w:r w:rsidR="00CA49AC" w:rsidRPr="0000529A">
        <w:rPr>
          <w:lang w:val="en-ZW"/>
        </w:rPr>
        <w:t>d</w:t>
      </w:r>
      <w:r w:rsidR="00D13AFD" w:rsidRPr="0000529A">
        <w:rPr>
          <w:lang w:val="en-ZW"/>
        </w:rPr>
        <w:t xml:space="preserve"> in the District of Hartley called </w:t>
      </w:r>
      <w:r w:rsidR="0030134D" w:rsidRPr="0000529A">
        <w:rPr>
          <w:lang w:val="en-ZW"/>
        </w:rPr>
        <w:t xml:space="preserve">Lorraine </w:t>
      </w:r>
      <w:r w:rsidR="00D13AFD" w:rsidRPr="0000529A">
        <w:rPr>
          <w:lang w:val="en-ZW"/>
        </w:rPr>
        <w:t xml:space="preserve">of </w:t>
      </w:r>
      <w:r w:rsidR="0030134D" w:rsidRPr="0000529A">
        <w:rPr>
          <w:lang w:val="en-ZW"/>
        </w:rPr>
        <w:t>Ri</w:t>
      </w:r>
      <w:r w:rsidR="00D13AFD" w:rsidRPr="0000529A">
        <w:rPr>
          <w:lang w:val="en-ZW"/>
        </w:rPr>
        <w:t xml:space="preserve">chmond measuring 595, 5918 hectares </w:t>
      </w:r>
      <w:r w:rsidRPr="0000529A">
        <w:rPr>
          <w:lang w:val="en-ZW"/>
        </w:rPr>
        <w:t xml:space="preserve">and </w:t>
      </w:r>
      <w:r w:rsidR="00D13AFD" w:rsidRPr="0000529A">
        <w:rPr>
          <w:lang w:val="en-ZW"/>
        </w:rPr>
        <w:t>Certain Piece of Land situate</w:t>
      </w:r>
      <w:r w:rsidR="00CA49AC" w:rsidRPr="0000529A">
        <w:rPr>
          <w:lang w:val="en-ZW"/>
        </w:rPr>
        <w:t>d</w:t>
      </w:r>
      <w:r w:rsidR="00D13AFD" w:rsidRPr="0000529A">
        <w:rPr>
          <w:lang w:val="en-ZW"/>
        </w:rPr>
        <w:t xml:space="preserve"> in the District of Hartley called Remainder of</w:t>
      </w:r>
      <w:r w:rsidR="0030134D" w:rsidRPr="0000529A">
        <w:rPr>
          <w:lang w:val="en-ZW"/>
        </w:rPr>
        <w:t xml:space="preserve"> Richm</w:t>
      </w:r>
      <w:r w:rsidR="00D13AFD" w:rsidRPr="0000529A">
        <w:rPr>
          <w:lang w:val="en-ZW"/>
        </w:rPr>
        <w:t xml:space="preserve">ond </w:t>
      </w:r>
      <w:r w:rsidR="0030134D" w:rsidRPr="0000529A">
        <w:rPr>
          <w:lang w:val="en-ZW"/>
        </w:rPr>
        <w:t xml:space="preserve">measuring 679,7636 hectares </w:t>
      </w:r>
      <w:r w:rsidR="00D13AFD" w:rsidRPr="0000529A">
        <w:rPr>
          <w:lang w:val="en-ZW"/>
        </w:rPr>
        <w:t>(‘the farms’)</w:t>
      </w:r>
      <w:r w:rsidR="000A31CC" w:rsidRPr="0000529A">
        <w:rPr>
          <w:lang w:val="en-ZW"/>
        </w:rPr>
        <w:t xml:space="preserve"> and a butchery in Kwe</w:t>
      </w:r>
      <w:r w:rsidR="0072619A" w:rsidRPr="0000529A">
        <w:rPr>
          <w:lang w:val="en-ZW"/>
        </w:rPr>
        <w:t>k</w:t>
      </w:r>
      <w:r w:rsidR="000A31CC" w:rsidRPr="0000529A">
        <w:rPr>
          <w:lang w:val="en-ZW"/>
        </w:rPr>
        <w:t>we</w:t>
      </w:r>
      <w:r w:rsidR="004011FD" w:rsidRPr="0000529A">
        <w:rPr>
          <w:lang w:val="en-ZW"/>
        </w:rPr>
        <w:t xml:space="preserve"> situated at stand 2040 </w:t>
      </w:r>
      <w:proofErr w:type="spellStart"/>
      <w:r w:rsidR="004011FD" w:rsidRPr="0000529A">
        <w:rPr>
          <w:lang w:val="en-ZW"/>
        </w:rPr>
        <w:t>Amaveni</w:t>
      </w:r>
      <w:proofErr w:type="spellEnd"/>
      <w:r w:rsidR="004011FD" w:rsidRPr="0000529A">
        <w:rPr>
          <w:lang w:val="en-ZW"/>
        </w:rPr>
        <w:t xml:space="preserve"> Township, Kwe</w:t>
      </w:r>
      <w:r w:rsidR="0072619A" w:rsidRPr="0000529A">
        <w:rPr>
          <w:lang w:val="en-ZW"/>
        </w:rPr>
        <w:t>k</w:t>
      </w:r>
      <w:r w:rsidR="004011FD" w:rsidRPr="0000529A">
        <w:rPr>
          <w:lang w:val="en-ZW"/>
        </w:rPr>
        <w:t>we</w:t>
      </w:r>
      <w:r w:rsidR="004E3CB2" w:rsidRPr="0000529A">
        <w:rPr>
          <w:lang w:val="en-ZW"/>
        </w:rPr>
        <w:t>.</w:t>
      </w:r>
    </w:p>
    <w:p w14:paraId="62596AE0" w14:textId="21D9DB3C" w:rsidR="00D13AFD" w:rsidRPr="0000529A" w:rsidRDefault="00D13AFD" w:rsidP="00D7324E">
      <w:pPr>
        <w:jc w:val="both"/>
        <w:rPr>
          <w:lang w:val="en-ZW"/>
        </w:rPr>
      </w:pPr>
      <w:r w:rsidRPr="0000529A">
        <w:rPr>
          <w:lang w:val="en-ZW"/>
        </w:rPr>
        <w:t xml:space="preserve"> </w:t>
      </w:r>
    </w:p>
    <w:p w14:paraId="15DDD742" w14:textId="7F3BE93D" w:rsidR="00D7324E" w:rsidRPr="0000529A" w:rsidRDefault="00963D98" w:rsidP="008A1C47">
      <w:pPr>
        <w:spacing w:before="240" w:line="480" w:lineRule="auto"/>
        <w:ind w:left="630" w:hanging="630"/>
        <w:jc w:val="both"/>
        <w:rPr>
          <w:lang w:val="en-ZW"/>
        </w:rPr>
      </w:pPr>
      <w:r w:rsidRPr="0000529A">
        <w:rPr>
          <w:lang w:val="en-ZW"/>
        </w:rPr>
        <w:t>[4</w:t>
      </w:r>
      <w:r w:rsidR="008A1C47" w:rsidRPr="0000529A">
        <w:rPr>
          <w:lang w:val="en-ZW"/>
        </w:rPr>
        <w:t xml:space="preserve">] </w:t>
      </w:r>
      <w:r w:rsidR="0000529A">
        <w:rPr>
          <w:lang w:val="en-ZW"/>
        </w:rPr>
        <w:t xml:space="preserve">  </w:t>
      </w:r>
      <w:r w:rsidR="008A1C47" w:rsidRPr="0000529A">
        <w:rPr>
          <w:lang w:val="en-ZW"/>
        </w:rPr>
        <w:t>The</w:t>
      </w:r>
      <w:r w:rsidR="004306BD" w:rsidRPr="0000529A">
        <w:rPr>
          <w:lang w:val="en-ZW"/>
        </w:rPr>
        <w:t xml:space="preserve"> estate h</w:t>
      </w:r>
      <w:r w:rsidR="00D13AFD" w:rsidRPr="0000529A">
        <w:rPr>
          <w:lang w:val="en-ZW"/>
        </w:rPr>
        <w:t xml:space="preserve">ad liabilities amounting to USD$ </w:t>
      </w:r>
      <w:r w:rsidR="004306BD" w:rsidRPr="0000529A">
        <w:rPr>
          <w:lang w:val="en-ZW"/>
        </w:rPr>
        <w:t>16 287.13 arising from administrative costs inclusive of the Master’s fe</w:t>
      </w:r>
      <w:r w:rsidR="00D13AFD" w:rsidRPr="0000529A">
        <w:rPr>
          <w:lang w:val="en-ZW"/>
        </w:rPr>
        <w:t>es, Value Added Tax</w:t>
      </w:r>
      <w:r w:rsidR="004306BD" w:rsidRPr="0000529A">
        <w:rPr>
          <w:lang w:val="en-ZW"/>
        </w:rPr>
        <w:t xml:space="preserve">, advertising, valuation charges, and </w:t>
      </w:r>
      <w:r w:rsidR="00E84D34" w:rsidRPr="0000529A">
        <w:rPr>
          <w:lang w:val="en-ZW"/>
        </w:rPr>
        <w:t xml:space="preserve">a </w:t>
      </w:r>
      <w:r w:rsidR="004306BD" w:rsidRPr="0000529A">
        <w:rPr>
          <w:lang w:val="en-ZW"/>
        </w:rPr>
        <w:t xml:space="preserve">provision for duty.  </w:t>
      </w:r>
      <w:r w:rsidR="00D13AFD" w:rsidRPr="0000529A">
        <w:rPr>
          <w:lang w:val="en-ZW"/>
        </w:rPr>
        <w:t xml:space="preserve">The </w:t>
      </w:r>
      <w:r w:rsidR="00CB05C7" w:rsidRPr="0000529A">
        <w:rPr>
          <w:lang w:val="en-ZW"/>
        </w:rPr>
        <w:t xml:space="preserve">executor, </w:t>
      </w:r>
      <w:r w:rsidR="00D13AFD" w:rsidRPr="0000529A">
        <w:rPr>
          <w:lang w:val="en-ZW"/>
        </w:rPr>
        <w:t>in the execution of his duties</w:t>
      </w:r>
      <w:r w:rsidR="00CB05C7" w:rsidRPr="0000529A">
        <w:rPr>
          <w:lang w:val="en-ZW"/>
        </w:rPr>
        <w:t>,</w:t>
      </w:r>
      <w:r w:rsidR="00D13AFD" w:rsidRPr="0000529A">
        <w:rPr>
          <w:lang w:val="en-ZW"/>
        </w:rPr>
        <w:t xml:space="preserve"> requested the </w:t>
      </w:r>
      <w:r w:rsidR="00CB05C7" w:rsidRPr="0000529A">
        <w:rPr>
          <w:lang w:val="en-ZW"/>
        </w:rPr>
        <w:t>beneficiaries</w:t>
      </w:r>
      <w:r w:rsidR="00D13AFD" w:rsidRPr="0000529A">
        <w:rPr>
          <w:lang w:val="en-ZW"/>
        </w:rPr>
        <w:t xml:space="preserve"> to settle the estate liabilities. </w:t>
      </w:r>
      <w:r w:rsidR="00E84D34" w:rsidRPr="0000529A">
        <w:rPr>
          <w:lang w:val="en-ZW"/>
        </w:rPr>
        <w:t>T</w:t>
      </w:r>
      <w:r w:rsidR="002B50C9" w:rsidRPr="0000529A">
        <w:rPr>
          <w:lang w:val="en-ZW"/>
        </w:rPr>
        <w:t xml:space="preserve">he </w:t>
      </w:r>
      <w:r w:rsidR="00BD4D71" w:rsidRPr="0000529A">
        <w:rPr>
          <w:lang w:val="en-ZW"/>
        </w:rPr>
        <w:t>beneficiaries</w:t>
      </w:r>
      <w:r w:rsidR="0030134D" w:rsidRPr="0000529A">
        <w:rPr>
          <w:lang w:val="en-ZW"/>
        </w:rPr>
        <w:t xml:space="preserve"> only managed to pay USD</w:t>
      </w:r>
      <w:r w:rsidR="00D13AFD" w:rsidRPr="0000529A">
        <w:rPr>
          <w:lang w:val="en-ZW"/>
        </w:rPr>
        <w:t>$</w:t>
      </w:r>
      <w:r w:rsidRPr="0000529A">
        <w:rPr>
          <w:lang w:val="en-ZW"/>
        </w:rPr>
        <w:t xml:space="preserve"> 2 625</w:t>
      </w:r>
      <w:r w:rsidR="0030134D" w:rsidRPr="0000529A">
        <w:rPr>
          <w:lang w:val="en-ZW"/>
        </w:rPr>
        <w:t xml:space="preserve"> leaving a balance of USD</w:t>
      </w:r>
      <w:r w:rsidR="00D13AFD" w:rsidRPr="0000529A">
        <w:rPr>
          <w:lang w:val="en-ZW"/>
        </w:rPr>
        <w:t>$</w:t>
      </w:r>
      <w:r w:rsidRPr="0000529A">
        <w:rPr>
          <w:lang w:val="en-ZW"/>
        </w:rPr>
        <w:t xml:space="preserve"> 14 047</w:t>
      </w:r>
      <w:r w:rsidR="0030134D" w:rsidRPr="0000529A">
        <w:rPr>
          <w:lang w:val="en-ZW"/>
        </w:rPr>
        <w:t xml:space="preserve"> </w:t>
      </w:r>
      <w:r w:rsidR="004E3CB2" w:rsidRPr="0000529A">
        <w:rPr>
          <w:lang w:val="en-ZW"/>
        </w:rPr>
        <w:t>as at</w:t>
      </w:r>
      <w:r w:rsidR="0030134D" w:rsidRPr="0000529A">
        <w:rPr>
          <w:lang w:val="en-ZW"/>
        </w:rPr>
        <w:t xml:space="preserve"> 10 January 2018.</w:t>
      </w:r>
    </w:p>
    <w:p w14:paraId="1B65F5FC" w14:textId="7A97BAC4" w:rsidR="00D13AFD" w:rsidRPr="0000529A" w:rsidRDefault="0030134D" w:rsidP="00D7324E">
      <w:pPr>
        <w:jc w:val="both"/>
        <w:rPr>
          <w:lang w:val="en-ZW"/>
        </w:rPr>
      </w:pPr>
      <w:r w:rsidRPr="0000529A">
        <w:rPr>
          <w:lang w:val="en-ZW"/>
        </w:rPr>
        <w:t xml:space="preserve">  </w:t>
      </w:r>
      <w:r w:rsidR="002B50C9" w:rsidRPr="0000529A">
        <w:rPr>
          <w:lang w:val="en-ZW"/>
        </w:rPr>
        <w:t xml:space="preserve"> </w:t>
      </w:r>
    </w:p>
    <w:p w14:paraId="058E986B" w14:textId="1D44863D" w:rsidR="00D7324E" w:rsidRPr="0000529A" w:rsidRDefault="00963D98" w:rsidP="008A1C47">
      <w:pPr>
        <w:spacing w:before="240" w:line="480" w:lineRule="auto"/>
        <w:ind w:left="630" w:hanging="630"/>
        <w:jc w:val="both"/>
        <w:rPr>
          <w:lang w:val="en-ZW"/>
        </w:rPr>
      </w:pPr>
      <w:r w:rsidRPr="0000529A">
        <w:rPr>
          <w:lang w:val="en-ZW"/>
        </w:rPr>
        <w:t>[5</w:t>
      </w:r>
      <w:r w:rsidR="008A1C47" w:rsidRPr="0000529A">
        <w:rPr>
          <w:lang w:val="en-ZW"/>
        </w:rPr>
        <w:t xml:space="preserve">] </w:t>
      </w:r>
      <w:r w:rsidR="0000529A">
        <w:rPr>
          <w:lang w:val="en-ZW"/>
        </w:rPr>
        <w:t xml:space="preserve">  </w:t>
      </w:r>
      <w:r w:rsidR="008A1C47" w:rsidRPr="0000529A">
        <w:rPr>
          <w:lang w:val="en-ZW"/>
        </w:rPr>
        <w:t>Following</w:t>
      </w:r>
      <w:r w:rsidR="00BD4D71" w:rsidRPr="0000529A">
        <w:rPr>
          <w:lang w:val="en-ZW"/>
        </w:rPr>
        <w:t xml:space="preserve"> the beneficiaries</w:t>
      </w:r>
      <w:r w:rsidR="00D74EE4" w:rsidRPr="0000529A">
        <w:rPr>
          <w:lang w:val="en-ZW"/>
        </w:rPr>
        <w:t>’</w:t>
      </w:r>
      <w:r w:rsidR="002B50C9" w:rsidRPr="0000529A">
        <w:rPr>
          <w:lang w:val="en-ZW"/>
        </w:rPr>
        <w:t xml:space="preserve"> failure </w:t>
      </w:r>
      <w:r w:rsidR="00D13AFD" w:rsidRPr="0000529A">
        <w:rPr>
          <w:lang w:val="en-ZW"/>
        </w:rPr>
        <w:t>to settle th</w:t>
      </w:r>
      <w:r w:rsidR="000F0D02" w:rsidRPr="0000529A">
        <w:rPr>
          <w:lang w:val="en-ZW"/>
        </w:rPr>
        <w:t>e full amount</w:t>
      </w:r>
      <w:r w:rsidR="00CA49AC" w:rsidRPr="0000529A">
        <w:rPr>
          <w:lang w:val="en-ZW"/>
        </w:rPr>
        <w:t>,</w:t>
      </w:r>
      <w:r w:rsidR="00D13AFD" w:rsidRPr="0000529A">
        <w:rPr>
          <w:lang w:val="en-ZW"/>
        </w:rPr>
        <w:t xml:space="preserve"> </w:t>
      </w:r>
      <w:r w:rsidR="002B50C9" w:rsidRPr="0000529A">
        <w:rPr>
          <w:lang w:val="en-ZW"/>
        </w:rPr>
        <w:t xml:space="preserve">the </w:t>
      </w:r>
      <w:r w:rsidR="00BD4D71" w:rsidRPr="0000529A">
        <w:rPr>
          <w:lang w:val="en-ZW"/>
        </w:rPr>
        <w:t xml:space="preserve">executor </w:t>
      </w:r>
      <w:r w:rsidR="0030134D" w:rsidRPr="0000529A">
        <w:rPr>
          <w:lang w:val="en-ZW"/>
        </w:rPr>
        <w:t xml:space="preserve">wrote to the </w:t>
      </w:r>
      <w:r w:rsidR="00BD4D71" w:rsidRPr="0000529A">
        <w:rPr>
          <w:lang w:val="en-ZW"/>
        </w:rPr>
        <w:t>Master</w:t>
      </w:r>
      <w:r w:rsidR="002B50C9" w:rsidRPr="0000529A">
        <w:rPr>
          <w:lang w:val="en-ZW"/>
        </w:rPr>
        <w:t xml:space="preserve"> </w:t>
      </w:r>
      <w:r w:rsidR="0030134D" w:rsidRPr="0000529A">
        <w:rPr>
          <w:lang w:val="en-ZW"/>
        </w:rPr>
        <w:t xml:space="preserve">on 10 January 2018 seeking authority to sell </w:t>
      </w:r>
      <w:r w:rsidR="002B50C9" w:rsidRPr="0000529A">
        <w:rPr>
          <w:lang w:val="en-ZW"/>
        </w:rPr>
        <w:t xml:space="preserve">the three farms </w:t>
      </w:r>
      <w:r w:rsidR="0059627C" w:rsidRPr="0000529A">
        <w:rPr>
          <w:lang w:val="en-ZW"/>
        </w:rPr>
        <w:t xml:space="preserve">by private treaty </w:t>
      </w:r>
      <w:r w:rsidR="00613A5C" w:rsidRPr="0000529A">
        <w:rPr>
          <w:lang w:val="en-ZW"/>
        </w:rPr>
        <w:t xml:space="preserve">in order </w:t>
      </w:r>
      <w:r w:rsidR="0030134D" w:rsidRPr="0000529A">
        <w:rPr>
          <w:lang w:val="en-ZW"/>
        </w:rPr>
        <w:t>to liquidate the esta</w:t>
      </w:r>
      <w:r w:rsidR="00D13AFD" w:rsidRPr="0000529A">
        <w:rPr>
          <w:lang w:val="en-ZW"/>
        </w:rPr>
        <w:t xml:space="preserve">te liability.  The </w:t>
      </w:r>
      <w:r w:rsidR="00BD4D71" w:rsidRPr="0000529A">
        <w:rPr>
          <w:lang w:val="en-ZW"/>
        </w:rPr>
        <w:t>Master issued a</w:t>
      </w:r>
      <w:r w:rsidR="0030134D" w:rsidRPr="0000529A">
        <w:rPr>
          <w:lang w:val="en-ZW"/>
        </w:rPr>
        <w:t xml:space="preserve"> consent to the sale </w:t>
      </w:r>
      <w:r w:rsidR="0059627C" w:rsidRPr="0000529A">
        <w:rPr>
          <w:lang w:val="en-ZW"/>
        </w:rPr>
        <w:t xml:space="preserve">in terms of s 120 of the Administration of Estates Act [Chapter 6:01] (the Administration of Estates Act) </w:t>
      </w:r>
      <w:r w:rsidR="0030134D" w:rsidRPr="0000529A">
        <w:rPr>
          <w:lang w:val="en-ZW"/>
        </w:rPr>
        <w:t>on 2</w:t>
      </w:r>
      <w:r w:rsidR="005A718D" w:rsidRPr="0000529A">
        <w:rPr>
          <w:lang w:val="en-ZW"/>
        </w:rPr>
        <w:t>5 January 2018 in respect of two</w:t>
      </w:r>
      <w:r w:rsidR="0030134D" w:rsidRPr="0000529A">
        <w:rPr>
          <w:lang w:val="en-ZW"/>
        </w:rPr>
        <w:t xml:space="preserve"> </w:t>
      </w:r>
      <w:r w:rsidR="005A718D" w:rsidRPr="0000529A">
        <w:rPr>
          <w:lang w:val="en-ZW"/>
        </w:rPr>
        <w:t xml:space="preserve">farms known as </w:t>
      </w:r>
      <w:proofErr w:type="spellStart"/>
      <w:r w:rsidR="005A718D" w:rsidRPr="0000529A">
        <w:rPr>
          <w:lang w:val="en-ZW"/>
        </w:rPr>
        <w:t>Koppies</w:t>
      </w:r>
      <w:proofErr w:type="spellEnd"/>
      <w:r w:rsidR="005A718D" w:rsidRPr="0000529A">
        <w:rPr>
          <w:lang w:val="en-ZW"/>
        </w:rPr>
        <w:t xml:space="preserve"> measuring 1358,0053 hectares and Lorraine Richmond measuring 595,5918 hectares,</w:t>
      </w:r>
      <w:r w:rsidR="0030134D" w:rsidRPr="0000529A">
        <w:rPr>
          <w:lang w:val="en-ZW"/>
        </w:rPr>
        <w:t xml:space="preserve"> and on</w:t>
      </w:r>
      <w:r w:rsidR="005A718D" w:rsidRPr="0000529A">
        <w:rPr>
          <w:lang w:val="en-ZW"/>
        </w:rPr>
        <w:t xml:space="preserve"> the</w:t>
      </w:r>
      <w:r w:rsidR="0030134D" w:rsidRPr="0000529A">
        <w:rPr>
          <w:lang w:val="en-ZW"/>
        </w:rPr>
        <w:t xml:space="preserve"> 17</w:t>
      </w:r>
      <w:r w:rsidR="005A718D" w:rsidRPr="0000529A">
        <w:rPr>
          <w:vertAlign w:val="superscript"/>
          <w:lang w:val="en-ZW"/>
        </w:rPr>
        <w:t>th</w:t>
      </w:r>
      <w:r w:rsidR="005A718D" w:rsidRPr="0000529A">
        <w:rPr>
          <w:lang w:val="en-ZW"/>
        </w:rPr>
        <w:t xml:space="preserve"> of</w:t>
      </w:r>
      <w:r w:rsidR="0030134D" w:rsidRPr="0000529A">
        <w:rPr>
          <w:lang w:val="en-ZW"/>
        </w:rPr>
        <w:t xml:space="preserve"> October 201</w:t>
      </w:r>
      <w:r w:rsidR="005A718D" w:rsidRPr="0000529A">
        <w:rPr>
          <w:lang w:val="en-ZW"/>
        </w:rPr>
        <w:t xml:space="preserve">9 in respect of the farm known as remainder of Richmond measuring 679,7636 hectares. </w:t>
      </w:r>
      <w:r w:rsidR="0030134D" w:rsidRPr="0000529A">
        <w:rPr>
          <w:lang w:val="en-ZW"/>
        </w:rPr>
        <w:t>The consent</w:t>
      </w:r>
      <w:r w:rsidR="007803A2" w:rsidRPr="0000529A">
        <w:rPr>
          <w:lang w:val="en-ZW"/>
        </w:rPr>
        <w:t>s</w:t>
      </w:r>
      <w:r w:rsidR="0030134D" w:rsidRPr="0000529A">
        <w:rPr>
          <w:lang w:val="en-ZW"/>
        </w:rPr>
        <w:t xml:space="preserve"> w</w:t>
      </w:r>
      <w:r w:rsidR="00A20220" w:rsidRPr="0000529A">
        <w:rPr>
          <w:lang w:val="en-ZW"/>
        </w:rPr>
        <w:t>ere</w:t>
      </w:r>
      <w:r w:rsidR="0030134D" w:rsidRPr="0000529A">
        <w:rPr>
          <w:lang w:val="en-ZW"/>
        </w:rPr>
        <w:t xml:space="preserve"> g</w:t>
      </w:r>
      <w:r w:rsidR="007803A2" w:rsidRPr="0000529A">
        <w:rPr>
          <w:lang w:val="en-ZW"/>
        </w:rPr>
        <w:t>ranted</w:t>
      </w:r>
      <w:r w:rsidR="0030134D" w:rsidRPr="0000529A">
        <w:rPr>
          <w:lang w:val="en-ZW"/>
        </w:rPr>
        <w:t xml:space="preserve"> </w:t>
      </w:r>
      <w:r w:rsidR="0030134D" w:rsidRPr="0000529A">
        <w:rPr>
          <w:lang w:val="en-ZW"/>
        </w:rPr>
        <w:lastRenderedPageBreak/>
        <w:t xml:space="preserve">on condition that the </w:t>
      </w:r>
      <w:r w:rsidR="00BD4D71" w:rsidRPr="0000529A">
        <w:rPr>
          <w:lang w:val="en-ZW"/>
        </w:rPr>
        <w:t>executor</w:t>
      </w:r>
      <w:r w:rsidR="0030134D" w:rsidRPr="0000529A">
        <w:rPr>
          <w:lang w:val="en-ZW"/>
        </w:rPr>
        <w:t xml:space="preserve"> would first communicate the</w:t>
      </w:r>
      <w:r w:rsidR="007803A2" w:rsidRPr="0000529A">
        <w:rPr>
          <w:lang w:val="en-ZW"/>
        </w:rPr>
        <w:t xml:space="preserve"> decision to</w:t>
      </w:r>
      <w:r w:rsidR="0030134D" w:rsidRPr="0000529A">
        <w:rPr>
          <w:lang w:val="en-ZW"/>
        </w:rPr>
        <w:t xml:space="preserve"> dispos</w:t>
      </w:r>
      <w:r w:rsidR="007803A2" w:rsidRPr="0000529A">
        <w:rPr>
          <w:lang w:val="en-ZW"/>
        </w:rPr>
        <w:t>e</w:t>
      </w:r>
      <w:r w:rsidR="0030134D" w:rsidRPr="0000529A">
        <w:rPr>
          <w:lang w:val="en-ZW"/>
        </w:rPr>
        <w:t xml:space="preserve"> the farms to the </w:t>
      </w:r>
      <w:r w:rsidR="00D74EE4" w:rsidRPr="0000529A">
        <w:rPr>
          <w:lang w:val="en-ZW"/>
        </w:rPr>
        <w:t>beneficiaries</w:t>
      </w:r>
      <w:r w:rsidR="0030134D" w:rsidRPr="0000529A">
        <w:rPr>
          <w:lang w:val="en-ZW"/>
        </w:rPr>
        <w:t>.  As a result</w:t>
      </w:r>
      <w:r w:rsidR="005A718D" w:rsidRPr="0000529A">
        <w:rPr>
          <w:lang w:val="en-ZW"/>
        </w:rPr>
        <w:t xml:space="preserve"> of the </w:t>
      </w:r>
      <w:r w:rsidR="00050667">
        <w:rPr>
          <w:lang w:val="en-ZW"/>
        </w:rPr>
        <w:t>“</w:t>
      </w:r>
      <w:r w:rsidR="005A718D" w:rsidRPr="0000529A">
        <w:rPr>
          <w:lang w:val="en-ZW"/>
        </w:rPr>
        <w:t>consents to sell</w:t>
      </w:r>
      <w:r w:rsidR="00050667">
        <w:rPr>
          <w:lang w:val="en-ZW"/>
        </w:rPr>
        <w:t>”</w:t>
      </w:r>
      <w:r w:rsidR="0030134D" w:rsidRPr="0000529A">
        <w:rPr>
          <w:lang w:val="en-ZW"/>
        </w:rPr>
        <w:t xml:space="preserve">, all three farms were sold to the </w:t>
      </w:r>
      <w:r w:rsidR="00D74EE4" w:rsidRPr="0000529A">
        <w:rPr>
          <w:lang w:val="en-ZW"/>
        </w:rPr>
        <w:t>purchaser</w:t>
      </w:r>
      <w:r w:rsidR="005A718D" w:rsidRPr="0000529A">
        <w:rPr>
          <w:lang w:val="en-ZW"/>
        </w:rPr>
        <w:t xml:space="preserve"> </w:t>
      </w:r>
      <w:r w:rsidR="0030134D" w:rsidRPr="0000529A">
        <w:rPr>
          <w:lang w:val="en-ZW"/>
        </w:rPr>
        <w:t>represented by one Mr</w:t>
      </w:r>
      <w:r w:rsidR="005A718D" w:rsidRPr="0000529A">
        <w:rPr>
          <w:lang w:val="en-ZW"/>
        </w:rPr>
        <w:t xml:space="preserve">. </w:t>
      </w:r>
      <w:proofErr w:type="spellStart"/>
      <w:r w:rsidR="005A718D" w:rsidRPr="0000529A">
        <w:rPr>
          <w:lang w:val="en-ZW"/>
        </w:rPr>
        <w:t>Arafas</w:t>
      </w:r>
      <w:proofErr w:type="spellEnd"/>
      <w:r w:rsidR="005A718D" w:rsidRPr="0000529A">
        <w:rPr>
          <w:lang w:val="en-ZW"/>
        </w:rPr>
        <w:t xml:space="preserve"> </w:t>
      </w:r>
      <w:proofErr w:type="spellStart"/>
      <w:r w:rsidR="005A718D" w:rsidRPr="0000529A">
        <w:rPr>
          <w:lang w:val="en-ZW"/>
        </w:rPr>
        <w:t>Mtausi</w:t>
      </w:r>
      <w:proofErr w:type="spellEnd"/>
      <w:r w:rsidR="0030134D" w:rsidRPr="0000529A">
        <w:rPr>
          <w:lang w:val="en-ZW"/>
        </w:rPr>
        <w:t xml:space="preserve"> </w:t>
      </w:r>
      <w:proofErr w:type="spellStart"/>
      <w:r w:rsidR="0030134D" w:rsidRPr="0000529A">
        <w:rPr>
          <w:lang w:val="en-ZW"/>
        </w:rPr>
        <w:t>Gwaradzimba</w:t>
      </w:r>
      <w:proofErr w:type="spellEnd"/>
      <w:r w:rsidR="005A718D" w:rsidRPr="0000529A">
        <w:rPr>
          <w:lang w:val="en-ZW"/>
        </w:rPr>
        <w:t>,</w:t>
      </w:r>
      <w:r w:rsidR="0030134D" w:rsidRPr="0000529A">
        <w:rPr>
          <w:lang w:val="en-ZW"/>
        </w:rPr>
        <w:t xml:space="preserve"> who owns </w:t>
      </w:r>
      <w:r w:rsidR="005A718D" w:rsidRPr="0000529A">
        <w:rPr>
          <w:lang w:val="en-ZW"/>
        </w:rPr>
        <w:t>a neig</w:t>
      </w:r>
      <w:r w:rsidR="00BD4D71" w:rsidRPr="0000529A">
        <w:rPr>
          <w:lang w:val="en-ZW"/>
        </w:rPr>
        <w:t>hbouring farm</w:t>
      </w:r>
      <w:r w:rsidR="005A718D" w:rsidRPr="0000529A">
        <w:rPr>
          <w:lang w:val="en-ZW"/>
        </w:rPr>
        <w:t xml:space="preserve"> for a total </w:t>
      </w:r>
      <w:r w:rsidR="00BD4D71" w:rsidRPr="0000529A">
        <w:rPr>
          <w:lang w:val="en-ZW"/>
        </w:rPr>
        <w:t xml:space="preserve">amount </w:t>
      </w:r>
      <w:r w:rsidR="005A718D" w:rsidRPr="0000529A">
        <w:rPr>
          <w:lang w:val="en-ZW"/>
        </w:rPr>
        <w:t>of USD$ 700</w:t>
      </w:r>
      <w:r w:rsidR="00EE685A" w:rsidRPr="0000529A">
        <w:rPr>
          <w:lang w:val="en-ZW"/>
        </w:rPr>
        <w:t xml:space="preserve"> 000</w:t>
      </w:r>
      <w:r w:rsidR="0030134D" w:rsidRPr="0000529A">
        <w:rPr>
          <w:lang w:val="en-ZW"/>
        </w:rPr>
        <w:t>.</w:t>
      </w:r>
    </w:p>
    <w:p w14:paraId="319A7986" w14:textId="4A79EF07" w:rsidR="0030134D" w:rsidRPr="0000529A" w:rsidRDefault="0030134D" w:rsidP="00D7324E">
      <w:pPr>
        <w:jc w:val="both"/>
        <w:rPr>
          <w:lang w:val="en-ZW"/>
        </w:rPr>
      </w:pPr>
      <w:r w:rsidRPr="0000529A">
        <w:rPr>
          <w:lang w:val="en-ZW"/>
        </w:rPr>
        <w:t xml:space="preserve"> </w:t>
      </w:r>
    </w:p>
    <w:p w14:paraId="06CBEF50" w14:textId="13F07FC2" w:rsidR="00D7324E" w:rsidRPr="0000529A" w:rsidRDefault="00EE685A" w:rsidP="00D71E74">
      <w:pPr>
        <w:spacing w:before="240" w:line="480" w:lineRule="auto"/>
        <w:ind w:left="720" w:hanging="720"/>
        <w:jc w:val="both"/>
        <w:rPr>
          <w:lang w:val="en-ZW"/>
        </w:rPr>
      </w:pPr>
      <w:r w:rsidRPr="0000529A">
        <w:rPr>
          <w:lang w:val="en-ZW"/>
        </w:rPr>
        <w:t>[6</w:t>
      </w:r>
      <w:r w:rsidR="00D71E74" w:rsidRPr="0000529A">
        <w:rPr>
          <w:lang w:val="en-ZW"/>
        </w:rPr>
        <w:t xml:space="preserve">] </w:t>
      </w:r>
      <w:r w:rsidR="0000529A">
        <w:rPr>
          <w:lang w:val="en-ZW"/>
        </w:rPr>
        <w:t xml:space="preserve">  </w:t>
      </w:r>
      <w:r w:rsidR="00D71E74" w:rsidRPr="0000529A">
        <w:rPr>
          <w:lang w:val="en-ZW"/>
        </w:rPr>
        <w:t>On</w:t>
      </w:r>
      <w:r w:rsidR="00613A5C" w:rsidRPr="0000529A">
        <w:rPr>
          <w:lang w:val="en-ZW"/>
        </w:rPr>
        <w:t xml:space="preserve"> 12 March 2018</w:t>
      </w:r>
      <w:r w:rsidR="00D74EE4" w:rsidRPr="0000529A">
        <w:rPr>
          <w:lang w:val="en-ZW"/>
        </w:rPr>
        <w:t xml:space="preserve"> </w:t>
      </w:r>
      <w:r w:rsidR="00B938DD" w:rsidRPr="0000529A">
        <w:rPr>
          <w:lang w:val="en-ZW"/>
        </w:rPr>
        <w:t xml:space="preserve">the </w:t>
      </w:r>
      <w:r w:rsidR="00D74EE4" w:rsidRPr="0000529A">
        <w:rPr>
          <w:lang w:val="en-ZW"/>
        </w:rPr>
        <w:t>beneficiaries</w:t>
      </w:r>
      <w:r w:rsidR="00B938DD" w:rsidRPr="0000529A">
        <w:rPr>
          <w:lang w:val="en-ZW"/>
        </w:rPr>
        <w:t xml:space="preserve"> wrote an email to the </w:t>
      </w:r>
      <w:r w:rsidR="00BA7FC5" w:rsidRPr="0000529A">
        <w:rPr>
          <w:lang w:val="en-ZW"/>
        </w:rPr>
        <w:t>executor</w:t>
      </w:r>
      <w:r w:rsidR="00B938DD" w:rsidRPr="0000529A">
        <w:rPr>
          <w:lang w:val="en-ZW"/>
        </w:rPr>
        <w:t xml:space="preserve"> with an instruction that he should not sell the farms but that he </w:t>
      </w:r>
      <w:r w:rsidR="00613A5C" w:rsidRPr="0000529A">
        <w:rPr>
          <w:lang w:val="en-ZW"/>
        </w:rPr>
        <w:t xml:space="preserve">should </w:t>
      </w:r>
      <w:r w:rsidR="00B938DD" w:rsidRPr="0000529A">
        <w:rPr>
          <w:lang w:val="en-ZW"/>
        </w:rPr>
        <w:t xml:space="preserve">rather sell </w:t>
      </w:r>
      <w:r w:rsidR="000A31CC" w:rsidRPr="0000529A">
        <w:rPr>
          <w:lang w:val="en-ZW"/>
        </w:rPr>
        <w:t xml:space="preserve">the </w:t>
      </w:r>
      <w:r w:rsidR="004011FD" w:rsidRPr="0000529A">
        <w:rPr>
          <w:lang w:val="en-ZW"/>
        </w:rPr>
        <w:t>butchery</w:t>
      </w:r>
      <w:r w:rsidR="00B938DD" w:rsidRPr="0000529A">
        <w:rPr>
          <w:lang w:val="en-ZW"/>
        </w:rPr>
        <w:t xml:space="preserve"> in Kwekwe to recover the estate liabilities. </w:t>
      </w:r>
      <w:r w:rsidR="00613A5C" w:rsidRPr="0000529A">
        <w:rPr>
          <w:lang w:val="en-ZW"/>
        </w:rPr>
        <w:t>O</w:t>
      </w:r>
      <w:r w:rsidR="00B938DD" w:rsidRPr="0000529A">
        <w:rPr>
          <w:lang w:val="en-ZW"/>
        </w:rPr>
        <w:t>n the 20</w:t>
      </w:r>
      <w:r w:rsidR="00B938DD" w:rsidRPr="0000529A">
        <w:rPr>
          <w:vertAlign w:val="superscript"/>
          <w:lang w:val="en-ZW"/>
        </w:rPr>
        <w:t>th</w:t>
      </w:r>
      <w:r w:rsidR="00B938DD" w:rsidRPr="0000529A">
        <w:rPr>
          <w:lang w:val="en-ZW"/>
        </w:rPr>
        <w:t xml:space="preserve"> of July 2018, leg</w:t>
      </w:r>
      <w:r w:rsidR="000A31CC" w:rsidRPr="0000529A">
        <w:rPr>
          <w:lang w:val="en-ZW"/>
        </w:rPr>
        <w:t xml:space="preserve">al practitioners representing all the beneficiaries wrote to the executor </w:t>
      </w:r>
      <w:r w:rsidR="00B938DD" w:rsidRPr="0000529A">
        <w:rPr>
          <w:lang w:val="en-ZW"/>
        </w:rPr>
        <w:t>objecting to the proposed sale of the farms on the basis that</w:t>
      </w:r>
      <w:r w:rsidR="000A31CC" w:rsidRPr="0000529A">
        <w:rPr>
          <w:lang w:val="en-ZW"/>
        </w:rPr>
        <w:t>, firstly,</w:t>
      </w:r>
      <w:r w:rsidR="00B938DD" w:rsidRPr="0000529A">
        <w:rPr>
          <w:lang w:val="en-ZW"/>
        </w:rPr>
        <w:t xml:space="preserve"> they did not </w:t>
      </w:r>
      <w:r w:rsidR="00D80D94" w:rsidRPr="0000529A">
        <w:rPr>
          <w:lang w:val="en-ZW"/>
        </w:rPr>
        <w:t>consent</w:t>
      </w:r>
      <w:r w:rsidR="000A31CC" w:rsidRPr="0000529A">
        <w:rPr>
          <w:lang w:val="en-ZW"/>
        </w:rPr>
        <w:t xml:space="preserve"> to the sale of the farms and secondly, that the proceeds from the sale of</w:t>
      </w:r>
      <w:r w:rsidR="00B938DD" w:rsidRPr="0000529A">
        <w:rPr>
          <w:lang w:val="en-ZW"/>
        </w:rPr>
        <w:t xml:space="preserve"> the Kwekwe butchery would </w:t>
      </w:r>
      <w:r w:rsidR="007803A2" w:rsidRPr="0000529A">
        <w:rPr>
          <w:lang w:val="en-ZW"/>
        </w:rPr>
        <w:t xml:space="preserve">be </w:t>
      </w:r>
      <w:r w:rsidR="00B938DD" w:rsidRPr="0000529A">
        <w:rPr>
          <w:lang w:val="en-ZW"/>
        </w:rPr>
        <w:t>suffi</w:t>
      </w:r>
      <w:r w:rsidR="007803A2" w:rsidRPr="0000529A">
        <w:rPr>
          <w:lang w:val="en-ZW"/>
        </w:rPr>
        <w:t>cient</w:t>
      </w:r>
      <w:r w:rsidR="00B938DD" w:rsidRPr="0000529A">
        <w:rPr>
          <w:lang w:val="en-ZW"/>
        </w:rPr>
        <w:t xml:space="preserve"> to settle the </w:t>
      </w:r>
      <w:r w:rsidR="004011FD" w:rsidRPr="0000529A">
        <w:rPr>
          <w:lang w:val="en-ZW"/>
        </w:rPr>
        <w:t>estates</w:t>
      </w:r>
      <w:r w:rsidR="00B938DD" w:rsidRPr="0000529A">
        <w:rPr>
          <w:lang w:val="en-ZW"/>
        </w:rPr>
        <w:t xml:space="preserve"> liabilities</w:t>
      </w:r>
      <w:r w:rsidR="00D80D94" w:rsidRPr="0000529A">
        <w:rPr>
          <w:lang w:val="en-ZW"/>
        </w:rPr>
        <w:t xml:space="preserve">. </w:t>
      </w:r>
      <w:r w:rsidR="004011FD" w:rsidRPr="0000529A">
        <w:rPr>
          <w:lang w:val="en-ZW"/>
        </w:rPr>
        <w:t>This letter w</w:t>
      </w:r>
      <w:r w:rsidR="000A31CC" w:rsidRPr="0000529A">
        <w:rPr>
          <w:lang w:val="en-ZW"/>
        </w:rPr>
        <w:t>as copied to the Master</w:t>
      </w:r>
      <w:r w:rsidR="004011FD" w:rsidRPr="0000529A">
        <w:rPr>
          <w:lang w:val="en-ZW"/>
        </w:rPr>
        <w:t xml:space="preserve">. </w:t>
      </w:r>
      <w:r w:rsidR="00D80D94" w:rsidRPr="0000529A">
        <w:rPr>
          <w:lang w:val="en-ZW"/>
        </w:rPr>
        <w:t xml:space="preserve">It was </w:t>
      </w:r>
      <w:r w:rsidR="000A31CC" w:rsidRPr="0000529A">
        <w:rPr>
          <w:lang w:val="en-ZW"/>
        </w:rPr>
        <w:t xml:space="preserve">further </w:t>
      </w:r>
      <w:r w:rsidR="00D80D94" w:rsidRPr="0000529A">
        <w:rPr>
          <w:lang w:val="en-ZW"/>
        </w:rPr>
        <w:t>alleged that</w:t>
      </w:r>
      <w:r w:rsidR="00B938DD" w:rsidRPr="0000529A">
        <w:rPr>
          <w:lang w:val="en-ZW"/>
        </w:rPr>
        <w:t xml:space="preserve"> the executor was advancing his </w:t>
      </w:r>
      <w:r w:rsidR="00305272" w:rsidRPr="0000529A">
        <w:rPr>
          <w:lang w:val="en-ZW"/>
        </w:rPr>
        <w:t xml:space="preserve">own </w:t>
      </w:r>
      <w:r w:rsidR="00B938DD" w:rsidRPr="0000529A">
        <w:rPr>
          <w:lang w:val="en-ZW"/>
        </w:rPr>
        <w:t xml:space="preserve">personal interest in </w:t>
      </w:r>
      <w:r w:rsidR="007803A2" w:rsidRPr="0000529A">
        <w:rPr>
          <w:lang w:val="en-ZW"/>
        </w:rPr>
        <w:t>insisting</w:t>
      </w:r>
      <w:r w:rsidR="00B938DD" w:rsidRPr="0000529A">
        <w:rPr>
          <w:lang w:val="en-ZW"/>
        </w:rPr>
        <w:t xml:space="preserve"> </w:t>
      </w:r>
      <w:r w:rsidR="007803A2" w:rsidRPr="0000529A">
        <w:rPr>
          <w:lang w:val="en-ZW"/>
        </w:rPr>
        <w:t>on</w:t>
      </w:r>
      <w:r w:rsidR="00B938DD" w:rsidRPr="0000529A">
        <w:rPr>
          <w:lang w:val="en-ZW"/>
        </w:rPr>
        <w:t xml:space="preserve"> the sale of the farms</w:t>
      </w:r>
      <w:r w:rsidR="00305272" w:rsidRPr="0000529A">
        <w:rPr>
          <w:lang w:val="en-ZW"/>
        </w:rPr>
        <w:t xml:space="preserve"> rather than the interests of the beneficiaries</w:t>
      </w:r>
      <w:r w:rsidR="000A31CC" w:rsidRPr="0000529A">
        <w:rPr>
          <w:lang w:val="en-ZW"/>
        </w:rPr>
        <w:t>. By letter dated</w:t>
      </w:r>
      <w:r w:rsidR="00B938DD" w:rsidRPr="0000529A">
        <w:rPr>
          <w:lang w:val="en-ZW"/>
        </w:rPr>
        <w:t xml:space="preserve"> 6 of August 2018 the </w:t>
      </w:r>
      <w:r w:rsidR="00BA7FC5" w:rsidRPr="0000529A">
        <w:rPr>
          <w:lang w:val="en-ZW"/>
        </w:rPr>
        <w:t>Master</w:t>
      </w:r>
      <w:r w:rsidR="00B938DD" w:rsidRPr="0000529A">
        <w:rPr>
          <w:lang w:val="en-ZW"/>
        </w:rPr>
        <w:t xml:space="preserve"> informed the </w:t>
      </w:r>
      <w:r w:rsidR="00BA7FC5" w:rsidRPr="0000529A">
        <w:rPr>
          <w:lang w:val="en-ZW"/>
        </w:rPr>
        <w:t xml:space="preserve">beneficiaries </w:t>
      </w:r>
      <w:r w:rsidR="00B938DD" w:rsidRPr="0000529A">
        <w:rPr>
          <w:lang w:val="en-ZW"/>
        </w:rPr>
        <w:t>that their objections had been noted but however the consent to sale could not be revoked as the decision had already been made.</w:t>
      </w:r>
    </w:p>
    <w:p w14:paraId="0E34CD45" w14:textId="58A8906D" w:rsidR="005A718D" w:rsidRPr="0000529A" w:rsidRDefault="00B938DD" w:rsidP="00D7324E">
      <w:pPr>
        <w:jc w:val="both"/>
        <w:rPr>
          <w:lang w:val="en-ZW"/>
        </w:rPr>
      </w:pPr>
      <w:r w:rsidRPr="0000529A">
        <w:rPr>
          <w:lang w:val="en-ZW"/>
        </w:rPr>
        <w:t xml:space="preserve"> </w:t>
      </w:r>
    </w:p>
    <w:p w14:paraId="00F835CC" w14:textId="6D9780C0" w:rsidR="00D7324E" w:rsidRPr="0000529A" w:rsidRDefault="001A61BA" w:rsidP="00D71E74">
      <w:pPr>
        <w:spacing w:before="240" w:line="480" w:lineRule="auto"/>
        <w:ind w:left="810" w:hanging="810"/>
        <w:jc w:val="both"/>
        <w:rPr>
          <w:lang w:val="en-ZW"/>
        </w:rPr>
      </w:pPr>
      <w:r w:rsidRPr="0000529A">
        <w:rPr>
          <w:lang w:val="en-ZW"/>
        </w:rPr>
        <w:t xml:space="preserve"> [7</w:t>
      </w:r>
      <w:r w:rsidR="00EE685A" w:rsidRPr="0000529A">
        <w:rPr>
          <w:lang w:val="en-ZW"/>
        </w:rPr>
        <w:t xml:space="preserve">] </w:t>
      </w:r>
      <w:r w:rsidR="0000529A">
        <w:rPr>
          <w:lang w:val="en-ZW"/>
        </w:rPr>
        <w:t xml:space="preserve">   </w:t>
      </w:r>
      <w:r w:rsidR="00E61A36" w:rsidRPr="0000529A">
        <w:rPr>
          <w:lang w:val="en-ZW"/>
        </w:rPr>
        <w:t>Dissatisfied</w:t>
      </w:r>
      <w:r w:rsidR="0030134D" w:rsidRPr="0000529A">
        <w:rPr>
          <w:lang w:val="en-ZW"/>
        </w:rPr>
        <w:t xml:space="preserve"> by the</w:t>
      </w:r>
      <w:r w:rsidR="00907993" w:rsidRPr="0000529A">
        <w:rPr>
          <w:lang w:val="en-ZW"/>
        </w:rPr>
        <w:t xml:space="preserve"> Master</w:t>
      </w:r>
      <w:r w:rsidR="00CC5137" w:rsidRPr="0000529A">
        <w:rPr>
          <w:lang w:val="en-ZW"/>
        </w:rPr>
        <w:t>’s</w:t>
      </w:r>
      <w:r w:rsidR="00907993" w:rsidRPr="0000529A">
        <w:rPr>
          <w:lang w:val="en-ZW"/>
        </w:rPr>
        <w:t xml:space="preserve"> decision to grant</w:t>
      </w:r>
      <w:r w:rsidR="005574C1" w:rsidRPr="0000529A">
        <w:rPr>
          <w:lang w:val="en-ZW"/>
        </w:rPr>
        <w:t xml:space="preserve"> </w:t>
      </w:r>
      <w:r w:rsidR="0030134D" w:rsidRPr="0000529A">
        <w:rPr>
          <w:lang w:val="en-ZW"/>
        </w:rPr>
        <w:t xml:space="preserve">the </w:t>
      </w:r>
      <w:r w:rsidR="00907993" w:rsidRPr="0000529A">
        <w:rPr>
          <w:lang w:val="en-ZW"/>
        </w:rPr>
        <w:t>executor</w:t>
      </w:r>
      <w:r w:rsidR="00DC29BC">
        <w:rPr>
          <w:lang w:val="en-ZW"/>
        </w:rPr>
        <w:t>’</w:t>
      </w:r>
      <w:r w:rsidR="00907993" w:rsidRPr="0000529A">
        <w:rPr>
          <w:lang w:val="en-ZW"/>
        </w:rPr>
        <w:t>s</w:t>
      </w:r>
      <w:r w:rsidR="0030134D" w:rsidRPr="0000529A">
        <w:rPr>
          <w:lang w:val="en-ZW"/>
        </w:rPr>
        <w:t xml:space="preserve"> </w:t>
      </w:r>
      <w:r w:rsidR="00907993" w:rsidRPr="0000529A">
        <w:rPr>
          <w:lang w:val="en-ZW"/>
        </w:rPr>
        <w:t>request for</w:t>
      </w:r>
      <w:r w:rsidR="0030134D" w:rsidRPr="0000529A">
        <w:rPr>
          <w:lang w:val="en-ZW"/>
        </w:rPr>
        <w:t xml:space="preserve"> </w:t>
      </w:r>
      <w:r w:rsidR="00050667">
        <w:rPr>
          <w:lang w:val="en-ZW"/>
        </w:rPr>
        <w:t>“</w:t>
      </w:r>
      <w:r w:rsidR="0030134D" w:rsidRPr="0000529A">
        <w:rPr>
          <w:lang w:val="en-ZW"/>
        </w:rPr>
        <w:t>conse</w:t>
      </w:r>
      <w:r w:rsidR="00CC5137" w:rsidRPr="0000529A">
        <w:rPr>
          <w:lang w:val="en-ZW"/>
        </w:rPr>
        <w:t>nt to sell</w:t>
      </w:r>
      <w:r w:rsidR="00050667">
        <w:rPr>
          <w:lang w:val="en-ZW"/>
        </w:rPr>
        <w:t>”</w:t>
      </w:r>
      <w:r w:rsidR="00CC5137" w:rsidRPr="0000529A">
        <w:rPr>
          <w:lang w:val="en-ZW"/>
        </w:rPr>
        <w:t xml:space="preserve"> the three farms</w:t>
      </w:r>
      <w:r w:rsidR="00CA49AC" w:rsidRPr="0000529A">
        <w:rPr>
          <w:lang w:val="en-ZW"/>
        </w:rPr>
        <w:t>,</w:t>
      </w:r>
      <w:r w:rsidR="00CC5137" w:rsidRPr="0000529A">
        <w:rPr>
          <w:lang w:val="en-ZW"/>
        </w:rPr>
        <w:t xml:space="preserve"> the </w:t>
      </w:r>
      <w:r w:rsidR="00907993" w:rsidRPr="0000529A">
        <w:rPr>
          <w:lang w:val="en-ZW"/>
        </w:rPr>
        <w:t>beneficiaries</w:t>
      </w:r>
      <w:r w:rsidR="00CC5137" w:rsidRPr="0000529A">
        <w:rPr>
          <w:lang w:val="en-ZW"/>
        </w:rPr>
        <w:t xml:space="preserve"> made</w:t>
      </w:r>
      <w:r w:rsidR="0030134D" w:rsidRPr="0000529A">
        <w:rPr>
          <w:lang w:val="en-ZW"/>
        </w:rPr>
        <w:t xml:space="preserve"> an application bef</w:t>
      </w:r>
      <w:r w:rsidR="00CC5137" w:rsidRPr="0000529A">
        <w:rPr>
          <w:lang w:val="en-ZW"/>
        </w:rPr>
        <w:t xml:space="preserve">ore the court </w:t>
      </w:r>
      <w:r w:rsidR="00CC5137" w:rsidRPr="0000529A">
        <w:rPr>
          <w:i/>
          <w:lang w:val="en-ZW"/>
        </w:rPr>
        <w:t>a quo</w:t>
      </w:r>
      <w:r w:rsidR="0030134D" w:rsidRPr="0000529A">
        <w:rPr>
          <w:lang w:val="en-ZW"/>
        </w:rPr>
        <w:t xml:space="preserve"> in terms of s 4 of the Administrative Justice Act [</w:t>
      </w:r>
      <w:r w:rsidR="0030134D" w:rsidRPr="0000529A">
        <w:rPr>
          <w:i/>
          <w:lang w:val="en-ZW"/>
        </w:rPr>
        <w:t>Chapter 10:28</w:t>
      </w:r>
      <w:r w:rsidR="00EE685A" w:rsidRPr="0000529A">
        <w:rPr>
          <w:lang w:val="en-ZW"/>
        </w:rPr>
        <w:t>] (‘</w:t>
      </w:r>
      <w:r w:rsidR="00CC5137" w:rsidRPr="0000529A">
        <w:rPr>
          <w:lang w:val="en-ZW"/>
        </w:rPr>
        <w:t xml:space="preserve">the </w:t>
      </w:r>
      <w:r w:rsidR="00EE685A" w:rsidRPr="0000529A">
        <w:rPr>
          <w:lang w:val="en-ZW"/>
        </w:rPr>
        <w:t>Administrati</w:t>
      </w:r>
      <w:r w:rsidR="002D188B">
        <w:rPr>
          <w:lang w:val="en-ZW"/>
        </w:rPr>
        <w:t>ve</w:t>
      </w:r>
      <w:r w:rsidR="00EE685A" w:rsidRPr="0000529A">
        <w:rPr>
          <w:lang w:val="en-ZW"/>
        </w:rPr>
        <w:t xml:space="preserve"> Justice Act’</w:t>
      </w:r>
      <w:r w:rsidR="0030134D" w:rsidRPr="0000529A">
        <w:rPr>
          <w:lang w:val="en-ZW"/>
        </w:rPr>
        <w:t>) seeking the setting aside of th</w:t>
      </w:r>
      <w:r w:rsidR="00CC5137" w:rsidRPr="0000529A">
        <w:rPr>
          <w:lang w:val="en-ZW"/>
        </w:rPr>
        <w:t xml:space="preserve">e decision of the </w:t>
      </w:r>
      <w:r w:rsidR="00907993" w:rsidRPr="0000529A">
        <w:rPr>
          <w:lang w:val="en-ZW"/>
        </w:rPr>
        <w:t>Master</w:t>
      </w:r>
      <w:r w:rsidR="00CC5137" w:rsidRPr="0000529A">
        <w:rPr>
          <w:lang w:val="en-ZW"/>
        </w:rPr>
        <w:t xml:space="preserve"> on the basis that he acted </w:t>
      </w:r>
      <w:r w:rsidR="0030134D" w:rsidRPr="0000529A">
        <w:rPr>
          <w:lang w:val="en-ZW"/>
        </w:rPr>
        <w:t>unlawful</w:t>
      </w:r>
      <w:r w:rsidR="00CC5137" w:rsidRPr="0000529A">
        <w:rPr>
          <w:lang w:val="en-ZW"/>
        </w:rPr>
        <w:t>ly, unreasonably</w:t>
      </w:r>
      <w:r w:rsidR="0030134D" w:rsidRPr="0000529A">
        <w:rPr>
          <w:lang w:val="en-ZW"/>
        </w:rPr>
        <w:t xml:space="preserve"> and </w:t>
      </w:r>
      <w:r w:rsidR="00CC5137" w:rsidRPr="0000529A">
        <w:rPr>
          <w:lang w:val="en-ZW"/>
        </w:rPr>
        <w:t xml:space="preserve">in an </w:t>
      </w:r>
      <w:r w:rsidR="0030134D" w:rsidRPr="0000529A">
        <w:rPr>
          <w:lang w:val="en-ZW"/>
        </w:rPr>
        <w:t>unfair</w:t>
      </w:r>
      <w:r w:rsidR="00CC5137" w:rsidRPr="0000529A">
        <w:rPr>
          <w:lang w:val="en-ZW"/>
        </w:rPr>
        <w:t xml:space="preserve"> m</w:t>
      </w:r>
      <w:r w:rsidR="00907993" w:rsidRPr="0000529A">
        <w:rPr>
          <w:lang w:val="en-ZW"/>
        </w:rPr>
        <w:t>anner in granting the consent</w:t>
      </w:r>
      <w:r w:rsidR="0030134D" w:rsidRPr="0000529A">
        <w:rPr>
          <w:lang w:val="en-ZW"/>
        </w:rPr>
        <w:t>.</w:t>
      </w:r>
    </w:p>
    <w:p w14:paraId="730CB1E1" w14:textId="515520F6" w:rsidR="00C52F64" w:rsidRPr="0000529A" w:rsidRDefault="00C52F64" w:rsidP="00D7324E">
      <w:pPr>
        <w:spacing w:line="480" w:lineRule="auto"/>
        <w:jc w:val="both"/>
        <w:rPr>
          <w:b/>
          <w:bCs/>
          <w:u w:val="single"/>
          <w:lang w:val="en-ZW"/>
        </w:rPr>
      </w:pPr>
      <w:r w:rsidRPr="0000529A">
        <w:rPr>
          <w:b/>
          <w:bCs/>
          <w:u w:val="single"/>
          <w:lang w:val="en-ZW"/>
        </w:rPr>
        <w:lastRenderedPageBreak/>
        <w:t>DECISION OF THE COURT A QUO</w:t>
      </w:r>
    </w:p>
    <w:p w14:paraId="417E0EBC" w14:textId="69B367D4" w:rsidR="00345497" w:rsidRPr="0000529A" w:rsidRDefault="001A61BA" w:rsidP="00D71E74">
      <w:pPr>
        <w:spacing w:line="480" w:lineRule="auto"/>
        <w:ind w:left="630" w:hanging="720"/>
        <w:jc w:val="both"/>
        <w:rPr>
          <w:lang w:val="en-ZW"/>
        </w:rPr>
      </w:pPr>
      <w:r w:rsidRPr="0000529A">
        <w:rPr>
          <w:lang w:val="en-ZW"/>
        </w:rPr>
        <w:t>[8</w:t>
      </w:r>
      <w:r w:rsidR="00D71E74" w:rsidRPr="0000529A">
        <w:rPr>
          <w:lang w:val="en-ZW"/>
        </w:rPr>
        <w:t xml:space="preserve">] </w:t>
      </w:r>
      <w:r w:rsidR="0000529A">
        <w:rPr>
          <w:lang w:val="en-ZW"/>
        </w:rPr>
        <w:t xml:space="preserve">   </w:t>
      </w:r>
      <w:r w:rsidR="00D71E74" w:rsidRPr="0000529A">
        <w:rPr>
          <w:lang w:val="en-ZW"/>
        </w:rPr>
        <w:t>The</w:t>
      </w:r>
      <w:r w:rsidR="006F1DCF" w:rsidRPr="0000529A">
        <w:rPr>
          <w:lang w:val="en-ZW"/>
        </w:rPr>
        <w:t xml:space="preserve"> </w:t>
      </w:r>
      <w:r w:rsidR="00C235BA" w:rsidRPr="0000529A">
        <w:rPr>
          <w:lang w:val="en-ZW"/>
        </w:rPr>
        <w:t xml:space="preserve">court </w:t>
      </w:r>
      <w:r w:rsidR="00C235BA" w:rsidRPr="0000529A">
        <w:rPr>
          <w:i/>
          <w:lang w:val="en-ZW"/>
        </w:rPr>
        <w:t>a quo</w:t>
      </w:r>
      <w:r w:rsidR="006F1DCF" w:rsidRPr="0000529A">
        <w:rPr>
          <w:i/>
          <w:lang w:val="en-ZW"/>
        </w:rPr>
        <w:t>,</w:t>
      </w:r>
      <w:r w:rsidR="00C235BA" w:rsidRPr="0000529A">
        <w:rPr>
          <w:lang w:val="en-ZW"/>
        </w:rPr>
        <w:t xml:space="preserve"> in dealing with the application held</w:t>
      </w:r>
      <w:r w:rsidR="00AF06C3" w:rsidRPr="0000529A">
        <w:rPr>
          <w:lang w:val="en-ZW"/>
        </w:rPr>
        <w:t xml:space="preserve"> that the </w:t>
      </w:r>
      <w:r w:rsidR="0012700F" w:rsidRPr="0000529A">
        <w:rPr>
          <w:lang w:val="en-ZW"/>
        </w:rPr>
        <w:t>Master</w:t>
      </w:r>
      <w:r w:rsidR="0030134D" w:rsidRPr="0000529A">
        <w:rPr>
          <w:lang w:val="en-ZW"/>
        </w:rPr>
        <w:t xml:space="preserve"> </w:t>
      </w:r>
      <w:r w:rsidR="007D4D21" w:rsidRPr="0000529A">
        <w:rPr>
          <w:lang w:val="en-ZW"/>
        </w:rPr>
        <w:t xml:space="preserve">failed to conduct a </w:t>
      </w:r>
      <w:r w:rsidR="00932582" w:rsidRPr="0000529A">
        <w:rPr>
          <w:lang w:val="en-ZW"/>
        </w:rPr>
        <w:t>‘</w:t>
      </w:r>
      <w:r w:rsidR="007D4D21" w:rsidRPr="0000529A">
        <w:rPr>
          <w:lang w:val="en-ZW"/>
        </w:rPr>
        <w:t>due inquiry</w:t>
      </w:r>
      <w:r w:rsidR="00932582" w:rsidRPr="0000529A">
        <w:rPr>
          <w:lang w:val="en-ZW"/>
        </w:rPr>
        <w:t>’</w:t>
      </w:r>
      <w:r w:rsidR="007D4D21" w:rsidRPr="0000529A">
        <w:rPr>
          <w:lang w:val="en-ZW"/>
        </w:rPr>
        <w:t xml:space="preserve"> in accordance with s 120 of the Administration of Estates Act. The court </w:t>
      </w:r>
      <w:r w:rsidR="007D4D21" w:rsidRPr="0000529A">
        <w:rPr>
          <w:i/>
          <w:iCs/>
          <w:lang w:val="en-ZW"/>
        </w:rPr>
        <w:t>a quo</w:t>
      </w:r>
      <w:r w:rsidR="007D4D21" w:rsidRPr="0000529A">
        <w:rPr>
          <w:lang w:val="en-ZW"/>
        </w:rPr>
        <w:t xml:space="preserve"> further held that the </w:t>
      </w:r>
      <w:r w:rsidR="0030134D" w:rsidRPr="0000529A">
        <w:rPr>
          <w:lang w:val="en-ZW"/>
        </w:rPr>
        <w:t xml:space="preserve">decision to issue the </w:t>
      </w:r>
      <w:r w:rsidR="00050667">
        <w:rPr>
          <w:lang w:val="en-ZW"/>
        </w:rPr>
        <w:t>“</w:t>
      </w:r>
      <w:r w:rsidR="0030134D" w:rsidRPr="0000529A">
        <w:rPr>
          <w:lang w:val="en-ZW"/>
        </w:rPr>
        <w:t>consent to sell</w:t>
      </w:r>
      <w:r w:rsidR="00050667">
        <w:rPr>
          <w:lang w:val="en-ZW"/>
        </w:rPr>
        <w:t>”</w:t>
      </w:r>
      <w:r w:rsidR="0030134D" w:rsidRPr="0000529A">
        <w:rPr>
          <w:lang w:val="en-ZW"/>
        </w:rPr>
        <w:t xml:space="preserve"> the three farms without holding a</w:t>
      </w:r>
      <w:r w:rsidR="00F400B8" w:rsidRPr="0000529A">
        <w:rPr>
          <w:lang w:val="en-ZW"/>
        </w:rPr>
        <w:t>n</w:t>
      </w:r>
      <w:r w:rsidR="0030134D" w:rsidRPr="0000529A">
        <w:rPr>
          <w:lang w:val="en-ZW"/>
        </w:rPr>
        <w:t xml:space="preserve"> inquiry </w:t>
      </w:r>
      <w:r w:rsidR="00AF06C3" w:rsidRPr="0000529A">
        <w:rPr>
          <w:lang w:val="en-ZW"/>
        </w:rPr>
        <w:t xml:space="preserve">in terms of s </w:t>
      </w:r>
      <w:r w:rsidR="0030134D" w:rsidRPr="0000529A">
        <w:rPr>
          <w:lang w:val="en-ZW"/>
        </w:rPr>
        <w:t>120 of the</w:t>
      </w:r>
      <w:r w:rsidR="00AF06C3" w:rsidRPr="0000529A">
        <w:rPr>
          <w:lang w:val="en-ZW"/>
        </w:rPr>
        <w:t xml:space="preserve"> Administration of Estates Act </w:t>
      </w:r>
      <w:r w:rsidR="0030134D" w:rsidRPr="0000529A">
        <w:rPr>
          <w:lang w:val="en-ZW"/>
        </w:rPr>
        <w:t>was illogic</w:t>
      </w:r>
      <w:r w:rsidR="00C235BA" w:rsidRPr="0000529A">
        <w:rPr>
          <w:lang w:val="en-ZW"/>
        </w:rPr>
        <w:t xml:space="preserve">al and grossly unreasonable. </w:t>
      </w:r>
      <w:r w:rsidR="00AF06C3" w:rsidRPr="0000529A">
        <w:rPr>
          <w:lang w:val="en-ZW"/>
        </w:rPr>
        <w:t>The court</w:t>
      </w:r>
      <w:r w:rsidR="0030134D" w:rsidRPr="0000529A">
        <w:rPr>
          <w:lang w:val="en-ZW"/>
        </w:rPr>
        <w:t xml:space="preserve"> </w:t>
      </w:r>
      <w:r w:rsidR="0012700F" w:rsidRPr="0000529A">
        <w:rPr>
          <w:i/>
          <w:lang w:val="en-ZW"/>
        </w:rPr>
        <w:t>a quo</w:t>
      </w:r>
      <w:r w:rsidR="0012700F" w:rsidRPr="0000529A">
        <w:rPr>
          <w:lang w:val="en-ZW"/>
        </w:rPr>
        <w:t xml:space="preserve"> </w:t>
      </w:r>
      <w:r w:rsidR="00AF06C3" w:rsidRPr="0000529A">
        <w:rPr>
          <w:lang w:val="en-ZW"/>
        </w:rPr>
        <w:t>reasoned that the</w:t>
      </w:r>
      <w:r w:rsidR="0012700F" w:rsidRPr="0000529A">
        <w:rPr>
          <w:lang w:val="en-ZW"/>
        </w:rPr>
        <w:t xml:space="preserve"> Master </w:t>
      </w:r>
      <w:r w:rsidR="0030134D" w:rsidRPr="0000529A">
        <w:rPr>
          <w:lang w:val="en-ZW"/>
        </w:rPr>
        <w:t>ought to have</w:t>
      </w:r>
      <w:r w:rsidR="006F1DCF" w:rsidRPr="0000529A">
        <w:rPr>
          <w:lang w:val="en-ZW"/>
        </w:rPr>
        <w:t xml:space="preserve"> </w:t>
      </w:r>
      <w:r w:rsidR="0030134D" w:rsidRPr="0000529A">
        <w:rPr>
          <w:lang w:val="en-ZW"/>
        </w:rPr>
        <w:t>enquir</w:t>
      </w:r>
      <w:r w:rsidR="00E61A36" w:rsidRPr="0000529A">
        <w:rPr>
          <w:lang w:val="en-ZW"/>
        </w:rPr>
        <w:t>ed</w:t>
      </w:r>
      <w:r w:rsidR="0030134D" w:rsidRPr="0000529A">
        <w:rPr>
          <w:lang w:val="en-ZW"/>
        </w:rPr>
        <w:t xml:space="preserve"> into the propri</w:t>
      </w:r>
      <w:r w:rsidR="004C764A">
        <w:rPr>
          <w:lang w:val="en-ZW"/>
        </w:rPr>
        <w:t>e</w:t>
      </w:r>
      <w:r w:rsidR="0030134D" w:rsidRPr="0000529A">
        <w:rPr>
          <w:lang w:val="en-ZW"/>
        </w:rPr>
        <w:t>t</w:t>
      </w:r>
      <w:r w:rsidR="004C764A">
        <w:rPr>
          <w:lang w:val="en-ZW"/>
        </w:rPr>
        <w:t>y</w:t>
      </w:r>
      <w:r w:rsidR="0030134D" w:rsidRPr="0000529A">
        <w:rPr>
          <w:lang w:val="en-ZW"/>
        </w:rPr>
        <w:t xml:space="preserve"> or otherwise of the sale of the three farms in light of other possible assets that could have been sold and whether or not it was in the best interest of the be</w:t>
      </w:r>
      <w:r w:rsidR="00B02508" w:rsidRPr="0000529A">
        <w:rPr>
          <w:lang w:val="en-ZW"/>
        </w:rPr>
        <w:t xml:space="preserve">neficiaries to sell the farms. </w:t>
      </w:r>
      <w:r w:rsidR="00E61A36" w:rsidRPr="0000529A">
        <w:rPr>
          <w:lang w:val="en-ZW"/>
        </w:rPr>
        <w:t>The court f</w:t>
      </w:r>
      <w:r w:rsidR="00F66525" w:rsidRPr="0000529A">
        <w:rPr>
          <w:lang w:val="en-ZW"/>
        </w:rPr>
        <w:t>ound</w:t>
      </w:r>
      <w:r w:rsidR="00E61A36" w:rsidRPr="0000529A">
        <w:rPr>
          <w:lang w:val="en-ZW"/>
        </w:rPr>
        <w:t xml:space="preserve"> that the </w:t>
      </w:r>
      <w:r w:rsidR="00932582" w:rsidRPr="0000529A">
        <w:rPr>
          <w:lang w:val="en-ZW"/>
        </w:rPr>
        <w:t>Master</w:t>
      </w:r>
      <w:r w:rsidR="00E61A36" w:rsidRPr="0000529A">
        <w:rPr>
          <w:lang w:val="en-ZW"/>
        </w:rPr>
        <w:t xml:space="preserve"> ought to have granted the beneficiaries an opportunity to be heard before making </w:t>
      </w:r>
      <w:r w:rsidR="00932582" w:rsidRPr="0000529A">
        <w:rPr>
          <w:lang w:val="en-ZW"/>
        </w:rPr>
        <w:t>his</w:t>
      </w:r>
      <w:r w:rsidR="00E61A36" w:rsidRPr="0000529A">
        <w:rPr>
          <w:lang w:val="en-ZW"/>
        </w:rPr>
        <w:t xml:space="preserve"> decision.</w:t>
      </w:r>
    </w:p>
    <w:p w14:paraId="09B6833B" w14:textId="77777777" w:rsidR="00C42FA8" w:rsidRPr="0000529A" w:rsidRDefault="00C42FA8" w:rsidP="004C4DFA">
      <w:pPr>
        <w:jc w:val="both"/>
        <w:rPr>
          <w:lang w:val="en-ZW"/>
        </w:rPr>
      </w:pPr>
    </w:p>
    <w:p w14:paraId="1C080775" w14:textId="44EAD76C" w:rsidR="00345497" w:rsidRPr="0000529A" w:rsidRDefault="001A61BA" w:rsidP="00A07F90">
      <w:pPr>
        <w:spacing w:before="240" w:line="480" w:lineRule="auto"/>
        <w:ind w:left="630" w:hanging="630"/>
        <w:jc w:val="both"/>
        <w:rPr>
          <w:iCs/>
          <w:lang w:val="en-ZW"/>
        </w:rPr>
      </w:pPr>
      <w:r w:rsidRPr="0000529A">
        <w:rPr>
          <w:lang w:val="en-ZW"/>
        </w:rPr>
        <w:t>[9</w:t>
      </w:r>
      <w:r w:rsidR="00A07F90" w:rsidRPr="0000529A">
        <w:rPr>
          <w:lang w:val="en-ZW"/>
        </w:rPr>
        <w:t xml:space="preserve">] </w:t>
      </w:r>
      <w:r w:rsidR="0000529A">
        <w:rPr>
          <w:lang w:val="en-ZW"/>
        </w:rPr>
        <w:t xml:space="preserve">   </w:t>
      </w:r>
      <w:r w:rsidR="00A07F90" w:rsidRPr="0000529A">
        <w:rPr>
          <w:lang w:val="en-ZW"/>
        </w:rPr>
        <w:t>The</w:t>
      </w:r>
      <w:r w:rsidR="00AF06C3" w:rsidRPr="0000529A">
        <w:rPr>
          <w:lang w:val="en-ZW"/>
        </w:rPr>
        <w:t xml:space="preserve"> court</w:t>
      </w:r>
      <w:r w:rsidR="0030134D" w:rsidRPr="0000529A">
        <w:rPr>
          <w:lang w:val="en-ZW"/>
        </w:rPr>
        <w:t xml:space="preserve"> </w:t>
      </w:r>
      <w:r w:rsidR="006F1DCF" w:rsidRPr="0000529A">
        <w:rPr>
          <w:i/>
          <w:lang w:val="en-ZW"/>
        </w:rPr>
        <w:t>a quo</w:t>
      </w:r>
      <w:r w:rsidR="006F1DCF" w:rsidRPr="0000529A">
        <w:rPr>
          <w:lang w:val="en-ZW"/>
        </w:rPr>
        <w:t xml:space="preserve"> </w:t>
      </w:r>
      <w:r w:rsidR="00AF2D72" w:rsidRPr="0000529A">
        <w:rPr>
          <w:lang w:val="en-ZW"/>
        </w:rPr>
        <w:t>accordingly</w:t>
      </w:r>
      <w:r w:rsidR="006F1DCF" w:rsidRPr="0000529A">
        <w:rPr>
          <w:lang w:val="en-ZW"/>
        </w:rPr>
        <w:t xml:space="preserve"> </w:t>
      </w:r>
      <w:r w:rsidR="0030134D" w:rsidRPr="0000529A">
        <w:rPr>
          <w:lang w:val="en-ZW"/>
        </w:rPr>
        <w:t xml:space="preserve">found that </w:t>
      </w:r>
      <w:r w:rsidR="00AF2D72" w:rsidRPr="0000529A">
        <w:rPr>
          <w:lang w:val="en-ZW"/>
        </w:rPr>
        <w:t xml:space="preserve">as </w:t>
      </w:r>
      <w:r w:rsidR="0030134D" w:rsidRPr="0000529A">
        <w:rPr>
          <w:lang w:val="en-ZW"/>
        </w:rPr>
        <w:t>s 120</w:t>
      </w:r>
      <w:r w:rsidR="00AF06C3" w:rsidRPr="0000529A">
        <w:rPr>
          <w:lang w:val="en-ZW"/>
        </w:rPr>
        <w:t xml:space="preserve"> of the Administration of Estates Act</w:t>
      </w:r>
      <w:r w:rsidR="0030134D" w:rsidRPr="0000529A">
        <w:rPr>
          <w:lang w:val="en-ZW"/>
        </w:rPr>
        <w:t xml:space="preserve"> had not been complied with</w:t>
      </w:r>
      <w:r w:rsidR="00AF2D72" w:rsidRPr="0000529A">
        <w:rPr>
          <w:lang w:val="en-ZW"/>
        </w:rPr>
        <w:t>,</w:t>
      </w:r>
      <w:r w:rsidR="0030134D" w:rsidRPr="0000529A">
        <w:rPr>
          <w:lang w:val="en-ZW"/>
        </w:rPr>
        <w:t xml:space="preserve"> the </w:t>
      </w:r>
      <w:r w:rsidR="00AF06C3" w:rsidRPr="0000529A">
        <w:rPr>
          <w:lang w:val="en-ZW"/>
        </w:rPr>
        <w:t xml:space="preserve">decision </w:t>
      </w:r>
      <w:r w:rsidR="006F1DCF" w:rsidRPr="0000529A">
        <w:rPr>
          <w:lang w:val="en-ZW"/>
        </w:rPr>
        <w:t>by</w:t>
      </w:r>
      <w:r w:rsidR="00AF06C3" w:rsidRPr="0000529A">
        <w:rPr>
          <w:lang w:val="en-ZW"/>
        </w:rPr>
        <w:t xml:space="preserve"> the </w:t>
      </w:r>
      <w:r w:rsidR="00E61A36" w:rsidRPr="0000529A">
        <w:rPr>
          <w:lang w:val="en-ZW"/>
        </w:rPr>
        <w:t>Master</w:t>
      </w:r>
      <w:r w:rsidR="0030134D" w:rsidRPr="0000529A">
        <w:rPr>
          <w:lang w:val="en-ZW"/>
        </w:rPr>
        <w:t xml:space="preserve"> authorising the </w:t>
      </w:r>
      <w:r w:rsidR="00E61A36" w:rsidRPr="0000529A">
        <w:rPr>
          <w:lang w:val="en-ZW"/>
        </w:rPr>
        <w:t xml:space="preserve">executor </w:t>
      </w:r>
      <w:r w:rsidR="0030134D" w:rsidRPr="0000529A">
        <w:rPr>
          <w:lang w:val="en-ZW"/>
        </w:rPr>
        <w:t xml:space="preserve">to sell the three farms was unlawful, unreasonable, and unfair. </w:t>
      </w:r>
      <w:r w:rsidR="00E61A36" w:rsidRPr="0000529A">
        <w:rPr>
          <w:lang w:val="en-ZW"/>
        </w:rPr>
        <w:t xml:space="preserve">It also found that </w:t>
      </w:r>
      <w:r w:rsidR="00DB657F" w:rsidRPr="0000529A">
        <w:rPr>
          <w:lang w:val="en-ZW"/>
        </w:rPr>
        <w:t>the sale</w:t>
      </w:r>
      <w:r w:rsidR="00CC40CB">
        <w:rPr>
          <w:lang w:val="en-ZW"/>
        </w:rPr>
        <w:t>s</w:t>
      </w:r>
      <w:r w:rsidR="00DB657F" w:rsidRPr="0000529A">
        <w:rPr>
          <w:lang w:val="en-ZW"/>
        </w:rPr>
        <w:t xml:space="preserve"> of the farms </w:t>
      </w:r>
      <w:r w:rsidR="00CC40CB">
        <w:rPr>
          <w:lang w:val="en-ZW"/>
        </w:rPr>
        <w:t>were</w:t>
      </w:r>
      <w:r w:rsidR="00DB657F" w:rsidRPr="0000529A">
        <w:rPr>
          <w:lang w:val="en-ZW"/>
        </w:rPr>
        <w:t xml:space="preserve"> </w:t>
      </w:r>
      <w:r w:rsidR="0030134D" w:rsidRPr="0000529A">
        <w:rPr>
          <w:lang w:val="en-ZW"/>
        </w:rPr>
        <w:t>a nullity</w:t>
      </w:r>
      <w:r w:rsidR="00DB657F" w:rsidRPr="0000529A">
        <w:rPr>
          <w:lang w:val="en-ZW"/>
        </w:rPr>
        <w:t xml:space="preserve"> and ordered that they be set aside.</w:t>
      </w:r>
      <w:r w:rsidR="00B02508" w:rsidRPr="0000529A">
        <w:rPr>
          <w:lang w:val="en-ZW"/>
        </w:rPr>
        <w:t xml:space="preserve"> The court </w:t>
      </w:r>
      <w:r w:rsidR="0030134D" w:rsidRPr="0000529A">
        <w:rPr>
          <w:lang w:val="en-ZW"/>
        </w:rPr>
        <w:t xml:space="preserve">consequently vacated the agreements of sale entered into </w:t>
      </w:r>
      <w:r w:rsidR="00496441">
        <w:rPr>
          <w:lang w:val="en-ZW"/>
        </w:rPr>
        <w:t xml:space="preserve">it </w:t>
      </w:r>
      <w:r w:rsidR="0030134D" w:rsidRPr="0000529A">
        <w:rPr>
          <w:lang w:val="en-ZW"/>
        </w:rPr>
        <w:t xml:space="preserve">between the </w:t>
      </w:r>
      <w:r w:rsidR="004B79BD" w:rsidRPr="0000529A">
        <w:rPr>
          <w:lang w:val="en-ZW"/>
        </w:rPr>
        <w:t>executor</w:t>
      </w:r>
      <w:r w:rsidR="00AF06C3" w:rsidRPr="0000529A">
        <w:rPr>
          <w:lang w:val="en-ZW"/>
        </w:rPr>
        <w:t xml:space="preserve"> and the </w:t>
      </w:r>
      <w:r w:rsidR="00932582" w:rsidRPr="0000529A">
        <w:rPr>
          <w:lang w:val="en-ZW"/>
        </w:rPr>
        <w:t>purchaser</w:t>
      </w:r>
      <w:r w:rsidR="00AF06C3" w:rsidRPr="0000529A">
        <w:rPr>
          <w:lang w:val="en-ZW"/>
        </w:rPr>
        <w:t xml:space="preserve">.  </w:t>
      </w:r>
      <w:r w:rsidR="00DC29BC">
        <w:rPr>
          <w:lang w:val="en-ZW"/>
        </w:rPr>
        <w:t>It</w:t>
      </w:r>
      <w:r w:rsidR="004B79BD" w:rsidRPr="0000529A">
        <w:rPr>
          <w:i/>
          <w:lang w:val="en-ZW"/>
        </w:rPr>
        <w:t xml:space="preserve"> </w:t>
      </w:r>
      <w:r w:rsidR="00FC6575" w:rsidRPr="0000529A">
        <w:rPr>
          <w:lang w:val="en-ZW"/>
        </w:rPr>
        <w:t>set aside</w:t>
      </w:r>
      <w:r w:rsidR="0030134D" w:rsidRPr="0000529A">
        <w:rPr>
          <w:lang w:val="en-ZW"/>
        </w:rPr>
        <w:t xml:space="preserve"> the consents to the sale</w:t>
      </w:r>
      <w:r w:rsidR="00496441">
        <w:rPr>
          <w:lang w:val="en-ZW"/>
        </w:rPr>
        <w:t>s</w:t>
      </w:r>
      <w:r w:rsidR="0030134D" w:rsidRPr="0000529A">
        <w:rPr>
          <w:lang w:val="en-ZW"/>
        </w:rPr>
        <w:t xml:space="preserve"> of the fa</w:t>
      </w:r>
      <w:r w:rsidR="00AF06C3" w:rsidRPr="0000529A">
        <w:rPr>
          <w:lang w:val="en-ZW"/>
        </w:rPr>
        <w:t xml:space="preserve">rms issued by the </w:t>
      </w:r>
      <w:r w:rsidR="004B79BD" w:rsidRPr="0000529A">
        <w:rPr>
          <w:lang w:val="en-ZW"/>
        </w:rPr>
        <w:t>Master</w:t>
      </w:r>
      <w:r w:rsidR="0030134D" w:rsidRPr="0000529A">
        <w:rPr>
          <w:lang w:val="en-ZW"/>
        </w:rPr>
        <w:t>, cancelled the transfer</w:t>
      </w:r>
      <w:r w:rsidR="00496441">
        <w:rPr>
          <w:lang w:val="en-ZW"/>
        </w:rPr>
        <w:t>s</w:t>
      </w:r>
      <w:r w:rsidR="0030134D" w:rsidRPr="0000529A">
        <w:rPr>
          <w:lang w:val="en-ZW"/>
        </w:rPr>
        <w:t xml:space="preserve"> of the farms, and ordered </w:t>
      </w:r>
      <w:r w:rsidR="00B02508" w:rsidRPr="0000529A">
        <w:rPr>
          <w:lang w:val="en-ZW"/>
        </w:rPr>
        <w:t>the resuscitation of the</w:t>
      </w:r>
      <w:r w:rsidR="00345497" w:rsidRPr="0000529A">
        <w:rPr>
          <w:lang w:val="en-ZW"/>
        </w:rPr>
        <w:t xml:space="preserve"> </w:t>
      </w:r>
      <w:r w:rsidR="0030134D" w:rsidRPr="0000529A">
        <w:rPr>
          <w:lang w:val="en-ZW"/>
        </w:rPr>
        <w:t>Estate Deed of Transfer Number 6708/2019</w:t>
      </w:r>
      <w:r w:rsidR="00B02508" w:rsidRPr="0000529A">
        <w:rPr>
          <w:lang w:val="en-ZW"/>
        </w:rPr>
        <w:t xml:space="preserve"> back</w:t>
      </w:r>
      <w:r w:rsidR="004B79BD" w:rsidRPr="0000529A">
        <w:rPr>
          <w:lang w:val="en-ZW"/>
        </w:rPr>
        <w:t xml:space="preserve"> in</w:t>
      </w:r>
      <w:r w:rsidR="00B02508" w:rsidRPr="0000529A">
        <w:rPr>
          <w:lang w:val="en-ZW"/>
        </w:rPr>
        <w:t xml:space="preserve">to the deceased’s estate. With regards to costs, the court ordered that the </w:t>
      </w:r>
      <w:r w:rsidR="00DB657F" w:rsidRPr="0000529A">
        <w:rPr>
          <w:lang w:val="en-ZW"/>
        </w:rPr>
        <w:t>Master</w:t>
      </w:r>
      <w:r w:rsidR="00B02508" w:rsidRPr="0000529A">
        <w:rPr>
          <w:lang w:val="en-ZW"/>
        </w:rPr>
        <w:t xml:space="preserve"> and </w:t>
      </w:r>
      <w:r w:rsidR="001D2C86" w:rsidRPr="0000529A">
        <w:rPr>
          <w:lang w:val="en-ZW"/>
        </w:rPr>
        <w:t xml:space="preserve">the </w:t>
      </w:r>
      <w:r w:rsidR="00AF2D72" w:rsidRPr="0000529A">
        <w:rPr>
          <w:lang w:val="en-ZW"/>
        </w:rPr>
        <w:t>purchaser</w:t>
      </w:r>
      <w:r w:rsidR="00FC6575" w:rsidRPr="0000529A">
        <w:rPr>
          <w:lang w:val="en-ZW"/>
        </w:rPr>
        <w:t xml:space="preserve"> </w:t>
      </w:r>
      <w:r w:rsidR="00B02508" w:rsidRPr="0000529A">
        <w:rPr>
          <w:lang w:val="en-ZW"/>
        </w:rPr>
        <w:t xml:space="preserve">pay the </w:t>
      </w:r>
      <w:r w:rsidR="00DB657F" w:rsidRPr="0000529A">
        <w:rPr>
          <w:lang w:val="en-ZW"/>
        </w:rPr>
        <w:t>beneficiaries</w:t>
      </w:r>
      <w:r w:rsidR="004B79BD" w:rsidRPr="0000529A">
        <w:rPr>
          <w:lang w:val="en-ZW"/>
        </w:rPr>
        <w:t>’ costs on</w:t>
      </w:r>
      <w:r w:rsidR="006767B9" w:rsidRPr="0000529A">
        <w:rPr>
          <w:lang w:val="en-ZW"/>
        </w:rPr>
        <w:t xml:space="preserve"> a party and party</w:t>
      </w:r>
      <w:r w:rsidR="004B79BD" w:rsidRPr="0000529A">
        <w:rPr>
          <w:lang w:val="en-ZW"/>
        </w:rPr>
        <w:t xml:space="preserve"> </w:t>
      </w:r>
      <w:r w:rsidR="00B02508" w:rsidRPr="0000529A">
        <w:rPr>
          <w:lang w:val="en-ZW"/>
        </w:rPr>
        <w:t xml:space="preserve">scale with the </w:t>
      </w:r>
      <w:r w:rsidR="00DB657F" w:rsidRPr="0000529A">
        <w:rPr>
          <w:lang w:val="en-ZW"/>
        </w:rPr>
        <w:t>executor</w:t>
      </w:r>
      <w:r w:rsidR="00B02508" w:rsidRPr="0000529A">
        <w:rPr>
          <w:lang w:val="en-ZW"/>
        </w:rPr>
        <w:t xml:space="preserve"> </w:t>
      </w:r>
      <w:r w:rsidR="004249AC" w:rsidRPr="0000529A">
        <w:rPr>
          <w:lang w:val="en-ZW"/>
        </w:rPr>
        <w:t xml:space="preserve">being ordered to </w:t>
      </w:r>
      <w:r w:rsidR="00B02508" w:rsidRPr="0000529A">
        <w:rPr>
          <w:lang w:val="en-ZW"/>
        </w:rPr>
        <w:t>pay</w:t>
      </w:r>
      <w:r w:rsidR="00DB657F" w:rsidRPr="0000529A">
        <w:rPr>
          <w:lang w:val="en-ZW"/>
        </w:rPr>
        <w:t xml:space="preserve"> </w:t>
      </w:r>
      <w:r w:rsidR="00B02508" w:rsidRPr="0000529A">
        <w:rPr>
          <w:lang w:val="en-ZW"/>
        </w:rPr>
        <w:t xml:space="preserve">costs </w:t>
      </w:r>
      <w:r w:rsidR="00B02508" w:rsidRPr="0000529A">
        <w:rPr>
          <w:i/>
          <w:lang w:val="en-ZW"/>
        </w:rPr>
        <w:t xml:space="preserve">de </w:t>
      </w:r>
      <w:proofErr w:type="spellStart"/>
      <w:r w:rsidR="00B02508" w:rsidRPr="0000529A">
        <w:rPr>
          <w:i/>
          <w:lang w:val="en-ZW"/>
        </w:rPr>
        <w:t>bonis</w:t>
      </w:r>
      <w:proofErr w:type="spellEnd"/>
      <w:r w:rsidR="00B02508" w:rsidRPr="0000529A">
        <w:rPr>
          <w:i/>
          <w:lang w:val="en-ZW"/>
        </w:rPr>
        <w:t xml:space="preserve"> </w:t>
      </w:r>
      <w:proofErr w:type="spellStart"/>
      <w:r w:rsidR="00B02508" w:rsidRPr="0000529A">
        <w:rPr>
          <w:i/>
          <w:lang w:val="en-ZW"/>
        </w:rPr>
        <w:t>propriis</w:t>
      </w:r>
      <w:proofErr w:type="spellEnd"/>
      <w:r w:rsidR="004249AC" w:rsidRPr="0000529A">
        <w:rPr>
          <w:i/>
          <w:lang w:val="en-ZW"/>
        </w:rPr>
        <w:t xml:space="preserve"> </w:t>
      </w:r>
      <w:r w:rsidR="00DB657F" w:rsidRPr="0000529A">
        <w:rPr>
          <w:iCs/>
          <w:lang w:val="en-ZW"/>
        </w:rPr>
        <w:t xml:space="preserve">on the basis that there was </w:t>
      </w:r>
      <w:r w:rsidR="00AF2D72" w:rsidRPr="0000529A">
        <w:rPr>
          <w:iCs/>
          <w:lang w:val="en-ZW"/>
        </w:rPr>
        <w:t>collusion between him and the purchaser.</w:t>
      </w:r>
    </w:p>
    <w:p w14:paraId="718BA05F" w14:textId="3D2031FB" w:rsidR="002F336C" w:rsidRPr="0000529A" w:rsidRDefault="001A61BA" w:rsidP="00A07F90">
      <w:pPr>
        <w:spacing w:before="240" w:line="480" w:lineRule="auto"/>
        <w:ind w:left="810" w:hanging="810"/>
        <w:jc w:val="both"/>
        <w:rPr>
          <w:lang w:val="en-US"/>
        </w:rPr>
      </w:pPr>
      <w:r w:rsidRPr="0000529A">
        <w:rPr>
          <w:lang w:val="en-ZW"/>
        </w:rPr>
        <w:lastRenderedPageBreak/>
        <w:t>[10</w:t>
      </w:r>
      <w:r w:rsidR="00345497" w:rsidRPr="0000529A">
        <w:rPr>
          <w:lang w:val="en-ZW"/>
        </w:rPr>
        <w:t xml:space="preserve">] </w:t>
      </w:r>
      <w:r w:rsidR="0000529A">
        <w:rPr>
          <w:lang w:val="en-ZW"/>
        </w:rPr>
        <w:t xml:space="preserve">  </w:t>
      </w:r>
      <w:r w:rsidR="00FC6575" w:rsidRPr="0000529A">
        <w:rPr>
          <w:lang w:val="en-US"/>
        </w:rPr>
        <w:t>Ag</w:t>
      </w:r>
      <w:r w:rsidR="006F1DCF" w:rsidRPr="0000529A">
        <w:rPr>
          <w:lang w:val="en-US"/>
        </w:rPr>
        <w:t>g</w:t>
      </w:r>
      <w:r w:rsidR="00FC6575" w:rsidRPr="0000529A">
        <w:rPr>
          <w:lang w:val="en-US"/>
        </w:rPr>
        <w:t>rieved</w:t>
      </w:r>
      <w:r w:rsidR="0030134D" w:rsidRPr="0000529A">
        <w:rPr>
          <w:lang w:val="en-US"/>
        </w:rPr>
        <w:t xml:space="preserve"> by the decision of the court </w:t>
      </w:r>
      <w:r w:rsidR="0030134D" w:rsidRPr="0000529A">
        <w:rPr>
          <w:i/>
          <w:lang w:val="en-US"/>
        </w:rPr>
        <w:t>a quo</w:t>
      </w:r>
      <w:r w:rsidR="0030134D" w:rsidRPr="0000529A">
        <w:rPr>
          <w:lang w:val="en-US"/>
        </w:rPr>
        <w:t xml:space="preserve"> the </w:t>
      </w:r>
      <w:r w:rsidR="004249AC" w:rsidRPr="0000529A">
        <w:rPr>
          <w:lang w:val="en-US"/>
        </w:rPr>
        <w:t xml:space="preserve">three </w:t>
      </w:r>
      <w:r w:rsidR="0030134D" w:rsidRPr="0000529A">
        <w:rPr>
          <w:lang w:val="en-US"/>
        </w:rPr>
        <w:t>appellant</w:t>
      </w:r>
      <w:r w:rsidR="00345497" w:rsidRPr="0000529A">
        <w:rPr>
          <w:lang w:val="en-US"/>
        </w:rPr>
        <w:t>s</w:t>
      </w:r>
      <w:r w:rsidR="004249AC" w:rsidRPr="0000529A">
        <w:rPr>
          <w:lang w:val="en-US"/>
        </w:rPr>
        <w:t xml:space="preserve"> each noted separate appeals attacking the judgment</w:t>
      </w:r>
      <w:r w:rsidR="00EF7DFC" w:rsidRPr="0000529A">
        <w:rPr>
          <w:lang w:val="en-US"/>
        </w:rPr>
        <w:t xml:space="preserve"> essentially on the basis that </w:t>
      </w:r>
      <w:r w:rsidR="00B37AB3">
        <w:rPr>
          <w:lang w:val="en-US"/>
        </w:rPr>
        <w:t xml:space="preserve">it erred in failing to find that </w:t>
      </w:r>
      <w:r w:rsidR="00EF7DFC" w:rsidRPr="0000529A">
        <w:rPr>
          <w:lang w:val="en-US"/>
        </w:rPr>
        <w:t xml:space="preserve">the Master’s decision was </w:t>
      </w:r>
      <w:r w:rsidR="00B37AB3">
        <w:rPr>
          <w:lang w:val="en-US"/>
        </w:rPr>
        <w:t xml:space="preserve">properly </w:t>
      </w:r>
      <w:r w:rsidR="00EF7DFC" w:rsidRPr="0000529A">
        <w:rPr>
          <w:lang w:val="en-US"/>
        </w:rPr>
        <w:t>made after due compliance with the Administration of Estates Act.</w:t>
      </w:r>
    </w:p>
    <w:p w14:paraId="1B0D47F8" w14:textId="77777777" w:rsidR="00C42FA8" w:rsidRPr="0000529A" w:rsidRDefault="00C42FA8" w:rsidP="00C42FA8">
      <w:pPr>
        <w:jc w:val="both"/>
        <w:rPr>
          <w:lang w:val="en-US"/>
        </w:rPr>
      </w:pPr>
    </w:p>
    <w:p w14:paraId="419133CC" w14:textId="77777777" w:rsidR="00C42FA8" w:rsidRPr="0000529A" w:rsidRDefault="00C42FA8" w:rsidP="00C42FA8">
      <w:pPr>
        <w:jc w:val="both"/>
        <w:rPr>
          <w:rFonts w:eastAsia="Calibri"/>
          <w:b/>
          <w:bCs/>
        </w:rPr>
      </w:pPr>
    </w:p>
    <w:p w14:paraId="16B37879" w14:textId="7200DBA4" w:rsidR="002F336C" w:rsidRPr="0000529A" w:rsidRDefault="002F336C" w:rsidP="002F336C">
      <w:pPr>
        <w:spacing w:after="160" w:line="360" w:lineRule="auto"/>
        <w:contextualSpacing/>
        <w:jc w:val="both"/>
        <w:rPr>
          <w:rFonts w:eastAsia="Calibri"/>
          <w:b/>
          <w:bCs/>
          <w:u w:val="single"/>
        </w:rPr>
      </w:pPr>
      <w:r w:rsidRPr="0000529A">
        <w:rPr>
          <w:rFonts w:eastAsia="Calibri"/>
          <w:b/>
          <w:bCs/>
          <w:u w:val="single"/>
        </w:rPr>
        <w:t>ISSUES FOR DETERMINATION</w:t>
      </w:r>
    </w:p>
    <w:p w14:paraId="0162C3E2" w14:textId="301C9517" w:rsidR="00213CA7" w:rsidRPr="0000529A" w:rsidRDefault="001A61BA" w:rsidP="00A07F90">
      <w:pPr>
        <w:spacing w:before="240" w:line="480" w:lineRule="auto"/>
        <w:ind w:left="810" w:hanging="810"/>
        <w:jc w:val="both"/>
        <w:rPr>
          <w:rFonts w:eastAsiaTheme="minorHAnsi"/>
          <w:lang w:val="en-ZW"/>
        </w:rPr>
      </w:pPr>
      <w:r w:rsidRPr="0000529A">
        <w:rPr>
          <w:rFonts w:eastAsiaTheme="minorHAnsi"/>
          <w:lang w:val="en-ZW"/>
        </w:rPr>
        <w:t>[11</w:t>
      </w:r>
      <w:r w:rsidR="00345497" w:rsidRPr="0000529A">
        <w:rPr>
          <w:rFonts w:eastAsiaTheme="minorHAnsi"/>
          <w:lang w:val="en-ZW"/>
        </w:rPr>
        <w:t xml:space="preserve">] </w:t>
      </w:r>
      <w:r w:rsidR="0000529A">
        <w:rPr>
          <w:rFonts w:eastAsiaTheme="minorHAnsi"/>
          <w:lang w:val="en-ZW"/>
        </w:rPr>
        <w:t xml:space="preserve">   </w:t>
      </w:r>
      <w:r w:rsidR="00B67003" w:rsidRPr="0000529A">
        <w:rPr>
          <w:rFonts w:eastAsiaTheme="minorHAnsi"/>
          <w:lang w:val="en-ZW"/>
        </w:rPr>
        <w:t>An examination of the grounds of appeal show</w:t>
      </w:r>
      <w:r w:rsidR="00496441">
        <w:rPr>
          <w:rFonts w:eastAsiaTheme="minorHAnsi"/>
          <w:lang w:val="en-ZW"/>
        </w:rPr>
        <w:t>s</w:t>
      </w:r>
      <w:r w:rsidR="00B67003" w:rsidRPr="0000529A">
        <w:rPr>
          <w:rFonts w:eastAsiaTheme="minorHAnsi"/>
          <w:lang w:val="en-ZW"/>
        </w:rPr>
        <w:t xml:space="preserve"> that</w:t>
      </w:r>
      <w:r w:rsidR="00213CA7" w:rsidRPr="0000529A">
        <w:rPr>
          <w:rFonts w:eastAsiaTheme="minorHAnsi"/>
          <w:lang w:val="en-ZW"/>
        </w:rPr>
        <w:t xml:space="preserve"> </w:t>
      </w:r>
      <w:r w:rsidR="00BE7266" w:rsidRPr="0000529A">
        <w:rPr>
          <w:rFonts w:eastAsiaTheme="minorHAnsi"/>
          <w:lang w:val="en-ZW"/>
        </w:rPr>
        <w:t>the sin</w:t>
      </w:r>
      <w:r w:rsidR="00C772C4" w:rsidRPr="0000529A">
        <w:rPr>
          <w:rFonts w:eastAsiaTheme="minorHAnsi"/>
          <w:lang w:val="en-ZW"/>
        </w:rPr>
        <w:t>gle thread that runs through</w:t>
      </w:r>
      <w:r w:rsidR="00BE7266" w:rsidRPr="0000529A">
        <w:rPr>
          <w:rFonts w:eastAsiaTheme="minorHAnsi"/>
          <w:lang w:val="en-ZW"/>
        </w:rPr>
        <w:t xml:space="preserve"> the </w:t>
      </w:r>
      <w:r w:rsidR="00C772C4" w:rsidRPr="0000529A">
        <w:rPr>
          <w:rFonts w:eastAsiaTheme="minorHAnsi"/>
          <w:lang w:val="en-ZW"/>
        </w:rPr>
        <w:t xml:space="preserve">three </w:t>
      </w:r>
      <w:r w:rsidR="00BE7266" w:rsidRPr="0000529A">
        <w:rPr>
          <w:rFonts w:eastAsiaTheme="minorHAnsi"/>
          <w:lang w:val="en-ZW"/>
        </w:rPr>
        <w:t>appeals</w:t>
      </w:r>
      <w:r w:rsidR="00213CA7" w:rsidRPr="0000529A">
        <w:rPr>
          <w:rFonts w:eastAsiaTheme="minorHAnsi"/>
          <w:lang w:val="en-ZW"/>
        </w:rPr>
        <w:t xml:space="preserve"> </w:t>
      </w:r>
      <w:r w:rsidR="00815586" w:rsidRPr="0000529A">
        <w:rPr>
          <w:rFonts w:eastAsiaTheme="minorHAnsi"/>
          <w:lang w:val="en-ZW"/>
        </w:rPr>
        <w:t xml:space="preserve">is </w:t>
      </w:r>
      <w:r w:rsidR="00244AA2" w:rsidRPr="0000529A">
        <w:rPr>
          <w:rFonts w:eastAsiaTheme="minorHAnsi"/>
          <w:lang w:val="en-ZW"/>
        </w:rPr>
        <w:t xml:space="preserve">the question of </w:t>
      </w:r>
      <w:r w:rsidR="00213CA7" w:rsidRPr="0000529A">
        <w:rPr>
          <w:rFonts w:eastAsiaTheme="minorHAnsi"/>
          <w:lang w:val="en-ZW"/>
        </w:rPr>
        <w:t xml:space="preserve">whether or not the </w:t>
      </w:r>
      <w:r w:rsidR="00EF7DFC" w:rsidRPr="0000529A">
        <w:rPr>
          <w:rFonts w:eastAsiaTheme="minorHAnsi"/>
          <w:lang w:val="en-ZW"/>
        </w:rPr>
        <w:t>Master</w:t>
      </w:r>
      <w:r w:rsidR="00213CA7" w:rsidRPr="0000529A">
        <w:rPr>
          <w:rFonts w:eastAsiaTheme="minorHAnsi"/>
          <w:lang w:val="en-ZW"/>
        </w:rPr>
        <w:t xml:space="preserve"> complied with the provisions of s 120 of the Administration of Estates Act</w:t>
      </w:r>
      <w:r w:rsidR="00BE7266" w:rsidRPr="0000529A">
        <w:rPr>
          <w:rFonts w:eastAsiaTheme="minorHAnsi"/>
          <w:lang w:val="en-ZW"/>
        </w:rPr>
        <w:t xml:space="preserve"> before issuing the </w:t>
      </w:r>
      <w:r w:rsidR="00050667">
        <w:rPr>
          <w:rFonts w:eastAsiaTheme="minorHAnsi"/>
          <w:lang w:val="en-ZW"/>
        </w:rPr>
        <w:t>“</w:t>
      </w:r>
      <w:r w:rsidR="00BE7266" w:rsidRPr="0000529A">
        <w:rPr>
          <w:rFonts w:eastAsiaTheme="minorHAnsi"/>
          <w:lang w:val="en-ZW"/>
        </w:rPr>
        <w:t>consent to sell</w:t>
      </w:r>
      <w:r w:rsidR="00050667">
        <w:rPr>
          <w:rFonts w:eastAsiaTheme="minorHAnsi"/>
          <w:lang w:val="en-ZW"/>
        </w:rPr>
        <w:t>”</w:t>
      </w:r>
      <w:r w:rsidR="00BE7266" w:rsidRPr="0000529A">
        <w:rPr>
          <w:rFonts w:eastAsiaTheme="minorHAnsi"/>
          <w:lang w:val="en-ZW"/>
        </w:rPr>
        <w:t xml:space="preserve"> the three farms.</w:t>
      </w:r>
      <w:r w:rsidR="005345FF" w:rsidRPr="0000529A">
        <w:rPr>
          <w:rFonts w:eastAsiaTheme="minorHAnsi"/>
          <w:lang w:val="en-ZW"/>
        </w:rPr>
        <w:t xml:space="preserve"> </w:t>
      </w:r>
    </w:p>
    <w:p w14:paraId="450168F4" w14:textId="77777777" w:rsidR="00A40D27" w:rsidRPr="0000529A" w:rsidRDefault="00A40D27" w:rsidP="00A40D27">
      <w:pPr>
        <w:spacing w:before="240" w:line="480" w:lineRule="auto"/>
        <w:jc w:val="both"/>
        <w:rPr>
          <w:rFonts w:eastAsiaTheme="minorHAnsi"/>
          <w:b/>
          <w:u w:val="single"/>
          <w:lang w:val="en-ZW"/>
        </w:rPr>
      </w:pPr>
      <w:r w:rsidRPr="0000529A">
        <w:rPr>
          <w:rFonts w:eastAsiaTheme="minorHAnsi"/>
          <w:b/>
          <w:u w:val="single"/>
          <w:lang w:val="en-ZW"/>
        </w:rPr>
        <w:t>SUBMISSIONS BEFORE THIS COURT</w:t>
      </w:r>
    </w:p>
    <w:p w14:paraId="622426CA" w14:textId="2CF7A893" w:rsidR="00D73B4D" w:rsidRPr="0000529A" w:rsidRDefault="001A61BA" w:rsidP="00A07F90">
      <w:pPr>
        <w:spacing w:line="480" w:lineRule="auto"/>
        <w:ind w:left="810" w:hanging="810"/>
        <w:jc w:val="both"/>
        <w:rPr>
          <w:lang w:val="en-ZW"/>
        </w:rPr>
      </w:pPr>
      <w:r w:rsidRPr="0000529A">
        <w:t>[12</w:t>
      </w:r>
      <w:r w:rsidR="00345497" w:rsidRPr="0000529A">
        <w:t xml:space="preserve">] </w:t>
      </w:r>
      <w:r w:rsidR="0000529A">
        <w:t xml:space="preserve">   </w:t>
      </w:r>
      <w:r w:rsidR="00A40D27" w:rsidRPr="0000529A">
        <w:rPr>
          <w:lang w:val="en-ZW"/>
        </w:rPr>
        <w:t xml:space="preserve">Counsel for the </w:t>
      </w:r>
      <w:r w:rsidR="00BE1029" w:rsidRPr="0000529A">
        <w:rPr>
          <w:lang w:val="en-ZW"/>
        </w:rPr>
        <w:t>first</w:t>
      </w:r>
      <w:r w:rsidR="00A40D27" w:rsidRPr="0000529A">
        <w:rPr>
          <w:lang w:val="en-ZW"/>
        </w:rPr>
        <w:t xml:space="preserve"> appellant</w:t>
      </w:r>
      <w:r w:rsidR="00D73B4D" w:rsidRPr="0000529A">
        <w:rPr>
          <w:lang w:val="en-ZW"/>
        </w:rPr>
        <w:t xml:space="preserve">, Mr. </w:t>
      </w:r>
      <w:proofErr w:type="spellStart"/>
      <w:r w:rsidR="00D73B4D" w:rsidRPr="0000529A">
        <w:rPr>
          <w:i/>
          <w:lang w:val="en-ZW"/>
        </w:rPr>
        <w:t>Chinake</w:t>
      </w:r>
      <w:proofErr w:type="spellEnd"/>
      <w:r w:rsidR="00345497" w:rsidRPr="0000529A">
        <w:rPr>
          <w:i/>
          <w:lang w:val="en-ZW"/>
        </w:rPr>
        <w:t xml:space="preserve">, </w:t>
      </w:r>
      <w:r w:rsidR="00345497" w:rsidRPr="0000529A">
        <w:rPr>
          <w:lang w:val="en-ZW"/>
        </w:rPr>
        <w:t>argued</w:t>
      </w:r>
      <w:r w:rsidR="00A40D27" w:rsidRPr="0000529A">
        <w:rPr>
          <w:lang w:val="en-ZW"/>
        </w:rPr>
        <w:t xml:space="preserve"> that</w:t>
      </w:r>
      <w:r w:rsidR="004B79BD" w:rsidRPr="0000529A">
        <w:rPr>
          <w:lang w:val="en-ZW"/>
        </w:rPr>
        <w:t xml:space="preserve"> the Master</w:t>
      </w:r>
      <w:r w:rsidR="00D3051A" w:rsidRPr="0000529A">
        <w:rPr>
          <w:lang w:val="en-ZW"/>
        </w:rPr>
        <w:t xml:space="preserve"> </w:t>
      </w:r>
      <w:r w:rsidR="005345FF" w:rsidRPr="0000529A">
        <w:rPr>
          <w:lang w:val="en-ZW"/>
        </w:rPr>
        <w:t xml:space="preserve">had no real interest in this case and </w:t>
      </w:r>
      <w:r w:rsidR="00D3051A" w:rsidRPr="0000529A">
        <w:rPr>
          <w:lang w:val="en-ZW"/>
        </w:rPr>
        <w:t>was</w:t>
      </w:r>
      <w:r w:rsidR="004B79BD" w:rsidRPr="0000529A">
        <w:rPr>
          <w:lang w:val="en-ZW"/>
        </w:rPr>
        <w:t xml:space="preserve"> essentially a passenger in the</w:t>
      </w:r>
      <w:r w:rsidR="00D3051A" w:rsidRPr="0000529A">
        <w:rPr>
          <w:lang w:val="en-ZW"/>
        </w:rPr>
        <w:t xml:space="preserve"> litigation</w:t>
      </w:r>
      <w:r w:rsidR="005345FF" w:rsidRPr="0000529A">
        <w:rPr>
          <w:lang w:val="en-ZW"/>
        </w:rPr>
        <w:t>. This was</w:t>
      </w:r>
      <w:r w:rsidR="009E0644" w:rsidRPr="0000529A">
        <w:rPr>
          <w:lang w:val="en-ZW"/>
        </w:rPr>
        <w:t xml:space="preserve">, so the argument </w:t>
      </w:r>
      <w:r w:rsidR="009B25D9" w:rsidRPr="0000529A">
        <w:rPr>
          <w:lang w:val="en-ZW"/>
        </w:rPr>
        <w:t>went</w:t>
      </w:r>
      <w:r w:rsidR="00E94BB4" w:rsidRPr="0000529A">
        <w:rPr>
          <w:lang w:val="en-ZW"/>
        </w:rPr>
        <w:t>,</w:t>
      </w:r>
      <w:r w:rsidR="005345FF" w:rsidRPr="0000529A">
        <w:rPr>
          <w:lang w:val="en-ZW"/>
        </w:rPr>
        <w:t xml:space="preserve"> because </w:t>
      </w:r>
      <w:r w:rsidR="00BE1029" w:rsidRPr="0000529A">
        <w:rPr>
          <w:lang w:val="en-ZW"/>
        </w:rPr>
        <w:t>once</w:t>
      </w:r>
      <w:r w:rsidR="00A40D27" w:rsidRPr="0000529A">
        <w:rPr>
          <w:lang w:val="en-ZW"/>
        </w:rPr>
        <w:t xml:space="preserve"> </w:t>
      </w:r>
      <w:r w:rsidR="00D3051A" w:rsidRPr="0000529A">
        <w:rPr>
          <w:lang w:val="en-ZW"/>
        </w:rPr>
        <w:t>he</w:t>
      </w:r>
      <w:r w:rsidR="00A40D27" w:rsidRPr="0000529A">
        <w:rPr>
          <w:lang w:val="en-ZW"/>
        </w:rPr>
        <w:t xml:space="preserve"> had made a decision in respect of the sale of the three farms, he became </w:t>
      </w:r>
      <w:r w:rsidR="00A40D27" w:rsidRPr="0000529A">
        <w:rPr>
          <w:i/>
          <w:lang w:val="en-ZW"/>
        </w:rPr>
        <w:t>functus officio</w:t>
      </w:r>
      <w:r w:rsidR="00D3051A" w:rsidRPr="0000529A">
        <w:rPr>
          <w:lang w:val="en-ZW"/>
        </w:rPr>
        <w:t xml:space="preserve">. </w:t>
      </w:r>
      <w:r w:rsidR="00A40D27" w:rsidRPr="0000529A">
        <w:rPr>
          <w:lang w:val="en-ZW"/>
        </w:rPr>
        <w:t xml:space="preserve">He contended that the </w:t>
      </w:r>
      <w:r w:rsidR="004B79BD" w:rsidRPr="0000529A">
        <w:rPr>
          <w:lang w:val="en-ZW"/>
        </w:rPr>
        <w:t>Master</w:t>
      </w:r>
      <w:r w:rsidR="00A40D27" w:rsidRPr="0000529A">
        <w:rPr>
          <w:lang w:val="en-ZW"/>
        </w:rPr>
        <w:t xml:space="preserve"> reached the decision to</w:t>
      </w:r>
      <w:r w:rsidR="00050667">
        <w:rPr>
          <w:lang w:val="en-ZW"/>
        </w:rPr>
        <w:t>”</w:t>
      </w:r>
      <w:r w:rsidR="00A40D27" w:rsidRPr="0000529A">
        <w:rPr>
          <w:lang w:val="en-ZW"/>
        </w:rPr>
        <w:t xml:space="preserve"> consent to the sales</w:t>
      </w:r>
      <w:r w:rsidR="00050667">
        <w:rPr>
          <w:lang w:val="en-ZW"/>
        </w:rPr>
        <w:t>”</w:t>
      </w:r>
      <w:r w:rsidR="00A40D27" w:rsidRPr="0000529A">
        <w:rPr>
          <w:lang w:val="en-ZW"/>
        </w:rPr>
        <w:t xml:space="preserve"> after due consideration of the facts of the case as placed before him by the </w:t>
      </w:r>
      <w:r w:rsidR="004B79BD" w:rsidRPr="0000529A">
        <w:rPr>
          <w:lang w:val="en-ZW"/>
        </w:rPr>
        <w:t>executor</w:t>
      </w:r>
      <w:r w:rsidR="00A40D27" w:rsidRPr="0000529A">
        <w:rPr>
          <w:lang w:val="en-ZW"/>
        </w:rPr>
        <w:t xml:space="preserve">. </w:t>
      </w:r>
      <w:r w:rsidR="00BE1029" w:rsidRPr="0000529A">
        <w:rPr>
          <w:lang w:val="en-ZW"/>
        </w:rPr>
        <w:t>It was his submission that</w:t>
      </w:r>
      <w:r w:rsidR="00A40D27" w:rsidRPr="0000529A">
        <w:rPr>
          <w:lang w:val="en-ZW"/>
        </w:rPr>
        <w:t xml:space="preserve"> s 120 of the</w:t>
      </w:r>
      <w:r w:rsidR="00D73B4D" w:rsidRPr="0000529A">
        <w:rPr>
          <w:lang w:val="en-ZW"/>
        </w:rPr>
        <w:t xml:space="preserve"> Administration of Estates Act </w:t>
      </w:r>
      <w:r w:rsidR="00A40D27" w:rsidRPr="0000529A">
        <w:rPr>
          <w:lang w:val="en-ZW"/>
        </w:rPr>
        <w:t xml:space="preserve">does not place an obligation on the </w:t>
      </w:r>
      <w:r w:rsidR="004B79BD" w:rsidRPr="0000529A">
        <w:rPr>
          <w:lang w:val="en-ZW"/>
        </w:rPr>
        <w:t>Master</w:t>
      </w:r>
      <w:r w:rsidR="005345FF" w:rsidRPr="0000529A">
        <w:rPr>
          <w:lang w:val="en-ZW"/>
        </w:rPr>
        <w:t xml:space="preserve"> to carry out a judicial</w:t>
      </w:r>
      <w:r w:rsidR="00A40D27" w:rsidRPr="0000529A">
        <w:rPr>
          <w:lang w:val="en-ZW"/>
        </w:rPr>
        <w:t xml:space="preserve"> investigation</w:t>
      </w:r>
      <w:r w:rsidR="004519A1" w:rsidRPr="0000529A">
        <w:rPr>
          <w:lang w:val="en-ZW"/>
        </w:rPr>
        <w:t xml:space="preserve"> before issuing a </w:t>
      </w:r>
      <w:r w:rsidR="00050667">
        <w:rPr>
          <w:lang w:val="en-ZW"/>
        </w:rPr>
        <w:t>“</w:t>
      </w:r>
      <w:r w:rsidR="004519A1" w:rsidRPr="0000529A">
        <w:rPr>
          <w:lang w:val="en-ZW"/>
        </w:rPr>
        <w:t>consent</w:t>
      </w:r>
      <w:r w:rsidR="005345FF" w:rsidRPr="0000529A">
        <w:rPr>
          <w:lang w:val="en-ZW"/>
        </w:rPr>
        <w:t xml:space="preserve"> to sell</w:t>
      </w:r>
      <w:r w:rsidR="00050667">
        <w:rPr>
          <w:lang w:val="en-ZW"/>
        </w:rPr>
        <w:t>”</w:t>
      </w:r>
      <w:r w:rsidR="00A40D27" w:rsidRPr="0000529A">
        <w:rPr>
          <w:lang w:val="en-ZW"/>
        </w:rPr>
        <w:t>. He asserted that the inquiry</w:t>
      </w:r>
      <w:r w:rsidR="005345FF" w:rsidRPr="0000529A">
        <w:rPr>
          <w:lang w:val="en-ZW"/>
        </w:rPr>
        <w:t xml:space="preserve"> which must be conducted</w:t>
      </w:r>
      <w:r w:rsidR="00A40D27" w:rsidRPr="0000529A">
        <w:rPr>
          <w:lang w:val="en-ZW"/>
        </w:rPr>
        <w:t xml:space="preserve"> by the Master</w:t>
      </w:r>
      <w:r w:rsidR="005345FF" w:rsidRPr="0000529A">
        <w:rPr>
          <w:lang w:val="en-ZW"/>
        </w:rPr>
        <w:t xml:space="preserve"> merely</w:t>
      </w:r>
      <w:r w:rsidR="00A40D27" w:rsidRPr="0000529A">
        <w:rPr>
          <w:lang w:val="en-ZW"/>
        </w:rPr>
        <w:t xml:space="preserve"> related to </w:t>
      </w:r>
      <w:r w:rsidR="005345FF" w:rsidRPr="0000529A">
        <w:rPr>
          <w:lang w:val="en-ZW"/>
        </w:rPr>
        <w:t>whether or not the</w:t>
      </w:r>
      <w:r w:rsidR="00B502CE" w:rsidRPr="0000529A">
        <w:rPr>
          <w:lang w:val="en-ZW"/>
        </w:rPr>
        <w:t>re</w:t>
      </w:r>
      <w:r w:rsidR="005345FF" w:rsidRPr="0000529A">
        <w:rPr>
          <w:lang w:val="en-ZW"/>
        </w:rPr>
        <w:t xml:space="preserve"> are </w:t>
      </w:r>
      <w:r w:rsidR="00FA06C7" w:rsidRPr="0000529A">
        <w:rPr>
          <w:lang w:val="en-ZW"/>
        </w:rPr>
        <w:t>any</w:t>
      </w:r>
      <w:r w:rsidR="00A40D27" w:rsidRPr="0000529A">
        <w:rPr>
          <w:lang w:val="en-ZW"/>
        </w:rPr>
        <w:t xml:space="preserve"> restrictions to sell that may be contained in the will of the deceased</w:t>
      </w:r>
      <w:r w:rsidR="005345FF" w:rsidRPr="0000529A">
        <w:rPr>
          <w:lang w:val="en-ZW"/>
        </w:rPr>
        <w:t xml:space="preserve">. </w:t>
      </w:r>
      <w:r w:rsidR="009B45C7" w:rsidRPr="0000529A">
        <w:rPr>
          <w:lang w:val="en-ZW"/>
        </w:rPr>
        <w:t>He</w:t>
      </w:r>
      <w:r w:rsidR="005345FF" w:rsidRPr="0000529A">
        <w:rPr>
          <w:lang w:val="en-ZW"/>
        </w:rPr>
        <w:t xml:space="preserve"> thus submitted that</w:t>
      </w:r>
      <w:r w:rsidR="00D631BC" w:rsidRPr="0000529A">
        <w:rPr>
          <w:lang w:val="en-ZW"/>
        </w:rPr>
        <w:t xml:space="preserve"> it was</w:t>
      </w:r>
      <w:r w:rsidR="00A40D27" w:rsidRPr="0000529A">
        <w:rPr>
          <w:lang w:val="en-ZW"/>
        </w:rPr>
        <w:t xml:space="preserve"> a </w:t>
      </w:r>
      <w:r w:rsidR="00D631BC" w:rsidRPr="0000529A">
        <w:rPr>
          <w:lang w:val="en-ZW"/>
        </w:rPr>
        <w:t xml:space="preserve">very </w:t>
      </w:r>
      <w:r w:rsidR="00A40D27" w:rsidRPr="0000529A">
        <w:rPr>
          <w:lang w:val="en-ZW"/>
        </w:rPr>
        <w:t xml:space="preserve">limited inquiry. </w:t>
      </w:r>
    </w:p>
    <w:p w14:paraId="377BE02B" w14:textId="77777777" w:rsidR="0044647C" w:rsidRPr="0000529A" w:rsidRDefault="0044647C" w:rsidP="00A40D27">
      <w:pPr>
        <w:spacing w:line="480" w:lineRule="auto"/>
        <w:jc w:val="both"/>
        <w:rPr>
          <w:lang w:val="en-ZW"/>
        </w:rPr>
      </w:pPr>
    </w:p>
    <w:p w14:paraId="1FF109FF" w14:textId="00B8A721" w:rsidR="00A40D27" w:rsidRPr="0000529A" w:rsidRDefault="001A61BA" w:rsidP="00A07F90">
      <w:pPr>
        <w:spacing w:line="480" w:lineRule="auto"/>
        <w:ind w:left="810" w:hanging="810"/>
        <w:jc w:val="both"/>
        <w:rPr>
          <w:lang w:val="en-ZW"/>
        </w:rPr>
      </w:pPr>
      <w:r w:rsidRPr="0000529A">
        <w:rPr>
          <w:lang w:val="en-ZW"/>
        </w:rPr>
        <w:lastRenderedPageBreak/>
        <w:t>[13</w:t>
      </w:r>
      <w:r w:rsidR="00345497" w:rsidRPr="0000529A">
        <w:rPr>
          <w:lang w:val="en-ZW"/>
        </w:rPr>
        <w:t xml:space="preserve">] </w:t>
      </w:r>
      <w:r w:rsidR="0000529A">
        <w:rPr>
          <w:lang w:val="en-ZW"/>
        </w:rPr>
        <w:t xml:space="preserve">   </w:t>
      </w:r>
      <w:r w:rsidR="00DC29BC">
        <w:rPr>
          <w:lang w:val="en-ZW"/>
        </w:rPr>
        <w:t xml:space="preserve">Mr </w:t>
      </w:r>
      <w:proofErr w:type="spellStart"/>
      <w:r w:rsidR="00DC29BC">
        <w:rPr>
          <w:i/>
          <w:lang w:val="en-ZW"/>
        </w:rPr>
        <w:t>Chinake</w:t>
      </w:r>
      <w:proofErr w:type="spellEnd"/>
      <w:r w:rsidR="00A40D27" w:rsidRPr="0000529A">
        <w:rPr>
          <w:lang w:val="en-ZW"/>
        </w:rPr>
        <w:t xml:space="preserve"> </w:t>
      </w:r>
      <w:r w:rsidR="00815586" w:rsidRPr="0000529A">
        <w:rPr>
          <w:lang w:val="en-ZW"/>
        </w:rPr>
        <w:t xml:space="preserve">further asserted </w:t>
      </w:r>
      <w:r w:rsidR="00A40D27" w:rsidRPr="0000529A">
        <w:rPr>
          <w:lang w:val="en-ZW"/>
        </w:rPr>
        <w:t xml:space="preserve">that there was nothing unlawful </w:t>
      </w:r>
      <w:r w:rsidR="006767B9" w:rsidRPr="0000529A">
        <w:rPr>
          <w:lang w:val="en-ZW"/>
        </w:rPr>
        <w:t>about issuing a consent with a condition that the executor must inform beneficiaries about the sale</w:t>
      </w:r>
      <w:r w:rsidR="0066440F" w:rsidRPr="0000529A">
        <w:rPr>
          <w:lang w:val="en-ZW"/>
        </w:rPr>
        <w:t>.</w:t>
      </w:r>
      <w:r w:rsidR="00A40D27" w:rsidRPr="0000529A">
        <w:rPr>
          <w:lang w:val="en-ZW"/>
        </w:rPr>
        <w:t xml:space="preserve"> </w:t>
      </w:r>
      <w:r w:rsidR="0066440F" w:rsidRPr="0000529A">
        <w:rPr>
          <w:lang w:val="en-ZW"/>
        </w:rPr>
        <w:t>H</w:t>
      </w:r>
      <w:r w:rsidR="00A40D27" w:rsidRPr="0000529A">
        <w:rPr>
          <w:lang w:val="en-ZW"/>
        </w:rPr>
        <w:t>e</w:t>
      </w:r>
      <w:r w:rsidR="0066440F" w:rsidRPr="0000529A">
        <w:rPr>
          <w:lang w:val="en-ZW"/>
        </w:rPr>
        <w:t>,</w:t>
      </w:r>
      <w:r w:rsidR="00A40D27" w:rsidRPr="0000529A">
        <w:rPr>
          <w:lang w:val="en-ZW"/>
        </w:rPr>
        <w:t xml:space="preserve"> </w:t>
      </w:r>
      <w:r w:rsidR="0066440F" w:rsidRPr="0000529A">
        <w:rPr>
          <w:lang w:val="en-ZW"/>
        </w:rPr>
        <w:t xml:space="preserve">however, </w:t>
      </w:r>
      <w:r w:rsidR="00A40D27" w:rsidRPr="0000529A">
        <w:rPr>
          <w:lang w:val="en-ZW"/>
        </w:rPr>
        <w:t xml:space="preserve">conceded that the absence of </w:t>
      </w:r>
      <w:r w:rsidR="00CB39FD" w:rsidRPr="0000529A">
        <w:rPr>
          <w:lang w:val="en-ZW"/>
        </w:rPr>
        <w:t>consent</w:t>
      </w:r>
      <w:r w:rsidR="00A40D27" w:rsidRPr="0000529A">
        <w:rPr>
          <w:lang w:val="en-ZW"/>
        </w:rPr>
        <w:t xml:space="preserve"> to sale at the time when the agreement of sale was executed in respect of the </w:t>
      </w:r>
      <w:r w:rsidR="006125DF">
        <w:rPr>
          <w:lang w:val="en-ZW"/>
        </w:rPr>
        <w:t>third</w:t>
      </w:r>
      <w:r w:rsidR="00A40D27" w:rsidRPr="0000529A">
        <w:rPr>
          <w:lang w:val="en-ZW"/>
        </w:rPr>
        <w:t xml:space="preserve"> farm meant that </w:t>
      </w:r>
      <w:r w:rsidR="00D0384A" w:rsidRPr="0000529A">
        <w:rPr>
          <w:lang w:val="en-ZW"/>
        </w:rPr>
        <w:t xml:space="preserve">the </w:t>
      </w:r>
      <w:r w:rsidR="00A40D27" w:rsidRPr="0000529A">
        <w:rPr>
          <w:lang w:val="en-ZW"/>
        </w:rPr>
        <w:t>agreement was</w:t>
      </w:r>
      <w:r w:rsidR="0076614C" w:rsidRPr="0000529A">
        <w:rPr>
          <w:lang w:val="en-ZW"/>
        </w:rPr>
        <w:t xml:space="preserve"> void as there was no</w:t>
      </w:r>
      <w:r w:rsidR="00A40D27" w:rsidRPr="0000529A">
        <w:rPr>
          <w:lang w:val="en-ZW"/>
        </w:rPr>
        <w:t xml:space="preserve"> condition in </w:t>
      </w:r>
      <w:r w:rsidR="00FA06C7" w:rsidRPr="0000529A">
        <w:rPr>
          <w:lang w:val="en-ZW"/>
        </w:rPr>
        <w:t xml:space="preserve">the agreement </w:t>
      </w:r>
      <w:r w:rsidR="00D0384A" w:rsidRPr="0000529A">
        <w:rPr>
          <w:lang w:val="en-ZW"/>
        </w:rPr>
        <w:t xml:space="preserve">stating </w:t>
      </w:r>
      <w:r w:rsidR="0076614C" w:rsidRPr="0000529A">
        <w:rPr>
          <w:lang w:val="en-ZW"/>
        </w:rPr>
        <w:t xml:space="preserve">that the agreement would only become </w:t>
      </w:r>
      <w:r w:rsidR="0076614C" w:rsidRPr="0000529A">
        <w:rPr>
          <w:i/>
          <w:lang w:val="en-ZW"/>
        </w:rPr>
        <w:t xml:space="preserve">perfecta </w:t>
      </w:r>
      <w:r w:rsidR="0076614C" w:rsidRPr="0000529A">
        <w:rPr>
          <w:lang w:val="en-ZW"/>
        </w:rPr>
        <w:t xml:space="preserve">once </w:t>
      </w:r>
      <w:r w:rsidR="008A60A2" w:rsidRPr="0000529A">
        <w:rPr>
          <w:lang w:val="en-ZW"/>
        </w:rPr>
        <w:t>the consent from the Master</w:t>
      </w:r>
      <w:r w:rsidR="006767B9" w:rsidRPr="0000529A">
        <w:rPr>
          <w:lang w:val="en-ZW"/>
        </w:rPr>
        <w:t xml:space="preserve"> on the </w:t>
      </w:r>
      <w:r w:rsidR="00C557D8" w:rsidRPr="0000529A">
        <w:rPr>
          <w:lang w:val="en-ZW"/>
        </w:rPr>
        <w:t xml:space="preserve">third </w:t>
      </w:r>
      <w:r w:rsidR="006767B9" w:rsidRPr="0000529A">
        <w:rPr>
          <w:lang w:val="en-ZW"/>
        </w:rPr>
        <w:t>farm</w:t>
      </w:r>
      <w:r w:rsidR="0076614C" w:rsidRPr="0000529A">
        <w:rPr>
          <w:lang w:val="en-ZW"/>
        </w:rPr>
        <w:t xml:space="preserve"> had been obtained</w:t>
      </w:r>
      <w:r w:rsidR="00A40D27" w:rsidRPr="0000529A">
        <w:rPr>
          <w:lang w:val="en-ZW"/>
        </w:rPr>
        <w:t xml:space="preserve">. </w:t>
      </w:r>
      <w:r w:rsidR="008A60A2" w:rsidRPr="0000529A">
        <w:rPr>
          <w:lang w:val="en-ZW"/>
        </w:rPr>
        <w:t>In the final analysis,</w:t>
      </w:r>
      <w:r w:rsidR="0066440F" w:rsidRPr="0000529A">
        <w:rPr>
          <w:lang w:val="en-ZW"/>
        </w:rPr>
        <w:t xml:space="preserve"> h</w:t>
      </w:r>
      <w:r w:rsidR="00A40D27" w:rsidRPr="0000529A">
        <w:rPr>
          <w:lang w:val="en-ZW"/>
        </w:rPr>
        <w:t xml:space="preserve">e submitted that the decision </w:t>
      </w:r>
      <w:r w:rsidR="0066440F" w:rsidRPr="0000529A">
        <w:rPr>
          <w:lang w:val="en-ZW"/>
        </w:rPr>
        <w:t>by</w:t>
      </w:r>
      <w:r w:rsidR="00A40D27" w:rsidRPr="0000529A">
        <w:rPr>
          <w:lang w:val="en-ZW"/>
        </w:rPr>
        <w:t xml:space="preserve"> the </w:t>
      </w:r>
      <w:r w:rsidR="008A60A2" w:rsidRPr="0000529A">
        <w:rPr>
          <w:lang w:val="en-ZW"/>
        </w:rPr>
        <w:t xml:space="preserve">Master </w:t>
      </w:r>
      <w:r w:rsidR="00A40D27" w:rsidRPr="0000529A">
        <w:rPr>
          <w:lang w:val="en-ZW"/>
        </w:rPr>
        <w:t xml:space="preserve">was not unreasonable </w:t>
      </w:r>
      <w:r w:rsidR="00306C86" w:rsidRPr="0000529A">
        <w:rPr>
          <w:lang w:val="en-ZW"/>
        </w:rPr>
        <w:t xml:space="preserve">or unfair </w:t>
      </w:r>
      <w:r w:rsidR="00A40D27" w:rsidRPr="0000529A">
        <w:rPr>
          <w:lang w:val="en-ZW"/>
        </w:rPr>
        <w:t xml:space="preserve">in the circumstances because the </w:t>
      </w:r>
      <w:r w:rsidR="0066440F" w:rsidRPr="0000529A">
        <w:rPr>
          <w:lang w:val="en-ZW"/>
        </w:rPr>
        <w:t xml:space="preserve">finalisation of the </w:t>
      </w:r>
      <w:r w:rsidR="00A40D27" w:rsidRPr="0000529A">
        <w:rPr>
          <w:lang w:val="en-ZW"/>
        </w:rPr>
        <w:t xml:space="preserve">estate had been </w:t>
      </w:r>
      <w:r w:rsidR="008A60A2" w:rsidRPr="0000529A">
        <w:rPr>
          <w:lang w:val="en-ZW"/>
        </w:rPr>
        <w:t xml:space="preserve">outstanding for a </w:t>
      </w:r>
      <w:r w:rsidR="00A40D27" w:rsidRPr="0000529A">
        <w:rPr>
          <w:lang w:val="en-ZW"/>
        </w:rPr>
        <w:t>long</w:t>
      </w:r>
      <w:r w:rsidR="008A60A2" w:rsidRPr="0000529A">
        <w:rPr>
          <w:lang w:val="en-ZW"/>
        </w:rPr>
        <w:t xml:space="preserve"> time</w:t>
      </w:r>
      <w:r w:rsidR="0066440F" w:rsidRPr="0000529A">
        <w:rPr>
          <w:lang w:val="en-ZW"/>
        </w:rPr>
        <w:t>.</w:t>
      </w:r>
      <w:r w:rsidR="00A40D27" w:rsidRPr="0000529A">
        <w:rPr>
          <w:lang w:val="en-ZW"/>
        </w:rPr>
        <w:t xml:space="preserve"> </w:t>
      </w:r>
      <w:r w:rsidR="0066440F" w:rsidRPr="0000529A">
        <w:rPr>
          <w:lang w:val="en-ZW"/>
        </w:rPr>
        <w:t xml:space="preserve">Further, </w:t>
      </w:r>
      <w:r w:rsidR="00A40D27" w:rsidRPr="0000529A">
        <w:rPr>
          <w:lang w:val="en-ZW"/>
        </w:rPr>
        <w:t xml:space="preserve">that the order of costs made against the </w:t>
      </w:r>
      <w:r w:rsidR="006767B9" w:rsidRPr="0000529A">
        <w:rPr>
          <w:lang w:val="en-ZW"/>
        </w:rPr>
        <w:t xml:space="preserve">Master </w:t>
      </w:r>
      <w:r w:rsidR="00A40D27" w:rsidRPr="0000529A">
        <w:rPr>
          <w:lang w:val="en-ZW"/>
        </w:rPr>
        <w:t>was unwarranted and ought to be set aside</w:t>
      </w:r>
      <w:r w:rsidR="00306C86" w:rsidRPr="0000529A">
        <w:rPr>
          <w:lang w:val="en-ZW"/>
        </w:rPr>
        <w:t xml:space="preserve"> as the decision was made in the course of his administrative functions</w:t>
      </w:r>
      <w:r w:rsidR="00A40D27" w:rsidRPr="0000529A">
        <w:rPr>
          <w:lang w:val="en-ZW"/>
        </w:rPr>
        <w:t>. He prayed for the appeal to be allowed with costs.</w:t>
      </w:r>
    </w:p>
    <w:p w14:paraId="4F9B0C3F" w14:textId="77777777" w:rsidR="00C42FA8" w:rsidRPr="0000529A" w:rsidRDefault="00C42FA8" w:rsidP="00345497">
      <w:pPr>
        <w:spacing w:line="480" w:lineRule="auto"/>
        <w:jc w:val="both"/>
        <w:rPr>
          <w:lang w:val="en-ZW"/>
        </w:rPr>
      </w:pPr>
    </w:p>
    <w:p w14:paraId="7D1943B7" w14:textId="53904F13" w:rsidR="00A40D27" w:rsidRPr="0000529A" w:rsidRDefault="0015412A" w:rsidP="00A07F90">
      <w:pPr>
        <w:spacing w:line="480" w:lineRule="auto"/>
        <w:ind w:left="810" w:hanging="810"/>
        <w:jc w:val="both"/>
        <w:rPr>
          <w:lang w:val="en-ZW"/>
        </w:rPr>
      </w:pPr>
      <w:r w:rsidRPr="0000529A">
        <w:rPr>
          <w:lang w:val="en-ZW"/>
        </w:rPr>
        <w:t>[14</w:t>
      </w:r>
      <w:r w:rsidR="00345497" w:rsidRPr="0000529A">
        <w:rPr>
          <w:lang w:val="en-ZW"/>
        </w:rPr>
        <w:t xml:space="preserve">] </w:t>
      </w:r>
      <w:r w:rsidR="0000529A">
        <w:rPr>
          <w:lang w:val="en-ZW"/>
        </w:rPr>
        <w:t xml:space="preserve">   </w:t>
      </w:r>
      <w:r w:rsidR="00A40D27" w:rsidRPr="0000529A">
        <w:rPr>
          <w:lang w:val="en-ZW"/>
        </w:rPr>
        <w:t xml:space="preserve">Counsel for the </w:t>
      </w:r>
      <w:r w:rsidR="0059651A" w:rsidRPr="0000529A">
        <w:rPr>
          <w:lang w:val="en-ZW"/>
        </w:rPr>
        <w:t>executor</w:t>
      </w:r>
      <w:r w:rsidR="00856BA1" w:rsidRPr="0000529A">
        <w:rPr>
          <w:lang w:val="en-ZW"/>
        </w:rPr>
        <w:t>, Mr</w:t>
      </w:r>
      <w:r w:rsidR="00856BA1" w:rsidRPr="0000529A">
        <w:rPr>
          <w:i/>
          <w:lang w:val="en-ZW"/>
        </w:rPr>
        <w:t>. Sithole</w:t>
      </w:r>
      <w:r w:rsidR="00345497" w:rsidRPr="0000529A">
        <w:rPr>
          <w:i/>
          <w:lang w:val="en-ZW"/>
        </w:rPr>
        <w:t>,</w:t>
      </w:r>
      <w:r w:rsidR="00A40D27" w:rsidRPr="0000529A">
        <w:rPr>
          <w:lang w:val="en-ZW"/>
        </w:rPr>
        <w:t xml:space="preserve"> argued that the </w:t>
      </w:r>
      <w:r w:rsidR="0059651A" w:rsidRPr="0000529A">
        <w:rPr>
          <w:lang w:val="en-ZW"/>
        </w:rPr>
        <w:t>Master</w:t>
      </w:r>
      <w:r w:rsidR="00A40D27" w:rsidRPr="0000529A">
        <w:rPr>
          <w:lang w:val="en-ZW"/>
        </w:rPr>
        <w:t xml:space="preserve"> correctly exercised </w:t>
      </w:r>
      <w:r w:rsidR="009A2637" w:rsidRPr="0000529A">
        <w:rPr>
          <w:lang w:val="en-ZW"/>
        </w:rPr>
        <w:t>his</w:t>
      </w:r>
      <w:r w:rsidR="00A40D27" w:rsidRPr="0000529A">
        <w:rPr>
          <w:lang w:val="en-ZW"/>
        </w:rPr>
        <w:t xml:space="preserve"> discretion </w:t>
      </w:r>
      <w:r w:rsidR="004519A1" w:rsidRPr="0000529A">
        <w:rPr>
          <w:lang w:val="en-ZW"/>
        </w:rPr>
        <w:t>in</w:t>
      </w:r>
      <w:r w:rsidR="00A40D27" w:rsidRPr="0000529A">
        <w:rPr>
          <w:lang w:val="en-ZW"/>
        </w:rPr>
        <w:t xml:space="preserve"> grant</w:t>
      </w:r>
      <w:r w:rsidR="004519A1" w:rsidRPr="0000529A">
        <w:rPr>
          <w:lang w:val="en-ZW"/>
        </w:rPr>
        <w:t>ing</w:t>
      </w:r>
      <w:r w:rsidR="00A40D27" w:rsidRPr="0000529A">
        <w:rPr>
          <w:lang w:val="en-ZW"/>
        </w:rPr>
        <w:t xml:space="preserve"> the </w:t>
      </w:r>
      <w:r w:rsidR="00050667">
        <w:rPr>
          <w:lang w:val="en-ZW"/>
        </w:rPr>
        <w:t>“</w:t>
      </w:r>
      <w:r w:rsidR="00A40D27" w:rsidRPr="0000529A">
        <w:rPr>
          <w:lang w:val="en-ZW"/>
        </w:rPr>
        <w:t>consent to the sale</w:t>
      </w:r>
      <w:r w:rsidR="00050667">
        <w:rPr>
          <w:lang w:val="en-ZW"/>
        </w:rPr>
        <w:t>”</w:t>
      </w:r>
      <w:r w:rsidR="00A40D27" w:rsidRPr="0000529A">
        <w:rPr>
          <w:lang w:val="en-ZW"/>
        </w:rPr>
        <w:t xml:space="preserve"> based on the docume</w:t>
      </w:r>
      <w:r w:rsidR="0059651A" w:rsidRPr="0000529A">
        <w:rPr>
          <w:lang w:val="en-ZW"/>
        </w:rPr>
        <w:t>ntation placed before him</w:t>
      </w:r>
      <w:r w:rsidR="00A40D27" w:rsidRPr="0000529A">
        <w:rPr>
          <w:lang w:val="en-ZW"/>
        </w:rPr>
        <w:t xml:space="preserve">.  He asserted that there was nothing unreasonable </w:t>
      </w:r>
      <w:r w:rsidR="008B23BE" w:rsidRPr="0000529A">
        <w:rPr>
          <w:lang w:val="en-ZW"/>
        </w:rPr>
        <w:t>or</w:t>
      </w:r>
      <w:r w:rsidR="00A40D27" w:rsidRPr="0000529A">
        <w:rPr>
          <w:lang w:val="en-ZW"/>
        </w:rPr>
        <w:t xml:space="preserve"> unfair about the </w:t>
      </w:r>
      <w:r w:rsidR="0059651A" w:rsidRPr="0000529A">
        <w:rPr>
          <w:lang w:val="en-ZW"/>
        </w:rPr>
        <w:t>Master</w:t>
      </w:r>
      <w:r w:rsidR="00D0384A" w:rsidRPr="0000529A">
        <w:rPr>
          <w:lang w:val="en-ZW"/>
        </w:rPr>
        <w:t>’</w:t>
      </w:r>
      <w:r w:rsidR="0059651A" w:rsidRPr="0000529A">
        <w:rPr>
          <w:lang w:val="en-ZW"/>
        </w:rPr>
        <w:t>s</w:t>
      </w:r>
      <w:r w:rsidR="00A40D27" w:rsidRPr="0000529A">
        <w:rPr>
          <w:lang w:val="en-ZW"/>
        </w:rPr>
        <w:t xml:space="preserve"> decision to </w:t>
      </w:r>
      <w:r w:rsidR="00050667">
        <w:rPr>
          <w:lang w:val="en-ZW"/>
        </w:rPr>
        <w:t>“</w:t>
      </w:r>
      <w:r w:rsidR="00A40D27" w:rsidRPr="0000529A">
        <w:rPr>
          <w:lang w:val="en-ZW"/>
        </w:rPr>
        <w:t>consent to the sale</w:t>
      </w:r>
      <w:r w:rsidR="00050667">
        <w:rPr>
          <w:lang w:val="en-ZW"/>
        </w:rPr>
        <w:t>”</w:t>
      </w:r>
      <w:r w:rsidR="00A40D27" w:rsidRPr="0000529A">
        <w:rPr>
          <w:lang w:val="en-ZW"/>
        </w:rPr>
        <w:t xml:space="preserve"> of the three farms as he acted in accordance with the law. Counsel also submitted that the phrase </w:t>
      </w:r>
      <w:r w:rsidR="00856BA1" w:rsidRPr="0000529A">
        <w:rPr>
          <w:lang w:val="en-ZW"/>
        </w:rPr>
        <w:t>‘</w:t>
      </w:r>
      <w:r w:rsidR="00A40D27" w:rsidRPr="0000529A">
        <w:rPr>
          <w:lang w:val="en-ZW"/>
        </w:rPr>
        <w:t>due inquiry</w:t>
      </w:r>
      <w:r w:rsidR="00856BA1" w:rsidRPr="0000529A">
        <w:rPr>
          <w:lang w:val="en-ZW"/>
        </w:rPr>
        <w:t>’</w:t>
      </w:r>
      <w:r w:rsidR="00A40D27" w:rsidRPr="0000529A">
        <w:rPr>
          <w:lang w:val="en-ZW"/>
        </w:rPr>
        <w:t xml:space="preserve"> under s 120 </w:t>
      </w:r>
      <w:r w:rsidR="00856BA1" w:rsidRPr="0000529A">
        <w:rPr>
          <w:lang w:val="en-ZW"/>
        </w:rPr>
        <w:t xml:space="preserve">of the Administration of Estates Act </w:t>
      </w:r>
      <w:r w:rsidR="00A40D27" w:rsidRPr="0000529A">
        <w:rPr>
          <w:lang w:val="en-ZW"/>
        </w:rPr>
        <w:t>is limited only to the question of the mode of disposal of the proper</w:t>
      </w:r>
      <w:r w:rsidR="00C64214" w:rsidRPr="0000529A">
        <w:rPr>
          <w:lang w:val="en-ZW"/>
        </w:rPr>
        <w:t>ty</w:t>
      </w:r>
      <w:r w:rsidR="0059651A" w:rsidRPr="0000529A">
        <w:rPr>
          <w:lang w:val="en-ZW"/>
        </w:rPr>
        <w:t xml:space="preserve"> and not to any other issue</w:t>
      </w:r>
      <w:r w:rsidR="00C64214" w:rsidRPr="0000529A">
        <w:rPr>
          <w:lang w:val="en-ZW"/>
        </w:rPr>
        <w:t>.  He argued that the</w:t>
      </w:r>
      <w:r w:rsidR="00A40D27" w:rsidRPr="0000529A">
        <w:rPr>
          <w:lang w:val="en-ZW"/>
        </w:rPr>
        <w:t xml:space="preserve"> order of costs</w:t>
      </w:r>
      <w:r w:rsidR="00C64214" w:rsidRPr="0000529A">
        <w:rPr>
          <w:i/>
          <w:lang w:val="en-ZW"/>
        </w:rPr>
        <w:t xml:space="preserve"> de </w:t>
      </w:r>
      <w:proofErr w:type="spellStart"/>
      <w:r w:rsidR="00C64214" w:rsidRPr="0000529A">
        <w:rPr>
          <w:i/>
          <w:lang w:val="en-ZW"/>
        </w:rPr>
        <w:t>bonis</w:t>
      </w:r>
      <w:proofErr w:type="spellEnd"/>
      <w:r w:rsidR="00C64214" w:rsidRPr="0000529A">
        <w:rPr>
          <w:i/>
          <w:lang w:val="en-ZW"/>
        </w:rPr>
        <w:t xml:space="preserve"> </w:t>
      </w:r>
      <w:proofErr w:type="spellStart"/>
      <w:r w:rsidR="00C64214" w:rsidRPr="0000529A">
        <w:rPr>
          <w:i/>
          <w:lang w:val="en-ZW"/>
        </w:rPr>
        <w:t>propri</w:t>
      </w:r>
      <w:r w:rsidR="00496441">
        <w:rPr>
          <w:i/>
          <w:lang w:val="en-ZW"/>
        </w:rPr>
        <w:t>i</w:t>
      </w:r>
      <w:r w:rsidR="00C64214" w:rsidRPr="0000529A">
        <w:rPr>
          <w:i/>
          <w:lang w:val="en-ZW"/>
        </w:rPr>
        <w:t>s</w:t>
      </w:r>
      <w:proofErr w:type="spellEnd"/>
      <w:r w:rsidR="00A40D27" w:rsidRPr="0000529A">
        <w:rPr>
          <w:i/>
          <w:lang w:val="en-ZW"/>
        </w:rPr>
        <w:t xml:space="preserve"> </w:t>
      </w:r>
      <w:r w:rsidR="00A40D27" w:rsidRPr="0000529A">
        <w:rPr>
          <w:lang w:val="en-ZW"/>
        </w:rPr>
        <w:t xml:space="preserve">made against the </w:t>
      </w:r>
      <w:r w:rsidR="0059651A" w:rsidRPr="0000529A">
        <w:rPr>
          <w:lang w:val="en-ZW"/>
        </w:rPr>
        <w:t>executor</w:t>
      </w:r>
      <w:r w:rsidR="00A40D27" w:rsidRPr="0000529A">
        <w:rPr>
          <w:lang w:val="en-ZW"/>
        </w:rPr>
        <w:t xml:space="preserve"> was improper because the order was not sought by the applicants </w:t>
      </w:r>
      <w:r w:rsidR="00A40D27" w:rsidRPr="0000529A">
        <w:rPr>
          <w:i/>
          <w:lang w:val="en-ZW"/>
        </w:rPr>
        <w:t>a quo</w:t>
      </w:r>
      <w:r w:rsidR="00A40D27" w:rsidRPr="0000529A">
        <w:rPr>
          <w:lang w:val="en-ZW"/>
        </w:rPr>
        <w:t xml:space="preserve"> </w:t>
      </w:r>
      <w:r w:rsidR="0066440F" w:rsidRPr="0000529A">
        <w:rPr>
          <w:lang w:val="en-ZW"/>
        </w:rPr>
        <w:t>but w</w:t>
      </w:r>
      <w:r w:rsidR="00D0384A" w:rsidRPr="0000529A">
        <w:rPr>
          <w:lang w:val="en-ZW"/>
        </w:rPr>
        <w:t xml:space="preserve">as </w:t>
      </w:r>
      <w:r w:rsidR="0066440F" w:rsidRPr="0000529A">
        <w:rPr>
          <w:lang w:val="en-ZW"/>
        </w:rPr>
        <w:t xml:space="preserve">imposed by the </w:t>
      </w:r>
      <w:r w:rsidR="0066440F" w:rsidRPr="0000529A">
        <w:rPr>
          <w:lang w:val="en-ZW"/>
        </w:rPr>
        <w:lastRenderedPageBreak/>
        <w:t>court</w:t>
      </w:r>
      <w:r w:rsidR="00D0384A" w:rsidRPr="0000529A">
        <w:rPr>
          <w:lang w:val="en-ZW"/>
        </w:rPr>
        <w:t xml:space="preserve"> without inquiry as required by law</w:t>
      </w:r>
      <w:r w:rsidR="00A40D27" w:rsidRPr="0000529A">
        <w:rPr>
          <w:lang w:val="en-ZW"/>
        </w:rPr>
        <w:t xml:space="preserve">.  He </w:t>
      </w:r>
      <w:r w:rsidR="00D0384A" w:rsidRPr="0000529A">
        <w:rPr>
          <w:lang w:val="en-ZW"/>
        </w:rPr>
        <w:t xml:space="preserve">therefore </w:t>
      </w:r>
      <w:r w:rsidR="00A40D27" w:rsidRPr="0000529A">
        <w:rPr>
          <w:lang w:val="en-ZW"/>
        </w:rPr>
        <w:t>prayed for the appeal to succeed.</w:t>
      </w:r>
    </w:p>
    <w:p w14:paraId="1724283E" w14:textId="77777777" w:rsidR="004C4DFA" w:rsidRPr="0000529A" w:rsidRDefault="004C4DFA" w:rsidP="00345497">
      <w:pPr>
        <w:spacing w:line="480" w:lineRule="auto"/>
        <w:jc w:val="both"/>
        <w:rPr>
          <w:lang w:val="en-ZW"/>
        </w:rPr>
      </w:pPr>
    </w:p>
    <w:p w14:paraId="2CF2E976" w14:textId="3C565057" w:rsidR="00C42FA8" w:rsidRPr="0000529A" w:rsidRDefault="0015412A" w:rsidP="00A07F90">
      <w:pPr>
        <w:spacing w:line="480" w:lineRule="auto"/>
        <w:ind w:left="810" w:hanging="810"/>
        <w:jc w:val="both"/>
        <w:rPr>
          <w:lang w:val="en-ZW"/>
        </w:rPr>
      </w:pPr>
      <w:r w:rsidRPr="0000529A">
        <w:rPr>
          <w:lang w:val="en-ZW"/>
        </w:rPr>
        <w:t>[15</w:t>
      </w:r>
      <w:r w:rsidR="00345497" w:rsidRPr="0000529A">
        <w:rPr>
          <w:lang w:val="en-ZW"/>
        </w:rPr>
        <w:t xml:space="preserve">] </w:t>
      </w:r>
      <w:r w:rsidR="0000529A">
        <w:rPr>
          <w:lang w:val="en-ZW"/>
        </w:rPr>
        <w:t xml:space="preserve">   </w:t>
      </w:r>
      <w:r w:rsidR="00A40D27" w:rsidRPr="0000529A">
        <w:rPr>
          <w:lang w:val="en-ZW"/>
        </w:rPr>
        <w:t xml:space="preserve">Counsel for the </w:t>
      </w:r>
      <w:r w:rsidR="00D0384A" w:rsidRPr="0000529A">
        <w:rPr>
          <w:lang w:val="en-ZW"/>
        </w:rPr>
        <w:t>purchaser</w:t>
      </w:r>
      <w:r w:rsidR="00856BA1" w:rsidRPr="0000529A">
        <w:rPr>
          <w:lang w:val="en-ZW"/>
        </w:rPr>
        <w:t>, Mr</w:t>
      </w:r>
      <w:r w:rsidR="00856BA1" w:rsidRPr="0000529A">
        <w:rPr>
          <w:i/>
          <w:lang w:val="en-ZW"/>
        </w:rPr>
        <w:t xml:space="preserve">. </w:t>
      </w:r>
      <w:proofErr w:type="spellStart"/>
      <w:r w:rsidR="00856BA1" w:rsidRPr="0000529A">
        <w:rPr>
          <w:i/>
          <w:lang w:val="en-ZW"/>
        </w:rPr>
        <w:t>Nyamakura</w:t>
      </w:r>
      <w:proofErr w:type="spellEnd"/>
      <w:r w:rsidR="00345497" w:rsidRPr="0000529A">
        <w:rPr>
          <w:i/>
          <w:lang w:val="en-ZW"/>
        </w:rPr>
        <w:t>,</w:t>
      </w:r>
      <w:r w:rsidR="00A40D27" w:rsidRPr="0000529A">
        <w:rPr>
          <w:lang w:val="en-ZW"/>
        </w:rPr>
        <w:t xml:space="preserve"> submitted that </w:t>
      </w:r>
      <w:r w:rsidR="0059651A" w:rsidRPr="0000529A">
        <w:rPr>
          <w:lang w:val="en-ZW"/>
        </w:rPr>
        <w:t>the beneficiaries</w:t>
      </w:r>
      <w:r w:rsidR="00A40D27" w:rsidRPr="0000529A">
        <w:rPr>
          <w:lang w:val="en-ZW"/>
        </w:rPr>
        <w:t xml:space="preserve"> </w:t>
      </w:r>
      <w:r w:rsidR="0059651A" w:rsidRPr="0000529A">
        <w:rPr>
          <w:lang w:val="en-ZW"/>
        </w:rPr>
        <w:t xml:space="preserve">could not </w:t>
      </w:r>
      <w:r w:rsidR="00A40D27" w:rsidRPr="0000529A">
        <w:rPr>
          <w:lang w:val="en-ZW"/>
        </w:rPr>
        <w:t xml:space="preserve">challenge the sale of the farms without surrendering the proceeds of sale that had been transferred into their accounts. He </w:t>
      </w:r>
      <w:r w:rsidR="008B23BE" w:rsidRPr="0000529A">
        <w:rPr>
          <w:lang w:val="en-ZW"/>
        </w:rPr>
        <w:t>argued that</w:t>
      </w:r>
      <w:r w:rsidR="00A40D27" w:rsidRPr="0000529A">
        <w:rPr>
          <w:lang w:val="en-ZW"/>
        </w:rPr>
        <w:t xml:space="preserve"> the due inquiry in</w:t>
      </w:r>
      <w:r w:rsidR="001947B6" w:rsidRPr="0000529A">
        <w:rPr>
          <w:lang w:val="en-ZW"/>
        </w:rPr>
        <w:t xml:space="preserve"> terms of</w:t>
      </w:r>
      <w:r w:rsidR="00A40D27" w:rsidRPr="0000529A">
        <w:rPr>
          <w:lang w:val="en-ZW"/>
        </w:rPr>
        <w:t xml:space="preserve"> s 120</w:t>
      </w:r>
      <w:r w:rsidR="00856BA1" w:rsidRPr="0000529A">
        <w:rPr>
          <w:lang w:val="en-ZW"/>
        </w:rPr>
        <w:t xml:space="preserve"> of the Administration of Estates Act</w:t>
      </w:r>
      <w:r w:rsidR="00A40D27" w:rsidRPr="0000529A">
        <w:rPr>
          <w:lang w:val="en-ZW"/>
        </w:rPr>
        <w:t xml:space="preserve"> is restricted </w:t>
      </w:r>
      <w:r w:rsidR="001947B6" w:rsidRPr="0000529A">
        <w:rPr>
          <w:lang w:val="en-ZW"/>
        </w:rPr>
        <w:t xml:space="preserve">only </w:t>
      </w:r>
      <w:r w:rsidR="00A40D27" w:rsidRPr="0000529A">
        <w:rPr>
          <w:lang w:val="en-ZW"/>
        </w:rPr>
        <w:t xml:space="preserve">to the question of whether to sell by private treaty or public auction. He asserted that the </w:t>
      </w:r>
      <w:r w:rsidR="00D0384A" w:rsidRPr="0000529A">
        <w:rPr>
          <w:lang w:val="en-ZW"/>
        </w:rPr>
        <w:t>Master</w:t>
      </w:r>
      <w:r w:rsidR="00A40D27" w:rsidRPr="0000529A">
        <w:rPr>
          <w:lang w:val="en-ZW"/>
        </w:rPr>
        <w:t xml:space="preserve">’s decision was </w:t>
      </w:r>
      <w:r w:rsidR="00D0384A" w:rsidRPr="0000529A">
        <w:rPr>
          <w:lang w:val="en-ZW"/>
        </w:rPr>
        <w:t>lawful</w:t>
      </w:r>
      <w:r w:rsidR="00BB3624" w:rsidRPr="0000529A">
        <w:rPr>
          <w:lang w:val="en-ZW"/>
        </w:rPr>
        <w:t>.</w:t>
      </w:r>
      <w:r w:rsidR="00A40D27" w:rsidRPr="0000529A">
        <w:rPr>
          <w:lang w:val="en-ZW"/>
        </w:rPr>
        <w:t xml:space="preserve">   </w:t>
      </w:r>
      <w:r w:rsidR="00BB3624" w:rsidRPr="0000529A">
        <w:rPr>
          <w:lang w:val="en-ZW"/>
        </w:rPr>
        <w:t>H</w:t>
      </w:r>
      <w:r w:rsidR="00A40D27" w:rsidRPr="0000529A">
        <w:rPr>
          <w:lang w:val="en-ZW"/>
        </w:rPr>
        <w:t xml:space="preserve">e </w:t>
      </w:r>
      <w:r w:rsidR="00BB3624" w:rsidRPr="0000529A">
        <w:rPr>
          <w:lang w:val="en-ZW"/>
        </w:rPr>
        <w:t xml:space="preserve">thus </w:t>
      </w:r>
      <w:r w:rsidR="00A40D27" w:rsidRPr="0000529A">
        <w:rPr>
          <w:lang w:val="en-ZW"/>
        </w:rPr>
        <w:t>prayed for the appeal to be allowed.</w:t>
      </w:r>
    </w:p>
    <w:p w14:paraId="4D47B9A4" w14:textId="7DF3198C" w:rsidR="00A40D27" w:rsidRPr="0000529A" w:rsidRDefault="00A40D27" w:rsidP="00345497">
      <w:pPr>
        <w:spacing w:line="480" w:lineRule="auto"/>
        <w:jc w:val="both"/>
        <w:rPr>
          <w:lang w:val="en-ZW"/>
        </w:rPr>
      </w:pPr>
      <w:r w:rsidRPr="0000529A">
        <w:rPr>
          <w:lang w:val="en-ZW"/>
        </w:rPr>
        <w:t xml:space="preserve"> </w:t>
      </w:r>
    </w:p>
    <w:p w14:paraId="53A9B3A6" w14:textId="5654F445" w:rsidR="00856BA1" w:rsidRPr="0000529A" w:rsidRDefault="0015412A" w:rsidP="00A07F90">
      <w:pPr>
        <w:spacing w:line="480" w:lineRule="auto"/>
        <w:ind w:left="810" w:hanging="810"/>
        <w:jc w:val="both"/>
        <w:rPr>
          <w:lang w:val="en-ZW"/>
        </w:rPr>
      </w:pPr>
      <w:r w:rsidRPr="0000529A">
        <w:rPr>
          <w:lang w:val="en-ZW"/>
        </w:rPr>
        <w:t>[16</w:t>
      </w:r>
      <w:r w:rsidR="00FD448E" w:rsidRPr="0000529A">
        <w:rPr>
          <w:lang w:val="en-ZW"/>
        </w:rPr>
        <w:t xml:space="preserve">] </w:t>
      </w:r>
      <w:r w:rsidR="0000529A">
        <w:rPr>
          <w:lang w:val="en-ZW"/>
        </w:rPr>
        <w:t xml:space="preserve">    </w:t>
      </w:r>
      <w:r w:rsidR="00D0384A" w:rsidRPr="0000529A">
        <w:rPr>
          <w:i/>
          <w:iCs/>
          <w:lang w:val="en-ZW"/>
        </w:rPr>
        <w:t>Per contra</w:t>
      </w:r>
      <w:r w:rsidR="00C557D8" w:rsidRPr="0000529A">
        <w:rPr>
          <w:i/>
          <w:iCs/>
          <w:lang w:val="en-ZW"/>
        </w:rPr>
        <w:t>,</w:t>
      </w:r>
      <w:r w:rsidR="00C557D8" w:rsidRPr="0000529A">
        <w:rPr>
          <w:lang w:val="en-ZW"/>
        </w:rPr>
        <w:t xml:space="preserve"> c</w:t>
      </w:r>
      <w:r w:rsidR="00A40D27" w:rsidRPr="0000529A">
        <w:rPr>
          <w:lang w:val="en-ZW"/>
        </w:rPr>
        <w:t xml:space="preserve">ounsel for the </w:t>
      </w:r>
      <w:r w:rsidR="0059651A" w:rsidRPr="0000529A">
        <w:rPr>
          <w:lang w:val="en-ZW"/>
        </w:rPr>
        <w:t>beneficiaries</w:t>
      </w:r>
      <w:r w:rsidR="00856BA1" w:rsidRPr="0000529A">
        <w:rPr>
          <w:lang w:val="en-ZW"/>
        </w:rPr>
        <w:t xml:space="preserve">, Ms </w:t>
      </w:r>
      <w:proofErr w:type="spellStart"/>
      <w:r w:rsidR="00856BA1" w:rsidRPr="0000529A">
        <w:rPr>
          <w:i/>
          <w:lang w:val="en-ZW"/>
        </w:rPr>
        <w:t>Mahere</w:t>
      </w:r>
      <w:proofErr w:type="spellEnd"/>
      <w:r w:rsidR="00FD448E" w:rsidRPr="0000529A">
        <w:rPr>
          <w:i/>
          <w:lang w:val="en-ZW"/>
        </w:rPr>
        <w:t>,</w:t>
      </w:r>
      <w:r w:rsidR="00A40D27" w:rsidRPr="0000529A">
        <w:rPr>
          <w:i/>
          <w:lang w:val="en-ZW"/>
        </w:rPr>
        <w:t xml:space="preserve"> </w:t>
      </w:r>
      <w:r w:rsidR="00A40D27" w:rsidRPr="0000529A">
        <w:rPr>
          <w:lang w:val="en-ZW"/>
        </w:rPr>
        <w:t>submitted that the</w:t>
      </w:r>
      <w:r w:rsidR="00BB3624" w:rsidRPr="0000529A">
        <w:rPr>
          <w:vertAlign w:val="superscript"/>
          <w:lang w:val="en-ZW"/>
        </w:rPr>
        <w:t xml:space="preserve"> </w:t>
      </w:r>
      <w:r w:rsidR="0059651A" w:rsidRPr="0000529A">
        <w:rPr>
          <w:lang w:val="en-ZW"/>
        </w:rPr>
        <w:t>Master</w:t>
      </w:r>
      <w:r w:rsidR="00A40D27" w:rsidRPr="0000529A">
        <w:rPr>
          <w:lang w:val="en-ZW"/>
        </w:rPr>
        <w:t>’s decision violated s 68 of the Constitution of Zimbabwe</w:t>
      </w:r>
      <w:r w:rsidR="00856BA1" w:rsidRPr="0000529A">
        <w:rPr>
          <w:lang w:val="en-ZW"/>
        </w:rPr>
        <w:t xml:space="preserve"> Amendment (No. 20) Act 2013 (hereinafter referred to as ‘the Constitution’) a</w:t>
      </w:r>
      <w:r w:rsidR="00A40D27" w:rsidRPr="0000529A">
        <w:rPr>
          <w:lang w:val="en-ZW"/>
        </w:rPr>
        <w:t xml:space="preserve">nd s 3 of </w:t>
      </w:r>
      <w:r w:rsidR="00856BA1" w:rsidRPr="0000529A">
        <w:rPr>
          <w:lang w:val="en-ZW"/>
        </w:rPr>
        <w:t>the Administrative Justice Act</w:t>
      </w:r>
      <w:r w:rsidR="00BB3624" w:rsidRPr="0000529A">
        <w:rPr>
          <w:lang w:val="en-ZW"/>
        </w:rPr>
        <w:t>.</w:t>
      </w:r>
      <w:r w:rsidR="0059651A" w:rsidRPr="0000529A">
        <w:rPr>
          <w:lang w:val="en-ZW"/>
        </w:rPr>
        <w:t xml:space="preserve"> She contended that the Master</w:t>
      </w:r>
      <w:r w:rsidR="00A40D27" w:rsidRPr="0000529A">
        <w:rPr>
          <w:lang w:val="en-ZW"/>
        </w:rPr>
        <w:t>’s decision to sell three farms for USD</w:t>
      </w:r>
      <w:r w:rsidR="00C557D8" w:rsidRPr="0000529A">
        <w:rPr>
          <w:lang w:val="en-ZW"/>
        </w:rPr>
        <w:t>$</w:t>
      </w:r>
      <w:r w:rsidR="00A40D27" w:rsidRPr="0000529A">
        <w:rPr>
          <w:lang w:val="en-ZW"/>
        </w:rPr>
        <w:t xml:space="preserve"> 700 000 to settle estate </w:t>
      </w:r>
      <w:r w:rsidR="00856BA1" w:rsidRPr="0000529A">
        <w:rPr>
          <w:lang w:val="en-ZW"/>
        </w:rPr>
        <w:t>liabilities totalling USD</w:t>
      </w:r>
      <w:r w:rsidR="00C557D8" w:rsidRPr="0000529A">
        <w:rPr>
          <w:lang w:val="en-ZW"/>
        </w:rPr>
        <w:t>$</w:t>
      </w:r>
      <w:r w:rsidR="00856BA1" w:rsidRPr="0000529A">
        <w:rPr>
          <w:lang w:val="en-ZW"/>
        </w:rPr>
        <w:t xml:space="preserve"> 14 047.00</w:t>
      </w:r>
      <w:r w:rsidR="00A40D27" w:rsidRPr="0000529A">
        <w:rPr>
          <w:lang w:val="en-ZW"/>
        </w:rPr>
        <w:t xml:space="preserve"> when other properties of less value could have been sold was </w:t>
      </w:r>
      <w:r w:rsidR="00BB3624" w:rsidRPr="0000529A">
        <w:rPr>
          <w:lang w:val="en-ZW"/>
        </w:rPr>
        <w:t xml:space="preserve">grossly </w:t>
      </w:r>
      <w:r w:rsidR="00A40D27" w:rsidRPr="0000529A">
        <w:rPr>
          <w:lang w:val="en-ZW"/>
        </w:rPr>
        <w:t xml:space="preserve">unreasonable and unfair. </w:t>
      </w:r>
    </w:p>
    <w:p w14:paraId="72280D36" w14:textId="77777777" w:rsidR="00C42FA8" w:rsidRPr="0000529A" w:rsidRDefault="00C42FA8" w:rsidP="00FD448E">
      <w:pPr>
        <w:spacing w:line="480" w:lineRule="auto"/>
        <w:jc w:val="both"/>
        <w:rPr>
          <w:lang w:val="en-ZW"/>
        </w:rPr>
      </w:pPr>
    </w:p>
    <w:p w14:paraId="305DD6CD" w14:textId="142BCCAB" w:rsidR="00A40D27" w:rsidRPr="0000529A" w:rsidRDefault="0015412A" w:rsidP="00A07F90">
      <w:pPr>
        <w:spacing w:line="480" w:lineRule="auto"/>
        <w:ind w:left="810" w:hanging="810"/>
        <w:jc w:val="both"/>
        <w:rPr>
          <w:lang w:val="en-ZW"/>
        </w:rPr>
      </w:pPr>
      <w:r w:rsidRPr="0000529A">
        <w:rPr>
          <w:lang w:val="en-ZW"/>
        </w:rPr>
        <w:t>[17</w:t>
      </w:r>
      <w:r w:rsidR="004C4DFA" w:rsidRPr="0000529A">
        <w:rPr>
          <w:lang w:val="en-ZW"/>
        </w:rPr>
        <w:t xml:space="preserve">] </w:t>
      </w:r>
      <w:r w:rsidR="0000529A">
        <w:rPr>
          <w:lang w:val="en-ZW"/>
        </w:rPr>
        <w:t xml:space="preserve">    </w:t>
      </w:r>
      <w:r w:rsidR="004C4DFA" w:rsidRPr="0000529A">
        <w:rPr>
          <w:lang w:val="en-ZW"/>
        </w:rPr>
        <w:t>Counsel</w:t>
      </w:r>
      <w:r w:rsidR="00856BA1" w:rsidRPr="0000529A">
        <w:rPr>
          <w:lang w:val="en-ZW"/>
        </w:rPr>
        <w:t xml:space="preserve"> </w:t>
      </w:r>
      <w:r w:rsidR="00A40D27" w:rsidRPr="0000529A">
        <w:rPr>
          <w:lang w:val="en-ZW"/>
        </w:rPr>
        <w:t>submitted that due inquiry</w:t>
      </w:r>
      <w:r w:rsidR="001A739D" w:rsidRPr="0000529A">
        <w:rPr>
          <w:lang w:val="en-ZW"/>
        </w:rPr>
        <w:t>,</w:t>
      </w:r>
      <w:r w:rsidR="00A40D27" w:rsidRPr="0000529A">
        <w:rPr>
          <w:lang w:val="en-ZW"/>
        </w:rPr>
        <w:t xml:space="preserve"> as interpreted in past decisions of the courts</w:t>
      </w:r>
      <w:r w:rsidR="001A739D" w:rsidRPr="0000529A">
        <w:rPr>
          <w:lang w:val="en-ZW"/>
        </w:rPr>
        <w:t>,</w:t>
      </w:r>
      <w:r w:rsidR="00A40D27" w:rsidRPr="0000529A">
        <w:rPr>
          <w:lang w:val="en-ZW"/>
        </w:rPr>
        <w:t xml:space="preserve"> is not a superficial inquiry but meant an informed i</w:t>
      </w:r>
      <w:r w:rsidR="00FD448E" w:rsidRPr="0000529A">
        <w:rPr>
          <w:lang w:val="en-ZW"/>
        </w:rPr>
        <w:t>ndependent inquiry that involves</w:t>
      </w:r>
      <w:r w:rsidR="00A40D27" w:rsidRPr="0000529A">
        <w:rPr>
          <w:lang w:val="en-ZW"/>
        </w:rPr>
        <w:t xml:space="preserve"> considering the submissions of beneficiaries of the estate. She asserted that </w:t>
      </w:r>
      <w:r w:rsidR="00885200" w:rsidRPr="0000529A">
        <w:rPr>
          <w:lang w:val="en-ZW"/>
        </w:rPr>
        <w:t xml:space="preserve">in this case </w:t>
      </w:r>
      <w:r w:rsidR="00A40D27" w:rsidRPr="0000529A">
        <w:rPr>
          <w:lang w:val="en-ZW"/>
        </w:rPr>
        <w:t xml:space="preserve">no due inquiry was done and </w:t>
      </w:r>
      <w:r w:rsidR="00885200" w:rsidRPr="0000529A">
        <w:rPr>
          <w:lang w:val="en-ZW"/>
        </w:rPr>
        <w:t xml:space="preserve">thus </w:t>
      </w:r>
      <w:r w:rsidR="00A40D27" w:rsidRPr="0000529A">
        <w:rPr>
          <w:lang w:val="en-ZW"/>
        </w:rPr>
        <w:t>both the</w:t>
      </w:r>
      <w:r w:rsidR="0059651A" w:rsidRPr="0000529A">
        <w:rPr>
          <w:lang w:val="en-ZW"/>
        </w:rPr>
        <w:t xml:space="preserve"> Master and the executor </w:t>
      </w:r>
      <w:r w:rsidR="00A40D27" w:rsidRPr="0000529A">
        <w:rPr>
          <w:lang w:val="en-ZW"/>
        </w:rPr>
        <w:t xml:space="preserve">did not ultimately act in the best interests of the beneficiaries of the </w:t>
      </w:r>
      <w:r w:rsidR="00A40D27" w:rsidRPr="0000529A">
        <w:rPr>
          <w:lang w:val="en-ZW"/>
        </w:rPr>
        <w:lastRenderedPageBreak/>
        <w:t xml:space="preserve">estate as mandated by the law. She </w:t>
      </w:r>
      <w:r w:rsidR="00C557D8" w:rsidRPr="0000529A">
        <w:rPr>
          <w:lang w:val="en-ZW"/>
        </w:rPr>
        <w:t xml:space="preserve">further </w:t>
      </w:r>
      <w:r w:rsidR="00A40D27" w:rsidRPr="0000529A">
        <w:rPr>
          <w:lang w:val="en-ZW"/>
        </w:rPr>
        <w:t xml:space="preserve">argued </w:t>
      </w:r>
      <w:r w:rsidR="0059651A" w:rsidRPr="0000529A">
        <w:rPr>
          <w:lang w:val="en-ZW"/>
        </w:rPr>
        <w:t>that the</w:t>
      </w:r>
      <w:r w:rsidR="00A40D27" w:rsidRPr="0000529A">
        <w:rPr>
          <w:lang w:val="en-ZW"/>
        </w:rPr>
        <w:t xml:space="preserve"> order of costs made against the </w:t>
      </w:r>
      <w:r w:rsidR="001A739D" w:rsidRPr="0000529A">
        <w:rPr>
          <w:lang w:val="en-ZW"/>
        </w:rPr>
        <w:t>Master</w:t>
      </w:r>
      <w:r w:rsidR="00A40D27" w:rsidRPr="0000529A">
        <w:rPr>
          <w:lang w:val="en-ZW"/>
        </w:rPr>
        <w:t xml:space="preserve"> and </w:t>
      </w:r>
      <w:r w:rsidR="001A739D" w:rsidRPr="0000529A">
        <w:rPr>
          <w:lang w:val="en-ZW"/>
        </w:rPr>
        <w:t>the executor</w:t>
      </w:r>
      <w:r w:rsidR="00856BA1" w:rsidRPr="0000529A">
        <w:rPr>
          <w:lang w:val="en-ZW"/>
        </w:rPr>
        <w:t xml:space="preserve"> </w:t>
      </w:r>
      <w:r w:rsidR="00C64214" w:rsidRPr="0000529A">
        <w:rPr>
          <w:lang w:val="en-ZW"/>
        </w:rPr>
        <w:t>were</w:t>
      </w:r>
      <w:r w:rsidR="00A40D27" w:rsidRPr="0000529A">
        <w:rPr>
          <w:lang w:val="en-ZW"/>
        </w:rPr>
        <w:t xml:space="preserve"> justified because both acted </w:t>
      </w:r>
      <w:r w:rsidR="001A739D" w:rsidRPr="0000529A">
        <w:rPr>
          <w:lang w:val="en-ZW"/>
        </w:rPr>
        <w:t xml:space="preserve">unlawfully, </w:t>
      </w:r>
      <w:r w:rsidR="00A40D27" w:rsidRPr="0000529A">
        <w:rPr>
          <w:lang w:val="en-ZW"/>
        </w:rPr>
        <w:t>unreasonably</w:t>
      </w:r>
      <w:r w:rsidR="00856BA1" w:rsidRPr="0000529A">
        <w:rPr>
          <w:lang w:val="en-ZW"/>
        </w:rPr>
        <w:t xml:space="preserve"> and unfairly</w:t>
      </w:r>
      <w:r w:rsidR="00A40D27" w:rsidRPr="0000529A">
        <w:rPr>
          <w:lang w:val="en-ZW"/>
        </w:rPr>
        <w:t>. In the re</w:t>
      </w:r>
      <w:r w:rsidR="00856BA1" w:rsidRPr="0000529A">
        <w:rPr>
          <w:lang w:val="en-ZW"/>
        </w:rPr>
        <w:t>sult, she prayed for the appeal</w:t>
      </w:r>
      <w:r w:rsidR="00A40D27" w:rsidRPr="0000529A">
        <w:rPr>
          <w:lang w:val="en-ZW"/>
        </w:rPr>
        <w:t xml:space="preserve"> to be dismissed.</w:t>
      </w:r>
    </w:p>
    <w:p w14:paraId="0135B188" w14:textId="77777777" w:rsidR="001A739D" w:rsidRPr="0000529A" w:rsidRDefault="001A739D" w:rsidP="0030134D">
      <w:pPr>
        <w:spacing w:line="480" w:lineRule="auto"/>
        <w:jc w:val="both"/>
        <w:rPr>
          <w:b/>
        </w:rPr>
      </w:pPr>
    </w:p>
    <w:p w14:paraId="1B0634BE" w14:textId="77777777" w:rsidR="00307418" w:rsidRPr="0000529A" w:rsidRDefault="00D73B4D" w:rsidP="0030134D">
      <w:pPr>
        <w:spacing w:line="480" w:lineRule="auto"/>
        <w:jc w:val="both"/>
        <w:rPr>
          <w:b/>
          <w:u w:val="single"/>
        </w:rPr>
      </w:pPr>
      <w:r w:rsidRPr="0000529A">
        <w:rPr>
          <w:b/>
          <w:u w:val="single"/>
        </w:rPr>
        <w:t>ANALYSIS</w:t>
      </w:r>
    </w:p>
    <w:p w14:paraId="5AA9BA7E" w14:textId="6F57682D" w:rsidR="004761C9" w:rsidRPr="0000529A" w:rsidRDefault="0015412A" w:rsidP="00A07F90">
      <w:pPr>
        <w:spacing w:line="480" w:lineRule="auto"/>
        <w:ind w:left="810" w:hanging="810"/>
        <w:jc w:val="both"/>
      </w:pPr>
      <w:r w:rsidRPr="0000529A">
        <w:t>[18</w:t>
      </w:r>
      <w:r w:rsidR="004C4DFA" w:rsidRPr="0000529A">
        <w:t xml:space="preserve">] </w:t>
      </w:r>
      <w:r w:rsidR="0000529A">
        <w:t xml:space="preserve">    </w:t>
      </w:r>
      <w:r w:rsidR="004C4DFA" w:rsidRPr="0000529A">
        <w:t>An</w:t>
      </w:r>
      <w:r w:rsidR="00DF4C3B" w:rsidRPr="0000529A">
        <w:t xml:space="preserve"> </w:t>
      </w:r>
      <w:r w:rsidR="00DA4957" w:rsidRPr="0000529A">
        <w:t xml:space="preserve">application made in terms </w:t>
      </w:r>
      <w:r w:rsidR="00DF4C3B" w:rsidRPr="0000529A">
        <w:t xml:space="preserve">of the Administrative Justice Act </w:t>
      </w:r>
      <w:r w:rsidR="00AE5544" w:rsidRPr="0000529A">
        <w:t>seeking the setting aside of a</w:t>
      </w:r>
      <w:r w:rsidR="00DF4C3B" w:rsidRPr="0000529A">
        <w:t xml:space="preserve"> decision </w:t>
      </w:r>
      <w:r w:rsidR="00EB72C5" w:rsidRPr="0000529A">
        <w:t>of an administrative authority must allege and prove that it has</w:t>
      </w:r>
      <w:r w:rsidR="000B09C3" w:rsidRPr="0000529A">
        <w:t xml:space="preserve"> acted </w:t>
      </w:r>
      <w:r w:rsidR="00EB72C5" w:rsidRPr="0000529A">
        <w:t>un</w:t>
      </w:r>
      <w:r w:rsidR="000B09C3" w:rsidRPr="0000529A">
        <w:t xml:space="preserve">lawfully, </w:t>
      </w:r>
      <w:r w:rsidR="00EB72C5" w:rsidRPr="0000529A">
        <w:t>un</w:t>
      </w:r>
      <w:r w:rsidR="000B09C3" w:rsidRPr="0000529A">
        <w:t>reasonably and in a</w:t>
      </w:r>
      <w:r w:rsidR="0014768A" w:rsidRPr="0000529A">
        <w:t>n</w:t>
      </w:r>
      <w:r w:rsidR="000B09C3" w:rsidRPr="0000529A">
        <w:t xml:space="preserve"> </w:t>
      </w:r>
      <w:r w:rsidR="00EB72C5" w:rsidRPr="0000529A">
        <w:t>un</w:t>
      </w:r>
      <w:r w:rsidR="00DF4C3B" w:rsidRPr="0000529A">
        <w:t xml:space="preserve">fair manner. </w:t>
      </w:r>
      <w:r w:rsidR="004761C9" w:rsidRPr="0000529A">
        <w:t>Section 3 of the Ad</w:t>
      </w:r>
      <w:r w:rsidR="00217E2E" w:rsidRPr="0000529A">
        <w:t>ministrative Justice Act</w:t>
      </w:r>
      <w:r w:rsidR="004761C9" w:rsidRPr="0000529A">
        <w:t xml:space="preserve"> provides:</w:t>
      </w:r>
    </w:p>
    <w:p w14:paraId="3C64679D" w14:textId="77777777" w:rsidR="004761C9" w:rsidRPr="0000529A" w:rsidRDefault="004761C9" w:rsidP="00B23FF4">
      <w:pPr>
        <w:spacing w:line="276" w:lineRule="auto"/>
        <w:ind w:left="720" w:firstLine="720"/>
        <w:jc w:val="both"/>
        <w:rPr>
          <w:b/>
          <w:bCs/>
          <w:lang w:val="en-ZW"/>
        </w:rPr>
      </w:pPr>
      <w:r w:rsidRPr="0000529A">
        <w:t>“</w:t>
      </w:r>
      <w:r w:rsidRPr="0000529A">
        <w:rPr>
          <w:b/>
          <w:bCs/>
          <w:lang w:val="en-ZW"/>
        </w:rPr>
        <w:t>3 Duty of administrative authority</w:t>
      </w:r>
    </w:p>
    <w:p w14:paraId="72E7C4D4" w14:textId="75E45DE8" w:rsidR="004761C9" w:rsidRPr="0000529A" w:rsidRDefault="004761C9" w:rsidP="00406B1B">
      <w:pPr>
        <w:pStyle w:val="ListParagraph"/>
        <w:numPr>
          <w:ilvl w:val="0"/>
          <w:numId w:val="18"/>
        </w:numPr>
        <w:spacing w:line="276" w:lineRule="auto"/>
        <w:jc w:val="both"/>
        <w:rPr>
          <w:lang w:val="en-ZW"/>
        </w:rPr>
      </w:pPr>
      <w:r w:rsidRPr="0000529A">
        <w:rPr>
          <w:lang w:val="en-ZW"/>
        </w:rPr>
        <w:t>An administrative authority which has the responsibility or power to take any administrative action which may affect the rights, interests or legitimate expectations of any person shall—</w:t>
      </w:r>
    </w:p>
    <w:p w14:paraId="2A09F7C8" w14:textId="77777777" w:rsidR="00406B1B" w:rsidRPr="0000529A" w:rsidRDefault="00406B1B" w:rsidP="00406B1B">
      <w:pPr>
        <w:ind w:left="1170" w:hanging="450"/>
        <w:jc w:val="both"/>
        <w:rPr>
          <w:lang w:val="en-ZW"/>
        </w:rPr>
      </w:pPr>
    </w:p>
    <w:p w14:paraId="4076EE34" w14:textId="3331636F" w:rsidR="004761C9" w:rsidRPr="0000529A" w:rsidRDefault="004761C9" w:rsidP="00E60F20">
      <w:pPr>
        <w:spacing w:line="276" w:lineRule="auto"/>
        <w:ind w:left="3510" w:hanging="630"/>
        <w:jc w:val="both"/>
        <w:rPr>
          <w:lang w:val="en-ZW"/>
        </w:rPr>
      </w:pPr>
      <w:r w:rsidRPr="0000529A">
        <w:rPr>
          <w:lang w:val="en-ZW"/>
        </w:rPr>
        <w:t>(</w:t>
      </w:r>
      <w:r w:rsidRPr="0000529A">
        <w:rPr>
          <w:i/>
          <w:iCs/>
          <w:lang w:val="en-ZW"/>
        </w:rPr>
        <w:t>a</w:t>
      </w:r>
      <w:r w:rsidR="00C42FA8" w:rsidRPr="0000529A">
        <w:rPr>
          <w:lang w:val="en-ZW"/>
        </w:rPr>
        <w:t xml:space="preserve">) </w:t>
      </w:r>
      <w:r w:rsidRPr="0000529A">
        <w:rPr>
          <w:u w:val="single"/>
          <w:lang w:val="en-ZW"/>
        </w:rPr>
        <w:t xml:space="preserve">act lawfully, reasonably and in a fair </w:t>
      </w:r>
      <w:proofErr w:type="gramStart"/>
      <w:r w:rsidRPr="0000529A">
        <w:rPr>
          <w:u w:val="single"/>
          <w:lang w:val="en-ZW"/>
        </w:rPr>
        <w:t>manner</w:t>
      </w:r>
      <w:r w:rsidRPr="0000529A">
        <w:rPr>
          <w:lang w:val="en-ZW"/>
        </w:rPr>
        <w:t xml:space="preserve">; </w:t>
      </w:r>
      <w:r w:rsidR="00C42FA8" w:rsidRPr="0000529A">
        <w:rPr>
          <w:lang w:val="en-ZW"/>
        </w:rPr>
        <w:t xml:space="preserve"> </w:t>
      </w:r>
      <w:r w:rsidRPr="0000529A">
        <w:rPr>
          <w:lang w:val="en-ZW"/>
        </w:rPr>
        <w:t>and</w:t>
      </w:r>
      <w:proofErr w:type="gramEnd"/>
    </w:p>
    <w:p w14:paraId="552A4519" w14:textId="77777777" w:rsidR="00C42FA8" w:rsidRPr="0000529A" w:rsidRDefault="00C42FA8" w:rsidP="00C42FA8">
      <w:pPr>
        <w:spacing w:line="276" w:lineRule="auto"/>
        <w:ind w:left="2160" w:hanging="720"/>
        <w:jc w:val="both"/>
        <w:rPr>
          <w:lang w:val="en-ZW"/>
        </w:rPr>
      </w:pPr>
    </w:p>
    <w:p w14:paraId="2D9D1E07" w14:textId="77777777" w:rsidR="004761C9" w:rsidRPr="0000529A" w:rsidRDefault="004761C9" w:rsidP="00E60F20">
      <w:pPr>
        <w:spacing w:line="276" w:lineRule="auto"/>
        <w:ind w:left="3600" w:hanging="720"/>
        <w:jc w:val="both"/>
        <w:rPr>
          <w:lang w:val="en-ZW"/>
        </w:rPr>
      </w:pPr>
      <w:r w:rsidRPr="0000529A">
        <w:rPr>
          <w:lang w:val="en-ZW"/>
        </w:rPr>
        <w:t>(</w:t>
      </w:r>
      <w:r w:rsidRPr="0000529A">
        <w:rPr>
          <w:i/>
          <w:iCs/>
          <w:lang w:val="en-ZW"/>
        </w:rPr>
        <w:t>b</w:t>
      </w:r>
      <w:r w:rsidRPr="0000529A">
        <w:rPr>
          <w:lang w:val="en-ZW"/>
        </w:rPr>
        <w:t>) act within the relevant period specified by law or, if there is no such specified period, within a reasonable period after being requested to take the action by the person concerned; and</w:t>
      </w:r>
    </w:p>
    <w:p w14:paraId="51A9B6CF" w14:textId="77777777" w:rsidR="00C42FA8" w:rsidRPr="0000529A" w:rsidRDefault="00C42FA8" w:rsidP="00C42FA8">
      <w:pPr>
        <w:spacing w:line="276" w:lineRule="auto"/>
        <w:ind w:left="2070" w:hanging="630"/>
        <w:jc w:val="both"/>
        <w:rPr>
          <w:lang w:val="en-ZW"/>
        </w:rPr>
      </w:pPr>
    </w:p>
    <w:p w14:paraId="7F95C3E9" w14:textId="77777777" w:rsidR="004761C9" w:rsidRPr="0000529A" w:rsidRDefault="004761C9" w:rsidP="00E60F20">
      <w:pPr>
        <w:spacing w:line="276" w:lineRule="auto"/>
        <w:ind w:left="3600" w:hanging="720"/>
        <w:jc w:val="both"/>
        <w:rPr>
          <w:lang w:val="en-ZW"/>
        </w:rPr>
      </w:pPr>
      <w:r w:rsidRPr="0000529A">
        <w:rPr>
          <w:lang w:val="en-ZW"/>
        </w:rPr>
        <w:t>(</w:t>
      </w:r>
      <w:r w:rsidRPr="0000529A">
        <w:rPr>
          <w:i/>
          <w:iCs/>
          <w:lang w:val="en-ZW"/>
        </w:rPr>
        <w:t>c</w:t>
      </w:r>
      <w:r w:rsidRPr="0000529A">
        <w:rPr>
          <w:lang w:val="en-ZW"/>
        </w:rPr>
        <w:t>) where it has taken the action, supply written reasons therefor within the relevant period specified by law or, if there is no such specified period, within a reasonable period after being requested to supply reasons by the person concerned.</w:t>
      </w:r>
    </w:p>
    <w:p w14:paraId="7643F444" w14:textId="77777777" w:rsidR="00406B1B" w:rsidRPr="0000529A" w:rsidRDefault="00406B1B" w:rsidP="00C42FA8">
      <w:pPr>
        <w:spacing w:line="276" w:lineRule="auto"/>
        <w:ind w:left="2070" w:hanging="630"/>
        <w:jc w:val="both"/>
        <w:rPr>
          <w:lang w:val="en-ZW"/>
        </w:rPr>
      </w:pPr>
    </w:p>
    <w:p w14:paraId="2F89CBE3" w14:textId="77777777" w:rsidR="004761C9" w:rsidRPr="0000529A" w:rsidRDefault="004761C9" w:rsidP="00E60F20">
      <w:pPr>
        <w:spacing w:line="276" w:lineRule="auto"/>
        <w:ind w:left="2070" w:hanging="630"/>
        <w:jc w:val="both"/>
        <w:rPr>
          <w:lang w:val="en-ZW"/>
        </w:rPr>
      </w:pPr>
      <w:r w:rsidRPr="0000529A">
        <w:rPr>
          <w:lang w:val="en-ZW"/>
        </w:rPr>
        <w:t>(2) In order for an administrative action to be taken in a fair manner as required by paragraph (</w:t>
      </w:r>
      <w:r w:rsidRPr="0000529A">
        <w:rPr>
          <w:i/>
          <w:iCs/>
          <w:lang w:val="en-ZW"/>
        </w:rPr>
        <w:t>a</w:t>
      </w:r>
      <w:r w:rsidRPr="0000529A">
        <w:rPr>
          <w:lang w:val="en-ZW"/>
        </w:rPr>
        <w:t>) of subsection (1), an administrative authority shall give a person referred to in subsection (1)—</w:t>
      </w:r>
    </w:p>
    <w:p w14:paraId="545FA240" w14:textId="77777777" w:rsidR="004761C9" w:rsidRPr="0000529A" w:rsidRDefault="004761C9" w:rsidP="00050667">
      <w:pPr>
        <w:spacing w:line="276" w:lineRule="auto"/>
        <w:ind w:left="2610" w:hanging="450"/>
        <w:jc w:val="both"/>
        <w:rPr>
          <w:u w:val="single"/>
          <w:lang w:val="en-ZW"/>
        </w:rPr>
      </w:pPr>
      <w:r w:rsidRPr="0000529A">
        <w:rPr>
          <w:lang w:val="en-ZW"/>
        </w:rPr>
        <w:t>(</w:t>
      </w:r>
      <w:r w:rsidRPr="0000529A">
        <w:rPr>
          <w:i/>
          <w:iCs/>
          <w:lang w:val="en-ZW"/>
        </w:rPr>
        <w:t>a</w:t>
      </w:r>
      <w:r w:rsidRPr="0000529A">
        <w:rPr>
          <w:lang w:val="en-ZW"/>
        </w:rPr>
        <w:t xml:space="preserve">) </w:t>
      </w:r>
      <w:r w:rsidRPr="0000529A">
        <w:rPr>
          <w:u w:val="single"/>
          <w:lang w:val="en-ZW"/>
        </w:rPr>
        <w:t>adequate notice of the nature and purpose of the proposed action; and</w:t>
      </w:r>
    </w:p>
    <w:p w14:paraId="73E04278" w14:textId="77777777" w:rsidR="004761C9" w:rsidRPr="0000529A" w:rsidRDefault="004761C9" w:rsidP="005B3B18">
      <w:pPr>
        <w:spacing w:line="276" w:lineRule="auto"/>
        <w:ind w:left="2970" w:hanging="810"/>
        <w:jc w:val="both"/>
        <w:rPr>
          <w:u w:val="single"/>
          <w:lang w:val="en-ZW"/>
        </w:rPr>
      </w:pPr>
      <w:r w:rsidRPr="0000529A">
        <w:rPr>
          <w:lang w:val="en-ZW"/>
        </w:rPr>
        <w:lastRenderedPageBreak/>
        <w:t>(</w:t>
      </w:r>
      <w:r w:rsidRPr="0000529A">
        <w:rPr>
          <w:i/>
          <w:iCs/>
          <w:lang w:val="en-ZW"/>
        </w:rPr>
        <w:t>b</w:t>
      </w:r>
      <w:r w:rsidRPr="0000529A">
        <w:rPr>
          <w:lang w:val="en-ZW"/>
        </w:rPr>
        <w:t xml:space="preserve">) </w:t>
      </w:r>
      <w:r w:rsidRPr="0000529A">
        <w:rPr>
          <w:u w:val="single"/>
          <w:lang w:val="en-ZW"/>
        </w:rPr>
        <w:t>a reasonable opportunity to make adequate representations; and</w:t>
      </w:r>
    </w:p>
    <w:p w14:paraId="57E6EB94" w14:textId="790B5CF8" w:rsidR="004761C9" w:rsidRPr="0000529A" w:rsidRDefault="004761C9" w:rsidP="008444B3">
      <w:pPr>
        <w:tabs>
          <w:tab w:val="left" w:pos="2340"/>
          <w:tab w:val="left" w:pos="2880"/>
        </w:tabs>
        <w:spacing w:line="276" w:lineRule="auto"/>
        <w:ind w:left="2430" w:hanging="270"/>
        <w:jc w:val="both"/>
        <w:rPr>
          <w:lang w:val="en-ZW"/>
        </w:rPr>
      </w:pPr>
      <w:r w:rsidRPr="0000529A">
        <w:rPr>
          <w:lang w:val="en-ZW"/>
        </w:rPr>
        <w:t>(</w:t>
      </w:r>
      <w:r w:rsidRPr="0000529A">
        <w:rPr>
          <w:i/>
          <w:iCs/>
          <w:lang w:val="en-ZW"/>
        </w:rPr>
        <w:t>c</w:t>
      </w:r>
      <w:r w:rsidR="008444B3">
        <w:rPr>
          <w:lang w:val="en-ZW"/>
        </w:rPr>
        <w:t xml:space="preserve">) </w:t>
      </w:r>
      <w:r w:rsidRPr="0000529A">
        <w:rPr>
          <w:u w:val="single"/>
          <w:lang w:val="en-ZW"/>
        </w:rPr>
        <w:t xml:space="preserve">adequate notice of any </w:t>
      </w:r>
      <w:r w:rsidR="008444B3">
        <w:rPr>
          <w:u w:val="single"/>
          <w:lang w:val="en-ZW"/>
        </w:rPr>
        <w:t>right of review or appeal    where </w:t>
      </w:r>
      <w:r w:rsidRPr="0000529A">
        <w:rPr>
          <w:u w:val="single"/>
          <w:lang w:val="en-ZW"/>
        </w:rPr>
        <w:t>applicable.</w:t>
      </w:r>
      <w:r w:rsidR="005B3B18" w:rsidRPr="0000529A">
        <w:rPr>
          <w:u w:val="single"/>
          <w:lang w:val="en-ZW"/>
        </w:rPr>
        <w:t xml:space="preserve"> </w:t>
      </w:r>
      <w:r w:rsidRPr="0000529A">
        <w:rPr>
          <w:lang w:val="en-ZW"/>
        </w:rPr>
        <w:t>…</w:t>
      </w:r>
      <w:proofErr w:type="gramStart"/>
      <w:r w:rsidRPr="0000529A">
        <w:rPr>
          <w:lang w:val="en-ZW"/>
        </w:rPr>
        <w:t>.”(</w:t>
      </w:r>
      <w:proofErr w:type="gramEnd"/>
      <w:r w:rsidRPr="0000529A">
        <w:rPr>
          <w:lang w:val="en-ZW"/>
        </w:rPr>
        <w:t>emphasis added)</w:t>
      </w:r>
    </w:p>
    <w:p w14:paraId="50E883AD" w14:textId="77777777" w:rsidR="004761C9" w:rsidRPr="0000529A" w:rsidRDefault="004761C9" w:rsidP="004761C9">
      <w:pPr>
        <w:spacing w:line="276" w:lineRule="auto"/>
        <w:ind w:left="720"/>
        <w:jc w:val="both"/>
        <w:rPr>
          <w:lang w:val="en-ZW"/>
        </w:rPr>
      </w:pPr>
    </w:p>
    <w:p w14:paraId="06ED6B65" w14:textId="2C0E2417" w:rsidR="004761C9" w:rsidRPr="0000529A" w:rsidRDefault="004761C9" w:rsidP="00D25C02">
      <w:pPr>
        <w:spacing w:line="480" w:lineRule="auto"/>
        <w:ind w:left="900" w:hanging="900"/>
        <w:jc w:val="both"/>
      </w:pPr>
      <w:r w:rsidRPr="0000529A">
        <w:t xml:space="preserve"> </w:t>
      </w:r>
      <w:r w:rsidR="00D25C02" w:rsidRPr="0000529A">
        <w:tab/>
      </w:r>
      <w:r w:rsidRPr="0000529A">
        <w:t>Section 4 (1) of the Admini</w:t>
      </w:r>
      <w:r w:rsidR="00217E2E" w:rsidRPr="0000529A">
        <w:t xml:space="preserve">strative Justice Act, </w:t>
      </w:r>
      <w:r w:rsidR="002E0B2D" w:rsidRPr="0000529A">
        <w:t>empowers</w:t>
      </w:r>
      <w:r w:rsidR="00217E2E" w:rsidRPr="0000529A">
        <w:t xml:space="preserve"> a court</w:t>
      </w:r>
      <w:r w:rsidRPr="0000529A">
        <w:t xml:space="preserve"> to set aside a decision that breaches its provisions. </w:t>
      </w:r>
    </w:p>
    <w:p w14:paraId="22D5ACD9" w14:textId="77777777" w:rsidR="005B3B18" w:rsidRPr="0000529A" w:rsidRDefault="005B3B18" w:rsidP="004761C9">
      <w:pPr>
        <w:spacing w:line="480" w:lineRule="auto"/>
        <w:jc w:val="both"/>
      </w:pPr>
    </w:p>
    <w:p w14:paraId="1F878183" w14:textId="7BDA602E" w:rsidR="005B3B18" w:rsidRPr="0000529A" w:rsidRDefault="0015412A" w:rsidP="00D25C02">
      <w:pPr>
        <w:spacing w:line="480" w:lineRule="auto"/>
        <w:ind w:left="810" w:hanging="810"/>
        <w:jc w:val="both"/>
      </w:pPr>
      <w:r w:rsidRPr="0000529A">
        <w:t>[19</w:t>
      </w:r>
      <w:r w:rsidR="004C4DFA" w:rsidRPr="0000529A">
        <w:t xml:space="preserve">] </w:t>
      </w:r>
      <w:r w:rsidR="0000529A">
        <w:t xml:space="preserve">   </w:t>
      </w:r>
      <w:r w:rsidR="004C4DFA" w:rsidRPr="0000529A">
        <w:t>The</w:t>
      </w:r>
      <w:r w:rsidR="004761C9" w:rsidRPr="0000529A">
        <w:t xml:space="preserve"> administrative action which was the subject of complaint by the beneficiaries </w:t>
      </w:r>
      <w:r w:rsidR="00217E2E" w:rsidRPr="0000529A">
        <w:t xml:space="preserve">in this case </w:t>
      </w:r>
      <w:r w:rsidR="004761C9" w:rsidRPr="0000529A">
        <w:t xml:space="preserve">was that the Master granted the executor the right to </w:t>
      </w:r>
      <w:proofErr w:type="gramStart"/>
      <w:r w:rsidR="004761C9" w:rsidRPr="0000529A">
        <w:t xml:space="preserve">sell </w:t>
      </w:r>
      <w:r w:rsidR="00496441">
        <w:t xml:space="preserve"> by</w:t>
      </w:r>
      <w:proofErr w:type="gramEnd"/>
      <w:r w:rsidR="00496441">
        <w:t xml:space="preserve"> private treaty, </w:t>
      </w:r>
      <w:r w:rsidR="004761C9" w:rsidRPr="0000529A">
        <w:t xml:space="preserve">three farms </w:t>
      </w:r>
      <w:r w:rsidRPr="0000529A">
        <w:t>which w</w:t>
      </w:r>
      <w:r w:rsidR="009A2637" w:rsidRPr="0000529A">
        <w:t>ere</w:t>
      </w:r>
      <w:r w:rsidR="00217E2E" w:rsidRPr="0000529A">
        <w:t xml:space="preserve"> bequeathed to them without conducting an inquiry as mandated by</w:t>
      </w:r>
      <w:r w:rsidR="004761C9" w:rsidRPr="0000529A">
        <w:t xml:space="preserve"> s 120 of the Administration of Estates Act.</w:t>
      </w:r>
    </w:p>
    <w:p w14:paraId="031067CE" w14:textId="2C8030DE" w:rsidR="004761C9" w:rsidRPr="0000529A" w:rsidRDefault="004761C9" w:rsidP="004761C9">
      <w:pPr>
        <w:spacing w:line="480" w:lineRule="auto"/>
        <w:jc w:val="both"/>
        <w:rPr>
          <w:sz w:val="22"/>
          <w:szCs w:val="22"/>
          <w:lang w:val="en-ZW"/>
        </w:rPr>
      </w:pPr>
      <w:r w:rsidRPr="0000529A">
        <w:t xml:space="preserve"> </w:t>
      </w:r>
    </w:p>
    <w:p w14:paraId="276B0927" w14:textId="69CB2DE6" w:rsidR="004761C9" w:rsidRPr="0000529A" w:rsidRDefault="0015412A" w:rsidP="00701D08">
      <w:pPr>
        <w:spacing w:line="480" w:lineRule="auto"/>
        <w:ind w:left="900" w:hanging="900"/>
        <w:jc w:val="both"/>
      </w:pPr>
      <w:r w:rsidRPr="0000529A">
        <w:t>[20</w:t>
      </w:r>
      <w:r w:rsidR="004761C9" w:rsidRPr="0000529A">
        <w:t xml:space="preserve">] </w:t>
      </w:r>
      <w:r w:rsidR="0000529A">
        <w:t xml:space="preserve">    </w:t>
      </w:r>
      <w:r w:rsidR="004761C9" w:rsidRPr="0000529A">
        <w:t>Section 120 of the Administration of Estates Act provides as follows:</w:t>
      </w:r>
    </w:p>
    <w:p w14:paraId="504AE34D" w14:textId="77777777" w:rsidR="004761C9" w:rsidRPr="0000529A" w:rsidRDefault="004761C9" w:rsidP="00701D08">
      <w:pPr>
        <w:spacing w:line="360" w:lineRule="auto"/>
        <w:ind w:left="720" w:firstLine="720"/>
        <w:jc w:val="both"/>
        <w:rPr>
          <w:b/>
          <w:bCs/>
          <w:lang w:val="en-ZW"/>
        </w:rPr>
      </w:pPr>
      <w:r w:rsidRPr="0000529A">
        <w:t>“</w:t>
      </w:r>
      <w:r w:rsidRPr="0000529A">
        <w:rPr>
          <w:b/>
          <w:bCs/>
          <w:lang w:val="en-ZW"/>
        </w:rPr>
        <w:t>120 Sale of property otherwise than by auction</w:t>
      </w:r>
    </w:p>
    <w:p w14:paraId="72DB52DB" w14:textId="77777777" w:rsidR="002B1CA4" w:rsidRPr="0000529A" w:rsidRDefault="004761C9" w:rsidP="00701D08">
      <w:pPr>
        <w:spacing w:line="360" w:lineRule="auto"/>
        <w:ind w:left="1440"/>
        <w:jc w:val="both"/>
        <w:rPr>
          <w:lang w:val="en-ZW"/>
        </w:rPr>
      </w:pPr>
      <w:r w:rsidRPr="0000529A">
        <w:rPr>
          <w:lang w:val="en-ZW"/>
        </w:rPr>
        <w:t xml:space="preserve">If, </w:t>
      </w:r>
      <w:r w:rsidRPr="0000529A">
        <w:rPr>
          <w:b/>
          <w:lang w:val="en-ZW"/>
        </w:rPr>
        <w:t>after due inquiry</w:t>
      </w:r>
      <w:r w:rsidRPr="0000529A">
        <w:rPr>
          <w:lang w:val="en-ZW"/>
        </w:rPr>
        <w:t>, the Master is of opinion that it would be to the advantage of persons interested in the estate to sell any property belonging to such estate otherwise than by public auction he may, if the will of the deceased contains no provisions to the contrary, grant the necessary authority to the executor so to act.”</w:t>
      </w:r>
    </w:p>
    <w:p w14:paraId="520E9329" w14:textId="77777777" w:rsidR="00593757" w:rsidRPr="0000529A" w:rsidRDefault="00593757" w:rsidP="00CC7AE8">
      <w:pPr>
        <w:spacing w:line="360" w:lineRule="auto"/>
        <w:ind w:left="720"/>
        <w:jc w:val="both"/>
        <w:rPr>
          <w:lang w:val="en-ZW"/>
        </w:rPr>
      </w:pPr>
    </w:p>
    <w:p w14:paraId="14307446" w14:textId="77777777" w:rsidR="00593757" w:rsidRPr="0000529A" w:rsidRDefault="00593757" w:rsidP="00CC7AE8">
      <w:pPr>
        <w:spacing w:line="360" w:lineRule="auto"/>
        <w:ind w:left="720"/>
        <w:jc w:val="both"/>
        <w:rPr>
          <w:lang w:val="en-ZW"/>
        </w:rPr>
      </w:pPr>
    </w:p>
    <w:p w14:paraId="116F0BF4" w14:textId="32ACCD63" w:rsidR="009D34C6" w:rsidRPr="0000529A" w:rsidRDefault="0015412A" w:rsidP="001C7240">
      <w:pPr>
        <w:spacing w:after="240" w:line="480" w:lineRule="auto"/>
        <w:ind w:left="810" w:hanging="810"/>
        <w:jc w:val="both"/>
        <w:rPr>
          <w:lang w:val="en-ZW"/>
        </w:rPr>
      </w:pPr>
      <w:r w:rsidRPr="0000529A">
        <w:rPr>
          <w:lang w:val="en-ZW"/>
        </w:rPr>
        <w:t>[21</w:t>
      </w:r>
      <w:r w:rsidR="004C4DFA" w:rsidRPr="0000529A">
        <w:rPr>
          <w:lang w:val="en-ZW"/>
        </w:rPr>
        <w:t xml:space="preserve">] </w:t>
      </w:r>
      <w:r w:rsidR="0000529A">
        <w:rPr>
          <w:lang w:val="en-ZW"/>
        </w:rPr>
        <w:t xml:space="preserve">    </w:t>
      </w:r>
      <w:r w:rsidR="004C4DFA" w:rsidRPr="0000529A">
        <w:rPr>
          <w:lang w:val="en-ZW"/>
        </w:rPr>
        <w:t>It</w:t>
      </w:r>
      <w:r w:rsidR="00C64214" w:rsidRPr="0000529A">
        <w:rPr>
          <w:lang w:val="en-ZW"/>
        </w:rPr>
        <w:t xml:space="preserve"> was not in dispute</w:t>
      </w:r>
      <w:r w:rsidR="00EB72C5" w:rsidRPr="0000529A">
        <w:rPr>
          <w:lang w:val="en-ZW"/>
        </w:rPr>
        <w:t>,</w:t>
      </w:r>
      <w:r w:rsidR="00C64214" w:rsidRPr="0000529A">
        <w:rPr>
          <w:lang w:val="en-ZW"/>
        </w:rPr>
        <w:t xml:space="preserve"> as between the parties</w:t>
      </w:r>
      <w:r w:rsidR="00EB72C5" w:rsidRPr="0000529A">
        <w:rPr>
          <w:lang w:val="en-ZW"/>
        </w:rPr>
        <w:t>,</w:t>
      </w:r>
      <w:r w:rsidR="00C64214" w:rsidRPr="0000529A">
        <w:rPr>
          <w:lang w:val="en-ZW"/>
        </w:rPr>
        <w:t xml:space="preserve"> that the </w:t>
      </w:r>
      <w:r w:rsidR="00220D7D" w:rsidRPr="0000529A">
        <w:rPr>
          <w:lang w:val="en-ZW"/>
        </w:rPr>
        <w:t xml:space="preserve">Master </w:t>
      </w:r>
      <w:r w:rsidR="007718CF" w:rsidRPr="0000529A">
        <w:rPr>
          <w:lang w:val="en-ZW"/>
        </w:rPr>
        <w:t>is an admi</w:t>
      </w:r>
      <w:r w:rsidR="00220D7D" w:rsidRPr="0000529A">
        <w:rPr>
          <w:lang w:val="en-ZW"/>
        </w:rPr>
        <w:t>nistrative authority as defined by</w:t>
      </w:r>
      <w:r w:rsidR="007718CF" w:rsidRPr="0000529A">
        <w:rPr>
          <w:lang w:val="en-ZW"/>
        </w:rPr>
        <w:t xml:space="preserve"> the </w:t>
      </w:r>
      <w:r w:rsidR="00EB72C5" w:rsidRPr="0000529A">
        <w:rPr>
          <w:lang w:val="en-ZW"/>
        </w:rPr>
        <w:t xml:space="preserve">Administrative Justice </w:t>
      </w:r>
      <w:r w:rsidR="007718CF" w:rsidRPr="0000529A">
        <w:rPr>
          <w:lang w:val="en-ZW"/>
        </w:rPr>
        <w:t xml:space="preserve">Act. </w:t>
      </w:r>
      <w:r w:rsidR="009D34C6" w:rsidRPr="0000529A">
        <w:rPr>
          <w:lang w:val="en-ZW"/>
        </w:rPr>
        <w:t xml:space="preserve">Indeed </w:t>
      </w:r>
      <w:r w:rsidR="00136AC8" w:rsidRPr="0000529A">
        <w:rPr>
          <w:lang w:val="en-ZW"/>
        </w:rPr>
        <w:t>that</w:t>
      </w:r>
      <w:r w:rsidR="009D34C6" w:rsidRPr="0000529A">
        <w:rPr>
          <w:lang w:val="en-ZW"/>
        </w:rPr>
        <w:t xml:space="preserve"> </w:t>
      </w:r>
      <w:r w:rsidR="00EB72C5" w:rsidRPr="0000529A">
        <w:rPr>
          <w:lang w:val="en-ZW"/>
        </w:rPr>
        <w:t xml:space="preserve">this </w:t>
      </w:r>
      <w:r w:rsidR="009D34C6" w:rsidRPr="0000529A">
        <w:rPr>
          <w:lang w:val="en-ZW"/>
        </w:rPr>
        <w:t xml:space="preserve">is the correct position </w:t>
      </w:r>
      <w:r w:rsidR="00EB72C5" w:rsidRPr="0000529A">
        <w:rPr>
          <w:lang w:val="en-ZW"/>
        </w:rPr>
        <w:t xml:space="preserve">cannot be debated </w:t>
      </w:r>
      <w:r w:rsidR="009D34C6" w:rsidRPr="0000529A">
        <w:rPr>
          <w:lang w:val="en-ZW"/>
        </w:rPr>
        <w:t>as t</w:t>
      </w:r>
      <w:r w:rsidR="00136AC8" w:rsidRPr="0000529A">
        <w:rPr>
          <w:lang w:val="en-ZW"/>
        </w:rPr>
        <w:t>he</w:t>
      </w:r>
      <w:r w:rsidR="009D34C6" w:rsidRPr="0000529A">
        <w:rPr>
          <w:lang w:val="en-ZW"/>
        </w:rPr>
        <w:t xml:space="preserve"> </w:t>
      </w:r>
      <w:r w:rsidR="00220D7D" w:rsidRPr="0000529A">
        <w:rPr>
          <w:lang w:val="en-ZW"/>
        </w:rPr>
        <w:t>Master carries</w:t>
      </w:r>
      <w:r w:rsidR="009D34C6" w:rsidRPr="0000529A">
        <w:rPr>
          <w:lang w:val="en-ZW"/>
        </w:rPr>
        <w:t xml:space="preserve"> out administrative functions that affect other persons as defined in </w:t>
      </w:r>
      <w:r w:rsidR="00AE5544" w:rsidRPr="0000529A">
        <w:rPr>
          <w:lang w:val="en-ZW"/>
        </w:rPr>
        <w:t xml:space="preserve">s 2 (1) (d) </w:t>
      </w:r>
      <w:r w:rsidR="004802A3" w:rsidRPr="0000529A">
        <w:rPr>
          <w:lang w:val="en-ZW"/>
        </w:rPr>
        <w:t xml:space="preserve">of </w:t>
      </w:r>
      <w:r w:rsidR="009D34C6" w:rsidRPr="0000529A">
        <w:rPr>
          <w:lang w:val="en-ZW"/>
        </w:rPr>
        <w:t>the Administrative Justice Act</w:t>
      </w:r>
      <w:r w:rsidR="00DB6A10" w:rsidRPr="0000529A">
        <w:rPr>
          <w:lang w:val="en-ZW"/>
        </w:rPr>
        <w:t>. (</w:t>
      </w:r>
      <w:r w:rsidR="004C4DFA" w:rsidRPr="0000529A">
        <w:rPr>
          <w:lang w:val="en-ZW"/>
        </w:rPr>
        <w:t>See</w:t>
      </w:r>
      <w:r w:rsidR="004761C9" w:rsidRPr="0000529A">
        <w:rPr>
          <w:lang w:val="en-ZW"/>
        </w:rPr>
        <w:t xml:space="preserve"> also</w:t>
      </w:r>
      <w:r w:rsidR="00136AC8" w:rsidRPr="0000529A">
        <w:rPr>
          <w:i/>
          <w:lang w:val="en-ZW"/>
        </w:rPr>
        <w:t xml:space="preserve"> Logan v Morris N.O &amp; </w:t>
      </w:r>
      <w:proofErr w:type="spellStart"/>
      <w:r w:rsidR="00136AC8" w:rsidRPr="0000529A">
        <w:rPr>
          <w:i/>
          <w:lang w:val="en-ZW"/>
        </w:rPr>
        <w:t>Ors</w:t>
      </w:r>
      <w:proofErr w:type="spellEnd"/>
      <w:r w:rsidR="00136AC8" w:rsidRPr="0000529A">
        <w:rPr>
          <w:i/>
          <w:lang w:val="en-ZW"/>
        </w:rPr>
        <w:t xml:space="preserve"> </w:t>
      </w:r>
      <w:r w:rsidR="00136AC8" w:rsidRPr="0000529A">
        <w:rPr>
          <w:lang w:val="en-ZW"/>
        </w:rPr>
        <w:t>1990 (2) ZLR 65 (S)</w:t>
      </w:r>
    </w:p>
    <w:p w14:paraId="6AD5099D" w14:textId="0F907846" w:rsidR="005601A1" w:rsidRPr="0000529A" w:rsidRDefault="009D34C6" w:rsidP="001C7240">
      <w:pPr>
        <w:spacing w:line="480" w:lineRule="auto"/>
        <w:ind w:left="720"/>
        <w:jc w:val="both"/>
        <w:rPr>
          <w:lang w:val="en-ZW"/>
        </w:rPr>
      </w:pPr>
      <w:r w:rsidRPr="0000529A">
        <w:rPr>
          <w:lang w:val="en-ZW"/>
        </w:rPr>
        <w:lastRenderedPageBreak/>
        <w:t xml:space="preserve">The </w:t>
      </w:r>
      <w:r w:rsidR="00EB72C5" w:rsidRPr="0000529A">
        <w:rPr>
          <w:lang w:val="en-ZW"/>
        </w:rPr>
        <w:t xml:space="preserve">first </w:t>
      </w:r>
      <w:r w:rsidRPr="0000529A">
        <w:rPr>
          <w:lang w:val="en-ZW"/>
        </w:rPr>
        <w:t xml:space="preserve">issue for </w:t>
      </w:r>
      <w:r w:rsidR="002A2599" w:rsidRPr="0000529A">
        <w:rPr>
          <w:lang w:val="en-ZW"/>
        </w:rPr>
        <w:t>determination</w:t>
      </w:r>
      <w:r w:rsidRPr="0000529A">
        <w:rPr>
          <w:lang w:val="en-ZW"/>
        </w:rPr>
        <w:t xml:space="preserve"> </w:t>
      </w:r>
      <w:r w:rsidR="00EB72C5" w:rsidRPr="0000529A">
        <w:rPr>
          <w:lang w:val="en-ZW"/>
        </w:rPr>
        <w:t>therefore</w:t>
      </w:r>
      <w:r w:rsidR="001D3E2F" w:rsidRPr="0000529A">
        <w:rPr>
          <w:lang w:val="en-ZW"/>
        </w:rPr>
        <w:t>,</w:t>
      </w:r>
      <w:r w:rsidR="00EB72C5" w:rsidRPr="0000529A">
        <w:rPr>
          <w:lang w:val="en-ZW"/>
        </w:rPr>
        <w:t xml:space="preserve"> </w:t>
      </w:r>
      <w:r w:rsidRPr="0000529A">
        <w:rPr>
          <w:lang w:val="en-ZW"/>
        </w:rPr>
        <w:t xml:space="preserve">is whether the </w:t>
      </w:r>
      <w:r w:rsidR="00DB6A10" w:rsidRPr="0000529A">
        <w:rPr>
          <w:lang w:val="en-ZW"/>
        </w:rPr>
        <w:t xml:space="preserve">Master </w:t>
      </w:r>
      <w:r w:rsidRPr="0000529A">
        <w:rPr>
          <w:lang w:val="en-ZW"/>
        </w:rPr>
        <w:t xml:space="preserve">conducted himself in a </w:t>
      </w:r>
      <w:r w:rsidR="004802A3" w:rsidRPr="0000529A">
        <w:rPr>
          <w:lang w:val="en-ZW"/>
        </w:rPr>
        <w:t xml:space="preserve">lawful, </w:t>
      </w:r>
      <w:r w:rsidRPr="0000529A">
        <w:rPr>
          <w:lang w:val="en-ZW"/>
        </w:rPr>
        <w:t>fair</w:t>
      </w:r>
      <w:r w:rsidR="004802A3" w:rsidRPr="0000529A">
        <w:rPr>
          <w:lang w:val="en-ZW"/>
        </w:rPr>
        <w:t xml:space="preserve"> and </w:t>
      </w:r>
      <w:r w:rsidRPr="0000529A">
        <w:rPr>
          <w:lang w:val="en-ZW"/>
        </w:rPr>
        <w:t>reasonable manner when h</w:t>
      </w:r>
      <w:r w:rsidR="002A2599" w:rsidRPr="0000529A">
        <w:rPr>
          <w:lang w:val="en-ZW"/>
        </w:rPr>
        <w:t>e exercised his power under s120</w:t>
      </w:r>
      <w:r w:rsidRPr="0000529A">
        <w:rPr>
          <w:lang w:val="en-ZW"/>
        </w:rPr>
        <w:t xml:space="preserve"> of the Administration of Est</w:t>
      </w:r>
      <w:r w:rsidR="002A2599" w:rsidRPr="0000529A">
        <w:rPr>
          <w:lang w:val="en-ZW"/>
        </w:rPr>
        <w:t>at</w:t>
      </w:r>
      <w:r w:rsidRPr="0000529A">
        <w:rPr>
          <w:lang w:val="en-ZW"/>
        </w:rPr>
        <w:t xml:space="preserve">es Act. </w:t>
      </w:r>
      <w:r w:rsidR="005601A1" w:rsidRPr="0000529A">
        <w:rPr>
          <w:lang w:val="en-ZW"/>
        </w:rPr>
        <w:t xml:space="preserve">CHITAKUNYE J (as he then was) in </w:t>
      </w:r>
      <w:proofErr w:type="spellStart"/>
      <w:r w:rsidR="005601A1" w:rsidRPr="0000529A">
        <w:rPr>
          <w:i/>
          <w:lang w:val="en-ZW"/>
        </w:rPr>
        <w:t>Madzingaidze</w:t>
      </w:r>
      <w:proofErr w:type="spellEnd"/>
      <w:r w:rsidR="005601A1" w:rsidRPr="0000529A">
        <w:rPr>
          <w:i/>
          <w:lang w:val="en-ZW"/>
        </w:rPr>
        <w:t xml:space="preserve"> N.O v Katanga Service Station</w:t>
      </w:r>
      <w:r w:rsidR="005601A1" w:rsidRPr="0000529A">
        <w:rPr>
          <w:lang w:val="en-ZW"/>
        </w:rPr>
        <w:t xml:space="preserve"> HH 256/13 at page 4-5</w:t>
      </w:r>
      <w:r w:rsidR="00A37093" w:rsidRPr="0000529A">
        <w:rPr>
          <w:lang w:val="en-ZW"/>
        </w:rPr>
        <w:t xml:space="preserve"> of the cyclostyled judgment</w:t>
      </w:r>
      <w:r w:rsidR="003F1100" w:rsidRPr="0000529A">
        <w:rPr>
          <w:lang w:val="en-ZW"/>
        </w:rPr>
        <w:t>, h</w:t>
      </w:r>
      <w:r w:rsidR="004560D9" w:rsidRPr="0000529A">
        <w:rPr>
          <w:lang w:val="en-ZW"/>
        </w:rPr>
        <w:t xml:space="preserve">ad occasion to grapple with the issue of what </w:t>
      </w:r>
      <w:r w:rsidR="002A2599" w:rsidRPr="0000529A">
        <w:rPr>
          <w:lang w:val="en-ZW"/>
        </w:rPr>
        <w:t>sho</w:t>
      </w:r>
      <w:r w:rsidR="004560D9" w:rsidRPr="0000529A">
        <w:rPr>
          <w:lang w:val="en-ZW"/>
        </w:rPr>
        <w:t xml:space="preserve">uld be considered </w:t>
      </w:r>
      <w:r w:rsidR="00EB72C5" w:rsidRPr="0000529A">
        <w:rPr>
          <w:lang w:val="en-ZW"/>
        </w:rPr>
        <w:t>by the</w:t>
      </w:r>
      <w:r w:rsidR="002A2599" w:rsidRPr="0000529A">
        <w:rPr>
          <w:lang w:val="en-ZW"/>
        </w:rPr>
        <w:t xml:space="preserve"> Master </w:t>
      </w:r>
      <w:r w:rsidR="001D3E2F" w:rsidRPr="0000529A">
        <w:rPr>
          <w:lang w:val="en-ZW"/>
        </w:rPr>
        <w:t xml:space="preserve">when </w:t>
      </w:r>
      <w:r w:rsidR="002A2599" w:rsidRPr="0000529A">
        <w:rPr>
          <w:lang w:val="en-ZW"/>
        </w:rPr>
        <w:t>presented with a request</w:t>
      </w:r>
      <w:r w:rsidR="004560D9" w:rsidRPr="0000529A">
        <w:rPr>
          <w:lang w:val="en-ZW"/>
        </w:rPr>
        <w:t>, by the executor,</w:t>
      </w:r>
      <w:r w:rsidR="002A2599" w:rsidRPr="0000529A">
        <w:rPr>
          <w:lang w:val="en-ZW"/>
        </w:rPr>
        <w:t xml:space="preserve"> to sell </w:t>
      </w:r>
      <w:r w:rsidR="004560D9" w:rsidRPr="0000529A">
        <w:rPr>
          <w:lang w:val="en-ZW"/>
        </w:rPr>
        <w:t xml:space="preserve">estate property </w:t>
      </w:r>
      <w:r w:rsidR="002A2599" w:rsidRPr="0000529A">
        <w:rPr>
          <w:lang w:val="en-ZW"/>
        </w:rPr>
        <w:t xml:space="preserve">by private treaty. </w:t>
      </w:r>
      <w:r w:rsidR="00DB6A10" w:rsidRPr="0000529A">
        <w:rPr>
          <w:lang w:val="en-ZW"/>
        </w:rPr>
        <w:t>He stated the following at p 4</w:t>
      </w:r>
      <w:r w:rsidR="002A2599" w:rsidRPr="0000529A">
        <w:rPr>
          <w:lang w:val="en-ZW"/>
        </w:rPr>
        <w:t>:</w:t>
      </w:r>
    </w:p>
    <w:p w14:paraId="5783DA46" w14:textId="7FA2550B" w:rsidR="004C4DFA" w:rsidRPr="0000529A" w:rsidRDefault="001C7240" w:rsidP="001C7240">
      <w:pPr>
        <w:ind w:left="720" w:firstLine="630"/>
        <w:jc w:val="both"/>
        <w:rPr>
          <w:lang w:val="en-ZW"/>
        </w:rPr>
      </w:pPr>
      <w:r w:rsidRPr="0000529A">
        <w:rPr>
          <w:lang w:val="en-ZW"/>
        </w:rPr>
        <w:t xml:space="preserve"> </w:t>
      </w:r>
      <w:r w:rsidR="005601A1" w:rsidRPr="0000529A">
        <w:rPr>
          <w:lang w:val="en-ZW"/>
        </w:rPr>
        <w:t>“1. The Master has to formulate his own opinion;</w:t>
      </w:r>
    </w:p>
    <w:p w14:paraId="09DECF50" w14:textId="78598525" w:rsidR="005601A1" w:rsidRPr="0000529A" w:rsidRDefault="005601A1" w:rsidP="004C4DFA">
      <w:pPr>
        <w:ind w:left="720"/>
        <w:jc w:val="both"/>
        <w:rPr>
          <w:lang w:val="en-ZW"/>
        </w:rPr>
      </w:pPr>
      <w:r w:rsidRPr="0000529A">
        <w:rPr>
          <w:lang w:val="en-ZW"/>
        </w:rPr>
        <w:t xml:space="preserve"> </w:t>
      </w:r>
    </w:p>
    <w:p w14:paraId="43C3EC88" w14:textId="4DF6FCAE" w:rsidR="005601A1" w:rsidRPr="0000529A" w:rsidRDefault="00593757" w:rsidP="000F3FF6">
      <w:pPr>
        <w:spacing w:after="240"/>
        <w:ind w:left="1980" w:hanging="630"/>
        <w:jc w:val="both"/>
        <w:rPr>
          <w:lang w:val="en-ZW"/>
        </w:rPr>
      </w:pPr>
      <w:r w:rsidRPr="0000529A">
        <w:rPr>
          <w:lang w:val="en-ZW"/>
        </w:rPr>
        <w:t xml:space="preserve"> </w:t>
      </w:r>
      <w:r w:rsidR="000F3FF6">
        <w:rPr>
          <w:lang w:val="en-ZW"/>
        </w:rPr>
        <w:t xml:space="preserve"> </w:t>
      </w:r>
      <w:r w:rsidR="001C7240" w:rsidRPr="0000529A">
        <w:rPr>
          <w:lang w:val="en-ZW"/>
        </w:rPr>
        <w:t xml:space="preserve">2. </w:t>
      </w:r>
      <w:r w:rsidR="005601A1" w:rsidRPr="0000529A">
        <w:rPr>
          <w:lang w:val="en-ZW"/>
        </w:rPr>
        <w:t xml:space="preserve">The opinion has to be formulated after a </w:t>
      </w:r>
      <w:r w:rsidR="001C7240" w:rsidRPr="0000529A">
        <w:rPr>
          <w:lang w:val="en-ZW"/>
        </w:rPr>
        <w:t>due inquiry</w:t>
      </w:r>
      <w:r w:rsidR="005601A1" w:rsidRPr="0000529A">
        <w:rPr>
          <w:lang w:val="en-ZW"/>
        </w:rPr>
        <w:t xml:space="preserve"> and </w:t>
      </w:r>
    </w:p>
    <w:p w14:paraId="4E55E749" w14:textId="50BBA7BB" w:rsidR="005601A1" w:rsidRPr="0000529A" w:rsidRDefault="004C4DFA" w:rsidP="004F6DDD">
      <w:pPr>
        <w:spacing w:after="240"/>
        <w:ind w:left="1980" w:hanging="1260"/>
        <w:jc w:val="both"/>
        <w:rPr>
          <w:lang w:val="en-ZW"/>
        </w:rPr>
      </w:pPr>
      <w:r w:rsidRPr="0000529A">
        <w:rPr>
          <w:lang w:val="en-ZW"/>
        </w:rPr>
        <w:t xml:space="preserve"> </w:t>
      </w:r>
      <w:r w:rsidR="001C7240" w:rsidRPr="0000529A">
        <w:rPr>
          <w:lang w:val="en-ZW"/>
        </w:rPr>
        <w:t xml:space="preserve">     </w:t>
      </w:r>
      <w:r w:rsidR="000F3FF6">
        <w:rPr>
          <w:lang w:val="en-ZW"/>
        </w:rPr>
        <w:t xml:space="preserve">      </w:t>
      </w:r>
      <w:r w:rsidR="005601A1" w:rsidRPr="0000529A">
        <w:rPr>
          <w:lang w:val="en-ZW"/>
        </w:rPr>
        <w:t xml:space="preserve">3. The opinion has to be in furtherance </w:t>
      </w:r>
      <w:r w:rsidR="004F6DDD">
        <w:rPr>
          <w:lang w:val="en-ZW"/>
        </w:rPr>
        <w:t xml:space="preserve">of the advantage of the </w:t>
      </w:r>
      <w:proofErr w:type="gramStart"/>
      <w:r w:rsidR="004F6DDD">
        <w:rPr>
          <w:lang w:val="en-ZW"/>
        </w:rPr>
        <w:t>persons  </w:t>
      </w:r>
      <w:r w:rsidR="005601A1" w:rsidRPr="0000529A">
        <w:rPr>
          <w:lang w:val="en-ZW"/>
        </w:rPr>
        <w:t>interested</w:t>
      </w:r>
      <w:proofErr w:type="gramEnd"/>
      <w:r w:rsidR="005601A1" w:rsidRPr="0000529A">
        <w:rPr>
          <w:lang w:val="en-ZW"/>
        </w:rPr>
        <w:t xml:space="preserve"> in the estate,</w:t>
      </w:r>
      <w:r w:rsidR="00BB28F4" w:rsidRPr="0000529A">
        <w:rPr>
          <w:lang w:val="en-ZW"/>
        </w:rPr>
        <w:t xml:space="preserve"> in this case the beneficiaries.</w:t>
      </w:r>
    </w:p>
    <w:p w14:paraId="17AD7265" w14:textId="2E31A69D" w:rsidR="002E1689" w:rsidRPr="0000529A" w:rsidRDefault="003F1100" w:rsidP="00AE560E">
      <w:pPr>
        <w:spacing w:after="240"/>
        <w:ind w:left="2070"/>
        <w:jc w:val="both"/>
        <w:rPr>
          <w:lang w:val="en-ZW"/>
        </w:rPr>
      </w:pPr>
      <w:r w:rsidRPr="0000529A">
        <w:rPr>
          <w:lang w:val="en-ZW"/>
        </w:rPr>
        <w:t>Th</w:t>
      </w:r>
      <w:r w:rsidR="002E1689" w:rsidRPr="0000529A">
        <w:rPr>
          <w:lang w:val="en-ZW"/>
        </w:rPr>
        <w:t xml:space="preserve">e section does not </w:t>
      </w:r>
      <w:r w:rsidR="002E1689" w:rsidRPr="0000529A">
        <w:rPr>
          <w:i/>
          <w:lang w:val="en-ZW"/>
        </w:rPr>
        <w:t>per se</w:t>
      </w:r>
      <w:r w:rsidR="002E1689" w:rsidRPr="0000529A">
        <w:rPr>
          <w:lang w:val="en-ZW"/>
        </w:rPr>
        <w:t xml:space="preserve"> require that all the interested parties must agree.</w:t>
      </w:r>
      <w:r w:rsidRPr="0000529A">
        <w:rPr>
          <w:lang w:val="en-ZW"/>
        </w:rPr>
        <w:t xml:space="preserve"> </w:t>
      </w:r>
      <w:r w:rsidR="002E1689" w:rsidRPr="0000529A">
        <w:rPr>
          <w:lang w:val="en-ZW"/>
        </w:rPr>
        <w:t>It is the opinion of</w:t>
      </w:r>
      <w:r w:rsidRPr="0000529A">
        <w:rPr>
          <w:lang w:val="en-ZW"/>
        </w:rPr>
        <w:t xml:space="preserve"> the Master</w:t>
      </w:r>
      <w:r w:rsidR="002E1689" w:rsidRPr="0000529A">
        <w:rPr>
          <w:lang w:val="en-ZW"/>
        </w:rPr>
        <w:t>, after due inquiry that is crucial.</w:t>
      </w:r>
      <w:r w:rsidRPr="0000529A">
        <w:rPr>
          <w:lang w:val="en-ZW"/>
        </w:rPr>
        <w:t xml:space="preserve"> </w:t>
      </w:r>
      <w:r w:rsidR="002E1689" w:rsidRPr="0000529A">
        <w:rPr>
          <w:lang w:val="en-ZW"/>
        </w:rPr>
        <w:t>The fact of the interested parties all agreeing may only be one of the considerations to be taken into account by the Master as he carries out due inquiry.</w:t>
      </w:r>
    </w:p>
    <w:p w14:paraId="5096B91B" w14:textId="45906031" w:rsidR="00F01AE3" w:rsidRPr="0000529A" w:rsidRDefault="005601A1" w:rsidP="00AE560E">
      <w:pPr>
        <w:spacing w:after="240"/>
        <w:ind w:left="2070"/>
        <w:jc w:val="both"/>
        <w:rPr>
          <w:lang w:val="en-ZW"/>
        </w:rPr>
      </w:pPr>
      <w:r w:rsidRPr="0000529A">
        <w:rPr>
          <w:lang w:val="en-ZW"/>
        </w:rPr>
        <w:t>A due inquiry may be described as a fitting or appropriate investigation or research on the subject matter bef</w:t>
      </w:r>
      <w:r w:rsidR="00BB28F4" w:rsidRPr="0000529A">
        <w:rPr>
          <w:lang w:val="en-ZW"/>
        </w:rPr>
        <w:t>ore arriving at a decision. This</w:t>
      </w:r>
      <w:r w:rsidRPr="0000529A">
        <w:rPr>
          <w:lang w:val="en-ZW"/>
        </w:rPr>
        <w:t xml:space="preserve"> necessarily involves a consideration of submissions made </w:t>
      </w:r>
      <w:r w:rsidR="00BB28F4" w:rsidRPr="0000529A">
        <w:rPr>
          <w:lang w:val="en-ZW"/>
        </w:rPr>
        <w:t xml:space="preserve">by all interested parties, including the beneficiaries, </w:t>
      </w:r>
      <w:r w:rsidRPr="0000529A">
        <w:rPr>
          <w:lang w:val="en-ZW"/>
        </w:rPr>
        <w:t>and an assessment of what would be appropriate given the circumstances of the matter. The Master will want to know the reason why the property has to be sol</w:t>
      </w:r>
      <w:r w:rsidR="00BB28F4" w:rsidRPr="0000529A">
        <w:rPr>
          <w:lang w:val="en-ZW"/>
        </w:rPr>
        <w:t>d and how the sale will be</w:t>
      </w:r>
      <w:r w:rsidRPr="0000529A">
        <w:rPr>
          <w:lang w:val="en-ZW"/>
        </w:rPr>
        <w:t xml:space="preserve"> advantage</w:t>
      </w:r>
      <w:r w:rsidR="00BB28F4" w:rsidRPr="0000529A">
        <w:rPr>
          <w:lang w:val="en-ZW"/>
        </w:rPr>
        <w:t>ous to</w:t>
      </w:r>
      <w:r w:rsidRPr="0000529A">
        <w:rPr>
          <w:lang w:val="en-ZW"/>
        </w:rPr>
        <w:t xml:space="preserve"> the beneficiaries.”</w:t>
      </w:r>
    </w:p>
    <w:p w14:paraId="379AE1E3" w14:textId="77777777" w:rsidR="00593757" w:rsidRPr="0000529A" w:rsidRDefault="00593757" w:rsidP="00593757">
      <w:pPr>
        <w:spacing w:after="240"/>
        <w:ind w:left="720"/>
        <w:jc w:val="both"/>
        <w:rPr>
          <w:lang w:val="en-ZW"/>
        </w:rPr>
      </w:pPr>
    </w:p>
    <w:p w14:paraId="2DB519B7" w14:textId="48897449" w:rsidR="00AE5544" w:rsidRPr="0000529A" w:rsidRDefault="0015412A" w:rsidP="00873721">
      <w:pPr>
        <w:spacing w:line="480" w:lineRule="auto"/>
        <w:ind w:left="810" w:hanging="810"/>
        <w:jc w:val="both"/>
        <w:rPr>
          <w:lang w:val="en-ZW"/>
        </w:rPr>
      </w:pPr>
      <w:r w:rsidRPr="0000529A">
        <w:rPr>
          <w:lang w:val="en-ZW"/>
        </w:rPr>
        <w:t>[22</w:t>
      </w:r>
      <w:r w:rsidR="00107745" w:rsidRPr="0000529A">
        <w:rPr>
          <w:lang w:val="en-ZW"/>
        </w:rPr>
        <w:t xml:space="preserve">] </w:t>
      </w:r>
      <w:r w:rsidR="0000529A">
        <w:rPr>
          <w:lang w:val="en-ZW"/>
        </w:rPr>
        <w:t xml:space="preserve">    </w:t>
      </w:r>
      <w:r w:rsidR="00F52AFC" w:rsidRPr="0000529A">
        <w:rPr>
          <w:lang w:val="en-ZW"/>
        </w:rPr>
        <w:t>It appears to me</w:t>
      </w:r>
      <w:r w:rsidR="00107745" w:rsidRPr="0000529A">
        <w:rPr>
          <w:lang w:val="en-ZW"/>
        </w:rPr>
        <w:t>, from the above,</w:t>
      </w:r>
      <w:r w:rsidR="00F52AFC" w:rsidRPr="0000529A">
        <w:rPr>
          <w:lang w:val="en-ZW"/>
        </w:rPr>
        <w:t xml:space="preserve"> that in order for the Master to </w:t>
      </w:r>
      <w:r w:rsidR="00107745" w:rsidRPr="0000529A">
        <w:rPr>
          <w:lang w:val="en-ZW"/>
        </w:rPr>
        <w:t xml:space="preserve">lawfully </w:t>
      </w:r>
      <w:r w:rsidR="00F753FF" w:rsidRPr="0000529A">
        <w:rPr>
          <w:lang w:val="en-ZW"/>
        </w:rPr>
        <w:t>grant a</w:t>
      </w:r>
      <w:r w:rsidR="00107745" w:rsidRPr="0000529A">
        <w:rPr>
          <w:lang w:val="en-ZW"/>
        </w:rPr>
        <w:t xml:space="preserve"> </w:t>
      </w:r>
      <w:r w:rsidR="00F52AFC" w:rsidRPr="0000529A">
        <w:rPr>
          <w:lang w:val="en-ZW"/>
        </w:rPr>
        <w:t>consent to sell in terms of s 120 of the A</w:t>
      </w:r>
      <w:r w:rsidR="002B1CA4" w:rsidRPr="0000529A">
        <w:rPr>
          <w:lang w:val="en-ZW"/>
        </w:rPr>
        <w:t>dministration of Estates Act</w:t>
      </w:r>
      <w:r w:rsidR="002E0B2D" w:rsidRPr="0000529A">
        <w:rPr>
          <w:lang w:val="en-ZW"/>
        </w:rPr>
        <w:t>,</w:t>
      </w:r>
      <w:r w:rsidR="00F52AFC" w:rsidRPr="0000529A">
        <w:rPr>
          <w:lang w:val="en-ZW"/>
        </w:rPr>
        <w:t xml:space="preserve"> </w:t>
      </w:r>
      <w:r w:rsidR="002E0B2D" w:rsidRPr="0000529A">
        <w:rPr>
          <w:lang w:val="en-ZW"/>
        </w:rPr>
        <w:t>he must comply</w:t>
      </w:r>
      <w:r w:rsidR="00F52AFC" w:rsidRPr="0000529A">
        <w:rPr>
          <w:lang w:val="en-ZW"/>
        </w:rPr>
        <w:t xml:space="preserve"> with the requirements of the Administrative Justice Act</w:t>
      </w:r>
      <w:r w:rsidR="002E0B2D" w:rsidRPr="0000529A">
        <w:rPr>
          <w:lang w:val="en-ZW"/>
        </w:rPr>
        <w:t>.</w:t>
      </w:r>
      <w:r w:rsidR="00F52AFC" w:rsidRPr="0000529A">
        <w:rPr>
          <w:lang w:val="en-ZW"/>
        </w:rPr>
        <w:t xml:space="preserve"> </w:t>
      </w:r>
      <w:r w:rsidR="002E0B2D" w:rsidRPr="0000529A">
        <w:rPr>
          <w:lang w:val="en-ZW"/>
        </w:rPr>
        <w:t>He</w:t>
      </w:r>
      <w:r w:rsidR="00F52AFC" w:rsidRPr="0000529A">
        <w:rPr>
          <w:lang w:val="en-ZW"/>
        </w:rPr>
        <w:t xml:space="preserve"> must </w:t>
      </w:r>
      <w:r w:rsidR="002E0B2D" w:rsidRPr="0000529A">
        <w:rPr>
          <w:lang w:val="en-ZW"/>
        </w:rPr>
        <w:t xml:space="preserve">also </w:t>
      </w:r>
      <w:r w:rsidR="00F52AFC" w:rsidRPr="0000529A">
        <w:rPr>
          <w:lang w:val="en-ZW"/>
        </w:rPr>
        <w:t>consider the requirements</w:t>
      </w:r>
      <w:r w:rsidR="00107745" w:rsidRPr="0000529A">
        <w:rPr>
          <w:lang w:val="en-ZW"/>
        </w:rPr>
        <w:t xml:space="preserve"> </w:t>
      </w:r>
      <w:r w:rsidR="00805132">
        <w:rPr>
          <w:lang w:val="en-ZW"/>
        </w:rPr>
        <w:t>established</w:t>
      </w:r>
      <w:r w:rsidR="00107745" w:rsidRPr="0000529A">
        <w:rPr>
          <w:lang w:val="en-ZW"/>
        </w:rPr>
        <w:t xml:space="preserve"> </w:t>
      </w:r>
      <w:r w:rsidR="002E0B2D" w:rsidRPr="0000529A">
        <w:rPr>
          <w:lang w:val="en-ZW"/>
        </w:rPr>
        <w:t>by case law</w:t>
      </w:r>
      <w:r w:rsidR="00F52AFC" w:rsidRPr="0000529A">
        <w:rPr>
          <w:lang w:val="en-ZW"/>
        </w:rPr>
        <w:t xml:space="preserve">. A proper application of the above requirements will lead the Master into making a decision which is lawful, </w:t>
      </w:r>
      <w:r w:rsidR="00F52AFC" w:rsidRPr="0000529A">
        <w:rPr>
          <w:lang w:val="en-ZW"/>
        </w:rPr>
        <w:lastRenderedPageBreak/>
        <w:t>reasonable and fair.</w:t>
      </w:r>
      <w:r w:rsidR="0003379F" w:rsidRPr="0000529A">
        <w:rPr>
          <w:lang w:val="en-ZW"/>
        </w:rPr>
        <w:t xml:space="preserve"> </w:t>
      </w:r>
      <w:r w:rsidR="002A2599" w:rsidRPr="0000529A">
        <w:rPr>
          <w:lang w:val="en-ZW"/>
        </w:rPr>
        <w:t xml:space="preserve">I </w:t>
      </w:r>
      <w:r w:rsidR="00F52AFC" w:rsidRPr="0000529A">
        <w:rPr>
          <w:lang w:val="en-ZW"/>
        </w:rPr>
        <w:t xml:space="preserve">therefore </w:t>
      </w:r>
      <w:r w:rsidR="002A2599" w:rsidRPr="0000529A">
        <w:rPr>
          <w:lang w:val="en-ZW"/>
        </w:rPr>
        <w:t xml:space="preserve">agree with the sentiments expressed </w:t>
      </w:r>
      <w:r w:rsidR="00E400D5" w:rsidRPr="0000529A">
        <w:rPr>
          <w:lang w:val="en-ZW"/>
        </w:rPr>
        <w:t xml:space="preserve">in the </w:t>
      </w:r>
      <w:r w:rsidR="002A2599" w:rsidRPr="0000529A">
        <w:rPr>
          <w:lang w:val="en-ZW"/>
        </w:rPr>
        <w:t>above</w:t>
      </w:r>
      <w:r w:rsidR="00E400D5" w:rsidRPr="0000529A">
        <w:rPr>
          <w:lang w:val="en-ZW"/>
        </w:rPr>
        <w:t xml:space="preserve"> judgment</w:t>
      </w:r>
      <w:r w:rsidR="002A2599" w:rsidRPr="0000529A">
        <w:rPr>
          <w:lang w:val="en-ZW"/>
        </w:rPr>
        <w:t>. Indeed, as stated</w:t>
      </w:r>
      <w:r w:rsidR="004560D9" w:rsidRPr="0000529A">
        <w:rPr>
          <w:lang w:val="en-ZW"/>
        </w:rPr>
        <w:t xml:space="preserve"> in the above cited case</w:t>
      </w:r>
      <w:r w:rsidR="00067E4F" w:rsidRPr="0000529A">
        <w:rPr>
          <w:lang w:val="en-ZW"/>
        </w:rPr>
        <w:t>,</w:t>
      </w:r>
      <w:r w:rsidR="002A2599" w:rsidRPr="0000529A">
        <w:rPr>
          <w:lang w:val="en-ZW"/>
        </w:rPr>
        <w:t xml:space="preserve"> it i</w:t>
      </w:r>
      <w:r w:rsidR="00067E4F" w:rsidRPr="0000529A">
        <w:rPr>
          <w:lang w:val="en-ZW"/>
        </w:rPr>
        <w:t xml:space="preserve">s critical that the Master </w:t>
      </w:r>
      <w:r w:rsidR="002A2599" w:rsidRPr="0000529A">
        <w:rPr>
          <w:lang w:val="en-ZW"/>
        </w:rPr>
        <w:t>formulate</w:t>
      </w:r>
      <w:r w:rsidR="00067E4F" w:rsidRPr="0000529A">
        <w:rPr>
          <w:lang w:val="en-ZW"/>
        </w:rPr>
        <w:t>s</w:t>
      </w:r>
      <w:r w:rsidR="002A2599" w:rsidRPr="0000529A">
        <w:rPr>
          <w:lang w:val="en-ZW"/>
        </w:rPr>
        <w:t xml:space="preserve"> an </w:t>
      </w:r>
      <w:r w:rsidR="00067E4F" w:rsidRPr="0000529A">
        <w:rPr>
          <w:lang w:val="en-ZW"/>
        </w:rPr>
        <w:t xml:space="preserve">independent </w:t>
      </w:r>
      <w:r w:rsidR="002A2599" w:rsidRPr="0000529A">
        <w:rPr>
          <w:lang w:val="en-ZW"/>
        </w:rPr>
        <w:t>opinion</w:t>
      </w:r>
      <w:r w:rsidR="00CD1B9C" w:rsidRPr="0000529A">
        <w:rPr>
          <w:lang w:val="en-ZW"/>
        </w:rPr>
        <w:t xml:space="preserve"> after considering all the facts</w:t>
      </w:r>
      <w:r w:rsidR="00AE5544" w:rsidRPr="0000529A">
        <w:rPr>
          <w:lang w:val="en-ZW"/>
        </w:rPr>
        <w:t>.</w:t>
      </w:r>
      <w:r w:rsidR="002A2599" w:rsidRPr="0000529A">
        <w:rPr>
          <w:sz w:val="22"/>
          <w:szCs w:val="22"/>
          <w:lang w:val="en-ZW"/>
        </w:rPr>
        <w:t xml:space="preserve"> </w:t>
      </w:r>
      <w:r w:rsidR="00F52AFC" w:rsidRPr="0000529A">
        <w:t>That this is the</w:t>
      </w:r>
      <w:r w:rsidR="00F55A3E" w:rsidRPr="0000529A">
        <w:t xml:space="preserve"> position can be gleaned from the case of</w:t>
      </w:r>
      <w:r w:rsidR="00AE5544" w:rsidRPr="0000529A">
        <w:rPr>
          <w:sz w:val="28"/>
        </w:rPr>
        <w:t xml:space="preserve"> </w:t>
      </w:r>
      <w:r w:rsidR="00AE5544" w:rsidRPr="0000529A">
        <w:rPr>
          <w:i/>
        </w:rPr>
        <w:t xml:space="preserve">Logan v Morris N. O. &amp; </w:t>
      </w:r>
      <w:proofErr w:type="spellStart"/>
      <w:r w:rsidR="00AE5544" w:rsidRPr="0000529A">
        <w:rPr>
          <w:i/>
        </w:rPr>
        <w:t>Ors</w:t>
      </w:r>
      <w:proofErr w:type="spellEnd"/>
      <w:r w:rsidR="00AE5544" w:rsidRPr="0000529A">
        <w:rPr>
          <w:i/>
        </w:rPr>
        <w:t xml:space="preserve"> </w:t>
      </w:r>
      <w:r w:rsidR="00AE5544" w:rsidRPr="0000529A">
        <w:t>1990 (2) ZLR 65 (S) at p 71</w:t>
      </w:r>
      <w:r w:rsidR="002B6F38" w:rsidRPr="0000529A">
        <w:t>D</w:t>
      </w:r>
      <w:r w:rsidR="00AE5544" w:rsidRPr="0000529A">
        <w:t>-72</w:t>
      </w:r>
      <w:r w:rsidR="002B6F38" w:rsidRPr="0000529A">
        <w:t>A</w:t>
      </w:r>
      <w:r w:rsidR="00AE5544" w:rsidRPr="0000529A">
        <w:t xml:space="preserve">, </w:t>
      </w:r>
      <w:r w:rsidR="00F55A3E" w:rsidRPr="0000529A">
        <w:t>where this Court, while</w:t>
      </w:r>
      <w:r w:rsidR="00AE5544" w:rsidRPr="0000529A">
        <w:t xml:space="preserve"> interpreting the powers of the Master as provided for under s 117</w:t>
      </w:r>
      <w:r w:rsidR="002B6F38" w:rsidRPr="0000529A">
        <w:t xml:space="preserve"> of the</w:t>
      </w:r>
      <w:r w:rsidR="00AE5544" w:rsidRPr="0000529A">
        <w:t xml:space="preserve"> </w:t>
      </w:r>
      <w:r w:rsidR="00AE5544" w:rsidRPr="0000529A">
        <w:rPr>
          <w:lang w:val="en-ZW"/>
        </w:rPr>
        <w:t>Administration of Estates Act [</w:t>
      </w:r>
      <w:r w:rsidR="00AE5544" w:rsidRPr="0000529A">
        <w:rPr>
          <w:i/>
          <w:lang w:val="en-ZW"/>
        </w:rPr>
        <w:t>Chapter 3</w:t>
      </w:r>
      <w:r w:rsidR="002B6F38" w:rsidRPr="0000529A">
        <w:rPr>
          <w:i/>
          <w:lang w:val="en-ZW"/>
        </w:rPr>
        <w:t>:</w:t>
      </w:r>
      <w:r w:rsidR="00AE5544" w:rsidRPr="0000529A">
        <w:rPr>
          <w:i/>
          <w:lang w:val="en-ZW"/>
        </w:rPr>
        <w:t>01</w:t>
      </w:r>
      <w:r w:rsidR="00AE5544" w:rsidRPr="0000529A">
        <w:rPr>
          <w:lang w:val="en-ZW"/>
        </w:rPr>
        <w:t>] (which was repealed and replaced by the current s 120 of the Administration of Estates Act)</w:t>
      </w:r>
      <w:r w:rsidR="00F55A3E" w:rsidRPr="0000529A">
        <w:t>, had</w:t>
      </w:r>
      <w:r w:rsidR="00AE5544" w:rsidRPr="0000529A">
        <w:t xml:space="preserve"> this to say:</w:t>
      </w:r>
    </w:p>
    <w:p w14:paraId="5C196C6C" w14:textId="77777777" w:rsidR="00593757" w:rsidRPr="0000529A" w:rsidRDefault="00AE5544" w:rsidP="00873721">
      <w:pPr>
        <w:pStyle w:val="Default"/>
        <w:ind w:left="1440"/>
        <w:jc w:val="both"/>
        <w:rPr>
          <w:rFonts w:eastAsiaTheme="minorHAnsi"/>
          <w:lang w:eastAsia="en-US"/>
        </w:rPr>
      </w:pPr>
      <w:r w:rsidRPr="0000529A">
        <w:t>“</w:t>
      </w:r>
      <w:r w:rsidRPr="0000529A">
        <w:rPr>
          <w:rFonts w:eastAsiaTheme="minorHAnsi"/>
          <w:lang w:eastAsia="en-US"/>
        </w:rPr>
        <w:t>The power given to the Master under s 117 is not a power to compel a sale by private treaty where the beneficiary does not want to sell at all</w:t>
      </w:r>
      <w:r w:rsidRPr="0000529A">
        <w:rPr>
          <w:rFonts w:eastAsiaTheme="minorHAnsi"/>
          <w:u w:val="single"/>
          <w:lang w:eastAsia="en-US"/>
        </w:rPr>
        <w:t>. It is a power to allow a sale by private treaty where the beneficiary wants the property sold (or it has to be sold to meet the cash obligations of the estate). If he does not allow the sale by private treaty then the normal procedure of sale by public auction has to be followed</w:t>
      </w:r>
      <w:r w:rsidRPr="0000529A">
        <w:rPr>
          <w:rFonts w:eastAsiaTheme="minorHAnsi"/>
          <w:lang w:eastAsia="en-US"/>
        </w:rPr>
        <w:t>.</w:t>
      </w:r>
    </w:p>
    <w:p w14:paraId="17A83C3A" w14:textId="5661587B" w:rsidR="00AE5544" w:rsidRPr="0000529A" w:rsidRDefault="00AE5544" w:rsidP="00593757">
      <w:pPr>
        <w:pStyle w:val="Default"/>
        <w:ind w:left="720"/>
        <w:jc w:val="both"/>
        <w:rPr>
          <w:rFonts w:eastAsiaTheme="minorHAnsi"/>
          <w:lang w:eastAsia="en-US"/>
        </w:rPr>
      </w:pPr>
      <w:r w:rsidRPr="0000529A">
        <w:rPr>
          <w:rFonts w:eastAsiaTheme="minorHAnsi"/>
          <w:lang w:eastAsia="en-US"/>
        </w:rPr>
        <w:t xml:space="preserve"> </w:t>
      </w:r>
    </w:p>
    <w:p w14:paraId="2CE8917D" w14:textId="77777777" w:rsidR="00593757" w:rsidRPr="0000529A" w:rsidRDefault="00AE5544" w:rsidP="00C44082">
      <w:pPr>
        <w:autoSpaceDE w:val="0"/>
        <w:autoSpaceDN w:val="0"/>
        <w:adjustRightInd w:val="0"/>
        <w:ind w:left="1440"/>
        <w:jc w:val="both"/>
        <w:rPr>
          <w:rFonts w:eastAsiaTheme="minorHAnsi"/>
          <w:color w:val="000000"/>
          <w:lang w:val="en-ZW"/>
        </w:rPr>
      </w:pPr>
      <w:r w:rsidRPr="0000529A">
        <w:rPr>
          <w:rFonts w:eastAsiaTheme="minorHAnsi"/>
          <w:color w:val="000000"/>
          <w:lang w:val="en-ZW"/>
        </w:rPr>
        <w:t xml:space="preserve">Seen in that light it is apparent that it is not the purpose of the “due inquiry” by the Master to ascertain whether or not the beneficiary is legally bound to sell as a result of an alleged contractual obligation, or whether that contract has or has not been induced by fraud so as to entitle the beneficiary to </w:t>
      </w:r>
      <w:proofErr w:type="spellStart"/>
      <w:r w:rsidRPr="0000529A">
        <w:rPr>
          <w:rFonts w:eastAsiaTheme="minorHAnsi"/>
          <w:color w:val="000000"/>
          <w:lang w:val="en-ZW"/>
        </w:rPr>
        <w:t>resile</w:t>
      </w:r>
      <w:proofErr w:type="spellEnd"/>
      <w:r w:rsidRPr="0000529A">
        <w:rPr>
          <w:rFonts w:eastAsiaTheme="minorHAnsi"/>
          <w:color w:val="000000"/>
          <w:lang w:val="en-ZW"/>
        </w:rPr>
        <w:t xml:space="preserve">. Such matters are proper matters for a judicial inquiry. The Master is not empowered to conduct judicial inquiries. Where matters of law arise he is enjoined to refer the matter to a Judge or to the Court (see </w:t>
      </w:r>
      <w:proofErr w:type="spellStart"/>
      <w:r w:rsidRPr="0000529A">
        <w:rPr>
          <w:rFonts w:eastAsiaTheme="minorHAnsi"/>
          <w:color w:val="000000"/>
          <w:lang w:val="en-ZW"/>
        </w:rPr>
        <w:t>eg</w:t>
      </w:r>
      <w:proofErr w:type="spellEnd"/>
      <w:r w:rsidRPr="0000529A">
        <w:rPr>
          <w:rFonts w:eastAsiaTheme="minorHAnsi"/>
          <w:color w:val="000000"/>
          <w:lang w:val="en-ZW"/>
        </w:rPr>
        <w:t xml:space="preserve"> s 113).</w:t>
      </w:r>
    </w:p>
    <w:p w14:paraId="2C1B4022" w14:textId="71223CDA" w:rsidR="00AE5544" w:rsidRPr="0000529A" w:rsidRDefault="00AE5544" w:rsidP="00593757">
      <w:pPr>
        <w:autoSpaceDE w:val="0"/>
        <w:autoSpaceDN w:val="0"/>
        <w:adjustRightInd w:val="0"/>
        <w:ind w:left="720"/>
        <w:jc w:val="both"/>
        <w:rPr>
          <w:rFonts w:eastAsiaTheme="minorHAnsi"/>
          <w:color w:val="000000"/>
          <w:lang w:val="en-ZW"/>
        </w:rPr>
      </w:pPr>
      <w:r w:rsidRPr="0000529A">
        <w:rPr>
          <w:rFonts w:eastAsiaTheme="minorHAnsi"/>
          <w:color w:val="000000"/>
          <w:lang w:val="en-ZW"/>
        </w:rPr>
        <w:t xml:space="preserve"> </w:t>
      </w:r>
    </w:p>
    <w:p w14:paraId="2C7821A2" w14:textId="77777777" w:rsidR="00AE5544" w:rsidRPr="0000529A" w:rsidRDefault="00AE5544" w:rsidP="00C44082">
      <w:pPr>
        <w:autoSpaceDE w:val="0"/>
        <w:autoSpaceDN w:val="0"/>
        <w:adjustRightInd w:val="0"/>
        <w:ind w:left="1440"/>
        <w:jc w:val="both"/>
        <w:rPr>
          <w:rFonts w:eastAsiaTheme="minorHAnsi"/>
          <w:color w:val="000000"/>
          <w:lang w:val="en-ZW"/>
        </w:rPr>
      </w:pPr>
      <w:r w:rsidRPr="0000529A">
        <w:rPr>
          <w:rFonts w:eastAsiaTheme="minorHAnsi"/>
          <w:color w:val="000000"/>
          <w:lang w:val="en-ZW"/>
        </w:rPr>
        <w:t xml:space="preserve">The </w:t>
      </w:r>
      <w:r w:rsidRPr="0000529A">
        <w:rPr>
          <w:rFonts w:eastAsiaTheme="minorHAnsi"/>
          <w:color w:val="000000"/>
          <w:u w:val="single"/>
          <w:lang w:val="en-ZW"/>
        </w:rPr>
        <w:t>“due inquiry” envisaged by s 117 is no more than a practical, financial inquiry. He must not authorise a private sale unless he is of the opinion that such a sale will be more advantageous to the beneficiary than a sale by public auction</w:t>
      </w:r>
      <w:r w:rsidRPr="0000529A">
        <w:rPr>
          <w:rFonts w:eastAsiaTheme="minorHAnsi"/>
          <w:color w:val="000000"/>
          <w:lang w:val="en-ZW"/>
        </w:rPr>
        <w:t xml:space="preserve">. His inquiry therefore is limited to a consideration of the relative advantages of the proposed private sale on the one hand and a sale by public auction on the other. He will in such circumstances, after making “due inquiry” as to the realistic value of the property, reach his decision. He will be influenced primarily by the price offered as opposed to the price likely to be realised on an auction. He may also be influenced by such matters as the uncertainty and delay involved in a public auction, or by the wishes of the beneficiary in a marginal case. </w:t>
      </w:r>
    </w:p>
    <w:p w14:paraId="17AF100E" w14:textId="77777777" w:rsidR="00AE5544" w:rsidRPr="0000529A" w:rsidRDefault="00AE5544" w:rsidP="00D527AD">
      <w:pPr>
        <w:spacing w:before="240"/>
        <w:ind w:left="1440"/>
        <w:jc w:val="both"/>
        <w:rPr>
          <w:rFonts w:eastAsiaTheme="minorHAnsi"/>
          <w:color w:val="000000"/>
          <w:lang w:val="en-ZW"/>
        </w:rPr>
      </w:pPr>
      <w:r w:rsidRPr="0000529A">
        <w:rPr>
          <w:rFonts w:eastAsiaTheme="minorHAnsi"/>
          <w:color w:val="000000"/>
          <w:lang w:val="en-ZW"/>
        </w:rPr>
        <w:t xml:space="preserve">I do not intend this to be regarded as an exclusive list of the considerations which may influence the Master in coming to a conclusion under s 117. </w:t>
      </w:r>
      <w:r w:rsidRPr="0000529A">
        <w:rPr>
          <w:rFonts w:eastAsiaTheme="minorHAnsi"/>
          <w:color w:val="000000"/>
          <w:u w:val="single"/>
          <w:lang w:val="en-ZW"/>
        </w:rPr>
        <w:t xml:space="preserve">The point I am making is simply that the need for a decision by the Master </w:t>
      </w:r>
      <w:r w:rsidRPr="0000529A">
        <w:rPr>
          <w:rFonts w:eastAsiaTheme="minorHAnsi"/>
          <w:color w:val="000000"/>
          <w:u w:val="single"/>
          <w:lang w:val="en-ZW"/>
        </w:rPr>
        <w:lastRenderedPageBreak/>
        <w:t>under the section arises only when he is asked to choose between a sale by public auction and a sale by private treaty</w:t>
      </w:r>
      <w:proofErr w:type="gramStart"/>
      <w:r w:rsidRPr="0000529A">
        <w:rPr>
          <w:rFonts w:eastAsiaTheme="minorHAnsi"/>
          <w:color w:val="000000"/>
          <w:lang w:val="en-ZW"/>
        </w:rPr>
        <w:t>.”(</w:t>
      </w:r>
      <w:proofErr w:type="gramEnd"/>
      <w:r w:rsidRPr="0000529A">
        <w:rPr>
          <w:rFonts w:eastAsiaTheme="minorHAnsi"/>
          <w:color w:val="000000"/>
          <w:lang w:val="en-ZW"/>
        </w:rPr>
        <w:t>emphasis added)</w:t>
      </w:r>
    </w:p>
    <w:p w14:paraId="39369B42" w14:textId="77777777" w:rsidR="00000A6D" w:rsidRPr="0000529A" w:rsidRDefault="00000A6D" w:rsidP="00000A6D">
      <w:pPr>
        <w:ind w:left="720"/>
        <w:jc w:val="both"/>
        <w:rPr>
          <w:rFonts w:eastAsiaTheme="minorHAnsi"/>
          <w:color w:val="000000"/>
          <w:lang w:val="en-ZW"/>
        </w:rPr>
      </w:pPr>
    </w:p>
    <w:p w14:paraId="12DD5D10" w14:textId="77777777" w:rsidR="00593757" w:rsidRPr="0000529A" w:rsidRDefault="00593757" w:rsidP="00AE5544">
      <w:pPr>
        <w:spacing w:before="240" w:line="360" w:lineRule="auto"/>
        <w:ind w:left="720"/>
        <w:jc w:val="both"/>
      </w:pPr>
    </w:p>
    <w:p w14:paraId="0D6C7161" w14:textId="5E01121D" w:rsidR="0003379F" w:rsidRPr="0000529A" w:rsidRDefault="009A354C" w:rsidP="009A354C">
      <w:pPr>
        <w:spacing w:after="240" w:line="480" w:lineRule="auto"/>
        <w:ind w:left="720" w:hanging="720"/>
        <w:jc w:val="both"/>
      </w:pPr>
      <w:r w:rsidRPr="0000529A">
        <w:t xml:space="preserve"> </w:t>
      </w:r>
      <w:r w:rsidR="0015412A" w:rsidRPr="0000529A">
        <w:t>[23</w:t>
      </w:r>
      <w:r w:rsidR="00AE5544" w:rsidRPr="0000529A">
        <w:t xml:space="preserve">] </w:t>
      </w:r>
      <w:r w:rsidR="0000529A">
        <w:t xml:space="preserve">   </w:t>
      </w:r>
      <w:r w:rsidR="00AE5544" w:rsidRPr="0000529A">
        <w:t xml:space="preserve">There can be no doubt that the Master is required to conduct </w:t>
      </w:r>
      <w:r w:rsidR="00967CD2" w:rsidRPr="0000529A">
        <w:t>a basic</w:t>
      </w:r>
      <w:r w:rsidR="00AE5544" w:rsidRPr="0000529A">
        <w:t xml:space="preserve"> inquiry before formulating his opinion on whether or not to consent to a sale by private treaty.</w:t>
      </w:r>
    </w:p>
    <w:p w14:paraId="08D42A4C" w14:textId="77777777" w:rsidR="00000A6D" w:rsidRPr="0000529A" w:rsidRDefault="00000A6D" w:rsidP="00000A6D">
      <w:pPr>
        <w:spacing w:line="360" w:lineRule="auto"/>
        <w:jc w:val="both"/>
      </w:pPr>
    </w:p>
    <w:p w14:paraId="414815A1" w14:textId="6A20C643" w:rsidR="00097CE9" w:rsidRPr="0000529A" w:rsidRDefault="0003379F" w:rsidP="00325935">
      <w:pPr>
        <w:spacing w:line="480" w:lineRule="auto"/>
        <w:ind w:left="810" w:hanging="810"/>
        <w:jc w:val="both"/>
        <w:rPr>
          <w:sz w:val="22"/>
          <w:szCs w:val="22"/>
          <w:lang w:val="en-ZW"/>
        </w:rPr>
      </w:pPr>
      <w:r w:rsidRPr="0000529A">
        <w:t>[</w:t>
      </w:r>
      <w:r w:rsidR="004C478B" w:rsidRPr="0000529A">
        <w:t>24</w:t>
      </w:r>
      <w:r w:rsidRPr="0000529A">
        <w:t>]</w:t>
      </w:r>
      <w:r w:rsidR="00AE5544" w:rsidRPr="0000529A">
        <w:t xml:space="preserve"> </w:t>
      </w:r>
      <w:r w:rsidR="0000529A">
        <w:t xml:space="preserve">    </w:t>
      </w:r>
      <w:r w:rsidR="00DB6A10" w:rsidRPr="0000529A">
        <w:rPr>
          <w:sz w:val="22"/>
          <w:szCs w:val="22"/>
          <w:lang w:val="en-ZW"/>
        </w:rPr>
        <w:t>Clearly,</w:t>
      </w:r>
      <w:r w:rsidR="00DB6A10" w:rsidRPr="0000529A">
        <w:rPr>
          <w:lang w:val="en-ZW"/>
        </w:rPr>
        <w:t xml:space="preserve"> t</w:t>
      </w:r>
      <w:r w:rsidR="00067E4F" w:rsidRPr="0000529A">
        <w:rPr>
          <w:lang w:val="en-ZW"/>
        </w:rPr>
        <w:t>his</w:t>
      </w:r>
      <w:r w:rsidR="00DB6A10" w:rsidRPr="0000529A">
        <w:rPr>
          <w:lang w:val="en-ZW"/>
        </w:rPr>
        <w:t xml:space="preserve"> is not what the Master</w:t>
      </w:r>
      <w:r w:rsidR="00067E4F" w:rsidRPr="0000529A">
        <w:rPr>
          <w:lang w:val="en-ZW"/>
        </w:rPr>
        <w:t xml:space="preserve"> did</w:t>
      </w:r>
      <w:r w:rsidR="00DB6A10" w:rsidRPr="0000529A">
        <w:rPr>
          <w:lang w:val="en-ZW"/>
        </w:rPr>
        <w:t xml:space="preserve"> in this case</w:t>
      </w:r>
      <w:r w:rsidR="00067E4F" w:rsidRPr="0000529A">
        <w:rPr>
          <w:lang w:val="en-ZW"/>
        </w:rPr>
        <w:t>.</w:t>
      </w:r>
      <w:r w:rsidR="00067E4F" w:rsidRPr="0000529A">
        <w:rPr>
          <w:sz w:val="22"/>
          <w:szCs w:val="22"/>
          <w:lang w:val="en-ZW"/>
        </w:rPr>
        <w:t xml:space="preserve"> </w:t>
      </w:r>
      <w:r w:rsidR="00F55A3E" w:rsidRPr="0000529A">
        <w:t>T</w:t>
      </w:r>
      <w:r w:rsidR="00876466" w:rsidRPr="0000529A">
        <w:t>he Masters Report</w:t>
      </w:r>
      <w:r w:rsidR="00F55A3E" w:rsidRPr="0000529A">
        <w:t>,</w:t>
      </w:r>
      <w:r w:rsidR="00876466" w:rsidRPr="0000529A">
        <w:t xml:space="preserve"> which was filed in opposing the application </w:t>
      </w:r>
      <w:r w:rsidR="00A41103" w:rsidRPr="0000529A">
        <w:t xml:space="preserve">before the court </w:t>
      </w:r>
      <w:r w:rsidR="00A41103" w:rsidRPr="0000529A">
        <w:rPr>
          <w:i/>
          <w:iCs/>
        </w:rPr>
        <w:t>a quo</w:t>
      </w:r>
      <w:r w:rsidR="00F55A3E" w:rsidRPr="0000529A">
        <w:rPr>
          <w:i/>
          <w:iCs/>
        </w:rPr>
        <w:t xml:space="preserve">, </w:t>
      </w:r>
      <w:r w:rsidR="00F55A3E" w:rsidRPr="0000529A">
        <w:rPr>
          <w:iCs/>
        </w:rPr>
        <w:t xml:space="preserve">gives an insight on how the Master dealt with the request. </w:t>
      </w:r>
      <w:r w:rsidR="00876466" w:rsidRPr="0000529A">
        <w:t>T</w:t>
      </w:r>
      <w:r w:rsidR="001D3E2F" w:rsidRPr="0000529A">
        <w:t xml:space="preserve">he Master stated as </w:t>
      </w:r>
      <w:r w:rsidR="00FD67A5" w:rsidRPr="0000529A">
        <w:t>follows:</w:t>
      </w:r>
    </w:p>
    <w:p w14:paraId="05728CA5" w14:textId="2C68E6E6" w:rsidR="00FD67A5" w:rsidRPr="0000529A" w:rsidRDefault="00FD67A5" w:rsidP="00325935">
      <w:pPr>
        <w:ind w:left="1440"/>
        <w:jc w:val="both"/>
      </w:pPr>
      <w:r w:rsidRPr="0000529A">
        <w:t>“The Master’s consent is required only where the executor intends to sell by private treaty.</w:t>
      </w:r>
      <w:r w:rsidRPr="0000529A">
        <w:rPr>
          <w:bCs/>
        </w:rPr>
        <w:t xml:space="preserve"> Our understanding is that the inquiry to be made by the Master is not necessarily to establish the reasons for the sale or to determine which assets should not be sold, but it is to establish whether it would be advantageous to sell by </w:t>
      </w:r>
      <w:r w:rsidR="00BA63D6" w:rsidRPr="0000529A">
        <w:rPr>
          <w:bCs/>
        </w:rPr>
        <w:t>p</w:t>
      </w:r>
      <w:r w:rsidRPr="0000529A">
        <w:rPr>
          <w:bCs/>
        </w:rPr>
        <w:t xml:space="preserve">ublic auction or by private treaty. </w:t>
      </w:r>
      <w:r w:rsidR="00BA63D6" w:rsidRPr="0000529A">
        <w:rPr>
          <w:bCs/>
        </w:rPr>
        <w:t xml:space="preserve">It can thus be inferred that the decision to sell and the identification of assets for </w:t>
      </w:r>
      <w:r w:rsidR="00F8289B">
        <w:rPr>
          <w:bCs/>
        </w:rPr>
        <w:t>sale</w:t>
      </w:r>
      <w:r w:rsidR="00BA63D6" w:rsidRPr="0000529A">
        <w:rPr>
          <w:bCs/>
        </w:rPr>
        <w:t xml:space="preserve"> lies with the executor and not the Master.</w:t>
      </w:r>
      <w:r w:rsidR="00BA63D6" w:rsidRPr="0000529A">
        <w:t xml:space="preserve"> The Master is only approached if the executor intends to sell otherwise than by public auction. We believe this is why there is no provision which empowers the Master to be involved in the sale modalities as that is the prerogative of the executor reposed with authority to administer the estate.  It is however expected that before selling, the executor would have done his due diligence </w:t>
      </w:r>
      <w:r w:rsidR="00C039E2" w:rsidRPr="0000529A">
        <w:t>and proper consultations with potential beneficiaries which justify the need to sell.”</w:t>
      </w:r>
    </w:p>
    <w:p w14:paraId="3476BA92" w14:textId="77777777" w:rsidR="00000A6D" w:rsidRPr="0000529A" w:rsidRDefault="00000A6D" w:rsidP="00000A6D">
      <w:pPr>
        <w:ind w:left="720"/>
        <w:jc w:val="both"/>
      </w:pPr>
    </w:p>
    <w:p w14:paraId="49E04576" w14:textId="77777777" w:rsidR="00000A6D" w:rsidRPr="0000529A" w:rsidRDefault="00000A6D" w:rsidP="00000A6D">
      <w:pPr>
        <w:ind w:left="720"/>
        <w:jc w:val="both"/>
      </w:pPr>
    </w:p>
    <w:p w14:paraId="3BD59237" w14:textId="77777777" w:rsidR="00000A6D" w:rsidRPr="0000529A" w:rsidRDefault="00000A6D" w:rsidP="00000A6D">
      <w:pPr>
        <w:ind w:left="720"/>
        <w:jc w:val="both"/>
      </w:pPr>
    </w:p>
    <w:p w14:paraId="3D0EC76D" w14:textId="43886E32" w:rsidR="004C478B" w:rsidRPr="0000529A" w:rsidRDefault="0003379F" w:rsidP="00525204">
      <w:pPr>
        <w:spacing w:line="480" w:lineRule="auto"/>
        <w:ind w:left="720"/>
        <w:jc w:val="both"/>
      </w:pPr>
      <w:r w:rsidRPr="0000529A">
        <w:t>T</w:t>
      </w:r>
      <w:r w:rsidR="00876466" w:rsidRPr="0000529A">
        <w:t xml:space="preserve">his </w:t>
      </w:r>
      <w:r w:rsidR="004C478B" w:rsidRPr="0000529A">
        <w:t>was</w:t>
      </w:r>
      <w:r w:rsidRPr="0000529A">
        <w:t xml:space="preserve"> </w:t>
      </w:r>
      <w:r w:rsidR="00876466" w:rsidRPr="0000529A">
        <w:t>not the correct approach to take</w:t>
      </w:r>
      <w:r w:rsidR="000D0D6A" w:rsidRPr="0000529A">
        <w:t xml:space="preserve"> and does not comply with the requirements established by the </w:t>
      </w:r>
      <w:r w:rsidR="00561D97" w:rsidRPr="0000529A">
        <w:t xml:space="preserve">Administration of Estates Act and the </w:t>
      </w:r>
      <w:r w:rsidR="000D0D6A" w:rsidRPr="0000529A">
        <w:t>authorities</w:t>
      </w:r>
      <w:r w:rsidRPr="0000529A">
        <w:t xml:space="preserve"> </w:t>
      </w:r>
      <w:r w:rsidR="00A548F1" w:rsidRPr="0000529A">
        <w:t>cited above</w:t>
      </w:r>
      <w:r w:rsidR="00876466" w:rsidRPr="0000529A">
        <w:t>.</w:t>
      </w:r>
      <w:r w:rsidR="00C82983" w:rsidRPr="0000529A">
        <w:t xml:space="preserve"> </w:t>
      </w:r>
      <w:r w:rsidR="00876466" w:rsidRPr="0000529A">
        <w:t>T</w:t>
      </w:r>
      <w:r w:rsidR="00C82983" w:rsidRPr="0000529A">
        <w:t>his</w:t>
      </w:r>
      <w:r w:rsidR="00103DBE" w:rsidRPr="0000529A">
        <w:t xml:space="preserve"> is </w:t>
      </w:r>
      <w:r w:rsidR="00C82983" w:rsidRPr="0000529A">
        <w:t xml:space="preserve">a </w:t>
      </w:r>
      <w:r w:rsidR="00103DBE" w:rsidRPr="0000529A">
        <w:t xml:space="preserve">very narrow </w:t>
      </w:r>
      <w:r w:rsidR="00C82983" w:rsidRPr="0000529A">
        <w:t xml:space="preserve">interpretation of the term ‘due inquiry’ and seeks to shift the onus of decision </w:t>
      </w:r>
      <w:r w:rsidR="00AB5F62" w:rsidRPr="0000529A">
        <w:t>making from the Master</w:t>
      </w:r>
      <w:r w:rsidR="00103DBE" w:rsidRPr="0000529A">
        <w:t xml:space="preserve"> </w:t>
      </w:r>
      <w:r w:rsidR="00C82983" w:rsidRPr="0000529A">
        <w:t xml:space="preserve">to </w:t>
      </w:r>
      <w:r w:rsidR="00AB5F62" w:rsidRPr="0000529A">
        <w:t>the executor</w:t>
      </w:r>
      <w:r w:rsidR="00103DBE" w:rsidRPr="0000529A">
        <w:t>.</w:t>
      </w:r>
      <w:r w:rsidR="00C039E2" w:rsidRPr="0000529A">
        <w:t xml:space="preserve"> </w:t>
      </w:r>
      <w:r w:rsidR="00BB28F4" w:rsidRPr="0000529A">
        <w:t xml:space="preserve">This is </w:t>
      </w:r>
      <w:r w:rsidR="007A6180" w:rsidRPr="0000529A">
        <w:t>wrong</w:t>
      </w:r>
      <w:r w:rsidR="00A548F1" w:rsidRPr="0000529A">
        <w:t xml:space="preserve">. </w:t>
      </w:r>
      <w:r w:rsidR="00876466" w:rsidRPr="0000529A">
        <w:t>As was stated in the</w:t>
      </w:r>
      <w:r w:rsidR="00103DBE" w:rsidRPr="0000529A">
        <w:t xml:space="preserve"> </w:t>
      </w:r>
      <w:proofErr w:type="spellStart"/>
      <w:r w:rsidR="007A6180" w:rsidRPr="0000529A">
        <w:rPr>
          <w:i/>
          <w:lang w:val="en-ZW"/>
        </w:rPr>
        <w:t>Madzingaid</w:t>
      </w:r>
      <w:r w:rsidR="00BB28F4" w:rsidRPr="0000529A">
        <w:rPr>
          <w:i/>
          <w:lang w:val="en-ZW"/>
        </w:rPr>
        <w:t>ze</w:t>
      </w:r>
      <w:proofErr w:type="spellEnd"/>
      <w:r w:rsidR="00BB28F4" w:rsidRPr="0000529A">
        <w:rPr>
          <w:i/>
          <w:lang w:val="en-ZW"/>
        </w:rPr>
        <w:t xml:space="preserve"> </w:t>
      </w:r>
      <w:r w:rsidR="00103DBE" w:rsidRPr="0000529A">
        <w:t>judgment (</w:t>
      </w:r>
      <w:r w:rsidR="00103DBE" w:rsidRPr="0000529A">
        <w:rPr>
          <w:i/>
        </w:rPr>
        <w:t>supra</w:t>
      </w:r>
      <w:r w:rsidR="00103DBE" w:rsidRPr="0000529A">
        <w:t>)</w:t>
      </w:r>
      <w:r w:rsidR="007A6180" w:rsidRPr="0000529A">
        <w:t xml:space="preserve"> it is the Master’s</w:t>
      </w:r>
      <w:r w:rsidR="00103DBE" w:rsidRPr="0000529A">
        <w:t xml:space="preserve"> opinion that must inform</w:t>
      </w:r>
      <w:r w:rsidR="007A6180" w:rsidRPr="0000529A">
        <w:t xml:space="preserve"> the process</w:t>
      </w:r>
      <w:r w:rsidR="00067E4F" w:rsidRPr="0000529A">
        <w:t xml:space="preserve"> and not </w:t>
      </w:r>
      <w:r w:rsidR="007A6180" w:rsidRPr="0000529A">
        <w:t xml:space="preserve">that of </w:t>
      </w:r>
      <w:r w:rsidR="00067E4F" w:rsidRPr="0000529A">
        <w:t xml:space="preserve">the executor. </w:t>
      </w:r>
      <w:r w:rsidR="002B6F38" w:rsidRPr="0000529A">
        <w:t>From</w:t>
      </w:r>
      <w:r w:rsidR="00EF7D31" w:rsidRPr="0000529A">
        <w:t xml:space="preserve"> the </w:t>
      </w:r>
      <w:r w:rsidR="00EF7D31" w:rsidRPr="0000529A">
        <w:lastRenderedPageBreak/>
        <w:t>approach taken by the Master it is quite apparent that no inquiry was conducted at all.</w:t>
      </w:r>
    </w:p>
    <w:p w14:paraId="57C4A08A" w14:textId="7B05641B" w:rsidR="0003379F" w:rsidRPr="0000529A" w:rsidRDefault="0015261C" w:rsidP="0015261C">
      <w:pPr>
        <w:spacing w:line="480" w:lineRule="auto"/>
        <w:jc w:val="both"/>
        <w:rPr>
          <w:lang w:val="en-ZW"/>
        </w:rPr>
      </w:pPr>
      <w:r w:rsidRPr="0000529A">
        <w:rPr>
          <w:lang w:val="en-ZW"/>
        </w:rPr>
        <w:t xml:space="preserve"> </w:t>
      </w:r>
    </w:p>
    <w:p w14:paraId="384F92B1" w14:textId="669F5BCC" w:rsidR="0015261C" w:rsidRPr="0000529A" w:rsidRDefault="0015412A" w:rsidP="00525204">
      <w:pPr>
        <w:spacing w:line="480" w:lineRule="auto"/>
        <w:ind w:left="810" w:hanging="810"/>
        <w:jc w:val="both"/>
      </w:pPr>
      <w:r w:rsidRPr="0000529A">
        <w:t>[2</w:t>
      </w:r>
      <w:r w:rsidR="007D0797" w:rsidRPr="0000529A">
        <w:t>5</w:t>
      </w:r>
      <w:r w:rsidR="0015261C" w:rsidRPr="0000529A">
        <w:t xml:space="preserve">] </w:t>
      </w:r>
      <w:r w:rsidR="0000529A">
        <w:t xml:space="preserve">  </w:t>
      </w:r>
      <w:r w:rsidR="00A548F1" w:rsidRPr="0000529A">
        <w:t>I</w:t>
      </w:r>
      <w:r w:rsidR="0015261C" w:rsidRPr="0000529A">
        <w:t xml:space="preserve">n spite of the fact that in the letter </w:t>
      </w:r>
      <w:r w:rsidR="00A548F1" w:rsidRPr="0000529A">
        <w:t xml:space="preserve">dated 10 January 2018, </w:t>
      </w:r>
      <w:r w:rsidR="0015261C" w:rsidRPr="0000529A">
        <w:t xml:space="preserve">by the </w:t>
      </w:r>
      <w:r w:rsidR="004312FC" w:rsidRPr="0000529A">
        <w:t>executor requesting the</w:t>
      </w:r>
      <w:r w:rsidR="0015261C" w:rsidRPr="0000529A">
        <w:t xml:space="preserve"> Master to </w:t>
      </w:r>
      <w:r w:rsidR="004B49B4">
        <w:t>“</w:t>
      </w:r>
      <w:r w:rsidR="0015261C" w:rsidRPr="0000529A">
        <w:t>consent to the sale</w:t>
      </w:r>
      <w:r w:rsidR="004B49B4">
        <w:t>”</w:t>
      </w:r>
      <w:r w:rsidR="0015261C" w:rsidRPr="0000529A">
        <w:t xml:space="preserve"> of the farms</w:t>
      </w:r>
      <w:r w:rsidR="00A548F1" w:rsidRPr="0000529A">
        <w:t>,</w:t>
      </w:r>
      <w:r w:rsidR="0015261C" w:rsidRPr="0000529A">
        <w:t xml:space="preserve"> it was indicated that the beneficiaries generally objected to the sale of the farms, the Master issued two consents to sale on the 25</w:t>
      </w:r>
      <w:r w:rsidR="0015261C" w:rsidRPr="0000529A">
        <w:rPr>
          <w:vertAlign w:val="superscript"/>
        </w:rPr>
        <w:t>th</w:t>
      </w:r>
      <w:r w:rsidR="0015261C" w:rsidRPr="0000529A">
        <w:t xml:space="preserve"> of January 2018 with the third consent being granted on the 18</w:t>
      </w:r>
      <w:r w:rsidR="0015261C" w:rsidRPr="0000529A">
        <w:rPr>
          <w:vertAlign w:val="superscript"/>
        </w:rPr>
        <w:t>th</w:t>
      </w:r>
      <w:r w:rsidR="0015261C" w:rsidRPr="0000529A">
        <w:t xml:space="preserve"> of October 2019. The Master </w:t>
      </w:r>
      <w:r w:rsidR="00755167" w:rsidRPr="0000529A">
        <w:t xml:space="preserve">made no effort to engage the beneficiaries with regards to the sale of the farms. Had he done so it would have been brought to his attention that </w:t>
      </w:r>
      <w:r w:rsidR="0015261C" w:rsidRPr="0000529A">
        <w:t>there was a butchery in Kwe</w:t>
      </w:r>
      <w:r w:rsidR="000F7D06" w:rsidRPr="0000529A">
        <w:t>k</w:t>
      </w:r>
      <w:r w:rsidR="0015261C" w:rsidRPr="0000529A">
        <w:t xml:space="preserve">we which could be sold as an alternative to recover costs to settle the estate liabilities. </w:t>
      </w:r>
    </w:p>
    <w:p w14:paraId="46968432" w14:textId="77777777" w:rsidR="001D7776" w:rsidRPr="0000529A" w:rsidRDefault="001D7776" w:rsidP="0015261C">
      <w:pPr>
        <w:spacing w:line="480" w:lineRule="auto"/>
        <w:jc w:val="both"/>
      </w:pPr>
    </w:p>
    <w:p w14:paraId="5FBB5B14" w14:textId="3B74788D" w:rsidR="0015261C" w:rsidRPr="0000529A" w:rsidRDefault="0015412A" w:rsidP="00525204">
      <w:pPr>
        <w:spacing w:line="480" w:lineRule="auto"/>
        <w:ind w:left="720" w:hanging="720"/>
        <w:jc w:val="both"/>
      </w:pPr>
      <w:r w:rsidRPr="0000529A">
        <w:t>[2</w:t>
      </w:r>
      <w:r w:rsidR="007D0797" w:rsidRPr="0000529A">
        <w:t>6</w:t>
      </w:r>
      <w:r w:rsidR="0015261C" w:rsidRPr="0000529A">
        <w:t xml:space="preserve">] </w:t>
      </w:r>
      <w:r w:rsidR="0000529A">
        <w:t xml:space="preserve">  </w:t>
      </w:r>
      <w:r w:rsidR="0015261C" w:rsidRPr="0000529A">
        <w:t>The facts of this case clearly paint a picture of a situation whereby the Master did not apply his mind to the facts before him</w:t>
      </w:r>
      <w:r w:rsidR="00755167" w:rsidRPr="0000529A">
        <w:t xml:space="preserve">. He </w:t>
      </w:r>
      <w:r w:rsidR="000F7D06" w:rsidRPr="0000529A">
        <w:t xml:space="preserve">failed to </w:t>
      </w:r>
      <w:r w:rsidR="00141A10" w:rsidRPr="0000529A">
        <w:t xml:space="preserve">formulate his own opinion </w:t>
      </w:r>
      <w:r w:rsidR="000F7D06" w:rsidRPr="0000529A">
        <w:t xml:space="preserve">and </w:t>
      </w:r>
      <w:r w:rsidR="00141A10" w:rsidRPr="0000529A">
        <w:t>relied on the executor’s decision</w:t>
      </w:r>
      <w:r w:rsidR="0015261C" w:rsidRPr="0000529A">
        <w:t>. In the exercise of his duties in terms of s 120 of the Administration of</w:t>
      </w:r>
      <w:r w:rsidR="00141A10" w:rsidRPr="0000529A">
        <w:t xml:space="preserve"> Estates Act the Master ought to have carried </w:t>
      </w:r>
      <w:r w:rsidR="00755167" w:rsidRPr="0000529A">
        <w:t>out an</w:t>
      </w:r>
      <w:r w:rsidR="00141A10" w:rsidRPr="0000529A">
        <w:t xml:space="preserve"> </w:t>
      </w:r>
      <w:r w:rsidR="0015261C" w:rsidRPr="0000529A">
        <w:t>inquiry</w:t>
      </w:r>
      <w:r w:rsidR="00141A10" w:rsidRPr="0000529A">
        <w:t xml:space="preserve"> into all the circumstances of the case. The fact that there was a buyer already </w:t>
      </w:r>
      <w:r w:rsidR="00FB3853">
        <w:t>i</w:t>
      </w:r>
      <w:r w:rsidR="00141A10" w:rsidRPr="0000529A">
        <w:t xml:space="preserve">n the wings offering to purchase the three properties should have raised a red flag </w:t>
      </w:r>
      <w:r w:rsidR="00755167" w:rsidRPr="0000529A">
        <w:t>which warranted further inquiry.</w:t>
      </w:r>
      <w:r w:rsidR="0015261C" w:rsidRPr="0000529A">
        <w:t xml:space="preserve"> </w:t>
      </w:r>
      <w:r w:rsidR="00FB3853">
        <w:t>So</w:t>
      </w:r>
      <w:r w:rsidR="00737F31">
        <w:t>,</w:t>
      </w:r>
      <w:r w:rsidR="00FB3853">
        <w:t xml:space="preserve"> too</w:t>
      </w:r>
      <w:r w:rsidR="00737F31">
        <w:t>,</w:t>
      </w:r>
      <w:r w:rsidR="00FB3853">
        <w:t xml:space="preserve"> the letter by the executor stat</w:t>
      </w:r>
      <w:r w:rsidR="00245725">
        <w:t>ing</w:t>
      </w:r>
      <w:r w:rsidR="00FB3853">
        <w:t xml:space="preserve"> that the beneficiaries were generally opposed to the sale. </w:t>
      </w:r>
      <w:r w:rsidR="0015261C" w:rsidRPr="0000529A">
        <w:t>This decision was particularly unreasonable when one takes into account that there was another property in the estate which could have been sold to meet the estate liabilities</w:t>
      </w:r>
      <w:r w:rsidR="00755167" w:rsidRPr="0000529A">
        <w:t xml:space="preserve"> instead of disposing of the three farms</w:t>
      </w:r>
      <w:r w:rsidR="0015261C" w:rsidRPr="0000529A">
        <w:t>.</w:t>
      </w:r>
    </w:p>
    <w:p w14:paraId="175A43C4" w14:textId="77777777" w:rsidR="001D7776" w:rsidRPr="0000529A" w:rsidRDefault="001D7776" w:rsidP="0015261C">
      <w:pPr>
        <w:spacing w:line="480" w:lineRule="auto"/>
        <w:jc w:val="both"/>
      </w:pPr>
    </w:p>
    <w:p w14:paraId="7CE66242" w14:textId="7275443D" w:rsidR="001D7776" w:rsidRPr="0000529A" w:rsidRDefault="00282693" w:rsidP="00525204">
      <w:pPr>
        <w:spacing w:line="480" w:lineRule="auto"/>
        <w:ind w:left="900" w:hanging="900"/>
        <w:jc w:val="both"/>
        <w:rPr>
          <w:rFonts w:eastAsiaTheme="minorHAnsi"/>
          <w:color w:val="000000"/>
          <w:lang w:val="en-ZW"/>
        </w:rPr>
      </w:pPr>
      <w:r w:rsidRPr="0000529A">
        <w:t xml:space="preserve"> </w:t>
      </w:r>
      <w:r w:rsidR="0015412A" w:rsidRPr="0000529A">
        <w:t>[2</w:t>
      </w:r>
      <w:r w:rsidR="007D0797" w:rsidRPr="0000529A">
        <w:t>7</w:t>
      </w:r>
      <w:r w:rsidR="00141A10" w:rsidRPr="0000529A">
        <w:t xml:space="preserve">] </w:t>
      </w:r>
      <w:r w:rsidR="0000529A">
        <w:t xml:space="preserve">   </w:t>
      </w:r>
      <w:r w:rsidR="003101AA" w:rsidRPr="0000529A">
        <w:t>I</w:t>
      </w:r>
      <w:r w:rsidR="00F55A3E" w:rsidRPr="0000529A">
        <w:t>t should be noted that in</w:t>
      </w:r>
      <w:r w:rsidR="00D43EC0" w:rsidRPr="0000529A">
        <w:t xml:space="preserve"> arriving at</w:t>
      </w:r>
      <w:r w:rsidR="00F55A3E" w:rsidRPr="0000529A">
        <w:t xml:space="preserve"> a decision of whether or not to sell a property by private </w:t>
      </w:r>
      <w:r w:rsidR="00700E5F" w:rsidRPr="0000529A">
        <w:t>treaty</w:t>
      </w:r>
      <w:r w:rsidR="002A2ADA" w:rsidRPr="0000529A">
        <w:t xml:space="preserve"> the Master does not operate in a vacuum. </w:t>
      </w:r>
      <w:r w:rsidR="00700E5F" w:rsidRPr="0000529A">
        <w:t>He must take int</w:t>
      </w:r>
      <w:r w:rsidR="00141A10" w:rsidRPr="0000529A">
        <w:t>o account various competing interests</w:t>
      </w:r>
      <w:r w:rsidR="00700E5F" w:rsidRPr="0000529A">
        <w:t xml:space="preserve"> the most important of which</w:t>
      </w:r>
      <w:r w:rsidR="00755167" w:rsidRPr="0000529A">
        <w:t xml:space="preserve"> is that</w:t>
      </w:r>
      <w:r w:rsidR="00700E5F" w:rsidRPr="0000529A">
        <w:t xml:space="preserve"> h</w:t>
      </w:r>
      <w:r w:rsidR="002A2ADA" w:rsidRPr="0000529A">
        <w:t xml:space="preserve">e must </w:t>
      </w:r>
      <w:r w:rsidR="00741EB3" w:rsidRPr="0000529A">
        <w:t>be satisfied that he is acting in the best interests of the b</w:t>
      </w:r>
      <w:r w:rsidR="00B80558" w:rsidRPr="0000529A">
        <w:t>eneficiaries</w:t>
      </w:r>
      <w:r w:rsidR="00741EB3" w:rsidRPr="0000529A">
        <w:t xml:space="preserve">. </w:t>
      </w:r>
      <w:r w:rsidR="00DC50F2" w:rsidRPr="0000529A">
        <w:t xml:space="preserve">Section 3 of the Administrative Justice Act requires that he acts in a </w:t>
      </w:r>
      <w:r w:rsidR="00755167" w:rsidRPr="0000529A">
        <w:t>lawful, reasonable and</w:t>
      </w:r>
      <w:r w:rsidR="0066481E" w:rsidRPr="0000529A">
        <w:t xml:space="preserve"> </w:t>
      </w:r>
      <w:r w:rsidR="00AB5F62" w:rsidRPr="0000529A">
        <w:t xml:space="preserve">fair </w:t>
      </w:r>
      <w:r w:rsidR="00DC50F2" w:rsidRPr="0000529A">
        <w:t>manner.</w:t>
      </w:r>
      <w:r w:rsidR="00DC50F2" w:rsidRPr="0000529A">
        <w:rPr>
          <w:rFonts w:eastAsiaTheme="minorHAnsi"/>
          <w:color w:val="000000"/>
          <w:lang w:val="en-ZW"/>
        </w:rPr>
        <w:t xml:space="preserve"> </w:t>
      </w:r>
      <w:r w:rsidR="00B80558" w:rsidRPr="0000529A">
        <w:rPr>
          <w:rFonts w:eastAsiaTheme="minorHAnsi"/>
          <w:color w:val="000000"/>
          <w:lang w:val="en-ZW"/>
        </w:rPr>
        <w:t>In this case the Master</w:t>
      </w:r>
      <w:r w:rsidR="00E56C2D" w:rsidRPr="0000529A">
        <w:rPr>
          <w:rFonts w:eastAsiaTheme="minorHAnsi"/>
          <w:color w:val="000000"/>
          <w:lang w:val="en-ZW"/>
        </w:rPr>
        <w:t xml:space="preserve"> did not</w:t>
      </w:r>
      <w:r w:rsidR="00B80558" w:rsidRPr="0000529A">
        <w:rPr>
          <w:rFonts w:eastAsiaTheme="minorHAnsi"/>
          <w:color w:val="000000"/>
          <w:lang w:val="en-ZW"/>
        </w:rPr>
        <w:t xml:space="preserve"> question whether</w:t>
      </w:r>
      <w:r w:rsidR="00141A10" w:rsidRPr="0000529A">
        <w:rPr>
          <w:rFonts w:eastAsiaTheme="minorHAnsi"/>
          <w:color w:val="000000"/>
          <w:lang w:val="en-ZW"/>
        </w:rPr>
        <w:t xml:space="preserve"> or not</w:t>
      </w:r>
      <w:r w:rsidR="00B80558" w:rsidRPr="0000529A">
        <w:rPr>
          <w:rFonts w:eastAsiaTheme="minorHAnsi"/>
          <w:color w:val="000000"/>
          <w:lang w:val="en-ZW"/>
        </w:rPr>
        <w:t xml:space="preserve"> it was in the interest of the beneficiaries to sell three farms in order to pay US$14</w:t>
      </w:r>
      <w:r w:rsidR="004312FC" w:rsidRPr="0000529A">
        <w:rPr>
          <w:rFonts w:eastAsiaTheme="minorHAnsi"/>
          <w:color w:val="000000"/>
          <w:lang w:val="en-ZW"/>
        </w:rPr>
        <w:t xml:space="preserve"> 047</w:t>
      </w:r>
      <w:r w:rsidR="00B80558" w:rsidRPr="0000529A">
        <w:rPr>
          <w:rFonts w:eastAsiaTheme="minorHAnsi"/>
          <w:color w:val="000000"/>
          <w:lang w:val="en-ZW"/>
        </w:rPr>
        <w:t xml:space="preserve"> that</w:t>
      </w:r>
      <w:r w:rsidR="003101AA" w:rsidRPr="0000529A">
        <w:rPr>
          <w:rFonts w:eastAsiaTheme="minorHAnsi"/>
          <w:color w:val="000000"/>
          <w:lang w:val="en-ZW"/>
        </w:rPr>
        <w:t xml:space="preserve"> was</w:t>
      </w:r>
      <w:r w:rsidR="00B80558" w:rsidRPr="0000529A">
        <w:rPr>
          <w:rFonts w:eastAsiaTheme="minorHAnsi"/>
          <w:color w:val="000000"/>
          <w:lang w:val="en-ZW"/>
        </w:rPr>
        <w:t xml:space="preserve"> owed</w:t>
      </w:r>
      <w:r w:rsidR="00E56C2D" w:rsidRPr="0000529A">
        <w:rPr>
          <w:rFonts w:eastAsiaTheme="minorHAnsi"/>
          <w:color w:val="000000"/>
          <w:lang w:val="en-ZW"/>
        </w:rPr>
        <w:t xml:space="preserve"> by the Estate</w:t>
      </w:r>
      <w:r w:rsidR="00755167" w:rsidRPr="0000529A">
        <w:rPr>
          <w:rFonts w:eastAsiaTheme="minorHAnsi"/>
          <w:color w:val="000000"/>
          <w:lang w:val="en-ZW"/>
        </w:rPr>
        <w:t xml:space="preserve">. Indeed, had the Master applied his mind to the facts </w:t>
      </w:r>
      <w:r w:rsidR="00B257C1" w:rsidRPr="0000529A">
        <w:rPr>
          <w:rFonts w:eastAsiaTheme="minorHAnsi"/>
          <w:color w:val="000000"/>
          <w:lang w:val="en-ZW"/>
        </w:rPr>
        <w:t>he would have realised</w:t>
      </w:r>
      <w:r w:rsidR="00B80558" w:rsidRPr="0000529A">
        <w:rPr>
          <w:rFonts w:eastAsiaTheme="minorHAnsi"/>
          <w:color w:val="000000"/>
          <w:lang w:val="en-ZW"/>
        </w:rPr>
        <w:t xml:space="preserve"> that selling t</w:t>
      </w:r>
      <w:r w:rsidR="0066481E" w:rsidRPr="0000529A">
        <w:rPr>
          <w:rFonts w:eastAsiaTheme="minorHAnsi"/>
          <w:color w:val="000000"/>
          <w:lang w:val="en-ZW"/>
        </w:rPr>
        <w:t>hree farms in order to pay such a paltry amount was unreasonable</w:t>
      </w:r>
      <w:r w:rsidR="00141A10" w:rsidRPr="0000529A">
        <w:rPr>
          <w:rFonts w:eastAsiaTheme="minorHAnsi"/>
          <w:color w:val="000000"/>
          <w:lang w:val="en-ZW"/>
        </w:rPr>
        <w:t xml:space="preserve"> and unfair</w:t>
      </w:r>
      <w:r w:rsidR="00B257C1" w:rsidRPr="0000529A">
        <w:rPr>
          <w:rFonts w:eastAsiaTheme="minorHAnsi"/>
          <w:color w:val="000000"/>
          <w:lang w:val="en-ZW"/>
        </w:rPr>
        <w:t xml:space="preserve"> on the beneficiaries. It should be noted that the inquiry required</w:t>
      </w:r>
      <w:r w:rsidR="0066481E" w:rsidRPr="0000529A">
        <w:rPr>
          <w:rFonts w:eastAsiaTheme="minorHAnsi"/>
          <w:color w:val="000000"/>
          <w:lang w:val="en-ZW"/>
        </w:rPr>
        <w:t xml:space="preserve"> </w:t>
      </w:r>
      <w:r w:rsidR="00B257C1" w:rsidRPr="0000529A">
        <w:rPr>
          <w:rFonts w:eastAsiaTheme="minorHAnsi"/>
          <w:color w:val="000000"/>
          <w:lang w:val="en-ZW"/>
        </w:rPr>
        <w:t>by s120 of the</w:t>
      </w:r>
      <w:r w:rsidR="00141A10" w:rsidRPr="0000529A">
        <w:rPr>
          <w:rFonts w:eastAsiaTheme="minorHAnsi"/>
          <w:color w:val="000000"/>
          <w:lang w:val="en-ZW"/>
        </w:rPr>
        <w:t xml:space="preserve"> Administration of Estates Act and the authorities cited above, </w:t>
      </w:r>
      <w:r w:rsidR="0066481E" w:rsidRPr="0000529A">
        <w:rPr>
          <w:rFonts w:eastAsiaTheme="minorHAnsi"/>
          <w:color w:val="000000"/>
          <w:lang w:val="en-ZW"/>
        </w:rPr>
        <w:t>is not a judicial inquiry</w:t>
      </w:r>
      <w:r w:rsidR="00105941" w:rsidRPr="0000529A">
        <w:rPr>
          <w:rFonts w:eastAsiaTheme="minorHAnsi"/>
          <w:color w:val="000000"/>
          <w:lang w:val="en-ZW"/>
        </w:rPr>
        <w:t>,</w:t>
      </w:r>
      <w:r w:rsidR="0066481E" w:rsidRPr="0000529A">
        <w:rPr>
          <w:rFonts w:eastAsiaTheme="minorHAnsi"/>
          <w:color w:val="000000"/>
          <w:lang w:val="en-ZW"/>
        </w:rPr>
        <w:t xml:space="preserve"> but a simple inquiry merely to ascertain the facts and for the Master to satisfy himself that he is indeed acting in the best interest of the beneficiaries. </w:t>
      </w:r>
      <w:r w:rsidR="00BB28F4" w:rsidRPr="0000529A">
        <w:rPr>
          <w:rFonts w:eastAsiaTheme="minorHAnsi"/>
          <w:color w:val="000000"/>
          <w:lang w:val="en-ZW"/>
        </w:rPr>
        <w:t xml:space="preserve">Had </w:t>
      </w:r>
      <w:r w:rsidR="00141A10" w:rsidRPr="0000529A">
        <w:rPr>
          <w:rFonts w:eastAsiaTheme="minorHAnsi"/>
          <w:color w:val="000000"/>
          <w:lang w:val="en-ZW"/>
        </w:rPr>
        <w:t>the Master acted in this</w:t>
      </w:r>
      <w:r w:rsidR="00BB28F4" w:rsidRPr="0000529A">
        <w:rPr>
          <w:rFonts w:eastAsiaTheme="minorHAnsi"/>
          <w:color w:val="000000"/>
          <w:lang w:val="en-ZW"/>
        </w:rPr>
        <w:t xml:space="preserve"> manner he would have sought the views of the beneficiaries</w:t>
      </w:r>
      <w:r w:rsidR="0066481E" w:rsidRPr="0000529A">
        <w:rPr>
          <w:rFonts w:eastAsiaTheme="minorHAnsi"/>
          <w:color w:val="000000"/>
          <w:lang w:val="en-ZW"/>
        </w:rPr>
        <w:t xml:space="preserve">. A simple letter asking </w:t>
      </w:r>
      <w:r w:rsidR="00B257C1" w:rsidRPr="0000529A">
        <w:rPr>
          <w:rFonts w:eastAsiaTheme="minorHAnsi"/>
          <w:color w:val="000000"/>
          <w:lang w:val="en-ZW"/>
        </w:rPr>
        <w:t xml:space="preserve">for </w:t>
      </w:r>
      <w:r w:rsidR="0066481E" w:rsidRPr="0000529A">
        <w:rPr>
          <w:rFonts w:eastAsiaTheme="minorHAnsi"/>
          <w:color w:val="000000"/>
          <w:lang w:val="en-ZW"/>
        </w:rPr>
        <w:t xml:space="preserve">their views on the matter would have been </w:t>
      </w:r>
      <w:r w:rsidR="00B257C1" w:rsidRPr="0000529A">
        <w:rPr>
          <w:rFonts w:eastAsiaTheme="minorHAnsi"/>
          <w:color w:val="000000"/>
          <w:lang w:val="en-ZW"/>
        </w:rPr>
        <w:t xml:space="preserve">more than </w:t>
      </w:r>
      <w:r w:rsidR="0066481E" w:rsidRPr="0000529A">
        <w:rPr>
          <w:rFonts w:eastAsiaTheme="minorHAnsi"/>
          <w:color w:val="000000"/>
          <w:lang w:val="en-ZW"/>
        </w:rPr>
        <w:t>sufficient.</w:t>
      </w:r>
    </w:p>
    <w:p w14:paraId="032A0AB2" w14:textId="2D5476B0" w:rsidR="0066481E" w:rsidRPr="0000529A" w:rsidRDefault="00B257C1" w:rsidP="001D7776">
      <w:pPr>
        <w:jc w:val="both"/>
      </w:pPr>
      <w:r w:rsidRPr="0000529A">
        <w:t xml:space="preserve"> </w:t>
      </w:r>
      <w:r w:rsidR="003101AA" w:rsidRPr="0000529A">
        <w:t xml:space="preserve"> </w:t>
      </w:r>
    </w:p>
    <w:p w14:paraId="5CCB91E6" w14:textId="284BD49D" w:rsidR="00EE2F40" w:rsidRPr="0000529A" w:rsidRDefault="0015412A" w:rsidP="00525204">
      <w:pPr>
        <w:spacing w:before="240" w:after="240" w:line="480" w:lineRule="auto"/>
        <w:ind w:left="810" w:hanging="810"/>
        <w:jc w:val="both"/>
      </w:pPr>
      <w:r w:rsidRPr="0000529A">
        <w:t>[2</w:t>
      </w:r>
      <w:r w:rsidR="007D0797" w:rsidRPr="0000529A">
        <w:t>8</w:t>
      </w:r>
      <w:r w:rsidR="0066481E" w:rsidRPr="0000529A">
        <w:t xml:space="preserve">] </w:t>
      </w:r>
      <w:r w:rsidR="00994653">
        <w:t xml:space="preserve">    </w:t>
      </w:r>
      <w:r w:rsidR="0066481E" w:rsidRPr="0000529A">
        <w:t>It is trite that t</w:t>
      </w:r>
      <w:r w:rsidR="003101AA" w:rsidRPr="0000529A">
        <w:t>he right to be heard is a basic ten</w:t>
      </w:r>
      <w:r w:rsidR="002B6F38" w:rsidRPr="0000529A">
        <w:t>e</w:t>
      </w:r>
      <w:r w:rsidR="003101AA" w:rsidRPr="0000529A">
        <w:t xml:space="preserve">t of our law. </w:t>
      </w:r>
      <w:r w:rsidR="0066481E" w:rsidRPr="0000529A">
        <w:t>Where the</w:t>
      </w:r>
      <w:r w:rsidR="00B257C1" w:rsidRPr="0000529A">
        <w:t xml:space="preserve"> Master intends to make a decision affecting the rights of beneficiaries it is incumbent </w:t>
      </w:r>
      <w:r w:rsidR="002B6F38" w:rsidRPr="0000529A">
        <w:t>upon him that he affords them</w:t>
      </w:r>
      <w:r w:rsidR="00B257C1" w:rsidRPr="0000529A">
        <w:t xml:space="preserve"> an opportunity to present their side of the matter</w:t>
      </w:r>
      <w:r w:rsidR="0066481E" w:rsidRPr="0000529A">
        <w:t xml:space="preserve">. In my view, </w:t>
      </w:r>
      <w:r w:rsidR="000F7D06" w:rsidRPr="0000529A">
        <w:t xml:space="preserve">the importance of </w:t>
      </w:r>
      <w:r w:rsidR="0066481E" w:rsidRPr="0000529A">
        <w:t xml:space="preserve">this </w:t>
      </w:r>
      <w:r w:rsidR="000F7D06" w:rsidRPr="0000529A">
        <w:t>right is of particular import</w:t>
      </w:r>
      <w:r w:rsidR="0066481E" w:rsidRPr="0000529A">
        <w:t xml:space="preserve"> given that a sale by private treaty does not have the protection and transparency associated w</w:t>
      </w:r>
      <w:r w:rsidR="00B257C1" w:rsidRPr="0000529A">
        <w:t>ith a public auction. It is the</w:t>
      </w:r>
      <w:r w:rsidR="0066481E" w:rsidRPr="0000529A">
        <w:t xml:space="preserve"> objections or concerns raised by the beneficiaries which </w:t>
      </w:r>
      <w:r w:rsidR="0066481E" w:rsidRPr="0000529A">
        <w:lastRenderedPageBreak/>
        <w:t>lead the Master into</w:t>
      </w:r>
      <w:r w:rsidR="00A70C9E" w:rsidRPr="0000529A">
        <w:t xml:space="preserve"> making an appropriate</w:t>
      </w:r>
      <w:r w:rsidR="0066481E" w:rsidRPr="0000529A">
        <w:t xml:space="preserve"> deci</w:t>
      </w:r>
      <w:r w:rsidR="00A70C9E" w:rsidRPr="0000529A">
        <w:t>sion.</w:t>
      </w:r>
      <w:r w:rsidR="0066481E" w:rsidRPr="0000529A">
        <w:t xml:space="preserve"> In essence therefore, the Master</w:t>
      </w:r>
      <w:r w:rsidR="00A70C9E" w:rsidRPr="0000529A">
        <w:t>,</w:t>
      </w:r>
      <w:r w:rsidR="0066481E" w:rsidRPr="0000529A">
        <w:t xml:space="preserve"> in carrying out the </w:t>
      </w:r>
      <w:r w:rsidR="00B257C1" w:rsidRPr="0000529A">
        <w:t>inquiry</w:t>
      </w:r>
      <w:r w:rsidR="0066481E" w:rsidRPr="0000529A">
        <w:t xml:space="preserve"> must afford the beneficiaries a chance to be heard.</w:t>
      </w:r>
    </w:p>
    <w:p w14:paraId="7E26058C" w14:textId="08A91E51" w:rsidR="0066481E" w:rsidRPr="0000529A" w:rsidRDefault="0066481E" w:rsidP="00EE2F40">
      <w:pPr>
        <w:spacing w:before="240"/>
        <w:jc w:val="both"/>
      </w:pPr>
      <w:r w:rsidRPr="0000529A">
        <w:t xml:space="preserve">  </w:t>
      </w:r>
    </w:p>
    <w:p w14:paraId="331508B0" w14:textId="00284E53" w:rsidR="0066481E" w:rsidRPr="0000529A" w:rsidRDefault="0015412A" w:rsidP="00525204">
      <w:pPr>
        <w:spacing w:line="480" w:lineRule="auto"/>
        <w:ind w:left="810" w:hanging="810"/>
        <w:jc w:val="both"/>
      </w:pPr>
      <w:r w:rsidRPr="0000529A">
        <w:t>[2</w:t>
      </w:r>
      <w:r w:rsidR="007D0797" w:rsidRPr="0000529A">
        <w:t>9</w:t>
      </w:r>
      <w:r w:rsidR="0066481E" w:rsidRPr="0000529A">
        <w:t xml:space="preserve">] </w:t>
      </w:r>
      <w:r w:rsidR="00994653">
        <w:t xml:space="preserve">   </w:t>
      </w:r>
      <w:r w:rsidR="0066481E" w:rsidRPr="0000529A">
        <w:t xml:space="preserve">Section 69 of the Constitution provides for the right to be heard for all citizens before a court of law, judicial body, quasi-judicial body or administrative authority. The Master being a quasi-judicial officer with an administrative role must allow beneficiaries the right to be heard and the right to make objections or raise concerns over the administration of the estate. This is also in line with the statutory provision of s 3 (2) of the </w:t>
      </w:r>
      <w:r w:rsidR="004C478B" w:rsidRPr="0000529A">
        <w:t>Administrative Justice Act.</w:t>
      </w:r>
    </w:p>
    <w:p w14:paraId="41813327" w14:textId="77777777" w:rsidR="00361E36" w:rsidRPr="0000529A" w:rsidRDefault="00361E36" w:rsidP="004C478B">
      <w:pPr>
        <w:spacing w:line="276" w:lineRule="auto"/>
        <w:jc w:val="both"/>
        <w:rPr>
          <w:lang w:val="en-ZW"/>
        </w:rPr>
      </w:pPr>
    </w:p>
    <w:p w14:paraId="48FB2646" w14:textId="77777777" w:rsidR="0066481E" w:rsidRPr="0000529A" w:rsidRDefault="0066481E" w:rsidP="0066481E">
      <w:pPr>
        <w:spacing w:line="276" w:lineRule="auto"/>
        <w:jc w:val="both"/>
        <w:rPr>
          <w:lang w:val="en-ZW"/>
        </w:rPr>
      </w:pPr>
    </w:p>
    <w:p w14:paraId="6AF5A998" w14:textId="25517DFA" w:rsidR="005E4AD0" w:rsidRPr="0000529A" w:rsidRDefault="0015412A" w:rsidP="00525204">
      <w:pPr>
        <w:spacing w:line="480" w:lineRule="auto"/>
        <w:ind w:left="810" w:hanging="810"/>
        <w:jc w:val="both"/>
        <w:rPr>
          <w:lang w:val="en-ZW"/>
        </w:rPr>
      </w:pPr>
      <w:r w:rsidRPr="0000529A">
        <w:rPr>
          <w:lang w:val="en-ZW"/>
        </w:rPr>
        <w:t>[</w:t>
      </w:r>
      <w:r w:rsidR="007D0797" w:rsidRPr="0000529A">
        <w:rPr>
          <w:lang w:val="en-ZW"/>
        </w:rPr>
        <w:t>30</w:t>
      </w:r>
      <w:r w:rsidR="0066481E" w:rsidRPr="0000529A">
        <w:rPr>
          <w:lang w:val="en-ZW"/>
        </w:rPr>
        <w:t xml:space="preserve">] </w:t>
      </w:r>
      <w:r w:rsidR="00994653">
        <w:rPr>
          <w:lang w:val="en-ZW"/>
        </w:rPr>
        <w:t xml:space="preserve">  </w:t>
      </w:r>
      <w:r w:rsidR="00AF1843" w:rsidRPr="0000529A">
        <w:rPr>
          <w:lang w:val="en-ZW"/>
        </w:rPr>
        <w:t>I</w:t>
      </w:r>
      <w:r w:rsidR="0066481E" w:rsidRPr="0000529A">
        <w:rPr>
          <w:lang w:val="en-ZW"/>
        </w:rPr>
        <w:t>n</w:t>
      </w:r>
      <w:r w:rsidR="00AF1843" w:rsidRPr="0000529A">
        <w:rPr>
          <w:lang w:val="en-ZW"/>
        </w:rPr>
        <w:t xml:space="preserve"> the case of</w:t>
      </w:r>
      <w:r w:rsidR="0066481E" w:rsidRPr="0000529A">
        <w:rPr>
          <w:lang w:val="en-ZW"/>
        </w:rPr>
        <w:t xml:space="preserve"> </w:t>
      </w:r>
      <w:r w:rsidR="0066481E" w:rsidRPr="0000529A">
        <w:rPr>
          <w:i/>
          <w:lang w:val="en-ZW"/>
        </w:rPr>
        <w:t xml:space="preserve">Logan v Morris N. O. and </w:t>
      </w:r>
      <w:proofErr w:type="spellStart"/>
      <w:r w:rsidR="0066481E" w:rsidRPr="0000529A">
        <w:rPr>
          <w:i/>
          <w:lang w:val="en-ZW"/>
        </w:rPr>
        <w:t>Ors</w:t>
      </w:r>
      <w:proofErr w:type="spellEnd"/>
      <w:r w:rsidR="0066481E" w:rsidRPr="0000529A">
        <w:rPr>
          <w:lang w:val="en-ZW"/>
        </w:rPr>
        <w:t xml:space="preserve"> (</w:t>
      </w:r>
      <w:r w:rsidR="0066481E" w:rsidRPr="0000529A">
        <w:rPr>
          <w:i/>
          <w:lang w:val="en-ZW"/>
        </w:rPr>
        <w:t>supra</w:t>
      </w:r>
      <w:r w:rsidR="0066481E" w:rsidRPr="0000529A">
        <w:rPr>
          <w:lang w:val="en-ZW"/>
        </w:rPr>
        <w:t>)</w:t>
      </w:r>
      <w:r w:rsidR="002B6F38" w:rsidRPr="0000529A">
        <w:rPr>
          <w:lang w:val="en-ZW"/>
        </w:rPr>
        <w:t>at p 69</w:t>
      </w:r>
      <w:r w:rsidR="00D5326D" w:rsidRPr="0000529A">
        <w:rPr>
          <w:lang w:val="en-ZW"/>
        </w:rPr>
        <w:t>E-</w:t>
      </w:r>
      <w:r w:rsidR="005376D7" w:rsidRPr="0000529A">
        <w:rPr>
          <w:lang w:val="en-ZW"/>
        </w:rPr>
        <w:t>G</w:t>
      </w:r>
      <w:r w:rsidR="0066481E" w:rsidRPr="0000529A">
        <w:rPr>
          <w:lang w:val="en-ZW"/>
        </w:rPr>
        <w:t xml:space="preserve"> the court </w:t>
      </w:r>
      <w:r w:rsidR="005376D7" w:rsidRPr="0000529A">
        <w:rPr>
          <w:lang w:val="en-ZW"/>
        </w:rPr>
        <w:t xml:space="preserve">pertinently </w:t>
      </w:r>
      <w:r w:rsidR="005E4AD0" w:rsidRPr="0000529A">
        <w:rPr>
          <w:lang w:val="en-ZW"/>
        </w:rPr>
        <w:t>noted that:</w:t>
      </w:r>
    </w:p>
    <w:p w14:paraId="65F81934" w14:textId="0264E688" w:rsidR="0066481E" w:rsidRPr="0000529A" w:rsidRDefault="005E4AD0" w:rsidP="005E4AD0">
      <w:pPr>
        <w:ind w:left="1440"/>
        <w:jc w:val="both"/>
        <w:rPr>
          <w:lang w:val="en-ZW"/>
        </w:rPr>
      </w:pPr>
      <w:r w:rsidRPr="0000529A">
        <w:rPr>
          <w:lang w:val="en-ZW"/>
        </w:rPr>
        <w:t>“As</w:t>
      </w:r>
      <w:r w:rsidR="0066481E" w:rsidRPr="0000529A">
        <w:rPr>
          <w:lang w:val="en-ZW"/>
        </w:rPr>
        <w:t xml:space="preserve"> L</w:t>
      </w:r>
      <w:r w:rsidR="0066481E" w:rsidRPr="0000529A">
        <w:rPr>
          <w:sz w:val="22"/>
          <w:lang w:val="en-ZW"/>
        </w:rPr>
        <w:t>ORD</w:t>
      </w:r>
      <w:r w:rsidR="0066481E" w:rsidRPr="0000529A">
        <w:rPr>
          <w:lang w:val="en-ZW"/>
        </w:rPr>
        <w:t xml:space="preserve"> D</w:t>
      </w:r>
      <w:r w:rsidR="0066481E" w:rsidRPr="0000529A">
        <w:rPr>
          <w:sz w:val="22"/>
          <w:lang w:val="en-ZW"/>
        </w:rPr>
        <w:t>ENNING</w:t>
      </w:r>
      <w:r w:rsidRPr="0000529A">
        <w:rPr>
          <w:sz w:val="22"/>
          <w:lang w:val="en-ZW"/>
        </w:rPr>
        <w:t xml:space="preserve"> MR</w:t>
      </w:r>
      <w:r w:rsidR="0066481E" w:rsidRPr="0000529A">
        <w:rPr>
          <w:lang w:val="en-ZW"/>
        </w:rPr>
        <w:t xml:space="preserve">, </w:t>
      </w:r>
      <w:r w:rsidRPr="0000529A">
        <w:rPr>
          <w:lang w:val="en-ZW"/>
        </w:rPr>
        <w:t>said in</w:t>
      </w:r>
      <w:r w:rsidR="0066481E" w:rsidRPr="0000529A">
        <w:rPr>
          <w:lang w:val="en-ZW"/>
        </w:rPr>
        <w:t xml:space="preserve"> </w:t>
      </w:r>
      <w:r w:rsidR="0066481E" w:rsidRPr="0000529A">
        <w:rPr>
          <w:i/>
          <w:lang w:val="en-ZW"/>
        </w:rPr>
        <w:t xml:space="preserve">Breen v Amalgamated Engineering Union (now Amalgamated Engineering and Foundry Workers Union) &amp; </w:t>
      </w:r>
      <w:proofErr w:type="spellStart"/>
      <w:r w:rsidR="0066481E" w:rsidRPr="0000529A">
        <w:rPr>
          <w:i/>
          <w:lang w:val="en-ZW"/>
        </w:rPr>
        <w:t>Ors</w:t>
      </w:r>
      <w:proofErr w:type="spellEnd"/>
      <w:r w:rsidR="0066481E" w:rsidRPr="0000529A">
        <w:rPr>
          <w:i/>
          <w:lang w:val="en-ZW"/>
        </w:rPr>
        <w:t xml:space="preserve"> </w:t>
      </w:r>
      <w:r w:rsidR="0066481E" w:rsidRPr="0000529A">
        <w:rPr>
          <w:lang w:val="en-ZW"/>
        </w:rPr>
        <w:t>[1971] 2 QB 175; [1971</w:t>
      </w:r>
      <w:r w:rsidR="005376D7" w:rsidRPr="0000529A">
        <w:rPr>
          <w:lang w:val="en-ZW"/>
        </w:rPr>
        <w:t>] 1 All ER 1148 (CA) at 1153h-j:</w:t>
      </w:r>
    </w:p>
    <w:p w14:paraId="1E1E071C" w14:textId="77777777" w:rsidR="005E4AD0" w:rsidRPr="0000529A" w:rsidRDefault="005E4AD0" w:rsidP="005E4AD0">
      <w:pPr>
        <w:ind w:left="1440"/>
        <w:jc w:val="both"/>
        <w:rPr>
          <w:lang w:val="en-ZW"/>
        </w:rPr>
      </w:pPr>
    </w:p>
    <w:p w14:paraId="79EBCE8E" w14:textId="0A00E9C4" w:rsidR="0066481E" w:rsidRPr="0000529A" w:rsidRDefault="005E4AD0" w:rsidP="005E4AD0">
      <w:pPr>
        <w:ind w:left="2160"/>
        <w:jc w:val="both"/>
        <w:rPr>
          <w:lang w:val="en-ZW"/>
        </w:rPr>
      </w:pPr>
      <w:r w:rsidRPr="0000529A">
        <w:rPr>
          <w:lang w:val="en-ZW"/>
        </w:rPr>
        <w:t>‘</w:t>
      </w:r>
      <w:r w:rsidR="0066481E" w:rsidRPr="0000529A">
        <w:rPr>
          <w:lang w:val="en-ZW"/>
        </w:rPr>
        <w:t xml:space="preserve">It is now well settled that a statutory body, which is entrusted by a statute with </w:t>
      </w:r>
      <w:r w:rsidR="004312FC" w:rsidRPr="0000529A">
        <w:rPr>
          <w:lang w:val="en-ZW"/>
        </w:rPr>
        <w:t>discretion</w:t>
      </w:r>
      <w:r w:rsidR="0066481E" w:rsidRPr="0000529A">
        <w:rPr>
          <w:lang w:val="en-ZW"/>
        </w:rPr>
        <w:t>, must act fairly. It does not matter whether its functions are described as judicial or quasi-judicial on the one hand, or as administrative on the other hand, or what you will. Still, it must act fairly. It must, in a proper case, giv</w:t>
      </w:r>
      <w:r w:rsidR="00F97C2B" w:rsidRPr="0000529A">
        <w:rPr>
          <w:lang w:val="en-ZW"/>
        </w:rPr>
        <w:t>e a party a chance to be heard.</w:t>
      </w:r>
      <w:r w:rsidR="005376D7" w:rsidRPr="0000529A">
        <w:rPr>
          <w:lang w:val="en-ZW"/>
        </w:rPr>
        <w:t>’”</w:t>
      </w:r>
    </w:p>
    <w:p w14:paraId="423802E4" w14:textId="77777777" w:rsidR="00EE5F0B" w:rsidRPr="0000529A" w:rsidRDefault="00EE5F0B" w:rsidP="00525204">
      <w:pPr>
        <w:ind w:left="1440"/>
        <w:jc w:val="both"/>
        <w:rPr>
          <w:lang w:val="en-ZW"/>
        </w:rPr>
      </w:pPr>
    </w:p>
    <w:p w14:paraId="73ECA640" w14:textId="77777777" w:rsidR="005376D7" w:rsidRPr="0000529A" w:rsidRDefault="005376D7" w:rsidP="00C41DE5">
      <w:pPr>
        <w:jc w:val="both"/>
        <w:rPr>
          <w:lang w:val="en-ZW"/>
        </w:rPr>
      </w:pPr>
    </w:p>
    <w:p w14:paraId="11193972" w14:textId="3BE3397D" w:rsidR="00C41DE5" w:rsidRPr="0000529A" w:rsidRDefault="00C41DE5" w:rsidP="00C41DE5">
      <w:pPr>
        <w:spacing w:line="480" w:lineRule="auto"/>
        <w:ind w:left="720"/>
        <w:jc w:val="both"/>
        <w:rPr>
          <w:lang w:val="en-ZW"/>
        </w:rPr>
      </w:pPr>
      <w:r w:rsidRPr="0000529A">
        <w:rPr>
          <w:lang w:val="en-ZW"/>
        </w:rPr>
        <w:t>In the same case MCNALLY JA raised the question at p 69H:</w:t>
      </w:r>
    </w:p>
    <w:p w14:paraId="19CDC3AE" w14:textId="77777777" w:rsidR="00C41DE5" w:rsidRPr="0000529A" w:rsidRDefault="00C41DE5" w:rsidP="005E4AD0">
      <w:pPr>
        <w:ind w:left="1440"/>
        <w:jc w:val="both"/>
        <w:rPr>
          <w:lang w:val="en-ZW"/>
        </w:rPr>
      </w:pPr>
      <w:r w:rsidRPr="0000529A">
        <w:rPr>
          <w:lang w:val="en-ZW"/>
        </w:rPr>
        <w:t>“</w:t>
      </w:r>
      <w:r w:rsidR="0066481E" w:rsidRPr="0000529A">
        <w:rPr>
          <w:lang w:val="en-ZW"/>
        </w:rPr>
        <w:t xml:space="preserve">When should a party be given a chance to be heard? </w:t>
      </w:r>
    </w:p>
    <w:p w14:paraId="79D3AD95" w14:textId="4A3B6E07" w:rsidR="00EE5F0B" w:rsidRPr="0000529A" w:rsidRDefault="00C41DE5" w:rsidP="00C41DE5">
      <w:pPr>
        <w:ind w:left="1440" w:firstLine="720"/>
        <w:jc w:val="both"/>
        <w:rPr>
          <w:lang w:val="en-ZW"/>
        </w:rPr>
      </w:pPr>
      <w:r w:rsidRPr="0000529A">
        <w:rPr>
          <w:lang w:val="en-ZW"/>
        </w:rPr>
        <w:t>‘</w:t>
      </w:r>
      <w:r w:rsidR="00F97C2B" w:rsidRPr="0000529A">
        <w:rPr>
          <w:lang w:val="en-ZW"/>
        </w:rPr>
        <w:t>LORD DENNING</w:t>
      </w:r>
      <w:r w:rsidR="0066481E" w:rsidRPr="0000529A">
        <w:rPr>
          <w:lang w:val="en-ZW"/>
        </w:rPr>
        <w:t xml:space="preserve"> continued at 1154f-k:</w:t>
      </w:r>
    </w:p>
    <w:p w14:paraId="5C805EFE" w14:textId="48B71547" w:rsidR="00AD449F" w:rsidRPr="0000529A" w:rsidRDefault="0066481E" w:rsidP="00EE5F0B">
      <w:pPr>
        <w:ind w:left="720"/>
        <w:jc w:val="both"/>
        <w:rPr>
          <w:lang w:val="en-ZW"/>
        </w:rPr>
      </w:pPr>
      <w:r w:rsidRPr="0000529A">
        <w:rPr>
          <w:lang w:val="en-ZW"/>
        </w:rPr>
        <w:t xml:space="preserve"> </w:t>
      </w:r>
    </w:p>
    <w:p w14:paraId="666028A7" w14:textId="64F8E7D8" w:rsidR="0066481E" w:rsidRPr="0000529A" w:rsidRDefault="0066481E" w:rsidP="005E4AD0">
      <w:pPr>
        <w:ind w:left="2160"/>
        <w:jc w:val="both"/>
        <w:rPr>
          <w:lang w:val="en-ZW"/>
        </w:rPr>
      </w:pPr>
      <w:r w:rsidRPr="0000529A">
        <w:rPr>
          <w:lang w:val="en-ZW"/>
        </w:rPr>
        <w:t>Not always, but sometimes. It all depends on what is fair in the circumstances</w:t>
      </w:r>
      <w:r w:rsidR="00361E36" w:rsidRPr="0000529A">
        <w:rPr>
          <w:lang w:val="en-ZW"/>
        </w:rPr>
        <w:t xml:space="preserve"> …</w:t>
      </w:r>
      <w:r w:rsidR="005E4AD0" w:rsidRPr="0000529A">
        <w:rPr>
          <w:lang w:val="en-ZW"/>
        </w:rPr>
        <w:t>’</w:t>
      </w:r>
      <w:r w:rsidRPr="0000529A">
        <w:rPr>
          <w:lang w:val="en-ZW"/>
        </w:rPr>
        <w:t>”</w:t>
      </w:r>
    </w:p>
    <w:p w14:paraId="0F8CEEAF" w14:textId="77777777" w:rsidR="00FF03A1" w:rsidRPr="0000529A" w:rsidRDefault="00FF03A1" w:rsidP="00361E36">
      <w:pPr>
        <w:ind w:left="360"/>
        <w:jc w:val="both"/>
        <w:rPr>
          <w:lang w:val="en-ZW"/>
        </w:rPr>
      </w:pPr>
    </w:p>
    <w:p w14:paraId="2CAD68AC" w14:textId="77777777" w:rsidR="00FF03A1" w:rsidRPr="0000529A" w:rsidRDefault="00FF03A1" w:rsidP="00361E36">
      <w:pPr>
        <w:ind w:left="360"/>
        <w:jc w:val="both"/>
        <w:rPr>
          <w:lang w:val="en-ZW"/>
        </w:rPr>
      </w:pPr>
    </w:p>
    <w:p w14:paraId="12046D4E" w14:textId="77777777" w:rsidR="0066481E" w:rsidRPr="0000529A" w:rsidRDefault="0066481E" w:rsidP="0066481E">
      <w:pPr>
        <w:spacing w:line="360" w:lineRule="auto"/>
        <w:ind w:left="360"/>
        <w:jc w:val="both"/>
        <w:rPr>
          <w:lang w:val="en-ZW"/>
        </w:rPr>
      </w:pPr>
    </w:p>
    <w:p w14:paraId="6C1CE75E" w14:textId="65CC6995" w:rsidR="0066481E" w:rsidRPr="0000529A" w:rsidRDefault="0015412A" w:rsidP="00A50C1D">
      <w:pPr>
        <w:spacing w:line="480" w:lineRule="auto"/>
        <w:ind w:left="810" w:hanging="810"/>
        <w:jc w:val="both"/>
        <w:rPr>
          <w:lang w:val="en-ZW"/>
        </w:rPr>
      </w:pPr>
      <w:r w:rsidRPr="0000529A">
        <w:rPr>
          <w:lang w:val="en-ZW"/>
        </w:rPr>
        <w:t>[3</w:t>
      </w:r>
      <w:r w:rsidR="007D0797" w:rsidRPr="0000529A">
        <w:rPr>
          <w:lang w:val="en-ZW"/>
        </w:rPr>
        <w:t>1</w:t>
      </w:r>
      <w:r w:rsidR="00105941" w:rsidRPr="0000529A">
        <w:rPr>
          <w:lang w:val="en-ZW"/>
        </w:rPr>
        <w:t>]</w:t>
      </w:r>
      <w:r w:rsidR="0066481E" w:rsidRPr="0000529A">
        <w:rPr>
          <w:lang w:val="en-ZW"/>
        </w:rPr>
        <w:t xml:space="preserve"> </w:t>
      </w:r>
      <w:r w:rsidR="00994653">
        <w:rPr>
          <w:lang w:val="en-ZW"/>
        </w:rPr>
        <w:t xml:space="preserve">    </w:t>
      </w:r>
      <w:r w:rsidR="00CB3D7E" w:rsidRPr="0000529A">
        <w:rPr>
          <w:lang w:val="en-ZW"/>
        </w:rPr>
        <w:t xml:space="preserve">It is accepted that it is not every case where the Master must hear the beneficiaries before making a decision. However, the particular circumstances of this case cried out for the Master to hear the beneficiaries before making a decision. The amount which was due </w:t>
      </w:r>
      <w:r w:rsidR="00C80A16">
        <w:rPr>
          <w:lang w:val="en-ZW"/>
        </w:rPr>
        <w:t>by</w:t>
      </w:r>
      <w:r w:rsidR="00CB3D7E" w:rsidRPr="0000529A">
        <w:rPr>
          <w:lang w:val="en-ZW"/>
        </w:rPr>
        <w:t xml:space="preserve"> the estate, the fact that there was a ready buyer waiting to purchase the three farms and the fact that not one, but all three farms were to be sold</w:t>
      </w:r>
      <w:r w:rsidR="00FB3853">
        <w:rPr>
          <w:lang w:val="en-ZW"/>
        </w:rPr>
        <w:t xml:space="preserve"> to raise the small amount of USD 14 047</w:t>
      </w:r>
      <w:r w:rsidR="00CB3D7E" w:rsidRPr="0000529A">
        <w:rPr>
          <w:lang w:val="en-ZW"/>
        </w:rPr>
        <w:t xml:space="preserve"> should have alerted the Master that there was a need to hear the beneficiaries. T</w:t>
      </w:r>
      <w:r w:rsidR="0066481E" w:rsidRPr="0000529A">
        <w:rPr>
          <w:lang w:val="en-ZW"/>
        </w:rPr>
        <w:t>he Master</w:t>
      </w:r>
      <w:r w:rsidR="00CB3D7E" w:rsidRPr="0000529A">
        <w:rPr>
          <w:lang w:val="en-ZW"/>
        </w:rPr>
        <w:t>,</w:t>
      </w:r>
      <w:r w:rsidR="0066481E" w:rsidRPr="0000529A">
        <w:rPr>
          <w:lang w:val="en-ZW"/>
        </w:rPr>
        <w:t xml:space="preserve"> as an administrative body and custodian of the processing and finalization of deceased estates</w:t>
      </w:r>
      <w:r w:rsidR="00CB3D7E" w:rsidRPr="0000529A">
        <w:rPr>
          <w:lang w:val="en-ZW"/>
        </w:rPr>
        <w:t>, is duty bound to</w:t>
      </w:r>
      <w:r w:rsidR="0066481E" w:rsidRPr="0000529A">
        <w:rPr>
          <w:lang w:val="en-ZW"/>
        </w:rPr>
        <w:t xml:space="preserve"> guard </w:t>
      </w:r>
      <w:r w:rsidR="00CB3D7E" w:rsidRPr="0000529A">
        <w:rPr>
          <w:lang w:val="en-ZW"/>
        </w:rPr>
        <w:t xml:space="preserve">against the </w:t>
      </w:r>
      <w:r w:rsidR="00BC3612" w:rsidRPr="0000529A">
        <w:rPr>
          <w:lang w:val="en-ZW"/>
        </w:rPr>
        <w:t>excess</w:t>
      </w:r>
      <w:r w:rsidR="0001706C" w:rsidRPr="0000529A">
        <w:rPr>
          <w:lang w:val="en-ZW"/>
        </w:rPr>
        <w:t>es</w:t>
      </w:r>
      <w:r w:rsidR="00BC3612" w:rsidRPr="0000529A">
        <w:rPr>
          <w:lang w:val="en-ZW"/>
        </w:rPr>
        <w:t xml:space="preserve"> of</w:t>
      </w:r>
      <w:r w:rsidR="0066481E" w:rsidRPr="0000529A">
        <w:rPr>
          <w:lang w:val="en-ZW"/>
        </w:rPr>
        <w:t xml:space="preserve"> executors of esta</w:t>
      </w:r>
      <w:r w:rsidR="00CB3D7E" w:rsidRPr="0000529A">
        <w:rPr>
          <w:lang w:val="en-ZW"/>
        </w:rPr>
        <w:t xml:space="preserve">tes by ensuring </w:t>
      </w:r>
      <w:r w:rsidR="00EA78F0" w:rsidRPr="0000529A">
        <w:rPr>
          <w:lang w:val="en-ZW"/>
        </w:rPr>
        <w:t xml:space="preserve">that the </w:t>
      </w:r>
      <w:r w:rsidR="00105941" w:rsidRPr="0000529A">
        <w:rPr>
          <w:lang w:val="en-ZW"/>
        </w:rPr>
        <w:t>interests</w:t>
      </w:r>
      <w:r w:rsidR="00EA78F0" w:rsidRPr="0000529A">
        <w:rPr>
          <w:lang w:val="en-ZW"/>
        </w:rPr>
        <w:t xml:space="preserve"> of beneficiaries are protected. It could not have been the int</w:t>
      </w:r>
      <w:r w:rsidR="00105941" w:rsidRPr="0000529A">
        <w:rPr>
          <w:lang w:val="en-ZW"/>
        </w:rPr>
        <w:t>ention of the legislature, in enacting s</w:t>
      </w:r>
      <w:r w:rsidR="00FA54F1">
        <w:rPr>
          <w:lang w:val="en-ZW"/>
        </w:rPr>
        <w:t> </w:t>
      </w:r>
      <w:r w:rsidR="00105941" w:rsidRPr="0000529A">
        <w:rPr>
          <w:lang w:val="en-ZW"/>
        </w:rPr>
        <w:t xml:space="preserve">120, to provide for </w:t>
      </w:r>
      <w:r w:rsidR="00EA78F0" w:rsidRPr="0000529A">
        <w:rPr>
          <w:lang w:val="en-ZW"/>
        </w:rPr>
        <w:t>t</w:t>
      </w:r>
      <w:r w:rsidR="0066481E" w:rsidRPr="0000529A">
        <w:rPr>
          <w:lang w:val="en-ZW"/>
        </w:rPr>
        <w:t xml:space="preserve">he Master </w:t>
      </w:r>
      <w:r w:rsidR="00EA78F0" w:rsidRPr="0000529A">
        <w:rPr>
          <w:lang w:val="en-ZW"/>
        </w:rPr>
        <w:t xml:space="preserve">to merely </w:t>
      </w:r>
      <w:r w:rsidR="0066481E" w:rsidRPr="0000529A">
        <w:rPr>
          <w:lang w:val="en-ZW"/>
        </w:rPr>
        <w:t>rubber stamp the decisions of an executor, especially with regards to the disposal of estate property, without being satisfied that the sale of such property is warranted an</w:t>
      </w:r>
      <w:r w:rsidR="00BC3612" w:rsidRPr="0000529A">
        <w:rPr>
          <w:lang w:val="en-ZW"/>
        </w:rPr>
        <w:t xml:space="preserve">d is conducted </w:t>
      </w:r>
      <w:r w:rsidR="00EA78F0" w:rsidRPr="0000529A">
        <w:rPr>
          <w:lang w:val="en-ZW"/>
        </w:rPr>
        <w:t>in a fair and lawful manner.</w:t>
      </w:r>
      <w:r w:rsidR="0066481E" w:rsidRPr="0000529A">
        <w:rPr>
          <w:lang w:val="en-ZW"/>
        </w:rPr>
        <w:t xml:space="preserve"> </w:t>
      </w:r>
      <w:r w:rsidR="0066481E" w:rsidRPr="0000529A">
        <w:t>Th</w:t>
      </w:r>
      <w:r w:rsidR="008C24D3" w:rsidRPr="0000529A">
        <w:t xml:space="preserve">e failure by the Master to conduct </w:t>
      </w:r>
      <w:r w:rsidR="0066481E" w:rsidRPr="0000529A">
        <w:t>such a basic inquiry resulted in him failing to act lawfully, reasonably and fairly as an administrative aut</w:t>
      </w:r>
      <w:r w:rsidR="008C24D3" w:rsidRPr="0000529A">
        <w:t xml:space="preserve">hority. This failure in my view warrants </w:t>
      </w:r>
      <w:r w:rsidR="0066481E" w:rsidRPr="0000529A">
        <w:t xml:space="preserve">the setting aside </w:t>
      </w:r>
      <w:r w:rsidR="008C24D3" w:rsidRPr="0000529A">
        <w:t xml:space="preserve">of the </w:t>
      </w:r>
      <w:r w:rsidR="007451A8">
        <w:t>“</w:t>
      </w:r>
      <w:r w:rsidR="008C24D3" w:rsidRPr="0000529A">
        <w:t>consents to s</w:t>
      </w:r>
      <w:r w:rsidR="00A70C9E" w:rsidRPr="0000529A">
        <w:t>ell</w:t>
      </w:r>
      <w:r w:rsidR="007451A8">
        <w:t>”</w:t>
      </w:r>
      <w:r w:rsidR="008C24D3" w:rsidRPr="0000529A">
        <w:t>. T</w:t>
      </w:r>
      <w:r w:rsidR="0066481E" w:rsidRPr="0000529A">
        <w:t xml:space="preserve">he court </w:t>
      </w:r>
      <w:r w:rsidR="0066481E" w:rsidRPr="0000529A">
        <w:rPr>
          <w:i/>
        </w:rPr>
        <w:t>a quo’s</w:t>
      </w:r>
      <w:r w:rsidR="0066481E" w:rsidRPr="0000529A">
        <w:t xml:space="preserve"> </w:t>
      </w:r>
      <w:r w:rsidR="008C24D3" w:rsidRPr="0000529A">
        <w:t>finding that the Master</w:t>
      </w:r>
      <w:r w:rsidR="0066481E" w:rsidRPr="0000529A">
        <w:t xml:space="preserve"> had to formulate his opinion only after an inquiry had been made cannot be faulted in this regard.</w:t>
      </w:r>
    </w:p>
    <w:p w14:paraId="75AD7088" w14:textId="3B0C0538" w:rsidR="003101AA" w:rsidRPr="0000529A" w:rsidRDefault="003101AA" w:rsidP="003101AA">
      <w:pPr>
        <w:spacing w:line="480" w:lineRule="auto"/>
        <w:jc w:val="both"/>
        <w:rPr>
          <w:rFonts w:eastAsiaTheme="minorHAnsi"/>
          <w:color w:val="000000"/>
          <w:lang w:val="en-ZW"/>
        </w:rPr>
      </w:pPr>
      <w:r w:rsidRPr="0000529A">
        <w:t xml:space="preserve"> </w:t>
      </w:r>
    </w:p>
    <w:p w14:paraId="4EA17F83" w14:textId="44EF76AD" w:rsidR="00AE5544" w:rsidRPr="0000529A" w:rsidRDefault="0015412A" w:rsidP="00A50C1D">
      <w:pPr>
        <w:spacing w:line="480" w:lineRule="auto"/>
        <w:ind w:left="720" w:hanging="720"/>
        <w:jc w:val="both"/>
        <w:rPr>
          <w:rFonts w:eastAsiaTheme="minorHAnsi"/>
          <w:color w:val="000000"/>
          <w:lang w:val="en-ZW"/>
        </w:rPr>
      </w:pPr>
      <w:r w:rsidRPr="0000529A">
        <w:rPr>
          <w:rFonts w:eastAsiaTheme="minorHAnsi"/>
          <w:color w:val="000000"/>
          <w:lang w:val="en-ZW"/>
        </w:rPr>
        <w:t>[3</w:t>
      </w:r>
      <w:r w:rsidR="007D0797" w:rsidRPr="0000529A">
        <w:rPr>
          <w:rFonts w:eastAsiaTheme="minorHAnsi"/>
          <w:color w:val="000000"/>
          <w:lang w:val="en-ZW"/>
        </w:rPr>
        <w:t>2</w:t>
      </w:r>
      <w:proofErr w:type="gramStart"/>
      <w:r w:rsidR="00B80558" w:rsidRPr="0000529A">
        <w:rPr>
          <w:rFonts w:eastAsiaTheme="minorHAnsi"/>
          <w:color w:val="000000"/>
          <w:lang w:val="en-ZW"/>
        </w:rPr>
        <w:t xml:space="preserve">] </w:t>
      </w:r>
      <w:r w:rsidR="00994653">
        <w:rPr>
          <w:rFonts w:eastAsiaTheme="minorHAnsi"/>
          <w:color w:val="000000"/>
          <w:lang w:val="en-ZW"/>
        </w:rPr>
        <w:t xml:space="preserve"> </w:t>
      </w:r>
      <w:r w:rsidR="00DC50F2" w:rsidRPr="0000529A">
        <w:rPr>
          <w:rFonts w:eastAsiaTheme="minorHAnsi"/>
          <w:color w:val="000000"/>
          <w:lang w:val="en-ZW"/>
        </w:rPr>
        <w:t>I</w:t>
      </w:r>
      <w:r w:rsidR="00AA0F73" w:rsidRPr="0000529A">
        <w:rPr>
          <w:rFonts w:eastAsiaTheme="minorHAnsi"/>
          <w:color w:val="000000"/>
          <w:lang w:val="en-ZW"/>
        </w:rPr>
        <w:t>n</w:t>
      </w:r>
      <w:proofErr w:type="gramEnd"/>
      <w:r w:rsidR="00AA0F73" w:rsidRPr="0000529A">
        <w:rPr>
          <w:rFonts w:eastAsiaTheme="minorHAnsi"/>
          <w:color w:val="000000"/>
          <w:lang w:val="en-ZW"/>
        </w:rPr>
        <w:t xml:space="preserve"> my view sight must never be lost o</w:t>
      </w:r>
      <w:r w:rsidR="0001706C" w:rsidRPr="0000529A">
        <w:rPr>
          <w:rFonts w:eastAsiaTheme="minorHAnsi"/>
          <w:color w:val="000000"/>
          <w:lang w:val="en-ZW"/>
        </w:rPr>
        <w:t>f</w:t>
      </w:r>
      <w:r w:rsidR="00AA0F73" w:rsidRPr="0000529A">
        <w:rPr>
          <w:rFonts w:eastAsiaTheme="minorHAnsi"/>
          <w:color w:val="000000"/>
          <w:lang w:val="en-ZW"/>
        </w:rPr>
        <w:t xml:space="preserve"> the function of an executor in the administration of an estate. It</w:t>
      </w:r>
      <w:r w:rsidR="00DC50F2" w:rsidRPr="0000529A">
        <w:rPr>
          <w:rFonts w:eastAsiaTheme="minorHAnsi"/>
          <w:color w:val="000000"/>
          <w:lang w:val="en-ZW"/>
        </w:rPr>
        <w:t xml:space="preserve"> must</w:t>
      </w:r>
      <w:r w:rsidR="00B80558" w:rsidRPr="0000529A">
        <w:rPr>
          <w:rFonts w:eastAsiaTheme="minorHAnsi"/>
          <w:color w:val="000000"/>
          <w:lang w:val="en-ZW"/>
        </w:rPr>
        <w:t xml:space="preserve"> always</w:t>
      </w:r>
      <w:r w:rsidR="00DC50F2" w:rsidRPr="0000529A">
        <w:rPr>
          <w:rFonts w:eastAsiaTheme="minorHAnsi"/>
          <w:color w:val="000000"/>
          <w:lang w:val="en-ZW"/>
        </w:rPr>
        <w:t xml:space="preserve"> be borne in mind that estate property </w:t>
      </w:r>
      <w:r w:rsidR="00DC50F2" w:rsidRPr="0000529A">
        <w:rPr>
          <w:rFonts w:eastAsiaTheme="minorHAnsi"/>
          <w:color w:val="000000"/>
          <w:lang w:val="en-ZW"/>
        </w:rPr>
        <w:lastRenderedPageBreak/>
        <w:t>bequeathed to beneficiaries in a will</w:t>
      </w:r>
      <w:r w:rsidR="00AE4012" w:rsidRPr="0000529A">
        <w:rPr>
          <w:rFonts w:eastAsiaTheme="minorHAnsi"/>
          <w:color w:val="000000"/>
          <w:lang w:val="en-ZW"/>
        </w:rPr>
        <w:t xml:space="preserve"> is </w:t>
      </w:r>
      <w:r w:rsidR="00AA0F73" w:rsidRPr="0000529A">
        <w:rPr>
          <w:rFonts w:eastAsiaTheme="minorHAnsi"/>
          <w:color w:val="000000"/>
          <w:lang w:val="en-ZW"/>
        </w:rPr>
        <w:t xml:space="preserve">their </w:t>
      </w:r>
      <w:r w:rsidR="00AE4012" w:rsidRPr="0000529A">
        <w:rPr>
          <w:rFonts w:eastAsiaTheme="minorHAnsi"/>
          <w:color w:val="000000"/>
          <w:lang w:val="en-ZW"/>
        </w:rPr>
        <w:t>property</w:t>
      </w:r>
      <w:r w:rsidR="00AA0F73" w:rsidRPr="0000529A">
        <w:rPr>
          <w:rFonts w:eastAsiaTheme="minorHAnsi"/>
          <w:color w:val="000000"/>
          <w:lang w:val="en-ZW"/>
        </w:rPr>
        <w:t>.</w:t>
      </w:r>
      <w:r w:rsidR="00AE4012" w:rsidRPr="0000529A">
        <w:rPr>
          <w:rFonts w:eastAsiaTheme="minorHAnsi"/>
          <w:color w:val="000000"/>
          <w:lang w:val="en-ZW"/>
        </w:rPr>
        <w:t xml:space="preserve"> </w:t>
      </w:r>
      <w:r w:rsidR="00726D20" w:rsidRPr="0000529A">
        <w:rPr>
          <w:rFonts w:eastAsiaTheme="minorHAnsi"/>
          <w:color w:val="000000"/>
          <w:lang w:val="en-ZW"/>
        </w:rPr>
        <w:t>Thus,</w:t>
      </w:r>
      <w:r w:rsidR="00DC50F2" w:rsidRPr="0000529A">
        <w:rPr>
          <w:rFonts w:eastAsiaTheme="minorHAnsi"/>
          <w:color w:val="000000"/>
          <w:lang w:val="en-ZW"/>
        </w:rPr>
        <w:t xml:space="preserve"> any decision by the executor </w:t>
      </w:r>
      <w:r w:rsidR="00ED3F10" w:rsidRPr="0000529A">
        <w:rPr>
          <w:rFonts w:eastAsiaTheme="minorHAnsi"/>
          <w:color w:val="000000"/>
          <w:lang w:val="en-ZW"/>
        </w:rPr>
        <w:t>concerning estate</w:t>
      </w:r>
      <w:r w:rsidR="00DC50F2" w:rsidRPr="0000529A">
        <w:rPr>
          <w:rFonts w:eastAsiaTheme="minorHAnsi"/>
          <w:color w:val="000000"/>
          <w:lang w:val="en-ZW"/>
        </w:rPr>
        <w:t xml:space="preserve"> property must be made with the knowledge </w:t>
      </w:r>
      <w:r w:rsidR="002C1915" w:rsidRPr="0000529A">
        <w:rPr>
          <w:rFonts w:eastAsiaTheme="minorHAnsi"/>
          <w:color w:val="000000"/>
          <w:lang w:val="en-ZW"/>
        </w:rPr>
        <w:t>that, at law,</w:t>
      </w:r>
      <w:r w:rsidR="00DC50F2" w:rsidRPr="0000529A">
        <w:rPr>
          <w:rFonts w:eastAsiaTheme="minorHAnsi"/>
          <w:color w:val="000000"/>
          <w:lang w:val="en-ZW"/>
        </w:rPr>
        <w:t xml:space="preserve"> the</w:t>
      </w:r>
      <w:r w:rsidR="002C1915" w:rsidRPr="0000529A">
        <w:rPr>
          <w:rFonts w:eastAsiaTheme="minorHAnsi"/>
          <w:color w:val="000000"/>
          <w:lang w:val="en-ZW"/>
        </w:rPr>
        <w:t xml:space="preserve"> property belongs to the</w:t>
      </w:r>
      <w:r w:rsidR="00DC50F2" w:rsidRPr="0000529A">
        <w:rPr>
          <w:rFonts w:eastAsiaTheme="minorHAnsi"/>
          <w:color w:val="000000"/>
          <w:lang w:val="en-ZW"/>
        </w:rPr>
        <w:t xml:space="preserve"> beneficiarie</w:t>
      </w:r>
      <w:r w:rsidR="002C1915" w:rsidRPr="0000529A">
        <w:rPr>
          <w:rFonts w:eastAsiaTheme="minorHAnsi"/>
          <w:color w:val="000000"/>
          <w:lang w:val="en-ZW"/>
        </w:rPr>
        <w:t>s</w:t>
      </w:r>
      <w:r w:rsidR="00DC50F2" w:rsidRPr="0000529A">
        <w:rPr>
          <w:rFonts w:eastAsiaTheme="minorHAnsi"/>
          <w:color w:val="000000"/>
          <w:lang w:val="en-ZW"/>
        </w:rPr>
        <w:t xml:space="preserve">. </w:t>
      </w:r>
      <w:r w:rsidR="00726D20" w:rsidRPr="0000529A">
        <w:rPr>
          <w:rFonts w:eastAsiaTheme="minorHAnsi"/>
          <w:color w:val="000000"/>
          <w:lang w:val="en-ZW"/>
        </w:rPr>
        <w:t xml:space="preserve">The </w:t>
      </w:r>
      <w:r w:rsidR="00ED3F10" w:rsidRPr="0000529A">
        <w:rPr>
          <w:rFonts w:eastAsiaTheme="minorHAnsi"/>
          <w:color w:val="000000"/>
          <w:lang w:val="en-ZW"/>
        </w:rPr>
        <w:t>executor’s</w:t>
      </w:r>
      <w:r w:rsidR="00726D20" w:rsidRPr="0000529A">
        <w:rPr>
          <w:rFonts w:eastAsiaTheme="minorHAnsi"/>
          <w:color w:val="000000"/>
          <w:lang w:val="en-ZW"/>
        </w:rPr>
        <w:t xml:space="preserve"> function is only to step into the shoes of the deceased and ensure that the beneficiaries </w:t>
      </w:r>
      <w:r w:rsidR="006109E7" w:rsidRPr="0000529A">
        <w:rPr>
          <w:rFonts w:eastAsiaTheme="minorHAnsi"/>
          <w:color w:val="000000"/>
          <w:lang w:val="en-ZW"/>
        </w:rPr>
        <w:t xml:space="preserve">receive </w:t>
      </w:r>
      <w:r w:rsidR="00726D20" w:rsidRPr="0000529A">
        <w:rPr>
          <w:rFonts w:eastAsiaTheme="minorHAnsi"/>
          <w:color w:val="000000"/>
          <w:lang w:val="en-ZW"/>
        </w:rPr>
        <w:t xml:space="preserve">their </w:t>
      </w:r>
      <w:r w:rsidR="006109E7" w:rsidRPr="0000529A">
        <w:rPr>
          <w:rFonts w:eastAsiaTheme="minorHAnsi"/>
          <w:color w:val="000000"/>
          <w:lang w:val="en-ZW"/>
        </w:rPr>
        <w:t>inheritance</w:t>
      </w:r>
      <w:r w:rsidR="00ED3F10" w:rsidRPr="0000529A">
        <w:rPr>
          <w:rFonts w:eastAsiaTheme="minorHAnsi"/>
          <w:color w:val="000000"/>
          <w:lang w:val="en-ZW"/>
        </w:rPr>
        <w:t xml:space="preserve">. </w:t>
      </w:r>
      <w:r w:rsidR="00DA4957" w:rsidRPr="0000529A">
        <w:rPr>
          <w:rFonts w:eastAsiaTheme="minorHAnsi"/>
          <w:color w:val="000000"/>
          <w:lang w:val="en-ZW"/>
        </w:rPr>
        <w:t>It is noteworthy that in this instance the executor took it upon himself to act as big brother and decided that it was in the best interest of the beneficiaries that the farms be sold as there was no activity on the farms. This was clearly not the mandate of the executor. His function was to ensure that the beneficiaries received their inheritance. What they</w:t>
      </w:r>
      <w:r w:rsidR="006109E7" w:rsidRPr="0000529A">
        <w:rPr>
          <w:rFonts w:eastAsiaTheme="minorHAnsi"/>
          <w:color w:val="000000"/>
          <w:lang w:val="en-ZW"/>
        </w:rPr>
        <w:t xml:space="preserve"> thereafter</w:t>
      </w:r>
      <w:r w:rsidR="00DA4957" w:rsidRPr="0000529A">
        <w:rPr>
          <w:rFonts w:eastAsiaTheme="minorHAnsi"/>
          <w:color w:val="000000"/>
          <w:lang w:val="en-ZW"/>
        </w:rPr>
        <w:t xml:space="preserve"> did with it was not his concern.</w:t>
      </w:r>
    </w:p>
    <w:p w14:paraId="139551B3" w14:textId="77777777" w:rsidR="00FF03A1" w:rsidRPr="0000529A" w:rsidRDefault="00FF03A1" w:rsidP="00AE5544">
      <w:pPr>
        <w:spacing w:line="480" w:lineRule="auto"/>
        <w:jc w:val="both"/>
      </w:pPr>
    </w:p>
    <w:p w14:paraId="0A9F1E20" w14:textId="6F376136" w:rsidR="006E1993" w:rsidRPr="0000529A" w:rsidRDefault="006C4DDE" w:rsidP="00AC5EC2">
      <w:pPr>
        <w:spacing w:line="480" w:lineRule="auto"/>
        <w:ind w:left="810" w:hanging="810"/>
        <w:jc w:val="both"/>
      </w:pPr>
      <w:r w:rsidRPr="0000529A">
        <w:t xml:space="preserve"> </w:t>
      </w:r>
      <w:r w:rsidR="0015412A" w:rsidRPr="0000529A">
        <w:t>[3</w:t>
      </w:r>
      <w:r w:rsidR="00AC5EC2" w:rsidRPr="0000529A">
        <w:t>3</w:t>
      </w:r>
      <w:r w:rsidR="003152BC" w:rsidRPr="0000529A">
        <w:t xml:space="preserve">] </w:t>
      </w:r>
      <w:r w:rsidR="00994653">
        <w:t xml:space="preserve">  </w:t>
      </w:r>
      <w:r w:rsidR="00496855" w:rsidRPr="0000529A">
        <w:t>W</w:t>
      </w:r>
      <w:r w:rsidR="00C76991" w:rsidRPr="0000529A">
        <w:t xml:space="preserve">ith regards to costs </w:t>
      </w:r>
      <w:r w:rsidR="00C76991" w:rsidRPr="0000529A">
        <w:rPr>
          <w:i/>
        </w:rPr>
        <w:t>a quo</w:t>
      </w:r>
      <w:r w:rsidR="00496855" w:rsidRPr="0000529A">
        <w:t>, this</w:t>
      </w:r>
      <w:r w:rsidR="00C76991" w:rsidRPr="0000529A">
        <w:t xml:space="preserve"> Court</w:t>
      </w:r>
      <w:r w:rsidR="00496855" w:rsidRPr="0000529A">
        <w:t xml:space="preserve"> finds that the actions of the Master were conducted in the course of </w:t>
      </w:r>
      <w:r w:rsidR="00BC4251" w:rsidRPr="0000529A">
        <w:t>his</w:t>
      </w:r>
      <w:r w:rsidR="00C76991" w:rsidRPr="0000529A">
        <w:t xml:space="preserve"> duties. </w:t>
      </w:r>
      <w:r w:rsidR="00957137" w:rsidRPr="0000529A">
        <w:t xml:space="preserve">It has always been the </w:t>
      </w:r>
      <w:r w:rsidR="00255149" w:rsidRPr="0000529A">
        <w:t>pract</w:t>
      </w:r>
      <w:r w:rsidR="00496855" w:rsidRPr="0000529A">
        <w:t xml:space="preserve">ice of this </w:t>
      </w:r>
      <w:r w:rsidR="00AC7372" w:rsidRPr="0000529A">
        <w:t>C</w:t>
      </w:r>
      <w:r w:rsidR="00496855" w:rsidRPr="0000529A">
        <w:t xml:space="preserve">ourt not to </w:t>
      </w:r>
      <w:r w:rsidR="00E7765F" w:rsidRPr="0000529A">
        <w:t>m</w:t>
      </w:r>
      <w:r w:rsidR="0001706C" w:rsidRPr="0000529A">
        <w:t>ulct</w:t>
      </w:r>
      <w:r w:rsidR="00E7765F" w:rsidRPr="0000529A">
        <w:t xml:space="preserve"> administrative bodies</w:t>
      </w:r>
      <w:r w:rsidR="00255149" w:rsidRPr="0000529A">
        <w:t xml:space="preserve"> with costs unless it is </w:t>
      </w:r>
      <w:r w:rsidR="00E7765F" w:rsidRPr="0000529A">
        <w:t xml:space="preserve">proved that they were </w:t>
      </w:r>
      <w:r w:rsidR="00E7765F" w:rsidRPr="0000529A">
        <w:rPr>
          <w:i/>
          <w:iCs/>
        </w:rPr>
        <w:t>mala fide</w:t>
      </w:r>
      <w:r w:rsidR="00255149" w:rsidRPr="0000529A">
        <w:t>.</w:t>
      </w:r>
      <w:r w:rsidR="008F64AB" w:rsidRPr="0000529A">
        <w:t xml:space="preserve"> </w:t>
      </w:r>
      <w:r w:rsidR="00C76991" w:rsidRPr="0000529A">
        <w:t xml:space="preserve">As such, the order of costs </w:t>
      </w:r>
      <w:r w:rsidR="00116E47" w:rsidRPr="0000529A">
        <w:t>awarded</w:t>
      </w:r>
      <w:r w:rsidR="00C76991" w:rsidRPr="0000529A">
        <w:t xml:space="preserve"> by the court </w:t>
      </w:r>
      <w:r w:rsidR="00C76991" w:rsidRPr="0000529A">
        <w:rPr>
          <w:i/>
        </w:rPr>
        <w:t>a quo</w:t>
      </w:r>
      <w:r w:rsidR="00116E47" w:rsidRPr="0000529A">
        <w:rPr>
          <w:i/>
        </w:rPr>
        <w:t xml:space="preserve"> </w:t>
      </w:r>
      <w:r w:rsidR="00116E47" w:rsidRPr="0000529A">
        <w:rPr>
          <w:iCs/>
        </w:rPr>
        <w:t xml:space="preserve">against the </w:t>
      </w:r>
      <w:r w:rsidR="00AE5EDA">
        <w:rPr>
          <w:iCs/>
        </w:rPr>
        <w:t>M</w:t>
      </w:r>
      <w:r w:rsidR="00116E47" w:rsidRPr="0000529A">
        <w:rPr>
          <w:iCs/>
        </w:rPr>
        <w:t>aster</w:t>
      </w:r>
      <w:r w:rsidR="00C76991" w:rsidRPr="0000529A">
        <w:t xml:space="preserve"> cannot be allowed to stand. </w:t>
      </w:r>
      <w:r w:rsidR="00805EE2" w:rsidRPr="0000529A">
        <w:t xml:space="preserve">I take the further view that it is trite that a court may not </w:t>
      </w:r>
      <w:r w:rsidR="002C6AA4" w:rsidRPr="0000529A">
        <w:t xml:space="preserve">make an award </w:t>
      </w:r>
      <w:r w:rsidR="00605D1E" w:rsidRPr="0000529A">
        <w:t>of</w:t>
      </w:r>
      <w:r w:rsidR="00805EE2" w:rsidRPr="0000529A">
        <w:t xml:space="preserve"> costs </w:t>
      </w:r>
      <w:r w:rsidR="00805EE2" w:rsidRPr="0000529A">
        <w:rPr>
          <w:i/>
          <w:iCs/>
        </w:rPr>
        <w:t xml:space="preserve">de </w:t>
      </w:r>
      <w:proofErr w:type="spellStart"/>
      <w:r w:rsidR="00A43FD1" w:rsidRPr="0000529A">
        <w:rPr>
          <w:i/>
          <w:iCs/>
        </w:rPr>
        <w:t>bonis</w:t>
      </w:r>
      <w:proofErr w:type="spellEnd"/>
      <w:r w:rsidR="00A43FD1" w:rsidRPr="0000529A">
        <w:rPr>
          <w:i/>
          <w:iCs/>
        </w:rPr>
        <w:t xml:space="preserve"> </w:t>
      </w:r>
      <w:proofErr w:type="spellStart"/>
      <w:r w:rsidR="00805EE2" w:rsidRPr="0000529A">
        <w:rPr>
          <w:i/>
          <w:iCs/>
        </w:rPr>
        <w:t>propri</w:t>
      </w:r>
      <w:r w:rsidR="00E81CAE">
        <w:rPr>
          <w:i/>
          <w:iCs/>
        </w:rPr>
        <w:t>i</w:t>
      </w:r>
      <w:r w:rsidR="00805EE2" w:rsidRPr="0000529A">
        <w:rPr>
          <w:i/>
          <w:iCs/>
        </w:rPr>
        <w:t>s</w:t>
      </w:r>
      <w:proofErr w:type="spellEnd"/>
      <w:r w:rsidR="00805EE2" w:rsidRPr="0000529A">
        <w:t xml:space="preserve"> unless they have been</w:t>
      </w:r>
      <w:r w:rsidR="00605D1E" w:rsidRPr="0000529A">
        <w:t xml:space="preserve"> sought and the person affected</w:t>
      </w:r>
      <w:r w:rsidR="00805EE2" w:rsidRPr="0000529A">
        <w:t xml:space="preserve"> </w:t>
      </w:r>
      <w:r w:rsidR="0001706C" w:rsidRPr="0000529A">
        <w:t xml:space="preserve">has been </w:t>
      </w:r>
      <w:r w:rsidR="00805EE2" w:rsidRPr="0000529A">
        <w:t>given an opportunity to be heard</w:t>
      </w:r>
      <w:r w:rsidR="00496855" w:rsidRPr="0000529A">
        <w:t>. The executor</w:t>
      </w:r>
      <w:r w:rsidR="00A43FD1" w:rsidRPr="0000529A">
        <w:t xml:space="preserve"> was not heard on this </w:t>
      </w:r>
      <w:r w:rsidR="002C6AA4" w:rsidRPr="0000529A">
        <w:t>point</w:t>
      </w:r>
      <w:r w:rsidR="00A43FD1" w:rsidRPr="0000529A">
        <w:t xml:space="preserve"> </w:t>
      </w:r>
      <w:r w:rsidR="00A43FD1" w:rsidRPr="0000529A">
        <w:rPr>
          <w:i/>
          <w:iCs/>
        </w:rPr>
        <w:t>a quo</w:t>
      </w:r>
      <w:r w:rsidR="00A43FD1" w:rsidRPr="0000529A">
        <w:t xml:space="preserve">. </w:t>
      </w:r>
      <w:r w:rsidR="002C6AA4" w:rsidRPr="0000529A">
        <w:t xml:space="preserve">This </w:t>
      </w:r>
      <w:r w:rsidR="00496855" w:rsidRPr="0000529A">
        <w:t xml:space="preserve">award cannot be upheld </w:t>
      </w:r>
      <w:r w:rsidR="002C6AA4" w:rsidRPr="0000529A">
        <w:t xml:space="preserve">and warrants interference by this </w:t>
      </w:r>
      <w:r w:rsidR="001F681D" w:rsidRPr="0000529A">
        <w:t>C</w:t>
      </w:r>
      <w:r w:rsidR="002C6AA4" w:rsidRPr="0000529A">
        <w:t xml:space="preserve">ourt. </w:t>
      </w:r>
      <w:r w:rsidR="00FB08E0" w:rsidRPr="0000529A">
        <w:t>The purchaser was equally a victim of circumstances as his right to purchase emanated from the decision of the Master. In our vi</w:t>
      </w:r>
      <w:r w:rsidR="00082CC3" w:rsidRPr="0000529A">
        <w:t>ew, the justice of the case</w:t>
      </w:r>
      <w:r w:rsidR="0001706C" w:rsidRPr="0000529A">
        <w:t>s</w:t>
      </w:r>
      <w:r w:rsidR="00082CC3" w:rsidRPr="0000529A">
        <w:t xml:space="preserve"> require that with respect to the costs </w:t>
      </w:r>
      <w:r w:rsidR="00082CC3" w:rsidRPr="0000529A">
        <w:rPr>
          <w:i/>
        </w:rPr>
        <w:t>a quo</w:t>
      </w:r>
      <w:r w:rsidR="00082CC3" w:rsidRPr="0000529A">
        <w:t xml:space="preserve">, each party should </w:t>
      </w:r>
      <w:r w:rsidR="0001706C" w:rsidRPr="0000529A">
        <w:t>bear</w:t>
      </w:r>
      <w:r w:rsidR="00082CC3" w:rsidRPr="0000529A">
        <w:t xml:space="preserve"> its own costs. The</w:t>
      </w:r>
      <w:r w:rsidR="00C76991" w:rsidRPr="0000529A">
        <w:t xml:space="preserve"> </w:t>
      </w:r>
      <w:r w:rsidR="002509B6" w:rsidRPr="0000529A">
        <w:t>appeal will thus succeed in th</w:t>
      </w:r>
      <w:r w:rsidR="00496855" w:rsidRPr="0000529A">
        <w:t>is respect</w:t>
      </w:r>
      <w:r w:rsidR="002509B6" w:rsidRPr="0000529A">
        <w:t xml:space="preserve">. </w:t>
      </w:r>
      <w:r w:rsidR="00452F81" w:rsidRPr="0000529A">
        <w:lastRenderedPageBreak/>
        <w:t xml:space="preserve">In respect </w:t>
      </w:r>
      <w:r w:rsidR="0001706C" w:rsidRPr="0000529A">
        <w:t>of</w:t>
      </w:r>
      <w:r w:rsidR="00452F81" w:rsidRPr="0000529A">
        <w:t xml:space="preserve"> costs on appeal the parties were agreed that each party must bear their o</w:t>
      </w:r>
      <w:r w:rsidR="00A657BF">
        <w:t>w</w:t>
      </w:r>
      <w:r w:rsidR="00452F81" w:rsidRPr="0000529A">
        <w:t>n costs.</w:t>
      </w:r>
    </w:p>
    <w:p w14:paraId="5DB41D38" w14:textId="77777777" w:rsidR="00EE2F40" w:rsidRPr="0000529A" w:rsidRDefault="00EE2F40" w:rsidP="00EE2F40">
      <w:pPr>
        <w:spacing w:line="480" w:lineRule="auto"/>
        <w:jc w:val="both"/>
      </w:pPr>
    </w:p>
    <w:p w14:paraId="15537597" w14:textId="77777777" w:rsidR="00524345" w:rsidRPr="0000529A" w:rsidRDefault="00524345" w:rsidP="00FF03A1">
      <w:pPr>
        <w:spacing w:line="480" w:lineRule="auto"/>
        <w:jc w:val="both"/>
        <w:rPr>
          <w:b/>
          <w:u w:val="single"/>
        </w:rPr>
      </w:pPr>
      <w:r w:rsidRPr="0000529A">
        <w:rPr>
          <w:b/>
          <w:u w:val="single"/>
        </w:rPr>
        <w:t>DISPOSITION</w:t>
      </w:r>
    </w:p>
    <w:p w14:paraId="415D4A78" w14:textId="269CDA86" w:rsidR="0077133B" w:rsidRPr="0000529A" w:rsidRDefault="0015412A" w:rsidP="00EE4AA4">
      <w:pPr>
        <w:spacing w:line="480" w:lineRule="auto"/>
        <w:ind w:left="810" w:hanging="810"/>
        <w:jc w:val="both"/>
        <w:rPr>
          <w:rFonts w:eastAsia="Calibri"/>
        </w:rPr>
      </w:pPr>
      <w:r w:rsidRPr="0000529A">
        <w:t>[3</w:t>
      </w:r>
      <w:r w:rsidR="00AC5EC2" w:rsidRPr="0000529A">
        <w:t>4</w:t>
      </w:r>
      <w:r w:rsidR="003152BC" w:rsidRPr="0000529A">
        <w:t xml:space="preserve">] </w:t>
      </w:r>
      <w:r w:rsidR="00994653">
        <w:t xml:space="preserve">   </w:t>
      </w:r>
      <w:r w:rsidR="00031359" w:rsidRPr="0000529A">
        <w:t>The</w:t>
      </w:r>
      <w:r w:rsidR="002E0615" w:rsidRPr="0000529A">
        <w:t xml:space="preserve"> circumstances of this case </w:t>
      </w:r>
      <w:r w:rsidR="00496855" w:rsidRPr="0000529A">
        <w:t>bring to the for</w:t>
      </w:r>
      <w:r w:rsidR="00282491" w:rsidRPr="0000529A">
        <w:t>e</w:t>
      </w:r>
      <w:r w:rsidR="00496855" w:rsidRPr="0000529A">
        <w:t xml:space="preserve"> the </w:t>
      </w:r>
      <w:r w:rsidR="00031359" w:rsidRPr="0000529A">
        <w:t>need for</w:t>
      </w:r>
      <w:r w:rsidR="002E0615" w:rsidRPr="0000529A">
        <w:t xml:space="preserve"> the </w:t>
      </w:r>
      <w:r w:rsidR="00031359" w:rsidRPr="0000529A">
        <w:t>Master</w:t>
      </w:r>
      <w:r w:rsidR="002E0615" w:rsidRPr="0000529A">
        <w:t xml:space="preserve"> to conduct </w:t>
      </w:r>
      <w:r w:rsidR="00031359" w:rsidRPr="0000529A">
        <w:t xml:space="preserve">an inquiry before authorising any </w:t>
      </w:r>
      <w:r w:rsidR="007451A8">
        <w:t>“</w:t>
      </w:r>
      <w:r w:rsidR="00031359" w:rsidRPr="0000529A">
        <w:t>consent to sell</w:t>
      </w:r>
      <w:r w:rsidR="007451A8">
        <w:t>”</w:t>
      </w:r>
      <w:r w:rsidR="00031359" w:rsidRPr="0000529A">
        <w:t xml:space="preserve"> estate property. It is the Master who is mandated by the Administration of Estates Act to conduct an inquiry. It is the Master who must arrive at an opinion which is lawful, reasonable and fair.</w:t>
      </w:r>
      <w:r w:rsidR="00496855" w:rsidRPr="0000529A">
        <w:t xml:space="preserve"> </w:t>
      </w:r>
      <w:r w:rsidR="00452F81" w:rsidRPr="0000529A">
        <w:t xml:space="preserve">The inquiry must be done </w:t>
      </w:r>
      <w:r w:rsidR="002509B6" w:rsidRPr="0000529A">
        <w:t>before granting the consents to sale</w:t>
      </w:r>
      <w:r w:rsidR="002E0615" w:rsidRPr="0000529A">
        <w:t>.</w:t>
      </w:r>
      <w:r w:rsidR="002509B6" w:rsidRPr="0000529A">
        <w:t xml:space="preserve"> </w:t>
      </w:r>
      <w:r w:rsidR="002E0615" w:rsidRPr="0000529A">
        <w:t xml:space="preserve">This may demand, as in this case, that the beneficiaries are heard so that the Master makes an informed decision. It is not necessary for the beneficiaries of the estate to </w:t>
      </w:r>
      <w:r w:rsidR="007451A8">
        <w:t>“</w:t>
      </w:r>
      <w:r w:rsidR="002E0615" w:rsidRPr="0000529A">
        <w:t>consent to the sale</w:t>
      </w:r>
      <w:r w:rsidR="007451A8">
        <w:t>”</w:t>
      </w:r>
      <w:r w:rsidR="00805EE2" w:rsidRPr="0000529A">
        <w:t>, but the Master must be aware of their concerns before making his decision.</w:t>
      </w:r>
      <w:r w:rsidR="00D3683A" w:rsidRPr="0000529A">
        <w:t xml:space="preserve"> This function cannot be delegated to any other person including the executor. </w:t>
      </w:r>
      <w:r w:rsidR="00805EE2" w:rsidRPr="0000529A">
        <w:t>As this was not done</w:t>
      </w:r>
      <w:r w:rsidR="00D3683A" w:rsidRPr="0000529A">
        <w:t xml:space="preserve">, the court </w:t>
      </w:r>
      <w:r w:rsidR="00D3683A" w:rsidRPr="0000529A">
        <w:rPr>
          <w:i/>
        </w:rPr>
        <w:t>a quo</w:t>
      </w:r>
      <w:r w:rsidR="00D3683A" w:rsidRPr="0000529A">
        <w:t xml:space="preserve"> correctly set</w:t>
      </w:r>
      <w:r w:rsidR="002509B6" w:rsidRPr="0000529A">
        <w:t xml:space="preserve"> aside the </w:t>
      </w:r>
      <w:r w:rsidR="007451A8">
        <w:t>“</w:t>
      </w:r>
      <w:r w:rsidR="002509B6" w:rsidRPr="0000529A">
        <w:t>consents to s</w:t>
      </w:r>
      <w:r w:rsidR="001F681D" w:rsidRPr="0000529A">
        <w:t>ell</w:t>
      </w:r>
      <w:r w:rsidR="007451A8">
        <w:t>”</w:t>
      </w:r>
      <w:r w:rsidR="00452F81" w:rsidRPr="0000529A">
        <w:t xml:space="preserve"> in this </w:t>
      </w:r>
      <w:r w:rsidR="00805EE2" w:rsidRPr="0000529A">
        <w:t>case</w:t>
      </w:r>
      <w:r w:rsidR="002509B6" w:rsidRPr="0000529A">
        <w:t xml:space="preserve">. </w:t>
      </w:r>
      <w:r w:rsidR="00957137" w:rsidRPr="0000529A">
        <w:rPr>
          <w:rFonts w:eastAsia="Calibri"/>
        </w:rPr>
        <w:t>The rights</w:t>
      </w:r>
      <w:r w:rsidR="001F681D" w:rsidRPr="0000529A">
        <w:rPr>
          <w:rFonts w:eastAsia="Calibri"/>
        </w:rPr>
        <w:t xml:space="preserve"> of the executor and the purchaser</w:t>
      </w:r>
      <w:r w:rsidR="00957137" w:rsidRPr="0000529A">
        <w:rPr>
          <w:rFonts w:eastAsia="Calibri"/>
        </w:rPr>
        <w:t xml:space="preserve"> flow from the actions of the </w:t>
      </w:r>
      <w:r w:rsidR="001F681D" w:rsidRPr="0000529A">
        <w:rPr>
          <w:rFonts w:eastAsia="Calibri"/>
        </w:rPr>
        <w:t>Master</w:t>
      </w:r>
      <w:r w:rsidR="00957137" w:rsidRPr="0000529A">
        <w:rPr>
          <w:rFonts w:eastAsia="Calibri"/>
        </w:rPr>
        <w:t>. Once his actions are success</w:t>
      </w:r>
      <w:r w:rsidR="00452F81" w:rsidRPr="0000529A">
        <w:rPr>
          <w:rFonts w:eastAsia="Calibri"/>
        </w:rPr>
        <w:t xml:space="preserve">fully </w:t>
      </w:r>
      <w:r w:rsidR="001F681D" w:rsidRPr="0000529A">
        <w:rPr>
          <w:rFonts w:eastAsia="Calibri"/>
        </w:rPr>
        <w:t>impugned,</w:t>
      </w:r>
      <w:r w:rsidR="00452F81" w:rsidRPr="0000529A">
        <w:rPr>
          <w:rFonts w:eastAsia="Calibri"/>
        </w:rPr>
        <w:t xml:space="preserve"> they are left with no leg to stand on</w:t>
      </w:r>
      <w:r w:rsidR="00957137" w:rsidRPr="0000529A">
        <w:rPr>
          <w:rFonts w:eastAsia="Calibri"/>
        </w:rPr>
        <w:t>.</w:t>
      </w:r>
    </w:p>
    <w:p w14:paraId="3DD2CBAA" w14:textId="32FEA7EC" w:rsidR="002509B6" w:rsidRPr="0000529A" w:rsidRDefault="00452F81" w:rsidP="0077133B">
      <w:pPr>
        <w:jc w:val="both"/>
        <w:rPr>
          <w:rFonts w:eastAsia="Calibri"/>
        </w:rPr>
      </w:pPr>
      <w:r w:rsidRPr="0000529A">
        <w:rPr>
          <w:rFonts w:eastAsia="Calibri"/>
        </w:rPr>
        <w:t xml:space="preserve"> </w:t>
      </w:r>
    </w:p>
    <w:p w14:paraId="5F667009" w14:textId="77777777" w:rsidR="00805EE2" w:rsidRPr="0000529A" w:rsidRDefault="00805EE2" w:rsidP="0077133B">
      <w:pPr>
        <w:jc w:val="both"/>
        <w:rPr>
          <w:rFonts w:eastAsiaTheme="minorHAnsi"/>
          <w:lang w:val="en-ZW"/>
        </w:rPr>
      </w:pPr>
    </w:p>
    <w:p w14:paraId="5ADC203C" w14:textId="5B94C8C6" w:rsidR="00C76991" w:rsidRPr="0000529A" w:rsidRDefault="0015412A" w:rsidP="00C76991">
      <w:pPr>
        <w:spacing w:line="480" w:lineRule="auto"/>
        <w:jc w:val="both"/>
        <w:rPr>
          <w:lang w:val="en-US"/>
        </w:rPr>
      </w:pPr>
      <w:r w:rsidRPr="0000529A">
        <w:t>[3</w:t>
      </w:r>
      <w:r w:rsidR="00AC5EC2" w:rsidRPr="0000529A">
        <w:t>5</w:t>
      </w:r>
      <w:r w:rsidR="003152BC" w:rsidRPr="0000529A">
        <w:t xml:space="preserve">] </w:t>
      </w:r>
      <w:r w:rsidR="00994653">
        <w:t xml:space="preserve">   </w:t>
      </w:r>
      <w:r w:rsidR="00C76991" w:rsidRPr="0000529A">
        <w:rPr>
          <w:lang w:val="en-US"/>
        </w:rPr>
        <w:t>In the result, it is accordingly ordered as follows:</w:t>
      </w:r>
    </w:p>
    <w:p w14:paraId="49CD71B7" w14:textId="77777777" w:rsidR="00C76991" w:rsidRPr="0000529A" w:rsidRDefault="002509B6" w:rsidP="00C76991">
      <w:pPr>
        <w:pStyle w:val="ListParagraph"/>
        <w:numPr>
          <w:ilvl w:val="0"/>
          <w:numId w:val="10"/>
        </w:numPr>
        <w:spacing w:line="480" w:lineRule="auto"/>
        <w:jc w:val="both"/>
        <w:rPr>
          <w:lang w:val="en-US"/>
        </w:rPr>
      </w:pPr>
      <w:r w:rsidRPr="0000529A">
        <w:rPr>
          <w:lang w:val="en-US"/>
        </w:rPr>
        <w:t xml:space="preserve">The appeal be and is hereby allowed in part with no order as to costs.  </w:t>
      </w:r>
    </w:p>
    <w:p w14:paraId="6990641A" w14:textId="77777777" w:rsidR="002509B6" w:rsidRPr="0000529A" w:rsidRDefault="003152BC" w:rsidP="00C76991">
      <w:pPr>
        <w:pStyle w:val="ListParagraph"/>
        <w:numPr>
          <w:ilvl w:val="0"/>
          <w:numId w:val="10"/>
        </w:numPr>
        <w:spacing w:line="480" w:lineRule="auto"/>
        <w:jc w:val="both"/>
        <w:rPr>
          <w:lang w:val="en-US"/>
        </w:rPr>
      </w:pPr>
      <w:r w:rsidRPr="0000529A">
        <w:rPr>
          <w:lang w:val="en-US"/>
        </w:rPr>
        <w:t>Paragraph 6 of the order</w:t>
      </w:r>
      <w:r w:rsidR="002509B6" w:rsidRPr="0000529A">
        <w:rPr>
          <w:lang w:val="en-US"/>
        </w:rPr>
        <w:t xml:space="preserve"> of the court </w:t>
      </w:r>
      <w:r w:rsidR="002509B6" w:rsidRPr="0000529A">
        <w:rPr>
          <w:i/>
          <w:lang w:val="en-US"/>
        </w:rPr>
        <w:t>a quo</w:t>
      </w:r>
      <w:r w:rsidR="002509B6" w:rsidRPr="0000529A">
        <w:rPr>
          <w:lang w:val="en-US"/>
        </w:rPr>
        <w:t xml:space="preserve"> is set aside and substituted with the following:</w:t>
      </w:r>
    </w:p>
    <w:p w14:paraId="635D257D" w14:textId="77777777" w:rsidR="002509B6" w:rsidRPr="0000529A" w:rsidRDefault="002509B6" w:rsidP="0077133B">
      <w:pPr>
        <w:pStyle w:val="ListParagraph"/>
        <w:spacing w:line="480" w:lineRule="auto"/>
        <w:ind w:left="2880"/>
        <w:jc w:val="both"/>
        <w:rPr>
          <w:lang w:val="en-US"/>
        </w:rPr>
      </w:pPr>
      <w:r w:rsidRPr="0000529A">
        <w:rPr>
          <w:lang w:val="en-US"/>
        </w:rPr>
        <w:t>“6. Each party shall bear its own costs.”</w:t>
      </w:r>
    </w:p>
    <w:p w14:paraId="077429C5" w14:textId="77777777" w:rsidR="00C76991" w:rsidRPr="0000529A" w:rsidRDefault="00C76991" w:rsidP="00327FE7">
      <w:pPr>
        <w:spacing w:line="480" w:lineRule="auto"/>
        <w:jc w:val="both"/>
      </w:pPr>
    </w:p>
    <w:p w14:paraId="70AAC54C" w14:textId="77777777" w:rsidR="00097CE9" w:rsidRPr="0000529A" w:rsidRDefault="00097CE9" w:rsidP="0030134D">
      <w:pPr>
        <w:spacing w:line="480" w:lineRule="auto"/>
        <w:jc w:val="both"/>
        <w:rPr>
          <w:b/>
        </w:rPr>
      </w:pPr>
    </w:p>
    <w:p w14:paraId="625FDAF6" w14:textId="62A879C0" w:rsidR="00307418" w:rsidRDefault="0030134D" w:rsidP="003F4FD5">
      <w:pPr>
        <w:spacing w:line="480" w:lineRule="auto"/>
        <w:ind w:firstLine="720"/>
        <w:jc w:val="both"/>
      </w:pPr>
      <w:r w:rsidRPr="0000529A">
        <w:rPr>
          <w:b/>
        </w:rPr>
        <w:t>KUDYA JA</w:t>
      </w:r>
      <w:r w:rsidR="003F4FD5" w:rsidRPr="0000529A">
        <w:rPr>
          <w:b/>
        </w:rPr>
        <w:tab/>
      </w:r>
      <w:r w:rsidR="003F4FD5" w:rsidRPr="0000529A">
        <w:rPr>
          <w:b/>
        </w:rPr>
        <w:tab/>
      </w:r>
      <w:r w:rsidRPr="0000529A">
        <w:rPr>
          <w:b/>
        </w:rPr>
        <w:t>:</w:t>
      </w:r>
      <w:r w:rsidRPr="0000529A">
        <w:rPr>
          <w:b/>
        </w:rPr>
        <w:tab/>
      </w:r>
      <w:r w:rsidRPr="0000529A">
        <w:rPr>
          <w:b/>
        </w:rPr>
        <w:tab/>
      </w:r>
      <w:r w:rsidRPr="0000529A">
        <w:t>I agree</w:t>
      </w:r>
    </w:p>
    <w:p w14:paraId="584751BC" w14:textId="77777777" w:rsidR="00766A0F" w:rsidRDefault="00766A0F" w:rsidP="003F4FD5">
      <w:pPr>
        <w:spacing w:line="480" w:lineRule="auto"/>
        <w:ind w:firstLine="720"/>
        <w:jc w:val="both"/>
      </w:pPr>
    </w:p>
    <w:p w14:paraId="43178FFC" w14:textId="77777777" w:rsidR="00766A0F" w:rsidRDefault="00766A0F" w:rsidP="003F4FD5">
      <w:pPr>
        <w:spacing w:line="480" w:lineRule="auto"/>
        <w:ind w:firstLine="720"/>
        <w:jc w:val="both"/>
      </w:pPr>
    </w:p>
    <w:p w14:paraId="2B74417E" w14:textId="7453A3F2" w:rsidR="00307418" w:rsidRPr="0000529A" w:rsidRDefault="0030134D" w:rsidP="003F4FD5">
      <w:pPr>
        <w:spacing w:line="480" w:lineRule="auto"/>
        <w:ind w:firstLine="720"/>
        <w:jc w:val="both"/>
      </w:pPr>
      <w:r w:rsidRPr="0000529A">
        <w:rPr>
          <w:b/>
        </w:rPr>
        <w:t>MWAYERA</w:t>
      </w:r>
      <w:r w:rsidR="003F4FD5" w:rsidRPr="0000529A">
        <w:rPr>
          <w:b/>
        </w:rPr>
        <w:t xml:space="preserve"> JA</w:t>
      </w:r>
      <w:r w:rsidR="003F4FD5" w:rsidRPr="0000529A">
        <w:rPr>
          <w:b/>
        </w:rPr>
        <w:tab/>
      </w:r>
      <w:r w:rsidRPr="0000529A">
        <w:rPr>
          <w:b/>
        </w:rPr>
        <w:t>:</w:t>
      </w:r>
      <w:r w:rsidRPr="0000529A">
        <w:rPr>
          <w:b/>
        </w:rPr>
        <w:tab/>
      </w:r>
      <w:r w:rsidRPr="0000529A">
        <w:rPr>
          <w:b/>
        </w:rPr>
        <w:tab/>
      </w:r>
      <w:r w:rsidRPr="0000529A">
        <w:t>I agree</w:t>
      </w:r>
    </w:p>
    <w:p w14:paraId="00A68DBE" w14:textId="77777777" w:rsidR="0047798E" w:rsidRPr="0000529A" w:rsidRDefault="0047798E" w:rsidP="003F4FD5">
      <w:pPr>
        <w:spacing w:line="480" w:lineRule="auto"/>
        <w:ind w:firstLine="720"/>
        <w:jc w:val="both"/>
      </w:pPr>
    </w:p>
    <w:p w14:paraId="10986ECB" w14:textId="77777777" w:rsidR="0047798E" w:rsidRPr="0000529A" w:rsidRDefault="0047798E" w:rsidP="003F4FD5">
      <w:pPr>
        <w:spacing w:line="480" w:lineRule="auto"/>
        <w:ind w:firstLine="720"/>
        <w:jc w:val="both"/>
      </w:pPr>
    </w:p>
    <w:p w14:paraId="26013E9D" w14:textId="77777777" w:rsidR="00307418" w:rsidRPr="0000529A" w:rsidRDefault="00307418" w:rsidP="00307418">
      <w:pPr>
        <w:spacing w:line="480" w:lineRule="auto"/>
        <w:jc w:val="both"/>
      </w:pPr>
    </w:p>
    <w:p w14:paraId="60008115" w14:textId="6099B3E1" w:rsidR="00307418" w:rsidRPr="0000529A" w:rsidRDefault="00963D98" w:rsidP="009B07F1">
      <w:pPr>
        <w:jc w:val="both"/>
      </w:pPr>
      <w:r w:rsidRPr="0000529A">
        <w:rPr>
          <w:i/>
        </w:rPr>
        <w:t xml:space="preserve">Kantor&amp; </w:t>
      </w:r>
      <w:proofErr w:type="spellStart"/>
      <w:r w:rsidRPr="0000529A">
        <w:rPr>
          <w:i/>
        </w:rPr>
        <w:t>Immerman</w:t>
      </w:r>
      <w:proofErr w:type="spellEnd"/>
      <w:r w:rsidR="00307418" w:rsidRPr="0000529A">
        <w:t>,</w:t>
      </w:r>
      <w:r w:rsidR="002509B6" w:rsidRPr="0000529A">
        <w:t xml:space="preserve"> 1</w:t>
      </w:r>
      <w:r w:rsidR="002509B6" w:rsidRPr="0000529A">
        <w:rPr>
          <w:vertAlign w:val="superscript"/>
        </w:rPr>
        <w:t>st</w:t>
      </w:r>
      <w:r w:rsidR="00082CC3" w:rsidRPr="0000529A">
        <w:t xml:space="preserve"> appellant’s</w:t>
      </w:r>
      <w:r w:rsidR="00307418" w:rsidRPr="0000529A">
        <w:t xml:space="preserve"> legal practitioners</w:t>
      </w:r>
    </w:p>
    <w:p w14:paraId="4B79C1C4" w14:textId="77777777" w:rsidR="009B07F1" w:rsidRPr="0000529A" w:rsidRDefault="009B07F1" w:rsidP="009B07F1">
      <w:pPr>
        <w:jc w:val="both"/>
      </w:pPr>
    </w:p>
    <w:p w14:paraId="0E64E84F" w14:textId="77777777" w:rsidR="00307418" w:rsidRPr="0000529A" w:rsidRDefault="00963D98" w:rsidP="009B07F1">
      <w:pPr>
        <w:jc w:val="both"/>
      </w:pPr>
      <w:r w:rsidRPr="0000529A">
        <w:rPr>
          <w:i/>
        </w:rPr>
        <w:t>Danziger &amp; Partners</w:t>
      </w:r>
      <w:r w:rsidR="002509B6" w:rsidRPr="0000529A">
        <w:t xml:space="preserve">, </w:t>
      </w:r>
      <w:r w:rsidR="00307418" w:rsidRPr="0000529A">
        <w:t>2</w:t>
      </w:r>
      <w:r w:rsidR="00307418" w:rsidRPr="0000529A">
        <w:rPr>
          <w:vertAlign w:val="superscript"/>
        </w:rPr>
        <w:t>nd</w:t>
      </w:r>
      <w:r w:rsidR="002509B6" w:rsidRPr="0000529A">
        <w:t xml:space="preserve"> appellant’s</w:t>
      </w:r>
      <w:r w:rsidR="00307418" w:rsidRPr="0000529A">
        <w:t xml:space="preserve"> legal practitioners</w:t>
      </w:r>
    </w:p>
    <w:p w14:paraId="190B4D0E" w14:textId="77777777" w:rsidR="009B07F1" w:rsidRPr="0000529A" w:rsidRDefault="009B07F1" w:rsidP="009B07F1">
      <w:pPr>
        <w:jc w:val="both"/>
      </w:pPr>
    </w:p>
    <w:p w14:paraId="5030E4D5" w14:textId="77777777" w:rsidR="00307418" w:rsidRPr="0000529A" w:rsidRDefault="00963D98" w:rsidP="009B07F1">
      <w:pPr>
        <w:jc w:val="both"/>
      </w:pPr>
      <w:proofErr w:type="spellStart"/>
      <w:r w:rsidRPr="0000529A">
        <w:rPr>
          <w:i/>
        </w:rPr>
        <w:t>Mhishi</w:t>
      </w:r>
      <w:proofErr w:type="spellEnd"/>
      <w:r w:rsidRPr="0000529A">
        <w:rPr>
          <w:i/>
        </w:rPr>
        <w:t xml:space="preserve"> Nkomo Legal Practice</w:t>
      </w:r>
      <w:r w:rsidR="00307418" w:rsidRPr="0000529A">
        <w:t>, 3</w:t>
      </w:r>
      <w:r w:rsidR="00307418" w:rsidRPr="0000529A">
        <w:rPr>
          <w:vertAlign w:val="superscript"/>
        </w:rPr>
        <w:t>rd</w:t>
      </w:r>
      <w:r w:rsidR="002509B6" w:rsidRPr="0000529A">
        <w:t xml:space="preserve"> appellant’s</w:t>
      </w:r>
      <w:r w:rsidR="00307418" w:rsidRPr="0000529A">
        <w:t xml:space="preserve"> legal practitioners </w:t>
      </w:r>
    </w:p>
    <w:p w14:paraId="6197C52F" w14:textId="77777777" w:rsidR="009B07F1" w:rsidRPr="0000529A" w:rsidRDefault="009B07F1" w:rsidP="009B07F1">
      <w:pPr>
        <w:jc w:val="both"/>
      </w:pPr>
    </w:p>
    <w:p w14:paraId="7EC799D0" w14:textId="77777777" w:rsidR="002509B6" w:rsidRPr="0000529A" w:rsidRDefault="00963D98" w:rsidP="009B07F1">
      <w:pPr>
        <w:jc w:val="both"/>
      </w:pPr>
      <w:r w:rsidRPr="0000529A">
        <w:rPr>
          <w:i/>
        </w:rPr>
        <w:t>Henning Lock</w:t>
      </w:r>
      <w:r w:rsidR="002509B6" w:rsidRPr="0000529A">
        <w:t>, 1</w:t>
      </w:r>
      <w:r w:rsidR="002509B6" w:rsidRPr="0000529A">
        <w:rPr>
          <w:vertAlign w:val="superscript"/>
        </w:rPr>
        <w:t>st</w:t>
      </w:r>
      <w:r w:rsidR="002509B6" w:rsidRPr="0000529A">
        <w:t xml:space="preserve"> to 3</w:t>
      </w:r>
      <w:r w:rsidR="002509B6" w:rsidRPr="0000529A">
        <w:rPr>
          <w:vertAlign w:val="superscript"/>
        </w:rPr>
        <w:t>rd</w:t>
      </w:r>
      <w:r w:rsidR="002509B6" w:rsidRPr="0000529A">
        <w:t xml:space="preserve"> respondents’ legal practitioners</w:t>
      </w:r>
    </w:p>
    <w:p w14:paraId="4A64C9FB" w14:textId="77777777" w:rsidR="00AA75A7" w:rsidRPr="0000529A" w:rsidRDefault="00AA75A7"/>
    <w:sectPr w:rsidR="00AA75A7" w:rsidRPr="0000529A">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C02EF" w14:textId="77777777" w:rsidR="00E6750E" w:rsidRDefault="00E6750E" w:rsidP="00307418">
      <w:r>
        <w:separator/>
      </w:r>
    </w:p>
  </w:endnote>
  <w:endnote w:type="continuationSeparator" w:id="0">
    <w:p w14:paraId="40DDCCE5" w14:textId="77777777" w:rsidR="00E6750E" w:rsidRDefault="00E6750E" w:rsidP="0030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8DBE5" w14:textId="77777777" w:rsidR="00E6750E" w:rsidRDefault="00E6750E" w:rsidP="00307418">
      <w:r>
        <w:separator/>
      </w:r>
    </w:p>
  </w:footnote>
  <w:footnote w:type="continuationSeparator" w:id="0">
    <w:p w14:paraId="4A894806" w14:textId="77777777" w:rsidR="00E6750E" w:rsidRDefault="00E6750E" w:rsidP="00307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22EA7" w14:textId="6712DA7E" w:rsidR="00AA75A7" w:rsidRDefault="00AA75A7" w:rsidP="00AA75A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549B4E" w14:textId="77777777" w:rsidR="00AA75A7" w:rsidRDefault="00AA75A7" w:rsidP="00AA75A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BF3" w14:textId="5955055D" w:rsidR="00AA75A7" w:rsidRPr="00272765" w:rsidRDefault="00AA75A7" w:rsidP="00AA75A7">
    <w:pPr>
      <w:pStyle w:val="Header"/>
      <w:jc w:val="right"/>
      <w:rPr>
        <w:rFonts w:ascii="Book Antiqua" w:hAnsi="Book Antiqua"/>
      </w:rPr>
    </w:pPr>
    <w:r>
      <w:rPr>
        <w:noProof/>
        <w:lang w:val="en-US"/>
      </w:rPr>
      <mc:AlternateContent>
        <mc:Choice Requires="wps">
          <w:drawing>
            <wp:anchor distT="0" distB="0" distL="114300" distR="114300" simplePos="0" relativeHeight="251660288" behindDoc="0" locked="0" layoutInCell="0" allowOverlap="1" wp14:anchorId="61CF8C55" wp14:editId="724771F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8953A" w14:textId="1F9CE0F0" w:rsidR="00AA75A7" w:rsidRPr="00C17528" w:rsidRDefault="00AA75A7">
                          <w:pPr>
                            <w:jc w:val="right"/>
                            <w:rPr>
                              <w:b/>
                              <w:noProof/>
                              <w:lang w:val="en-ZW"/>
                            </w:rPr>
                          </w:pPr>
                          <w:r>
                            <w:rPr>
                              <w:b/>
                              <w:noProof/>
                              <w:lang w:val="en-ZW"/>
                            </w:rPr>
                            <w:t xml:space="preserve">Judgment No. SC </w:t>
                          </w:r>
                          <w:r w:rsidR="00527C5B">
                            <w:rPr>
                              <w:b/>
                              <w:noProof/>
                              <w:lang w:val="en-ZW"/>
                            </w:rPr>
                            <w:t>101</w:t>
                          </w:r>
                          <w:r w:rsidR="00C826C6">
                            <w:rPr>
                              <w:b/>
                              <w:noProof/>
                              <w:lang w:val="en-ZW"/>
                            </w:rPr>
                            <w:t>/</w:t>
                          </w:r>
                          <w:r>
                            <w:rPr>
                              <w:b/>
                              <w:noProof/>
                              <w:lang w:val="en-ZW"/>
                            </w:rPr>
                            <w:t>22</w:t>
                          </w:r>
                        </w:p>
                        <w:p w14:paraId="7ED1AC5B" w14:textId="77777777" w:rsidR="00AA75A7" w:rsidRPr="00C17528" w:rsidRDefault="00AA75A7">
                          <w:pPr>
                            <w:jc w:val="right"/>
                            <w:rPr>
                              <w:b/>
                              <w:noProof/>
                              <w:lang w:val="en-ZW"/>
                            </w:rPr>
                          </w:pPr>
                          <w:r>
                            <w:rPr>
                              <w:b/>
                              <w:noProof/>
                              <w:lang w:val="en-ZW"/>
                            </w:rPr>
                            <w:t>Civil Appeal No. SC 109/21</w:t>
                          </w:r>
                        </w:p>
                        <w:p w14:paraId="4CCE1A8A" w14:textId="77777777" w:rsidR="00AA75A7" w:rsidRDefault="00AA75A7">
                          <w:pPr>
                            <w:jc w:val="right"/>
                            <w:rPr>
                              <w:b/>
                              <w:noProof/>
                              <w:lang w:val="en-ZW"/>
                            </w:rPr>
                          </w:pPr>
                          <w:r>
                            <w:rPr>
                              <w:b/>
                              <w:noProof/>
                              <w:lang w:val="en-ZW"/>
                            </w:rPr>
                            <w:t>Civil Appeal No. SC 15/21</w:t>
                          </w:r>
                        </w:p>
                        <w:p w14:paraId="19DD0729" w14:textId="77777777" w:rsidR="00AA75A7" w:rsidRPr="00C17528" w:rsidRDefault="00AA75A7">
                          <w:pPr>
                            <w:jc w:val="right"/>
                            <w:rPr>
                              <w:b/>
                              <w:noProof/>
                              <w:lang w:val="en-ZW"/>
                            </w:rPr>
                          </w:pPr>
                          <w:r>
                            <w:rPr>
                              <w:b/>
                              <w:noProof/>
                              <w:lang w:val="en-ZW"/>
                            </w:rPr>
                            <w:t xml:space="preserve">  Civil Appeal No. SC 17/21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1CF8C55"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C88953A" w14:textId="1F9CE0F0" w:rsidR="00AA75A7" w:rsidRPr="00C17528" w:rsidRDefault="00AA75A7">
                    <w:pPr>
                      <w:jc w:val="right"/>
                      <w:rPr>
                        <w:b/>
                        <w:noProof/>
                        <w:lang w:val="en-ZW"/>
                      </w:rPr>
                    </w:pPr>
                    <w:r>
                      <w:rPr>
                        <w:b/>
                        <w:noProof/>
                        <w:lang w:val="en-ZW"/>
                      </w:rPr>
                      <w:t xml:space="preserve">Judgment No. SC </w:t>
                    </w:r>
                    <w:r w:rsidR="00527C5B">
                      <w:rPr>
                        <w:b/>
                        <w:noProof/>
                        <w:lang w:val="en-ZW"/>
                      </w:rPr>
                      <w:t>101</w:t>
                    </w:r>
                    <w:r w:rsidR="00C826C6">
                      <w:rPr>
                        <w:b/>
                        <w:noProof/>
                        <w:lang w:val="en-ZW"/>
                      </w:rPr>
                      <w:t>/</w:t>
                    </w:r>
                    <w:r>
                      <w:rPr>
                        <w:b/>
                        <w:noProof/>
                        <w:lang w:val="en-ZW"/>
                      </w:rPr>
                      <w:t>22</w:t>
                    </w:r>
                  </w:p>
                  <w:p w14:paraId="7ED1AC5B" w14:textId="77777777" w:rsidR="00AA75A7" w:rsidRPr="00C17528" w:rsidRDefault="00AA75A7">
                    <w:pPr>
                      <w:jc w:val="right"/>
                      <w:rPr>
                        <w:b/>
                        <w:noProof/>
                        <w:lang w:val="en-ZW"/>
                      </w:rPr>
                    </w:pPr>
                    <w:r>
                      <w:rPr>
                        <w:b/>
                        <w:noProof/>
                        <w:lang w:val="en-ZW"/>
                      </w:rPr>
                      <w:t>Civil Appeal No. SC 109/21</w:t>
                    </w:r>
                  </w:p>
                  <w:p w14:paraId="4CCE1A8A" w14:textId="77777777" w:rsidR="00AA75A7" w:rsidRDefault="00AA75A7">
                    <w:pPr>
                      <w:jc w:val="right"/>
                      <w:rPr>
                        <w:b/>
                        <w:noProof/>
                        <w:lang w:val="en-ZW"/>
                      </w:rPr>
                    </w:pPr>
                    <w:r>
                      <w:rPr>
                        <w:b/>
                        <w:noProof/>
                        <w:lang w:val="en-ZW"/>
                      </w:rPr>
                      <w:t>Civil Appeal No. SC 15/21</w:t>
                    </w:r>
                  </w:p>
                  <w:p w14:paraId="19DD0729" w14:textId="77777777" w:rsidR="00AA75A7" w:rsidRPr="00C17528" w:rsidRDefault="00AA75A7">
                    <w:pPr>
                      <w:jc w:val="right"/>
                      <w:rPr>
                        <w:b/>
                        <w:noProof/>
                        <w:lang w:val="en-ZW"/>
                      </w:rPr>
                    </w:pPr>
                    <w:r>
                      <w:rPr>
                        <w:b/>
                        <w:noProof/>
                        <w:lang w:val="en-ZW"/>
                      </w:rPr>
                      <w:t xml:space="preserve">  Civil Appeal No. SC 17/21</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39EC0FCF" wp14:editId="3027547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7117322" w14:textId="77777777" w:rsidR="00AA75A7" w:rsidRDefault="00AA75A7">
                          <w:pPr>
                            <w:rPr>
                              <w:color w:val="FFFFFF" w:themeColor="background1"/>
                            </w:rPr>
                          </w:pPr>
                          <w:r>
                            <w:fldChar w:fldCharType="begin"/>
                          </w:r>
                          <w:r>
                            <w:instrText xml:space="preserve"> PAGE   \* MERGEFORMAT </w:instrText>
                          </w:r>
                          <w:r>
                            <w:fldChar w:fldCharType="separate"/>
                          </w:r>
                          <w:r w:rsidR="00766A0F" w:rsidRPr="00766A0F">
                            <w:rPr>
                              <w:noProof/>
                              <w:color w:val="FFFFFF" w:themeColor="background1"/>
                            </w:rPr>
                            <w:t>18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9EC0FCF"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7117322" w14:textId="77777777" w:rsidR="00AA75A7" w:rsidRDefault="00AA75A7">
                    <w:pPr>
                      <w:rPr>
                        <w:color w:val="FFFFFF" w:themeColor="background1"/>
                      </w:rPr>
                    </w:pPr>
                    <w:r>
                      <w:fldChar w:fldCharType="begin"/>
                    </w:r>
                    <w:r>
                      <w:instrText xml:space="preserve"> PAGE   \* MERGEFORMAT </w:instrText>
                    </w:r>
                    <w:r>
                      <w:fldChar w:fldCharType="separate"/>
                    </w:r>
                    <w:r w:rsidR="00766A0F" w:rsidRPr="00766A0F">
                      <w:rPr>
                        <w:noProof/>
                        <w:color w:val="FFFFFF" w:themeColor="background1"/>
                      </w:rPr>
                      <w:t>18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A78E2"/>
    <w:multiLevelType w:val="hybridMultilevel"/>
    <w:tmpl w:val="24C2919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0B64224"/>
    <w:multiLevelType w:val="hybridMultilevel"/>
    <w:tmpl w:val="8B0A98CC"/>
    <w:lvl w:ilvl="0" w:tplc="5AF4CA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A67E0"/>
    <w:multiLevelType w:val="hybridMultilevel"/>
    <w:tmpl w:val="751C37B0"/>
    <w:lvl w:ilvl="0" w:tplc="602ABBA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9183E58"/>
    <w:multiLevelType w:val="hybridMultilevel"/>
    <w:tmpl w:val="09C88936"/>
    <w:lvl w:ilvl="0" w:tplc="1FCEA338">
      <w:start w:val="1"/>
      <w:numFmt w:val="upperLetter"/>
      <w:lvlText w:val="%1."/>
      <w:lvlJc w:val="left"/>
      <w:pPr>
        <w:ind w:left="720" w:hanging="360"/>
      </w:pPr>
      <w:rPr>
        <w:rFonts w:hint="default"/>
        <w: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9B53D81"/>
    <w:multiLevelType w:val="hybridMultilevel"/>
    <w:tmpl w:val="266A0042"/>
    <w:lvl w:ilvl="0" w:tplc="CE2A98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01563"/>
    <w:multiLevelType w:val="hybridMultilevel"/>
    <w:tmpl w:val="1D6063B6"/>
    <w:lvl w:ilvl="0" w:tplc="E940E176">
      <w:start w:val="1"/>
      <w:numFmt w:val="decimal"/>
      <w:lvlText w:val="(%1)"/>
      <w:lvlJc w:val="left"/>
      <w:pPr>
        <w:ind w:left="1080" w:hanging="360"/>
      </w:pPr>
      <w:rPr>
        <w:rFonts w:hint="default"/>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35CB7763"/>
    <w:multiLevelType w:val="hybridMultilevel"/>
    <w:tmpl w:val="BE566A7C"/>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3A9F1697"/>
    <w:multiLevelType w:val="hybridMultilevel"/>
    <w:tmpl w:val="1E74C60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43B835A1"/>
    <w:multiLevelType w:val="hybridMultilevel"/>
    <w:tmpl w:val="F2F89FF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75F560B"/>
    <w:multiLevelType w:val="hybridMultilevel"/>
    <w:tmpl w:val="9D787916"/>
    <w:lvl w:ilvl="0" w:tplc="4A40C8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B655A"/>
    <w:multiLevelType w:val="hybridMultilevel"/>
    <w:tmpl w:val="C6647482"/>
    <w:lvl w:ilvl="0" w:tplc="46941CDE">
      <w:start w:val="1"/>
      <w:numFmt w:val="lowerRoman"/>
      <w:lvlText w:val="(%1)"/>
      <w:lvlJc w:val="left"/>
      <w:pPr>
        <w:ind w:left="1440" w:hanging="720"/>
      </w:pPr>
      <w:rPr>
        <w:rFonts w:eastAsia="Times New Roman" w:hint="default"/>
        <w:color w:val="auto"/>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52A2560F"/>
    <w:multiLevelType w:val="hybridMultilevel"/>
    <w:tmpl w:val="69925E2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54F21B09"/>
    <w:multiLevelType w:val="hybridMultilevel"/>
    <w:tmpl w:val="4B8CC916"/>
    <w:lvl w:ilvl="0" w:tplc="F262219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BBB5FF5"/>
    <w:multiLevelType w:val="hybridMultilevel"/>
    <w:tmpl w:val="FB86E178"/>
    <w:lvl w:ilvl="0" w:tplc="C79E846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4" w15:restartNumberingAfterBreak="0">
    <w:nsid w:val="695C4F0B"/>
    <w:multiLevelType w:val="hybridMultilevel"/>
    <w:tmpl w:val="5C28C010"/>
    <w:lvl w:ilvl="0" w:tplc="60E6AD14">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5" w15:restartNumberingAfterBreak="0">
    <w:nsid w:val="69967511"/>
    <w:multiLevelType w:val="hybridMultilevel"/>
    <w:tmpl w:val="76BC86C2"/>
    <w:lvl w:ilvl="0" w:tplc="3009000F">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6" w15:restartNumberingAfterBreak="0">
    <w:nsid w:val="6D7336A5"/>
    <w:multiLevelType w:val="hybridMultilevel"/>
    <w:tmpl w:val="4B1A9590"/>
    <w:lvl w:ilvl="0" w:tplc="30090001">
      <w:start w:val="1"/>
      <w:numFmt w:val="bullet"/>
      <w:lvlText w:val=""/>
      <w:lvlJc w:val="left"/>
      <w:pPr>
        <w:ind w:left="1144" w:hanging="360"/>
      </w:pPr>
      <w:rPr>
        <w:rFonts w:ascii="Symbol" w:hAnsi="Symbol" w:hint="default"/>
      </w:rPr>
    </w:lvl>
    <w:lvl w:ilvl="1" w:tplc="30090003" w:tentative="1">
      <w:start w:val="1"/>
      <w:numFmt w:val="bullet"/>
      <w:lvlText w:val="o"/>
      <w:lvlJc w:val="left"/>
      <w:pPr>
        <w:ind w:left="1864" w:hanging="360"/>
      </w:pPr>
      <w:rPr>
        <w:rFonts w:ascii="Courier New" w:hAnsi="Courier New" w:cs="Courier New" w:hint="default"/>
      </w:rPr>
    </w:lvl>
    <w:lvl w:ilvl="2" w:tplc="30090005" w:tentative="1">
      <w:start w:val="1"/>
      <w:numFmt w:val="bullet"/>
      <w:lvlText w:val=""/>
      <w:lvlJc w:val="left"/>
      <w:pPr>
        <w:ind w:left="2584" w:hanging="360"/>
      </w:pPr>
      <w:rPr>
        <w:rFonts w:ascii="Wingdings" w:hAnsi="Wingdings" w:hint="default"/>
      </w:rPr>
    </w:lvl>
    <w:lvl w:ilvl="3" w:tplc="30090001" w:tentative="1">
      <w:start w:val="1"/>
      <w:numFmt w:val="bullet"/>
      <w:lvlText w:val=""/>
      <w:lvlJc w:val="left"/>
      <w:pPr>
        <w:ind w:left="3304" w:hanging="360"/>
      </w:pPr>
      <w:rPr>
        <w:rFonts w:ascii="Symbol" w:hAnsi="Symbol" w:hint="default"/>
      </w:rPr>
    </w:lvl>
    <w:lvl w:ilvl="4" w:tplc="30090003" w:tentative="1">
      <w:start w:val="1"/>
      <w:numFmt w:val="bullet"/>
      <w:lvlText w:val="o"/>
      <w:lvlJc w:val="left"/>
      <w:pPr>
        <w:ind w:left="4024" w:hanging="360"/>
      </w:pPr>
      <w:rPr>
        <w:rFonts w:ascii="Courier New" w:hAnsi="Courier New" w:cs="Courier New" w:hint="default"/>
      </w:rPr>
    </w:lvl>
    <w:lvl w:ilvl="5" w:tplc="30090005" w:tentative="1">
      <w:start w:val="1"/>
      <w:numFmt w:val="bullet"/>
      <w:lvlText w:val=""/>
      <w:lvlJc w:val="left"/>
      <w:pPr>
        <w:ind w:left="4744" w:hanging="360"/>
      </w:pPr>
      <w:rPr>
        <w:rFonts w:ascii="Wingdings" w:hAnsi="Wingdings" w:hint="default"/>
      </w:rPr>
    </w:lvl>
    <w:lvl w:ilvl="6" w:tplc="30090001" w:tentative="1">
      <w:start w:val="1"/>
      <w:numFmt w:val="bullet"/>
      <w:lvlText w:val=""/>
      <w:lvlJc w:val="left"/>
      <w:pPr>
        <w:ind w:left="5464" w:hanging="360"/>
      </w:pPr>
      <w:rPr>
        <w:rFonts w:ascii="Symbol" w:hAnsi="Symbol" w:hint="default"/>
      </w:rPr>
    </w:lvl>
    <w:lvl w:ilvl="7" w:tplc="30090003" w:tentative="1">
      <w:start w:val="1"/>
      <w:numFmt w:val="bullet"/>
      <w:lvlText w:val="o"/>
      <w:lvlJc w:val="left"/>
      <w:pPr>
        <w:ind w:left="6184" w:hanging="360"/>
      </w:pPr>
      <w:rPr>
        <w:rFonts w:ascii="Courier New" w:hAnsi="Courier New" w:cs="Courier New" w:hint="default"/>
      </w:rPr>
    </w:lvl>
    <w:lvl w:ilvl="8" w:tplc="30090005" w:tentative="1">
      <w:start w:val="1"/>
      <w:numFmt w:val="bullet"/>
      <w:lvlText w:val=""/>
      <w:lvlJc w:val="left"/>
      <w:pPr>
        <w:ind w:left="6904" w:hanging="360"/>
      </w:pPr>
      <w:rPr>
        <w:rFonts w:ascii="Wingdings" w:hAnsi="Wingdings" w:hint="default"/>
      </w:rPr>
    </w:lvl>
  </w:abstractNum>
  <w:abstractNum w:abstractNumId="17" w15:restartNumberingAfterBreak="0">
    <w:nsid w:val="79AB72AB"/>
    <w:multiLevelType w:val="hybridMultilevel"/>
    <w:tmpl w:val="3D16E6AC"/>
    <w:lvl w:ilvl="0" w:tplc="30090001">
      <w:start w:val="3"/>
      <w:numFmt w:val="bullet"/>
      <w:lvlText w:val=""/>
      <w:lvlJc w:val="left"/>
      <w:pPr>
        <w:ind w:left="720" w:hanging="360"/>
      </w:pPr>
      <w:rPr>
        <w:rFonts w:ascii="Symbol" w:eastAsia="Times New Roman" w:hAnsi="Symbol"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7E34655A"/>
    <w:multiLevelType w:val="hybridMultilevel"/>
    <w:tmpl w:val="2C727864"/>
    <w:lvl w:ilvl="0" w:tplc="03D20824">
      <w:start w:val="1"/>
      <w:numFmt w:val="lowerLetter"/>
      <w:lvlText w:val="(%1)"/>
      <w:lvlJc w:val="left"/>
      <w:pPr>
        <w:ind w:left="2940" w:hanging="78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14"/>
  </w:num>
  <w:num w:numId="3">
    <w:abstractNumId w:val="16"/>
  </w:num>
  <w:num w:numId="4">
    <w:abstractNumId w:val="3"/>
  </w:num>
  <w:num w:numId="5">
    <w:abstractNumId w:val="8"/>
  </w:num>
  <w:num w:numId="6">
    <w:abstractNumId w:val="0"/>
  </w:num>
  <w:num w:numId="7">
    <w:abstractNumId w:val="11"/>
  </w:num>
  <w:num w:numId="8">
    <w:abstractNumId w:val="7"/>
  </w:num>
  <w:num w:numId="9">
    <w:abstractNumId w:val="6"/>
  </w:num>
  <w:num w:numId="10">
    <w:abstractNumId w:val="15"/>
  </w:num>
  <w:num w:numId="11">
    <w:abstractNumId w:val="5"/>
  </w:num>
  <w:num w:numId="12">
    <w:abstractNumId w:val="2"/>
  </w:num>
  <w:num w:numId="13">
    <w:abstractNumId w:val="10"/>
  </w:num>
  <w:num w:numId="14">
    <w:abstractNumId w:val="17"/>
  </w:num>
  <w:num w:numId="15">
    <w:abstractNumId w:val="1"/>
  </w:num>
  <w:num w:numId="16">
    <w:abstractNumId w:val="4"/>
  </w:num>
  <w:num w:numId="17">
    <w:abstractNumId w:val="9"/>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18"/>
    <w:rsid w:val="00000A6D"/>
    <w:rsid w:val="0000529A"/>
    <w:rsid w:val="00014314"/>
    <w:rsid w:val="0001706C"/>
    <w:rsid w:val="00031359"/>
    <w:rsid w:val="0003379F"/>
    <w:rsid w:val="00050667"/>
    <w:rsid w:val="0006087E"/>
    <w:rsid w:val="00067E4F"/>
    <w:rsid w:val="00082CC3"/>
    <w:rsid w:val="00091263"/>
    <w:rsid w:val="00097CE9"/>
    <w:rsid w:val="000A31CC"/>
    <w:rsid w:val="000A3838"/>
    <w:rsid w:val="000B09C3"/>
    <w:rsid w:val="000B3991"/>
    <w:rsid w:val="000D0D6A"/>
    <w:rsid w:val="000E4DF1"/>
    <w:rsid w:val="000F0D02"/>
    <w:rsid w:val="000F3C98"/>
    <w:rsid w:val="000F3FF6"/>
    <w:rsid w:val="000F7D06"/>
    <w:rsid w:val="00101CC8"/>
    <w:rsid w:val="00103DBE"/>
    <w:rsid w:val="00105941"/>
    <w:rsid w:val="00107745"/>
    <w:rsid w:val="00116E47"/>
    <w:rsid w:val="00123F57"/>
    <w:rsid w:val="00124E61"/>
    <w:rsid w:val="0012700F"/>
    <w:rsid w:val="00136AC8"/>
    <w:rsid w:val="00141A10"/>
    <w:rsid w:val="0014768A"/>
    <w:rsid w:val="0015261C"/>
    <w:rsid w:val="0015412A"/>
    <w:rsid w:val="00170719"/>
    <w:rsid w:val="0018601D"/>
    <w:rsid w:val="00193058"/>
    <w:rsid w:val="001947B6"/>
    <w:rsid w:val="001A61BA"/>
    <w:rsid w:val="001A6AA2"/>
    <w:rsid w:val="001A739D"/>
    <w:rsid w:val="001B4500"/>
    <w:rsid w:val="001C6C25"/>
    <w:rsid w:val="001C7240"/>
    <w:rsid w:val="001D2C86"/>
    <w:rsid w:val="001D3E2F"/>
    <w:rsid w:val="001D7776"/>
    <w:rsid w:val="001E2998"/>
    <w:rsid w:val="001E3B2C"/>
    <w:rsid w:val="001F681D"/>
    <w:rsid w:val="00213CA7"/>
    <w:rsid w:val="00217E2E"/>
    <w:rsid w:val="00220D7D"/>
    <w:rsid w:val="0022448C"/>
    <w:rsid w:val="00227773"/>
    <w:rsid w:val="00233856"/>
    <w:rsid w:val="00235A2C"/>
    <w:rsid w:val="002449DB"/>
    <w:rsid w:val="00244AA2"/>
    <w:rsid w:val="00245725"/>
    <w:rsid w:val="00250795"/>
    <w:rsid w:val="002509B6"/>
    <w:rsid w:val="00255149"/>
    <w:rsid w:val="00256C70"/>
    <w:rsid w:val="00282491"/>
    <w:rsid w:val="00282693"/>
    <w:rsid w:val="00285682"/>
    <w:rsid w:val="002A2599"/>
    <w:rsid w:val="002A2ADA"/>
    <w:rsid w:val="002B1CA4"/>
    <w:rsid w:val="002B50C9"/>
    <w:rsid w:val="002B6F38"/>
    <w:rsid w:val="002C1915"/>
    <w:rsid w:val="002C6AA4"/>
    <w:rsid w:val="002D182D"/>
    <w:rsid w:val="002D188B"/>
    <w:rsid w:val="002D3E05"/>
    <w:rsid w:val="002E0615"/>
    <w:rsid w:val="002E0B2D"/>
    <w:rsid w:val="002E1689"/>
    <w:rsid w:val="002F336C"/>
    <w:rsid w:val="002F5C79"/>
    <w:rsid w:val="0030134D"/>
    <w:rsid w:val="00305272"/>
    <w:rsid w:val="00306C86"/>
    <w:rsid w:val="00307418"/>
    <w:rsid w:val="003101AA"/>
    <w:rsid w:val="003152BC"/>
    <w:rsid w:val="00325935"/>
    <w:rsid w:val="00327FE7"/>
    <w:rsid w:val="00335C1A"/>
    <w:rsid w:val="00345497"/>
    <w:rsid w:val="00361E36"/>
    <w:rsid w:val="00364172"/>
    <w:rsid w:val="003749DB"/>
    <w:rsid w:val="003830BC"/>
    <w:rsid w:val="003944A9"/>
    <w:rsid w:val="00394A37"/>
    <w:rsid w:val="003B15F6"/>
    <w:rsid w:val="003C242D"/>
    <w:rsid w:val="003F1100"/>
    <w:rsid w:val="003F4FD5"/>
    <w:rsid w:val="003F5B12"/>
    <w:rsid w:val="004011FD"/>
    <w:rsid w:val="00406B1B"/>
    <w:rsid w:val="00413BAC"/>
    <w:rsid w:val="004249AC"/>
    <w:rsid w:val="00425451"/>
    <w:rsid w:val="004306BD"/>
    <w:rsid w:val="004312FC"/>
    <w:rsid w:val="004427AE"/>
    <w:rsid w:val="0044647C"/>
    <w:rsid w:val="0044649A"/>
    <w:rsid w:val="004519A1"/>
    <w:rsid w:val="00452F81"/>
    <w:rsid w:val="004560D9"/>
    <w:rsid w:val="004761C9"/>
    <w:rsid w:val="0047798E"/>
    <w:rsid w:val="004802A3"/>
    <w:rsid w:val="00496441"/>
    <w:rsid w:val="00496855"/>
    <w:rsid w:val="004B49B4"/>
    <w:rsid w:val="004B61F3"/>
    <w:rsid w:val="004B79BD"/>
    <w:rsid w:val="004C0151"/>
    <w:rsid w:val="004C478B"/>
    <w:rsid w:val="004C4DFA"/>
    <w:rsid w:val="004C764A"/>
    <w:rsid w:val="004E3CB2"/>
    <w:rsid w:val="004F2FD2"/>
    <w:rsid w:val="004F3C56"/>
    <w:rsid w:val="004F480D"/>
    <w:rsid w:val="004F4B51"/>
    <w:rsid w:val="004F6DDD"/>
    <w:rsid w:val="004F7120"/>
    <w:rsid w:val="005128C7"/>
    <w:rsid w:val="00524345"/>
    <w:rsid w:val="00525204"/>
    <w:rsid w:val="00527C5B"/>
    <w:rsid w:val="005345FF"/>
    <w:rsid w:val="005376D7"/>
    <w:rsid w:val="005574C1"/>
    <w:rsid w:val="005601A1"/>
    <w:rsid w:val="00561D97"/>
    <w:rsid w:val="00571373"/>
    <w:rsid w:val="00573670"/>
    <w:rsid w:val="005826F4"/>
    <w:rsid w:val="00593757"/>
    <w:rsid w:val="0059627C"/>
    <w:rsid w:val="0059651A"/>
    <w:rsid w:val="005A718D"/>
    <w:rsid w:val="005A7F46"/>
    <w:rsid w:val="005B3B18"/>
    <w:rsid w:val="005B4BF1"/>
    <w:rsid w:val="005B61CB"/>
    <w:rsid w:val="005B6363"/>
    <w:rsid w:val="005C38CB"/>
    <w:rsid w:val="005C7296"/>
    <w:rsid w:val="005D6DA1"/>
    <w:rsid w:val="005E4AD0"/>
    <w:rsid w:val="005E700F"/>
    <w:rsid w:val="005F5C42"/>
    <w:rsid w:val="00605D1E"/>
    <w:rsid w:val="006109E7"/>
    <w:rsid w:val="006125DF"/>
    <w:rsid w:val="00613A5C"/>
    <w:rsid w:val="006258E4"/>
    <w:rsid w:val="006327B2"/>
    <w:rsid w:val="006501E3"/>
    <w:rsid w:val="006624B7"/>
    <w:rsid w:val="0066440F"/>
    <w:rsid w:val="0066481E"/>
    <w:rsid w:val="006720EA"/>
    <w:rsid w:val="0067220C"/>
    <w:rsid w:val="006767B9"/>
    <w:rsid w:val="0068528E"/>
    <w:rsid w:val="006858EE"/>
    <w:rsid w:val="00691344"/>
    <w:rsid w:val="006964C2"/>
    <w:rsid w:val="0069663F"/>
    <w:rsid w:val="006B30ED"/>
    <w:rsid w:val="006C4DDE"/>
    <w:rsid w:val="006D2821"/>
    <w:rsid w:val="006D30C5"/>
    <w:rsid w:val="006E1993"/>
    <w:rsid w:val="006E4152"/>
    <w:rsid w:val="006F1DCF"/>
    <w:rsid w:val="00700E5F"/>
    <w:rsid w:val="00701D08"/>
    <w:rsid w:val="00704095"/>
    <w:rsid w:val="0072218E"/>
    <w:rsid w:val="00725516"/>
    <w:rsid w:val="0072619A"/>
    <w:rsid w:val="00726D20"/>
    <w:rsid w:val="00737F31"/>
    <w:rsid w:val="00741EB3"/>
    <w:rsid w:val="007451A8"/>
    <w:rsid w:val="0074545F"/>
    <w:rsid w:val="00755167"/>
    <w:rsid w:val="00760CB1"/>
    <w:rsid w:val="0076614C"/>
    <w:rsid w:val="00766A0F"/>
    <w:rsid w:val="0077133B"/>
    <w:rsid w:val="007718CF"/>
    <w:rsid w:val="007803A2"/>
    <w:rsid w:val="007A6180"/>
    <w:rsid w:val="007B2535"/>
    <w:rsid w:val="007C2094"/>
    <w:rsid w:val="007D0797"/>
    <w:rsid w:val="007D4D21"/>
    <w:rsid w:val="007E7F5A"/>
    <w:rsid w:val="007F7336"/>
    <w:rsid w:val="00802DBA"/>
    <w:rsid w:val="00805132"/>
    <w:rsid w:val="00805EE2"/>
    <w:rsid w:val="00815586"/>
    <w:rsid w:val="00824A17"/>
    <w:rsid w:val="0083191F"/>
    <w:rsid w:val="008444B3"/>
    <w:rsid w:val="00856BA1"/>
    <w:rsid w:val="00865340"/>
    <w:rsid w:val="00873721"/>
    <w:rsid w:val="00876466"/>
    <w:rsid w:val="00880816"/>
    <w:rsid w:val="00885200"/>
    <w:rsid w:val="0089506C"/>
    <w:rsid w:val="008A1C47"/>
    <w:rsid w:val="008A60A2"/>
    <w:rsid w:val="008B1761"/>
    <w:rsid w:val="008B23BE"/>
    <w:rsid w:val="008C24D3"/>
    <w:rsid w:val="008C41E5"/>
    <w:rsid w:val="008D47D7"/>
    <w:rsid w:val="008D6154"/>
    <w:rsid w:val="008D65BE"/>
    <w:rsid w:val="008D7883"/>
    <w:rsid w:val="008F64AB"/>
    <w:rsid w:val="00907993"/>
    <w:rsid w:val="00932582"/>
    <w:rsid w:val="00956DD5"/>
    <w:rsid w:val="00957137"/>
    <w:rsid w:val="00963D98"/>
    <w:rsid w:val="00967CD2"/>
    <w:rsid w:val="00983FB0"/>
    <w:rsid w:val="00994653"/>
    <w:rsid w:val="009959DC"/>
    <w:rsid w:val="009A2637"/>
    <w:rsid w:val="009A354C"/>
    <w:rsid w:val="009A3C41"/>
    <w:rsid w:val="009B07F1"/>
    <w:rsid w:val="009B25D9"/>
    <w:rsid w:val="009B45C7"/>
    <w:rsid w:val="009B6AB5"/>
    <w:rsid w:val="009D34C6"/>
    <w:rsid w:val="009E0644"/>
    <w:rsid w:val="009F6F7B"/>
    <w:rsid w:val="00A021D9"/>
    <w:rsid w:val="00A07F90"/>
    <w:rsid w:val="00A17B29"/>
    <w:rsid w:val="00A20220"/>
    <w:rsid w:val="00A232D4"/>
    <w:rsid w:val="00A37093"/>
    <w:rsid w:val="00A40D27"/>
    <w:rsid w:val="00A41103"/>
    <w:rsid w:val="00A43FD1"/>
    <w:rsid w:val="00A50C1D"/>
    <w:rsid w:val="00A548F1"/>
    <w:rsid w:val="00A657BF"/>
    <w:rsid w:val="00A67FDD"/>
    <w:rsid w:val="00A70C9E"/>
    <w:rsid w:val="00A70DC7"/>
    <w:rsid w:val="00A80B24"/>
    <w:rsid w:val="00A81A25"/>
    <w:rsid w:val="00A84C34"/>
    <w:rsid w:val="00A94F73"/>
    <w:rsid w:val="00AA0F73"/>
    <w:rsid w:val="00AA3146"/>
    <w:rsid w:val="00AA4330"/>
    <w:rsid w:val="00AA75A7"/>
    <w:rsid w:val="00AB1045"/>
    <w:rsid w:val="00AB5F62"/>
    <w:rsid w:val="00AB707D"/>
    <w:rsid w:val="00AC2E32"/>
    <w:rsid w:val="00AC5EC2"/>
    <w:rsid w:val="00AC7372"/>
    <w:rsid w:val="00AD449F"/>
    <w:rsid w:val="00AE4012"/>
    <w:rsid w:val="00AE5544"/>
    <w:rsid w:val="00AE560E"/>
    <w:rsid w:val="00AE5EDA"/>
    <w:rsid w:val="00AF06C3"/>
    <w:rsid w:val="00AF0CEE"/>
    <w:rsid w:val="00AF1843"/>
    <w:rsid w:val="00AF2D72"/>
    <w:rsid w:val="00AF3766"/>
    <w:rsid w:val="00B01EFA"/>
    <w:rsid w:val="00B02508"/>
    <w:rsid w:val="00B054DC"/>
    <w:rsid w:val="00B23FF4"/>
    <w:rsid w:val="00B251A4"/>
    <w:rsid w:val="00B257C1"/>
    <w:rsid w:val="00B27CE6"/>
    <w:rsid w:val="00B3128A"/>
    <w:rsid w:val="00B33F40"/>
    <w:rsid w:val="00B37AB3"/>
    <w:rsid w:val="00B502CE"/>
    <w:rsid w:val="00B51E25"/>
    <w:rsid w:val="00B556B3"/>
    <w:rsid w:val="00B67003"/>
    <w:rsid w:val="00B677FE"/>
    <w:rsid w:val="00B67F4C"/>
    <w:rsid w:val="00B80558"/>
    <w:rsid w:val="00B8171A"/>
    <w:rsid w:val="00B8404D"/>
    <w:rsid w:val="00B930FF"/>
    <w:rsid w:val="00B938DD"/>
    <w:rsid w:val="00B956FD"/>
    <w:rsid w:val="00B96773"/>
    <w:rsid w:val="00B97073"/>
    <w:rsid w:val="00BA1A66"/>
    <w:rsid w:val="00BA4FAD"/>
    <w:rsid w:val="00BA63D6"/>
    <w:rsid w:val="00BA7FC5"/>
    <w:rsid w:val="00BB042C"/>
    <w:rsid w:val="00BB28F4"/>
    <w:rsid w:val="00BB3624"/>
    <w:rsid w:val="00BC3612"/>
    <w:rsid w:val="00BC4251"/>
    <w:rsid w:val="00BD4D71"/>
    <w:rsid w:val="00BE1029"/>
    <w:rsid w:val="00BE7266"/>
    <w:rsid w:val="00C027A8"/>
    <w:rsid w:val="00C039E2"/>
    <w:rsid w:val="00C235BA"/>
    <w:rsid w:val="00C31F24"/>
    <w:rsid w:val="00C41DE5"/>
    <w:rsid w:val="00C42FA8"/>
    <w:rsid w:val="00C44082"/>
    <w:rsid w:val="00C45F6F"/>
    <w:rsid w:val="00C52F64"/>
    <w:rsid w:val="00C557D8"/>
    <w:rsid w:val="00C63E9E"/>
    <w:rsid w:val="00C64214"/>
    <w:rsid w:val="00C66740"/>
    <w:rsid w:val="00C7687D"/>
    <w:rsid w:val="00C76991"/>
    <w:rsid w:val="00C772C4"/>
    <w:rsid w:val="00C80A16"/>
    <w:rsid w:val="00C826C6"/>
    <w:rsid w:val="00C82983"/>
    <w:rsid w:val="00C95D5C"/>
    <w:rsid w:val="00C966F3"/>
    <w:rsid w:val="00CA49AC"/>
    <w:rsid w:val="00CA4D62"/>
    <w:rsid w:val="00CA7A90"/>
    <w:rsid w:val="00CB05C7"/>
    <w:rsid w:val="00CB39FD"/>
    <w:rsid w:val="00CB3D7E"/>
    <w:rsid w:val="00CB4660"/>
    <w:rsid w:val="00CB597F"/>
    <w:rsid w:val="00CC40CB"/>
    <w:rsid w:val="00CC5137"/>
    <w:rsid w:val="00CC7AE8"/>
    <w:rsid w:val="00CD1B9C"/>
    <w:rsid w:val="00CE020D"/>
    <w:rsid w:val="00CF2CDC"/>
    <w:rsid w:val="00D0384A"/>
    <w:rsid w:val="00D13AFD"/>
    <w:rsid w:val="00D15D70"/>
    <w:rsid w:val="00D25C02"/>
    <w:rsid w:val="00D26042"/>
    <w:rsid w:val="00D3051A"/>
    <w:rsid w:val="00D3683A"/>
    <w:rsid w:val="00D43EC0"/>
    <w:rsid w:val="00D527AD"/>
    <w:rsid w:val="00D5326D"/>
    <w:rsid w:val="00D631BC"/>
    <w:rsid w:val="00D71E74"/>
    <w:rsid w:val="00D7324E"/>
    <w:rsid w:val="00D73B4D"/>
    <w:rsid w:val="00D74EE4"/>
    <w:rsid w:val="00D80D94"/>
    <w:rsid w:val="00D97A96"/>
    <w:rsid w:val="00DA1BDE"/>
    <w:rsid w:val="00DA4957"/>
    <w:rsid w:val="00DB657F"/>
    <w:rsid w:val="00DB6A10"/>
    <w:rsid w:val="00DB762C"/>
    <w:rsid w:val="00DC29BC"/>
    <w:rsid w:val="00DC50F2"/>
    <w:rsid w:val="00DE24DB"/>
    <w:rsid w:val="00DE6597"/>
    <w:rsid w:val="00DE784B"/>
    <w:rsid w:val="00DF4C3B"/>
    <w:rsid w:val="00DF79DA"/>
    <w:rsid w:val="00E23A54"/>
    <w:rsid w:val="00E23F9A"/>
    <w:rsid w:val="00E400D5"/>
    <w:rsid w:val="00E55E3A"/>
    <w:rsid w:val="00E56C2D"/>
    <w:rsid w:val="00E60F20"/>
    <w:rsid w:val="00E61A36"/>
    <w:rsid w:val="00E6750E"/>
    <w:rsid w:val="00E71B51"/>
    <w:rsid w:val="00E72FD7"/>
    <w:rsid w:val="00E73717"/>
    <w:rsid w:val="00E7765F"/>
    <w:rsid w:val="00E81CAE"/>
    <w:rsid w:val="00E84D34"/>
    <w:rsid w:val="00E94BB4"/>
    <w:rsid w:val="00EA78F0"/>
    <w:rsid w:val="00EB72C5"/>
    <w:rsid w:val="00EC2E02"/>
    <w:rsid w:val="00ED3F10"/>
    <w:rsid w:val="00EE2F40"/>
    <w:rsid w:val="00EE4AA4"/>
    <w:rsid w:val="00EE5F0B"/>
    <w:rsid w:val="00EE685A"/>
    <w:rsid w:val="00EF7D31"/>
    <w:rsid w:val="00EF7DFC"/>
    <w:rsid w:val="00F01AE3"/>
    <w:rsid w:val="00F119D5"/>
    <w:rsid w:val="00F12CE8"/>
    <w:rsid w:val="00F2736B"/>
    <w:rsid w:val="00F400B8"/>
    <w:rsid w:val="00F44FC3"/>
    <w:rsid w:val="00F52AFC"/>
    <w:rsid w:val="00F55A3E"/>
    <w:rsid w:val="00F6262C"/>
    <w:rsid w:val="00F66525"/>
    <w:rsid w:val="00F70D80"/>
    <w:rsid w:val="00F753FF"/>
    <w:rsid w:val="00F8289B"/>
    <w:rsid w:val="00F97C2B"/>
    <w:rsid w:val="00FA06C7"/>
    <w:rsid w:val="00FA54F1"/>
    <w:rsid w:val="00FB08E0"/>
    <w:rsid w:val="00FB3853"/>
    <w:rsid w:val="00FC6575"/>
    <w:rsid w:val="00FD448E"/>
    <w:rsid w:val="00FD4EC6"/>
    <w:rsid w:val="00FD67A5"/>
    <w:rsid w:val="00FE6860"/>
    <w:rsid w:val="00FF03A1"/>
    <w:rsid w:val="00FF348D"/>
    <w:rsid w:val="00FF51C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5BC9E"/>
  <w15:docId w15:val="{161162C7-A454-49D7-8379-9835A679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82D"/>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07418"/>
    <w:pPr>
      <w:tabs>
        <w:tab w:val="center" w:pos="4320"/>
        <w:tab w:val="right" w:pos="8640"/>
      </w:tabs>
    </w:pPr>
  </w:style>
  <w:style w:type="character" w:customStyle="1" w:styleId="HeaderChar">
    <w:name w:val="Header Char"/>
    <w:basedOn w:val="DefaultParagraphFont"/>
    <w:link w:val="Header"/>
    <w:uiPriority w:val="99"/>
    <w:rsid w:val="00307418"/>
    <w:rPr>
      <w:rFonts w:ascii="Times New Roman" w:eastAsia="Times New Roman" w:hAnsi="Times New Roman" w:cs="Times New Roman"/>
      <w:sz w:val="24"/>
      <w:szCs w:val="24"/>
      <w:lang w:val="en-GB"/>
    </w:rPr>
  </w:style>
  <w:style w:type="character" w:styleId="PageNumber">
    <w:name w:val="page number"/>
    <w:basedOn w:val="DefaultParagraphFont"/>
    <w:rsid w:val="00307418"/>
  </w:style>
  <w:style w:type="paragraph" w:styleId="ListParagraph">
    <w:name w:val="List Paragraph"/>
    <w:basedOn w:val="Normal"/>
    <w:uiPriority w:val="34"/>
    <w:qFormat/>
    <w:rsid w:val="00307418"/>
    <w:pPr>
      <w:ind w:left="720"/>
      <w:contextualSpacing/>
    </w:pPr>
  </w:style>
  <w:style w:type="paragraph" w:customStyle="1" w:styleId="Default">
    <w:name w:val="Default"/>
    <w:rsid w:val="00307418"/>
    <w:pPr>
      <w:autoSpaceDE w:val="0"/>
      <w:autoSpaceDN w:val="0"/>
      <w:adjustRightInd w:val="0"/>
      <w:spacing w:after="0" w:line="240" w:lineRule="auto"/>
    </w:pPr>
    <w:rPr>
      <w:rFonts w:ascii="Times New Roman" w:eastAsia="Times New Roman" w:hAnsi="Times New Roman" w:cs="Times New Roman"/>
      <w:color w:val="000000"/>
      <w:sz w:val="24"/>
      <w:szCs w:val="24"/>
      <w:lang w:eastAsia="en-ZW"/>
    </w:rPr>
  </w:style>
  <w:style w:type="paragraph" w:styleId="Footer">
    <w:name w:val="footer"/>
    <w:basedOn w:val="Normal"/>
    <w:link w:val="FooterChar"/>
    <w:uiPriority w:val="99"/>
    <w:unhideWhenUsed/>
    <w:rsid w:val="00307418"/>
    <w:pPr>
      <w:tabs>
        <w:tab w:val="center" w:pos="4513"/>
        <w:tab w:val="right" w:pos="9026"/>
      </w:tabs>
    </w:pPr>
  </w:style>
  <w:style w:type="character" w:customStyle="1" w:styleId="FooterChar">
    <w:name w:val="Footer Char"/>
    <w:basedOn w:val="DefaultParagraphFont"/>
    <w:link w:val="Footer"/>
    <w:uiPriority w:val="99"/>
    <w:rsid w:val="00307418"/>
    <w:rPr>
      <w:rFonts w:ascii="Times New Roman" w:eastAsia="Times New Roman" w:hAnsi="Times New Roman" w:cs="Times New Roman"/>
      <w:sz w:val="24"/>
      <w:szCs w:val="24"/>
      <w:lang w:val="en-GB"/>
    </w:rPr>
  </w:style>
  <w:style w:type="paragraph" w:styleId="FootnoteText">
    <w:name w:val="footnote text"/>
    <w:basedOn w:val="Normal"/>
    <w:link w:val="FootnoteTextChar"/>
    <w:uiPriority w:val="99"/>
    <w:unhideWhenUsed/>
    <w:rsid w:val="00856BA1"/>
    <w:rPr>
      <w:rFonts w:asciiTheme="minorHAnsi" w:eastAsiaTheme="minorHAnsi" w:hAnsiTheme="minorHAnsi" w:cstheme="minorBidi"/>
      <w:sz w:val="20"/>
      <w:szCs w:val="20"/>
      <w:lang w:val="en-ZW"/>
    </w:rPr>
  </w:style>
  <w:style w:type="character" w:customStyle="1" w:styleId="FootnoteTextChar">
    <w:name w:val="Footnote Text Char"/>
    <w:basedOn w:val="DefaultParagraphFont"/>
    <w:link w:val="FootnoteText"/>
    <w:uiPriority w:val="99"/>
    <w:rsid w:val="00856BA1"/>
    <w:rPr>
      <w:sz w:val="20"/>
      <w:szCs w:val="20"/>
    </w:rPr>
  </w:style>
  <w:style w:type="character" w:styleId="FootnoteReference">
    <w:name w:val="footnote reference"/>
    <w:basedOn w:val="DefaultParagraphFont"/>
    <w:uiPriority w:val="99"/>
    <w:semiHidden/>
    <w:unhideWhenUsed/>
    <w:rsid w:val="00856BA1"/>
    <w:rPr>
      <w:vertAlign w:val="superscript"/>
    </w:rPr>
  </w:style>
  <w:style w:type="paragraph" w:styleId="BalloonText">
    <w:name w:val="Balloon Text"/>
    <w:basedOn w:val="Normal"/>
    <w:link w:val="BalloonTextChar"/>
    <w:uiPriority w:val="99"/>
    <w:semiHidden/>
    <w:unhideWhenUsed/>
    <w:rsid w:val="001A739D"/>
    <w:rPr>
      <w:rFonts w:ascii="Tahoma" w:hAnsi="Tahoma" w:cs="Tahoma"/>
      <w:sz w:val="16"/>
      <w:szCs w:val="16"/>
    </w:rPr>
  </w:style>
  <w:style w:type="character" w:customStyle="1" w:styleId="BalloonTextChar">
    <w:name w:val="Balloon Text Char"/>
    <w:basedOn w:val="DefaultParagraphFont"/>
    <w:link w:val="BalloonText"/>
    <w:uiPriority w:val="99"/>
    <w:semiHidden/>
    <w:rsid w:val="001A739D"/>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4736</Words>
  <Characters>26997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Rufaro Deshe</cp:lastModifiedBy>
  <cp:revision>2</cp:revision>
  <cp:lastPrinted>2022-08-05T09:41:00Z</cp:lastPrinted>
  <dcterms:created xsi:type="dcterms:W3CDTF">2022-10-03T13:01:00Z</dcterms:created>
  <dcterms:modified xsi:type="dcterms:W3CDTF">2022-10-03T13:01:00Z</dcterms:modified>
</cp:coreProperties>
</file>