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31E8" w:rsidRPr="00085764" w:rsidRDefault="005E31E8" w:rsidP="005E31E8">
      <w:pPr>
        <w:spacing w:after="0" w:line="360" w:lineRule="auto"/>
        <w:jc w:val="both"/>
        <w:rPr>
          <w:rFonts w:ascii="Times New Roman" w:hAnsi="Times New Roman"/>
          <w:b/>
          <w:sz w:val="24"/>
          <w:szCs w:val="24"/>
        </w:rPr>
      </w:pPr>
      <w:r>
        <w:rPr>
          <w:rFonts w:ascii="Times New Roman" w:hAnsi="Times New Roman"/>
          <w:b/>
          <w:sz w:val="24"/>
          <w:szCs w:val="24"/>
          <w:u w:val="single"/>
        </w:rPr>
        <w:t>DISTRIBUTABLE</w:t>
      </w:r>
      <w:r w:rsidRPr="00085764">
        <w:rPr>
          <w:rFonts w:ascii="Times New Roman" w:hAnsi="Times New Roman"/>
          <w:b/>
          <w:sz w:val="24"/>
          <w:szCs w:val="24"/>
        </w:rPr>
        <w:t xml:space="preserve"> </w:t>
      </w:r>
      <w:r w:rsidRPr="00085764">
        <w:rPr>
          <w:rFonts w:ascii="Times New Roman" w:hAnsi="Times New Roman"/>
          <w:b/>
          <w:sz w:val="24"/>
          <w:szCs w:val="24"/>
        </w:rPr>
        <w:tab/>
      </w:r>
      <w:r>
        <w:rPr>
          <w:rFonts w:ascii="Times New Roman" w:hAnsi="Times New Roman"/>
          <w:b/>
          <w:sz w:val="24"/>
          <w:szCs w:val="24"/>
        </w:rPr>
        <w:t>(11)</w:t>
      </w:r>
    </w:p>
    <w:p w:rsidR="00B20B1D" w:rsidRPr="00FF7A55" w:rsidRDefault="00B20B1D" w:rsidP="00B72391">
      <w:pPr>
        <w:rPr>
          <w:rFonts w:ascii="Times New Roman" w:hAnsi="Times New Roman" w:cs="Times New Roman"/>
          <w:sz w:val="24"/>
          <w:szCs w:val="24"/>
        </w:rPr>
      </w:pPr>
    </w:p>
    <w:p w:rsidR="00B20B1D" w:rsidRPr="00FF7A55" w:rsidRDefault="00B20B1D" w:rsidP="00B72391">
      <w:pPr>
        <w:rPr>
          <w:rFonts w:ascii="Times New Roman" w:hAnsi="Times New Roman" w:cs="Times New Roman"/>
          <w:sz w:val="24"/>
          <w:szCs w:val="24"/>
        </w:rPr>
      </w:pPr>
    </w:p>
    <w:p w:rsidR="00E454D8" w:rsidRPr="00FF7A55" w:rsidRDefault="00243920" w:rsidP="00C51E69">
      <w:pPr>
        <w:pStyle w:val="NoSpacing"/>
        <w:jc w:val="center"/>
        <w:rPr>
          <w:rFonts w:ascii="Times New Roman" w:hAnsi="Times New Roman" w:cs="Times New Roman"/>
          <w:b/>
          <w:sz w:val="24"/>
          <w:szCs w:val="24"/>
        </w:rPr>
      </w:pPr>
      <w:r w:rsidRPr="00FF7A55">
        <w:rPr>
          <w:rFonts w:ascii="Times New Roman" w:hAnsi="Times New Roman" w:cs="Times New Roman"/>
          <w:b/>
          <w:sz w:val="24"/>
          <w:szCs w:val="24"/>
        </w:rPr>
        <w:t>ALBAN     GERARD     BOWERS</w:t>
      </w:r>
      <w:r w:rsidR="005A1A89">
        <w:rPr>
          <w:rFonts w:ascii="Times New Roman" w:hAnsi="Times New Roman" w:cs="Times New Roman"/>
          <w:b/>
          <w:sz w:val="24"/>
          <w:szCs w:val="24"/>
        </w:rPr>
        <w:t xml:space="preserve">                                                                                 </w:t>
      </w:r>
    </w:p>
    <w:p w:rsidR="00E454D8" w:rsidRPr="00FF7A55" w:rsidRDefault="00E454D8" w:rsidP="00C51E69">
      <w:pPr>
        <w:pStyle w:val="NoSpacing"/>
        <w:jc w:val="center"/>
        <w:rPr>
          <w:rFonts w:ascii="Times New Roman" w:hAnsi="Times New Roman" w:cs="Times New Roman"/>
          <w:b/>
          <w:sz w:val="24"/>
          <w:szCs w:val="24"/>
        </w:rPr>
      </w:pPr>
      <w:r w:rsidRPr="00FF7A55">
        <w:rPr>
          <w:rFonts w:ascii="Times New Roman" w:hAnsi="Times New Roman" w:cs="Times New Roman"/>
          <w:b/>
          <w:sz w:val="24"/>
          <w:szCs w:val="24"/>
        </w:rPr>
        <w:t>v</w:t>
      </w:r>
    </w:p>
    <w:p w:rsidR="00E454D8" w:rsidRPr="00FF7A55" w:rsidRDefault="00243920" w:rsidP="00C51E69">
      <w:pPr>
        <w:pStyle w:val="NoSpacing"/>
        <w:jc w:val="center"/>
        <w:rPr>
          <w:rFonts w:ascii="Times New Roman" w:hAnsi="Times New Roman" w:cs="Times New Roman"/>
          <w:b/>
          <w:sz w:val="24"/>
          <w:szCs w:val="24"/>
        </w:rPr>
      </w:pPr>
      <w:r w:rsidRPr="00FF7A55">
        <w:rPr>
          <w:rFonts w:ascii="Times New Roman" w:hAnsi="Times New Roman" w:cs="Times New Roman"/>
          <w:b/>
          <w:sz w:val="24"/>
          <w:szCs w:val="24"/>
        </w:rPr>
        <w:t>SHARIFFA     PRECIOUS     BOWERS</w:t>
      </w:r>
    </w:p>
    <w:p w:rsidR="00B20B1D" w:rsidRPr="00FF7A55" w:rsidRDefault="00B20B1D" w:rsidP="00B20B1D">
      <w:pPr>
        <w:tabs>
          <w:tab w:val="left" w:pos="4005"/>
        </w:tabs>
        <w:spacing w:after="0" w:line="360" w:lineRule="auto"/>
        <w:jc w:val="center"/>
        <w:rPr>
          <w:rFonts w:ascii="Times New Roman" w:hAnsi="Times New Roman" w:cs="Times New Roman"/>
          <w:sz w:val="24"/>
          <w:szCs w:val="24"/>
        </w:rPr>
      </w:pPr>
    </w:p>
    <w:p w:rsidR="00B72391" w:rsidRPr="00FF7A55" w:rsidRDefault="00B72391" w:rsidP="00146411">
      <w:pPr>
        <w:tabs>
          <w:tab w:val="left" w:pos="4005"/>
        </w:tabs>
        <w:spacing w:after="0" w:line="360" w:lineRule="auto"/>
        <w:jc w:val="both"/>
        <w:rPr>
          <w:rFonts w:ascii="Times New Roman" w:hAnsi="Times New Roman" w:cs="Times New Roman"/>
          <w:sz w:val="24"/>
          <w:szCs w:val="24"/>
        </w:rPr>
      </w:pPr>
    </w:p>
    <w:p w:rsidR="00B72391" w:rsidRPr="00FF7A55" w:rsidRDefault="00B72391" w:rsidP="003E5D5F">
      <w:pPr>
        <w:pStyle w:val="NoSpacing"/>
        <w:jc w:val="both"/>
        <w:rPr>
          <w:rFonts w:ascii="Times New Roman" w:hAnsi="Times New Roman" w:cs="Times New Roman"/>
          <w:b/>
          <w:sz w:val="24"/>
          <w:szCs w:val="24"/>
        </w:rPr>
      </w:pPr>
      <w:r w:rsidRPr="00FF7A55">
        <w:rPr>
          <w:rFonts w:ascii="Times New Roman" w:hAnsi="Times New Roman" w:cs="Times New Roman"/>
          <w:b/>
          <w:sz w:val="24"/>
          <w:szCs w:val="24"/>
        </w:rPr>
        <w:t>SUPREME COURT OF ZIMBABWE</w:t>
      </w:r>
    </w:p>
    <w:p w:rsidR="00AB7494" w:rsidRPr="00FF7A55" w:rsidRDefault="003D221E" w:rsidP="003E5D5F">
      <w:pPr>
        <w:pStyle w:val="NoSpacing"/>
        <w:jc w:val="both"/>
        <w:rPr>
          <w:rFonts w:ascii="Times New Roman" w:hAnsi="Times New Roman" w:cs="Times New Roman"/>
          <w:b/>
          <w:sz w:val="24"/>
          <w:szCs w:val="24"/>
        </w:rPr>
      </w:pPr>
      <w:r w:rsidRPr="00FF7A55">
        <w:rPr>
          <w:rFonts w:ascii="Times New Roman" w:hAnsi="Times New Roman" w:cs="Times New Roman"/>
          <w:b/>
          <w:sz w:val="24"/>
          <w:szCs w:val="24"/>
        </w:rPr>
        <w:t>GWAUNZ</w:t>
      </w:r>
      <w:r w:rsidR="00702E9F" w:rsidRPr="00FF7A55">
        <w:rPr>
          <w:rFonts w:ascii="Times New Roman" w:hAnsi="Times New Roman" w:cs="Times New Roman"/>
          <w:b/>
          <w:sz w:val="24"/>
          <w:szCs w:val="24"/>
        </w:rPr>
        <w:t xml:space="preserve">A JA, </w:t>
      </w:r>
      <w:r w:rsidR="00F42B0C" w:rsidRPr="00FF7A55">
        <w:rPr>
          <w:rFonts w:ascii="Times New Roman" w:hAnsi="Times New Roman" w:cs="Times New Roman"/>
          <w:b/>
          <w:sz w:val="24"/>
          <w:szCs w:val="24"/>
        </w:rPr>
        <w:t xml:space="preserve">GOWORA JA &amp; </w:t>
      </w:r>
      <w:r w:rsidR="00702E9F" w:rsidRPr="00FF7A55">
        <w:rPr>
          <w:rFonts w:ascii="Times New Roman" w:hAnsi="Times New Roman" w:cs="Times New Roman"/>
          <w:b/>
          <w:sz w:val="24"/>
          <w:szCs w:val="24"/>
        </w:rPr>
        <w:t xml:space="preserve">HLATSHWAYO JA </w:t>
      </w:r>
    </w:p>
    <w:p w:rsidR="00B72391" w:rsidRPr="00FF7A55" w:rsidRDefault="00B72391" w:rsidP="003E5D5F">
      <w:pPr>
        <w:pStyle w:val="NoSpacing"/>
        <w:jc w:val="both"/>
        <w:rPr>
          <w:rFonts w:ascii="Times New Roman" w:hAnsi="Times New Roman" w:cs="Times New Roman"/>
          <w:b/>
          <w:sz w:val="24"/>
          <w:szCs w:val="24"/>
        </w:rPr>
      </w:pPr>
      <w:r w:rsidRPr="00FF7A55">
        <w:rPr>
          <w:rFonts w:ascii="Times New Roman" w:hAnsi="Times New Roman" w:cs="Times New Roman"/>
          <w:b/>
          <w:sz w:val="24"/>
          <w:szCs w:val="24"/>
        </w:rPr>
        <w:t>HARARE</w:t>
      </w:r>
      <w:r w:rsidR="00702E9F" w:rsidRPr="00FF7A55">
        <w:rPr>
          <w:rFonts w:ascii="Times New Roman" w:hAnsi="Times New Roman" w:cs="Times New Roman"/>
          <w:b/>
          <w:sz w:val="24"/>
          <w:szCs w:val="24"/>
        </w:rPr>
        <w:t>,</w:t>
      </w:r>
      <w:r w:rsidRPr="00FF7A55">
        <w:rPr>
          <w:rFonts w:ascii="Times New Roman" w:hAnsi="Times New Roman" w:cs="Times New Roman"/>
          <w:b/>
          <w:sz w:val="24"/>
          <w:szCs w:val="24"/>
        </w:rPr>
        <w:t xml:space="preserve"> 11 JULY 2017</w:t>
      </w:r>
    </w:p>
    <w:p w:rsidR="00B72391" w:rsidRPr="00FF7A55" w:rsidRDefault="00B72391" w:rsidP="003E5D5F">
      <w:pPr>
        <w:tabs>
          <w:tab w:val="left" w:pos="4005"/>
        </w:tabs>
        <w:spacing w:after="0" w:line="360" w:lineRule="auto"/>
        <w:jc w:val="both"/>
        <w:rPr>
          <w:rFonts w:ascii="Times New Roman" w:hAnsi="Times New Roman" w:cs="Times New Roman"/>
          <w:sz w:val="24"/>
          <w:szCs w:val="24"/>
        </w:rPr>
      </w:pPr>
    </w:p>
    <w:p w:rsidR="00B20B1D" w:rsidRPr="00FF7A55" w:rsidRDefault="00B20B1D" w:rsidP="003E5D5F">
      <w:pPr>
        <w:tabs>
          <w:tab w:val="left" w:pos="4005"/>
        </w:tabs>
        <w:spacing w:after="0" w:line="360" w:lineRule="auto"/>
        <w:jc w:val="both"/>
        <w:rPr>
          <w:rFonts w:ascii="Times New Roman" w:hAnsi="Times New Roman" w:cs="Times New Roman"/>
          <w:sz w:val="24"/>
          <w:szCs w:val="24"/>
        </w:rPr>
      </w:pPr>
    </w:p>
    <w:p w:rsidR="00B72391" w:rsidRPr="00FF7A55" w:rsidRDefault="000C6AC0" w:rsidP="003E5D5F">
      <w:pPr>
        <w:tabs>
          <w:tab w:val="left" w:pos="4005"/>
        </w:tabs>
        <w:spacing w:after="0" w:line="480" w:lineRule="auto"/>
        <w:jc w:val="both"/>
        <w:rPr>
          <w:rFonts w:ascii="Times New Roman" w:hAnsi="Times New Roman" w:cs="Times New Roman"/>
          <w:sz w:val="24"/>
          <w:szCs w:val="24"/>
        </w:rPr>
      </w:pPr>
      <w:r w:rsidRPr="00FF7A55">
        <w:rPr>
          <w:rFonts w:ascii="Times New Roman" w:hAnsi="Times New Roman" w:cs="Times New Roman"/>
          <w:sz w:val="24"/>
          <w:szCs w:val="24"/>
        </w:rPr>
        <w:t>Advo</w:t>
      </w:r>
      <w:r w:rsidR="00341BCE" w:rsidRPr="00FF7A55">
        <w:rPr>
          <w:rFonts w:ascii="Times New Roman" w:hAnsi="Times New Roman" w:cs="Times New Roman"/>
          <w:sz w:val="24"/>
          <w:szCs w:val="24"/>
        </w:rPr>
        <w:t xml:space="preserve">cate </w:t>
      </w:r>
      <w:r w:rsidR="00341BCE" w:rsidRPr="00FF7A55">
        <w:rPr>
          <w:rFonts w:ascii="Times New Roman" w:hAnsi="Times New Roman" w:cs="Times New Roman"/>
          <w:i/>
          <w:sz w:val="24"/>
          <w:szCs w:val="24"/>
        </w:rPr>
        <w:t>L</w:t>
      </w:r>
      <w:r w:rsidR="005B2AA9" w:rsidRPr="00FF7A55">
        <w:rPr>
          <w:rFonts w:ascii="Times New Roman" w:hAnsi="Times New Roman" w:cs="Times New Roman"/>
          <w:i/>
          <w:sz w:val="24"/>
          <w:szCs w:val="24"/>
        </w:rPr>
        <w:t>.</w:t>
      </w:r>
      <w:r w:rsidR="00341BCE" w:rsidRPr="00FF7A55">
        <w:rPr>
          <w:rFonts w:ascii="Times New Roman" w:hAnsi="Times New Roman" w:cs="Times New Roman"/>
          <w:i/>
          <w:sz w:val="24"/>
          <w:szCs w:val="24"/>
        </w:rPr>
        <w:t xml:space="preserve"> </w:t>
      </w:r>
      <w:proofErr w:type="spellStart"/>
      <w:r w:rsidR="00341BCE" w:rsidRPr="00FF7A55">
        <w:rPr>
          <w:rFonts w:ascii="Times New Roman" w:hAnsi="Times New Roman" w:cs="Times New Roman"/>
          <w:i/>
          <w:sz w:val="24"/>
          <w:szCs w:val="24"/>
        </w:rPr>
        <w:t>Uriri</w:t>
      </w:r>
      <w:proofErr w:type="spellEnd"/>
      <w:r w:rsidR="005B2AA9" w:rsidRPr="00FF7A55">
        <w:rPr>
          <w:rFonts w:ascii="Times New Roman" w:hAnsi="Times New Roman" w:cs="Times New Roman"/>
          <w:i/>
          <w:sz w:val="24"/>
          <w:szCs w:val="24"/>
        </w:rPr>
        <w:t>,</w:t>
      </w:r>
      <w:r w:rsidR="00341BCE" w:rsidRPr="00FF7A55">
        <w:rPr>
          <w:rFonts w:ascii="Times New Roman" w:hAnsi="Times New Roman" w:cs="Times New Roman"/>
          <w:sz w:val="24"/>
          <w:szCs w:val="24"/>
        </w:rPr>
        <w:t xml:space="preserve"> for the appellant</w:t>
      </w:r>
    </w:p>
    <w:p w:rsidR="00341BCE" w:rsidRPr="00FF7A55" w:rsidRDefault="00341BCE" w:rsidP="003E5D5F">
      <w:pPr>
        <w:tabs>
          <w:tab w:val="left" w:pos="4005"/>
        </w:tabs>
        <w:spacing w:after="0" w:line="480" w:lineRule="auto"/>
        <w:jc w:val="both"/>
        <w:rPr>
          <w:rFonts w:ascii="Times New Roman" w:hAnsi="Times New Roman" w:cs="Times New Roman"/>
          <w:sz w:val="24"/>
          <w:szCs w:val="24"/>
        </w:rPr>
      </w:pPr>
      <w:r w:rsidRPr="00FF7A55">
        <w:rPr>
          <w:rFonts w:ascii="Times New Roman" w:hAnsi="Times New Roman" w:cs="Times New Roman"/>
          <w:sz w:val="24"/>
          <w:szCs w:val="24"/>
        </w:rPr>
        <w:t xml:space="preserve">Advocate </w:t>
      </w:r>
      <w:r w:rsidRPr="00FF7A55">
        <w:rPr>
          <w:rFonts w:ascii="Times New Roman" w:hAnsi="Times New Roman" w:cs="Times New Roman"/>
          <w:i/>
          <w:sz w:val="24"/>
          <w:szCs w:val="24"/>
        </w:rPr>
        <w:t>E</w:t>
      </w:r>
      <w:r w:rsidR="005B2AA9" w:rsidRPr="00FF7A55">
        <w:rPr>
          <w:rFonts w:ascii="Times New Roman" w:hAnsi="Times New Roman" w:cs="Times New Roman"/>
          <w:i/>
          <w:sz w:val="24"/>
          <w:szCs w:val="24"/>
        </w:rPr>
        <w:t>.</w:t>
      </w:r>
      <w:r w:rsidRPr="00FF7A55">
        <w:rPr>
          <w:rFonts w:ascii="Times New Roman" w:hAnsi="Times New Roman" w:cs="Times New Roman"/>
          <w:i/>
          <w:sz w:val="24"/>
          <w:szCs w:val="24"/>
        </w:rPr>
        <w:t xml:space="preserve"> </w:t>
      </w:r>
      <w:proofErr w:type="spellStart"/>
      <w:r w:rsidRPr="00FF7A55">
        <w:rPr>
          <w:rFonts w:ascii="Times New Roman" w:hAnsi="Times New Roman" w:cs="Times New Roman"/>
          <w:i/>
          <w:sz w:val="24"/>
          <w:szCs w:val="24"/>
        </w:rPr>
        <w:t>Matinenga</w:t>
      </w:r>
      <w:proofErr w:type="spellEnd"/>
      <w:r w:rsidR="005B2AA9" w:rsidRPr="00FF7A55">
        <w:rPr>
          <w:rFonts w:ascii="Times New Roman" w:hAnsi="Times New Roman" w:cs="Times New Roman"/>
          <w:i/>
          <w:sz w:val="24"/>
          <w:szCs w:val="24"/>
        </w:rPr>
        <w:t>,</w:t>
      </w:r>
      <w:r w:rsidRPr="00FF7A55">
        <w:rPr>
          <w:rFonts w:ascii="Times New Roman" w:hAnsi="Times New Roman" w:cs="Times New Roman"/>
          <w:sz w:val="24"/>
          <w:szCs w:val="24"/>
        </w:rPr>
        <w:t xml:space="preserve"> for the respondent</w:t>
      </w:r>
    </w:p>
    <w:p w:rsidR="00B20B1D" w:rsidRDefault="00B20B1D" w:rsidP="003E5D5F">
      <w:pPr>
        <w:tabs>
          <w:tab w:val="left" w:pos="4005"/>
        </w:tabs>
        <w:spacing w:after="0" w:line="480" w:lineRule="auto"/>
        <w:jc w:val="both"/>
        <w:rPr>
          <w:rFonts w:ascii="Times New Roman" w:hAnsi="Times New Roman" w:cs="Times New Roman"/>
          <w:i/>
          <w:sz w:val="24"/>
          <w:szCs w:val="24"/>
        </w:rPr>
      </w:pPr>
    </w:p>
    <w:p w:rsidR="00EB2FB5" w:rsidRPr="00FF7A55" w:rsidRDefault="00EB2FB5" w:rsidP="00EB2FB5">
      <w:pPr>
        <w:tabs>
          <w:tab w:val="left" w:pos="4005"/>
        </w:tabs>
        <w:spacing w:after="0" w:line="240" w:lineRule="auto"/>
        <w:jc w:val="both"/>
        <w:rPr>
          <w:rFonts w:ascii="Times New Roman" w:hAnsi="Times New Roman" w:cs="Times New Roman"/>
          <w:i/>
          <w:sz w:val="24"/>
          <w:szCs w:val="24"/>
        </w:rPr>
      </w:pPr>
    </w:p>
    <w:p w:rsidR="007C1B52" w:rsidRPr="00FF7A55" w:rsidRDefault="00B20B1D" w:rsidP="003E5D5F">
      <w:pPr>
        <w:spacing w:after="0" w:line="480" w:lineRule="auto"/>
        <w:ind w:firstLine="1134"/>
        <w:jc w:val="both"/>
        <w:rPr>
          <w:rFonts w:ascii="Times New Roman" w:hAnsi="Times New Roman" w:cs="Times New Roman"/>
          <w:sz w:val="24"/>
          <w:szCs w:val="24"/>
        </w:rPr>
      </w:pPr>
      <w:r w:rsidRPr="00FF7A55">
        <w:rPr>
          <w:rFonts w:ascii="Times New Roman" w:hAnsi="Times New Roman" w:cs="Times New Roman"/>
          <w:b/>
          <w:sz w:val="24"/>
          <w:szCs w:val="24"/>
        </w:rPr>
        <w:t>GWAUNZA JA:</w:t>
      </w:r>
      <w:r w:rsidR="00341BCE" w:rsidRPr="00FF7A55">
        <w:rPr>
          <w:rFonts w:ascii="Times New Roman" w:hAnsi="Times New Roman" w:cs="Times New Roman"/>
          <w:sz w:val="24"/>
          <w:szCs w:val="24"/>
        </w:rPr>
        <w:t xml:space="preserve"> </w:t>
      </w:r>
      <w:r w:rsidRPr="00FF7A55">
        <w:rPr>
          <w:rFonts w:ascii="Times New Roman" w:hAnsi="Times New Roman" w:cs="Times New Roman"/>
          <w:sz w:val="24"/>
          <w:szCs w:val="24"/>
        </w:rPr>
        <w:t xml:space="preserve"> </w:t>
      </w:r>
      <w:r w:rsidR="00336CE8" w:rsidRPr="00FF7A55">
        <w:rPr>
          <w:rFonts w:ascii="Times New Roman" w:hAnsi="Times New Roman" w:cs="Times New Roman"/>
          <w:sz w:val="24"/>
          <w:szCs w:val="24"/>
        </w:rPr>
        <w:t xml:space="preserve"> </w:t>
      </w:r>
      <w:r w:rsidR="00146411" w:rsidRPr="00FF7A55">
        <w:rPr>
          <w:rFonts w:ascii="Times New Roman" w:hAnsi="Times New Roman" w:cs="Times New Roman"/>
          <w:sz w:val="24"/>
          <w:szCs w:val="24"/>
        </w:rPr>
        <w:t xml:space="preserve">This is </w:t>
      </w:r>
      <w:r w:rsidR="007B1953" w:rsidRPr="00FF7A55">
        <w:rPr>
          <w:rFonts w:ascii="Times New Roman" w:hAnsi="Times New Roman" w:cs="Times New Roman"/>
          <w:sz w:val="24"/>
          <w:szCs w:val="24"/>
        </w:rPr>
        <w:t xml:space="preserve">an appeal against the entire judgment of the </w:t>
      </w:r>
      <w:r w:rsidR="004A15B1" w:rsidRPr="00FF7A55">
        <w:rPr>
          <w:rFonts w:ascii="Times New Roman" w:hAnsi="Times New Roman" w:cs="Times New Roman"/>
          <w:sz w:val="24"/>
          <w:szCs w:val="24"/>
        </w:rPr>
        <w:t>High</w:t>
      </w:r>
      <w:r w:rsidR="007B1953" w:rsidRPr="00FF7A55">
        <w:rPr>
          <w:rFonts w:ascii="Times New Roman" w:hAnsi="Times New Roman" w:cs="Times New Roman"/>
          <w:sz w:val="24"/>
          <w:szCs w:val="24"/>
        </w:rPr>
        <w:t xml:space="preserve"> Court of Harare handed down </w:t>
      </w:r>
      <w:r w:rsidR="004A15B1" w:rsidRPr="00FF7A55">
        <w:rPr>
          <w:rFonts w:ascii="Times New Roman" w:hAnsi="Times New Roman" w:cs="Times New Roman"/>
          <w:sz w:val="24"/>
          <w:szCs w:val="24"/>
        </w:rPr>
        <w:t xml:space="preserve">on </w:t>
      </w:r>
      <w:r w:rsidR="009B2244" w:rsidRPr="00FF7A55">
        <w:rPr>
          <w:rFonts w:ascii="Times New Roman" w:hAnsi="Times New Roman" w:cs="Times New Roman"/>
          <w:sz w:val="24"/>
          <w:szCs w:val="24"/>
        </w:rPr>
        <w:t>25 August 2016</w:t>
      </w:r>
      <w:r w:rsidR="00341BCE" w:rsidRPr="00FF7A55">
        <w:rPr>
          <w:rFonts w:ascii="Times New Roman" w:hAnsi="Times New Roman" w:cs="Times New Roman"/>
          <w:sz w:val="24"/>
          <w:szCs w:val="24"/>
        </w:rPr>
        <w:t xml:space="preserve">. At the end of hearing in this matter we dismissed the appeal </w:t>
      </w:r>
      <w:r w:rsidR="002532EF" w:rsidRPr="00FF7A55">
        <w:rPr>
          <w:rFonts w:ascii="Times New Roman" w:hAnsi="Times New Roman" w:cs="Times New Roman"/>
          <w:sz w:val="24"/>
          <w:szCs w:val="24"/>
        </w:rPr>
        <w:t xml:space="preserve">with costs </w:t>
      </w:r>
      <w:r w:rsidR="00341BCE" w:rsidRPr="00FF7A55">
        <w:rPr>
          <w:rFonts w:ascii="Times New Roman" w:hAnsi="Times New Roman" w:cs="Times New Roman"/>
          <w:sz w:val="24"/>
          <w:szCs w:val="24"/>
        </w:rPr>
        <w:t>and indicated that the reasons would follow. These are they.</w:t>
      </w:r>
    </w:p>
    <w:p w:rsidR="00341BCE" w:rsidRPr="00FF7A55" w:rsidRDefault="00341BCE" w:rsidP="003E5D5F">
      <w:pPr>
        <w:tabs>
          <w:tab w:val="left" w:pos="4005"/>
        </w:tabs>
        <w:spacing w:after="0" w:line="360" w:lineRule="auto"/>
        <w:jc w:val="both"/>
        <w:rPr>
          <w:rFonts w:ascii="Times New Roman" w:hAnsi="Times New Roman" w:cs="Times New Roman"/>
          <w:sz w:val="24"/>
          <w:szCs w:val="24"/>
        </w:rPr>
      </w:pPr>
    </w:p>
    <w:p w:rsidR="00341BCE" w:rsidRPr="00FF7A55" w:rsidRDefault="00341BCE" w:rsidP="00EB2FB5">
      <w:pPr>
        <w:tabs>
          <w:tab w:val="left" w:pos="4005"/>
        </w:tabs>
        <w:spacing w:after="0" w:line="240" w:lineRule="auto"/>
        <w:jc w:val="both"/>
        <w:rPr>
          <w:rFonts w:ascii="Times New Roman" w:hAnsi="Times New Roman" w:cs="Times New Roman"/>
          <w:b/>
          <w:sz w:val="24"/>
          <w:szCs w:val="24"/>
        </w:rPr>
      </w:pPr>
    </w:p>
    <w:p w:rsidR="00061ACE" w:rsidRPr="00EB2FB5" w:rsidRDefault="00341BCE" w:rsidP="003E5D5F">
      <w:pPr>
        <w:tabs>
          <w:tab w:val="left" w:pos="4005"/>
        </w:tabs>
        <w:spacing w:after="0" w:line="360" w:lineRule="auto"/>
        <w:jc w:val="both"/>
        <w:rPr>
          <w:rFonts w:ascii="Times New Roman" w:hAnsi="Times New Roman" w:cs="Times New Roman"/>
          <w:b/>
          <w:sz w:val="24"/>
          <w:szCs w:val="24"/>
        </w:rPr>
      </w:pPr>
      <w:r w:rsidRPr="00FF7A55">
        <w:rPr>
          <w:rFonts w:ascii="Times New Roman" w:hAnsi="Times New Roman" w:cs="Times New Roman"/>
          <w:b/>
          <w:sz w:val="24"/>
          <w:szCs w:val="24"/>
        </w:rPr>
        <w:t xml:space="preserve">FACTUAL </w:t>
      </w:r>
      <w:r w:rsidR="00146411" w:rsidRPr="00FF7A55">
        <w:rPr>
          <w:rFonts w:ascii="Times New Roman" w:hAnsi="Times New Roman" w:cs="Times New Roman"/>
          <w:b/>
          <w:sz w:val="24"/>
          <w:szCs w:val="24"/>
        </w:rPr>
        <w:t>BACKGROUND</w:t>
      </w:r>
    </w:p>
    <w:p w:rsidR="00F10246" w:rsidRPr="00FF7A55" w:rsidRDefault="001E685F" w:rsidP="00F10246">
      <w:pPr>
        <w:spacing w:after="0" w:line="480" w:lineRule="auto"/>
        <w:ind w:firstLine="1134"/>
        <w:jc w:val="both"/>
        <w:rPr>
          <w:rFonts w:ascii="Times New Roman" w:hAnsi="Times New Roman" w:cs="Times New Roman"/>
          <w:sz w:val="24"/>
          <w:szCs w:val="24"/>
        </w:rPr>
      </w:pPr>
      <w:r w:rsidRPr="00FF7A55">
        <w:rPr>
          <w:rFonts w:ascii="Times New Roman" w:hAnsi="Times New Roman" w:cs="Times New Roman"/>
          <w:sz w:val="24"/>
          <w:szCs w:val="24"/>
        </w:rPr>
        <w:t>The parties are a married couple in the middle of divorce proceedings</w:t>
      </w:r>
      <w:r w:rsidR="001A7C24" w:rsidRPr="00FF7A55">
        <w:rPr>
          <w:rFonts w:ascii="Times New Roman" w:hAnsi="Times New Roman" w:cs="Times New Roman"/>
          <w:sz w:val="24"/>
          <w:szCs w:val="24"/>
        </w:rPr>
        <w:t xml:space="preserve"> </w:t>
      </w:r>
      <w:r w:rsidR="00BB44ED" w:rsidRPr="00FF7A55">
        <w:rPr>
          <w:rFonts w:ascii="Times New Roman" w:hAnsi="Times New Roman" w:cs="Times New Roman"/>
          <w:sz w:val="24"/>
          <w:szCs w:val="24"/>
        </w:rPr>
        <w:t xml:space="preserve">on the basis of </w:t>
      </w:r>
      <w:r w:rsidR="001A7C24" w:rsidRPr="00FF7A55">
        <w:rPr>
          <w:rFonts w:ascii="Times New Roman" w:hAnsi="Times New Roman" w:cs="Times New Roman"/>
          <w:sz w:val="24"/>
          <w:szCs w:val="24"/>
        </w:rPr>
        <w:t>irretrievable breakdown</w:t>
      </w:r>
      <w:r w:rsidR="00BB44ED" w:rsidRPr="00FF7A55">
        <w:rPr>
          <w:rFonts w:ascii="Times New Roman" w:hAnsi="Times New Roman" w:cs="Times New Roman"/>
          <w:sz w:val="24"/>
          <w:szCs w:val="24"/>
        </w:rPr>
        <w:t xml:space="preserve"> of their marriage. </w:t>
      </w:r>
      <w:r w:rsidR="001A7C24" w:rsidRPr="00FF7A55">
        <w:rPr>
          <w:rFonts w:ascii="Times New Roman" w:hAnsi="Times New Roman" w:cs="Times New Roman"/>
          <w:sz w:val="24"/>
          <w:szCs w:val="24"/>
        </w:rPr>
        <w:t>The</w:t>
      </w:r>
      <w:r w:rsidR="00BB44ED" w:rsidRPr="00FF7A55">
        <w:rPr>
          <w:rFonts w:ascii="Times New Roman" w:hAnsi="Times New Roman" w:cs="Times New Roman"/>
          <w:sz w:val="24"/>
          <w:szCs w:val="24"/>
        </w:rPr>
        <w:t xml:space="preserve"> </w:t>
      </w:r>
      <w:r w:rsidR="001A7C24" w:rsidRPr="00FF7A55">
        <w:rPr>
          <w:rFonts w:ascii="Times New Roman" w:hAnsi="Times New Roman" w:cs="Times New Roman"/>
          <w:sz w:val="24"/>
          <w:szCs w:val="24"/>
        </w:rPr>
        <w:t xml:space="preserve">union was blessed with four children. </w:t>
      </w:r>
    </w:p>
    <w:p w:rsidR="007864C8" w:rsidRPr="00FF7A55" w:rsidRDefault="007864C8" w:rsidP="00F10246">
      <w:pPr>
        <w:spacing w:after="0" w:line="480" w:lineRule="auto"/>
        <w:ind w:firstLine="1134"/>
        <w:jc w:val="both"/>
        <w:rPr>
          <w:rFonts w:ascii="Times New Roman" w:hAnsi="Times New Roman" w:cs="Times New Roman"/>
          <w:sz w:val="24"/>
          <w:szCs w:val="24"/>
        </w:rPr>
      </w:pPr>
    </w:p>
    <w:p w:rsidR="001A7C24" w:rsidRPr="00FF7A55" w:rsidRDefault="00061ACE" w:rsidP="00F10246">
      <w:pPr>
        <w:spacing w:after="0" w:line="480" w:lineRule="auto"/>
        <w:ind w:firstLine="1134"/>
        <w:jc w:val="both"/>
        <w:rPr>
          <w:rFonts w:ascii="Times New Roman" w:hAnsi="Times New Roman" w:cs="Times New Roman"/>
          <w:sz w:val="24"/>
          <w:szCs w:val="24"/>
        </w:rPr>
      </w:pPr>
      <w:r w:rsidRPr="00FF7A55">
        <w:rPr>
          <w:rFonts w:ascii="Times New Roman" w:hAnsi="Times New Roman" w:cs="Times New Roman"/>
          <w:sz w:val="24"/>
          <w:szCs w:val="24"/>
        </w:rPr>
        <w:t>I</w:t>
      </w:r>
      <w:r w:rsidR="001E685F" w:rsidRPr="00FF7A55">
        <w:rPr>
          <w:rFonts w:ascii="Times New Roman" w:hAnsi="Times New Roman" w:cs="Times New Roman"/>
          <w:sz w:val="24"/>
          <w:szCs w:val="24"/>
        </w:rPr>
        <w:t>n February 2013</w:t>
      </w:r>
      <w:r w:rsidR="00702E9F" w:rsidRPr="00FF7A55">
        <w:rPr>
          <w:rFonts w:ascii="Times New Roman" w:hAnsi="Times New Roman" w:cs="Times New Roman"/>
          <w:sz w:val="24"/>
          <w:szCs w:val="24"/>
        </w:rPr>
        <w:t xml:space="preserve"> the appellant </w:t>
      </w:r>
      <w:r w:rsidR="00100158" w:rsidRPr="00FF7A55">
        <w:rPr>
          <w:rFonts w:ascii="Times New Roman" w:hAnsi="Times New Roman" w:cs="Times New Roman"/>
          <w:sz w:val="24"/>
          <w:szCs w:val="24"/>
        </w:rPr>
        <w:t>instituted divorce proceedings</w:t>
      </w:r>
      <w:r w:rsidR="00341BCE" w:rsidRPr="00FF7A55">
        <w:rPr>
          <w:rFonts w:ascii="Times New Roman" w:hAnsi="Times New Roman" w:cs="Times New Roman"/>
          <w:sz w:val="24"/>
          <w:szCs w:val="24"/>
        </w:rPr>
        <w:t xml:space="preserve"> against</w:t>
      </w:r>
      <w:r w:rsidR="00F10246" w:rsidRPr="00FF7A55">
        <w:rPr>
          <w:rFonts w:ascii="Times New Roman" w:hAnsi="Times New Roman" w:cs="Times New Roman"/>
          <w:sz w:val="24"/>
          <w:szCs w:val="24"/>
        </w:rPr>
        <w:t xml:space="preserve"> the respondent,</w:t>
      </w:r>
      <w:r w:rsidR="00341BCE" w:rsidRPr="00FF7A55">
        <w:rPr>
          <w:rFonts w:ascii="Times New Roman" w:hAnsi="Times New Roman" w:cs="Times New Roman"/>
          <w:sz w:val="24"/>
          <w:szCs w:val="24"/>
        </w:rPr>
        <w:t xml:space="preserve"> </w:t>
      </w:r>
      <w:proofErr w:type="spellStart"/>
      <w:r w:rsidR="00341BCE" w:rsidRPr="00FF7A55">
        <w:rPr>
          <w:rFonts w:ascii="Times New Roman" w:hAnsi="Times New Roman" w:cs="Times New Roman"/>
          <w:sz w:val="24"/>
          <w:szCs w:val="24"/>
        </w:rPr>
        <w:t>Mrs</w:t>
      </w:r>
      <w:proofErr w:type="spellEnd"/>
      <w:r w:rsidR="00341BCE" w:rsidRPr="00FF7A55">
        <w:rPr>
          <w:rFonts w:ascii="Times New Roman" w:hAnsi="Times New Roman" w:cs="Times New Roman"/>
          <w:sz w:val="24"/>
          <w:szCs w:val="24"/>
        </w:rPr>
        <w:t xml:space="preserve"> Bowers. </w:t>
      </w:r>
      <w:r w:rsidR="00100158" w:rsidRPr="00FF7A55">
        <w:rPr>
          <w:rFonts w:ascii="Times New Roman" w:hAnsi="Times New Roman" w:cs="Times New Roman"/>
          <w:sz w:val="24"/>
          <w:szCs w:val="24"/>
        </w:rPr>
        <w:t xml:space="preserve">He was </w:t>
      </w:r>
      <w:r w:rsidR="00BB44ED" w:rsidRPr="00FF7A55">
        <w:rPr>
          <w:rFonts w:ascii="Times New Roman" w:hAnsi="Times New Roman" w:cs="Times New Roman"/>
          <w:sz w:val="24"/>
          <w:szCs w:val="24"/>
        </w:rPr>
        <w:t xml:space="preserve">amenable </w:t>
      </w:r>
      <w:r w:rsidR="00100158" w:rsidRPr="00FF7A55">
        <w:rPr>
          <w:rFonts w:ascii="Times New Roman" w:hAnsi="Times New Roman" w:cs="Times New Roman"/>
          <w:sz w:val="24"/>
          <w:szCs w:val="24"/>
        </w:rPr>
        <w:t xml:space="preserve">to </w:t>
      </w:r>
      <w:r w:rsidR="001A7C24" w:rsidRPr="00FF7A55">
        <w:rPr>
          <w:rFonts w:ascii="Times New Roman" w:hAnsi="Times New Roman" w:cs="Times New Roman"/>
          <w:sz w:val="24"/>
          <w:szCs w:val="24"/>
        </w:rPr>
        <w:t xml:space="preserve">distribution of </w:t>
      </w:r>
      <w:r w:rsidR="00BB44ED" w:rsidRPr="00FF7A55">
        <w:rPr>
          <w:rFonts w:ascii="Times New Roman" w:hAnsi="Times New Roman" w:cs="Times New Roman"/>
          <w:sz w:val="24"/>
          <w:szCs w:val="24"/>
        </w:rPr>
        <w:t xml:space="preserve">their </w:t>
      </w:r>
      <w:r w:rsidR="001A7C24" w:rsidRPr="00FF7A55">
        <w:rPr>
          <w:rFonts w:ascii="Times New Roman" w:hAnsi="Times New Roman" w:cs="Times New Roman"/>
          <w:sz w:val="24"/>
          <w:szCs w:val="24"/>
        </w:rPr>
        <w:t>assets,</w:t>
      </w:r>
      <w:r w:rsidR="00100158" w:rsidRPr="00FF7A55">
        <w:rPr>
          <w:rFonts w:ascii="Times New Roman" w:hAnsi="Times New Roman" w:cs="Times New Roman"/>
          <w:sz w:val="24"/>
          <w:szCs w:val="24"/>
        </w:rPr>
        <w:t xml:space="preserve"> </w:t>
      </w:r>
      <w:r w:rsidR="00BB44ED" w:rsidRPr="00FF7A55">
        <w:rPr>
          <w:rFonts w:ascii="Times New Roman" w:hAnsi="Times New Roman" w:cs="Times New Roman"/>
          <w:sz w:val="24"/>
          <w:szCs w:val="24"/>
        </w:rPr>
        <w:t xml:space="preserve">to </w:t>
      </w:r>
      <w:r w:rsidR="00702E9F" w:rsidRPr="00FF7A55">
        <w:rPr>
          <w:rFonts w:ascii="Times New Roman" w:hAnsi="Times New Roman" w:cs="Times New Roman"/>
          <w:sz w:val="24"/>
          <w:szCs w:val="24"/>
        </w:rPr>
        <w:t xml:space="preserve">granting </w:t>
      </w:r>
      <w:proofErr w:type="spellStart"/>
      <w:r w:rsidR="00702E9F" w:rsidRPr="00FF7A55">
        <w:rPr>
          <w:rFonts w:ascii="Times New Roman" w:hAnsi="Times New Roman" w:cs="Times New Roman"/>
          <w:sz w:val="24"/>
          <w:szCs w:val="24"/>
        </w:rPr>
        <w:t>Mrs</w:t>
      </w:r>
      <w:proofErr w:type="spellEnd"/>
      <w:r w:rsidR="00100158" w:rsidRPr="00FF7A55">
        <w:rPr>
          <w:rFonts w:ascii="Times New Roman" w:hAnsi="Times New Roman" w:cs="Times New Roman"/>
          <w:sz w:val="24"/>
          <w:szCs w:val="24"/>
        </w:rPr>
        <w:t xml:space="preserve"> Bowers</w:t>
      </w:r>
      <w:r w:rsidR="001A7C24" w:rsidRPr="00FF7A55">
        <w:rPr>
          <w:rFonts w:ascii="Times New Roman" w:hAnsi="Times New Roman" w:cs="Times New Roman"/>
          <w:sz w:val="24"/>
          <w:szCs w:val="24"/>
        </w:rPr>
        <w:t xml:space="preserve"> custody of their minor children</w:t>
      </w:r>
      <w:r w:rsidR="00BB44ED" w:rsidRPr="00FF7A55">
        <w:rPr>
          <w:rFonts w:ascii="Times New Roman" w:hAnsi="Times New Roman" w:cs="Times New Roman"/>
          <w:sz w:val="24"/>
          <w:szCs w:val="24"/>
        </w:rPr>
        <w:t xml:space="preserve">, </w:t>
      </w:r>
      <w:r w:rsidR="00100158" w:rsidRPr="00FF7A55">
        <w:rPr>
          <w:rFonts w:ascii="Times New Roman" w:hAnsi="Times New Roman" w:cs="Times New Roman"/>
          <w:sz w:val="24"/>
          <w:szCs w:val="24"/>
        </w:rPr>
        <w:t xml:space="preserve">to her </w:t>
      </w:r>
      <w:r w:rsidR="001A7C24" w:rsidRPr="00FF7A55">
        <w:rPr>
          <w:rFonts w:ascii="Times New Roman" w:hAnsi="Times New Roman" w:cs="Times New Roman"/>
          <w:sz w:val="24"/>
          <w:szCs w:val="24"/>
        </w:rPr>
        <w:t xml:space="preserve">retaining the matrimonial home and </w:t>
      </w:r>
      <w:r w:rsidR="00BB44ED" w:rsidRPr="00FF7A55">
        <w:rPr>
          <w:rFonts w:ascii="Times New Roman" w:hAnsi="Times New Roman" w:cs="Times New Roman"/>
          <w:sz w:val="24"/>
          <w:szCs w:val="24"/>
        </w:rPr>
        <w:t xml:space="preserve">to payment, by him to her, of </w:t>
      </w:r>
      <w:r w:rsidRPr="00FF7A55">
        <w:rPr>
          <w:rFonts w:ascii="Times New Roman" w:hAnsi="Times New Roman" w:cs="Times New Roman"/>
          <w:sz w:val="24"/>
          <w:szCs w:val="24"/>
        </w:rPr>
        <w:lastRenderedPageBreak/>
        <w:t xml:space="preserve">spousal </w:t>
      </w:r>
      <w:r w:rsidR="001A7C24" w:rsidRPr="00FF7A55">
        <w:rPr>
          <w:rFonts w:ascii="Times New Roman" w:hAnsi="Times New Roman" w:cs="Times New Roman"/>
          <w:sz w:val="24"/>
          <w:szCs w:val="24"/>
        </w:rPr>
        <w:t>maintenance.</w:t>
      </w:r>
      <w:r w:rsidR="00A53BE2" w:rsidRPr="00FF7A55">
        <w:rPr>
          <w:rFonts w:ascii="Times New Roman" w:hAnsi="Times New Roman" w:cs="Times New Roman"/>
          <w:sz w:val="24"/>
          <w:szCs w:val="24"/>
        </w:rPr>
        <w:t xml:space="preserve"> </w:t>
      </w:r>
      <w:r w:rsidR="00F10246" w:rsidRPr="00FF7A55">
        <w:rPr>
          <w:rFonts w:ascii="Times New Roman" w:hAnsi="Times New Roman" w:cs="Times New Roman"/>
          <w:sz w:val="24"/>
          <w:szCs w:val="24"/>
        </w:rPr>
        <w:t xml:space="preserve">The respondent </w:t>
      </w:r>
      <w:r w:rsidR="001A7C24" w:rsidRPr="00FF7A55">
        <w:rPr>
          <w:rFonts w:ascii="Times New Roman" w:hAnsi="Times New Roman" w:cs="Times New Roman"/>
          <w:sz w:val="24"/>
          <w:szCs w:val="24"/>
        </w:rPr>
        <w:t>accepted the US$2 000.00 per month</w:t>
      </w:r>
      <w:r w:rsidR="00BB44ED" w:rsidRPr="00FF7A55">
        <w:rPr>
          <w:rFonts w:ascii="Times New Roman" w:hAnsi="Times New Roman" w:cs="Times New Roman"/>
          <w:sz w:val="24"/>
          <w:szCs w:val="24"/>
        </w:rPr>
        <w:t xml:space="preserve"> that </w:t>
      </w:r>
      <w:proofErr w:type="spellStart"/>
      <w:r w:rsidR="001A7C24" w:rsidRPr="00FF7A55">
        <w:rPr>
          <w:rFonts w:ascii="Times New Roman" w:hAnsi="Times New Roman" w:cs="Times New Roman"/>
          <w:sz w:val="24"/>
          <w:szCs w:val="24"/>
        </w:rPr>
        <w:t>Mr</w:t>
      </w:r>
      <w:proofErr w:type="spellEnd"/>
      <w:r w:rsidR="001A7C24" w:rsidRPr="00FF7A55">
        <w:rPr>
          <w:rFonts w:ascii="Times New Roman" w:hAnsi="Times New Roman" w:cs="Times New Roman"/>
          <w:sz w:val="24"/>
          <w:szCs w:val="24"/>
        </w:rPr>
        <w:t xml:space="preserve"> Bowers offered as maintenance</w:t>
      </w:r>
      <w:r w:rsidR="00BB44ED" w:rsidRPr="00FF7A55">
        <w:rPr>
          <w:rFonts w:ascii="Times New Roman" w:hAnsi="Times New Roman" w:cs="Times New Roman"/>
          <w:sz w:val="24"/>
          <w:szCs w:val="24"/>
        </w:rPr>
        <w:t xml:space="preserve"> as well as</w:t>
      </w:r>
      <w:r w:rsidR="001A7C24" w:rsidRPr="00FF7A55">
        <w:rPr>
          <w:rFonts w:ascii="Times New Roman" w:hAnsi="Times New Roman" w:cs="Times New Roman"/>
          <w:sz w:val="24"/>
          <w:szCs w:val="24"/>
        </w:rPr>
        <w:t xml:space="preserve"> custody </w:t>
      </w:r>
      <w:bookmarkStart w:id="0" w:name="_GoBack"/>
      <w:bookmarkEnd w:id="0"/>
      <w:r w:rsidR="001A7C24" w:rsidRPr="00FF7A55">
        <w:rPr>
          <w:rFonts w:ascii="Times New Roman" w:hAnsi="Times New Roman" w:cs="Times New Roman"/>
          <w:sz w:val="24"/>
          <w:szCs w:val="24"/>
        </w:rPr>
        <w:t xml:space="preserve">of the children which he did not seek to contest. She </w:t>
      </w:r>
      <w:r w:rsidR="00BB44ED" w:rsidRPr="00FF7A55">
        <w:rPr>
          <w:rFonts w:ascii="Times New Roman" w:hAnsi="Times New Roman" w:cs="Times New Roman"/>
          <w:sz w:val="24"/>
          <w:szCs w:val="24"/>
        </w:rPr>
        <w:t xml:space="preserve">however </w:t>
      </w:r>
      <w:r w:rsidR="001A7C24" w:rsidRPr="00FF7A55">
        <w:rPr>
          <w:rFonts w:ascii="Times New Roman" w:hAnsi="Times New Roman" w:cs="Times New Roman"/>
          <w:sz w:val="24"/>
          <w:szCs w:val="24"/>
        </w:rPr>
        <w:t>rejected the distribution of assets</w:t>
      </w:r>
      <w:r w:rsidR="00BB44ED" w:rsidRPr="00FF7A55">
        <w:rPr>
          <w:rFonts w:ascii="Times New Roman" w:hAnsi="Times New Roman" w:cs="Times New Roman"/>
          <w:sz w:val="24"/>
          <w:szCs w:val="24"/>
        </w:rPr>
        <w:t xml:space="preserve"> suggested by </w:t>
      </w:r>
      <w:r w:rsidRPr="00FF7A55">
        <w:rPr>
          <w:rFonts w:ascii="Times New Roman" w:hAnsi="Times New Roman" w:cs="Times New Roman"/>
          <w:sz w:val="24"/>
          <w:szCs w:val="24"/>
        </w:rPr>
        <w:t xml:space="preserve">him, </w:t>
      </w:r>
      <w:r w:rsidR="001C14CE" w:rsidRPr="00FF7A55">
        <w:rPr>
          <w:rFonts w:ascii="Times New Roman" w:hAnsi="Times New Roman" w:cs="Times New Roman"/>
          <w:sz w:val="24"/>
          <w:szCs w:val="24"/>
        </w:rPr>
        <w:t xml:space="preserve">on the basis </w:t>
      </w:r>
      <w:r w:rsidR="001A7C24" w:rsidRPr="00FF7A55">
        <w:rPr>
          <w:rFonts w:ascii="Times New Roman" w:hAnsi="Times New Roman" w:cs="Times New Roman"/>
          <w:sz w:val="24"/>
          <w:szCs w:val="24"/>
        </w:rPr>
        <w:t xml:space="preserve">that </w:t>
      </w:r>
      <w:r w:rsidR="00BB44ED" w:rsidRPr="00FF7A55">
        <w:rPr>
          <w:rFonts w:ascii="Times New Roman" w:hAnsi="Times New Roman" w:cs="Times New Roman"/>
          <w:sz w:val="24"/>
          <w:szCs w:val="24"/>
        </w:rPr>
        <w:t xml:space="preserve">he </w:t>
      </w:r>
      <w:r w:rsidR="001A7C24" w:rsidRPr="00FF7A55">
        <w:rPr>
          <w:rFonts w:ascii="Times New Roman" w:hAnsi="Times New Roman" w:cs="Times New Roman"/>
          <w:sz w:val="24"/>
          <w:szCs w:val="24"/>
        </w:rPr>
        <w:t>had not disclosed all the assets</w:t>
      </w:r>
      <w:r w:rsidRPr="00FF7A55">
        <w:rPr>
          <w:rFonts w:ascii="Times New Roman" w:hAnsi="Times New Roman" w:cs="Times New Roman"/>
          <w:sz w:val="24"/>
          <w:szCs w:val="24"/>
        </w:rPr>
        <w:t xml:space="preserve"> in his possession.</w:t>
      </w:r>
    </w:p>
    <w:p w:rsidR="001A7C24" w:rsidRPr="00FF7A55" w:rsidRDefault="001A7C24" w:rsidP="003E5D5F">
      <w:pPr>
        <w:tabs>
          <w:tab w:val="left" w:pos="4005"/>
        </w:tabs>
        <w:spacing w:after="0" w:line="480" w:lineRule="auto"/>
        <w:jc w:val="both"/>
        <w:rPr>
          <w:rFonts w:ascii="Times New Roman" w:hAnsi="Times New Roman" w:cs="Times New Roman"/>
          <w:sz w:val="24"/>
          <w:szCs w:val="24"/>
        </w:rPr>
      </w:pPr>
    </w:p>
    <w:p w:rsidR="00F10246" w:rsidRPr="00FF7A55" w:rsidRDefault="001A7C24" w:rsidP="003E5D5F">
      <w:pPr>
        <w:spacing w:after="0" w:line="480" w:lineRule="auto"/>
        <w:ind w:firstLine="1134"/>
        <w:jc w:val="both"/>
        <w:rPr>
          <w:rFonts w:ascii="Times New Roman" w:hAnsi="Times New Roman" w:cs="Times New Roman"/>
          <w:sz w:val="24"/>
          <w:szCs w:val="24"/>
        </w:rPr>
      </w:pPr>
      <w:r w:rsidRPr="00FF7A55">
        <w:rPr>
          <w:rFonts w:ascii="Times New Roman" w:hAnsi="Times New Roman" w:cs="Times New Roman"/>
          <w:sz w:val="24"/>
          <w:szCs w:val="24"/>
        </w:rPr>
        <w:t>In August of 2013</w:t>
      </w:r>
      <w:r w:rsidR="00702E9F" w:rsidRPr="00FF7A55">
        <w:rPr>
          <w:rFonts w:ascii="Times New Roman" w:hAnsi="Times New Roman" w:cs="Times New Roman"/>
          <w:sz w:val="24"/>
          <w:szCs w:val="24"/>
        </w:rPr>
        <w:t xml:space="preserve"> </w:t>
      </w:r>
      <w:r w:rsidR="00F10246" w:rsidRPr="00FF7A55">
        <w:rPr>
          <w:rFonts w:ascii="Times New Roman" w:hAnsi="Times New Roman" w:cs="Times New Roman"/>
          <w:sz w:val="24"/>
          <w:szCs w:val="24"/>
        </w:rPr>
        <w:t xml:space="preserve">the appellant </w:t>
      </w:r>
      <w:r w:rsidRPr="00FF7A55">
        <w:rPr>
          <w:rFonts w:ascii="Times New Roman" w:hAnsi="Times New Roman" w:cs="Times New Roman"/>
          <w:sz w:val="24"/>
          <w:szCs w:val="24"/>
        </w:rPr>
        <w:t>sought to amend his declaration</w:t>
      </w:r>
      <w:r w:rsidR="00BB44ED" w:rsidRPr="00FF7A55">
        <w:rPr>
          <w:rFonts w:ascii="Times New Roman" w:hAnsi="Times New Roman" w:cs="Times New Roman"/>
          <w:sz w:val="24"/>
          <w:szCs w:val="24"/>
        </w:rPr>
        <w:t xml:space="preserve"> but only pursued the matter </w:t>
      </w:r>
      <w:r w:rsidRPr="00FF7A55">
        <w:rPr>
          <w:rFonts w:ascii="Times New Roman" w:hAnsi="Times New Roman" w:cs="Times New Roman"/>
          <w:sz w:val="24"/>
          <w:szCs w:val="24"/>
        </w:rPr>
        <w:t>in December of 2014</w:t>
      </w:r>
      <w:r w:rsidR="00B70416" w:rsidRPr="00FF7A55">
        <w:rPr>
          <w:rFonts w:ascii="Times New Roman" w:hAnsi="Times New Roman" w:cs="Times New Roman"/>
          <w:sz w:val="24"/>
          <w:szCs w:val="24"/>
        </w:rPr>
        <w:t>.</w:t>
      </w:r>
      <w:r w:rsidR="009B0691">
        <w:rPr>
          <w:rFonts w:ascii="Times New Roman" w:hAnsi="Times New Roman" w:cs="Times New Roman"/>
          <w:sz w:val="24"/>
          <w:szCs w:val="24"/>
        </w:rPr>
        <w:t xml:space="preserve"> </w:t>
      </w:r>
      <w:r w:rsidR="00876F70">
        <w:rPr>
          <w:rFonts w:ascii="Times New Roman" w:hAnsi="Times New Roman" w:cs="Times New Roman"/>
          <w:sz w:val="24"/>
          <w:szCs w:val="24"/>
        </w:rPr>
        <w:t xml:space="preserve"> </w:t>
      </w:r>
      <w:r w:rsidR="00B70416" w:rsidRPr="00FF7A55">
        <w:rPr>
          <w:rFonts w:ascii="Times New Roman" w:hAnsi="Times New Roman" w:cs="Times New Roman"/>
          <w:sz w:val="24"/>
          <w:szCs w:val="24"/>
        </w:rPr>
        <w:t xml:space="preserve"> He was</w:t>
      </w:r>
      <w:r w:rsidRPr="00FF7A55">
        <w:rPr>
          <w:rFonts w:ascii="Times New Roman" w:hAnsi="Times New Roman" w:cs="Times New Roman"/>
          <w:sz w:val="24"/>
          <w:szCs w:val="24"/>
        </w:rPr>
        <w:t xml:space="preserve"> now s</w:t>
      </w:r>
      <w:r w:rsidR="00BB44ED" w:rsidRPr="00FF7A55">
        <w:rPr>
          <w:rFonts w:ascii="Times New Roman" w:hAnsi="Times New Roman" w:cs="Times New Roman"/>
          <w:sz w:val="24"/>
          <w:szCs w:val="24"/>
        </w:rPr>
        <w:t>eeking</w:t>
      </w:r>
      <w:r w:rsidRPr="00FF7A55">
        <w:rPr>
          <w:rFonts w:ascii="Times New Roman" w:hAnsi="Times New Roman" w:cs="Times New Roman"/>
          <w:sz w:val="24"/>
          <w:szCs w:val="24"/>
        </w:rPr>
        <w:t xml:space="preserve"> custody of the minor children and retract</w:t>
      </w:r>
      <w:r w:rsidR="006E67E3" w:rsidRPr="00FF7A55">
        <w:rPr>
          <w:rFonts w:ascii="Times New Roman" w:hAnsi="Times New Roman" w:cs="Times New Roman"/>
          <w:sz w:val="24"/>
          <w:szCs w:val="24"/>
        </w:rPr>
        <w:t>ing</w:t>
      </w:r>
      <w:r w:rsidRPr="00FF7A55">
        <w:rPr>
          <w:rFonts w:ascii="Times New Roman" w:hAnsi="Times New Roman" w:cs="Times New Roman"/>
          <w:sz w:val="24"/>
          <w:szCs w:val="24"/>
        </w:rPr>
        <w:t xml:space="preserve"> his offer </w:t>
      </w:r>
      <w:r w:rsidR="006E67E3" w:rsidRPr="00FF7A55">
        <w:rPr>
          <w:rFonts w:ascii="Times New Roman" w:hAnsi="Times New Roman" w:cs="Times New Roman"/>
          <w:sz w:val="24"/>
          <w:szCs w:val="24"/>
        </w:rPr>
        <w:t xml:space="preserve">to pay </w:t>
      </w:r>
      <w:r w:rsidRPr="00FF7A55">
        <w:rPr>
          <w:rFonts w:ascii="Times New Roman" w:hAnsi="Times New Roman" w:cs="Times New Roman"/>
          <w:sz w:val="24"/>
          <w:szCs w:val="24"/>
        </w:rPr>
        <w:t>maintenance</w:t>
      </w:r>
      <w:r w:rsidR="006E67E3" w:rsidRPr="00FF7A55">
        <w:rPr>
          <w:rFonts w:ascii="Times New Roman" w:hAnsi="Times New Roman" w:cs="Times New Roman"/>
          <w:sz w:val="24"/>
          <w:szCs w:val="24"/>
        </w:rPr>
        <w:t xml:space="preserve"> to </w:t>
      </w:r>
      <w:proofErr w:type="spellStart"/>
      <w:r w:rsidR="006E67E3" w:rsidRPr="00FF7A55">
        <w:rPr>
          <w:rFonts w:ascii="Times New Roman" w:hAnsi="Times New Roman" w:cs="Times New Roman"/>
          <w:sz w:val="24"/>
          <w:szCs w:val="24"/>
        </w:rPr>
        <w:t>Mrs</w:t>
      </w:r>
      <w:proofErr w:type="spellEnd"/>
      <w:r w:rsidR="006E67E3" w:rsidRPr="00FF7A55">
        <w:rPr>
          <w:rFonts w:ascii="Times New Roman" w:hAnsi="Times New Roman" w:cs="Times New Roman"/>
          <w:sz w:val="24"/>
          <w:szCs w:val="24"/>
        </w:rPr>
        <w:t xml:space="preserve"> Bowers</w:t>
      </w:r>
      <w:r w:rsidRPr="00FF7A55">
        <w:rPr>
          <w:rFonts w:ascii="Times New Roman" w:hAnsi="Times New Roman" w:cs="Times New Roman"/>
          <w:sz w:val="24"/>
          <w:szCs w:val="24"/>
        </w:rPr>
        <w:t>.</w:t>
      </w:r>
      <w:r w:rsidR="00F10246" w:rsidRPr="00FF7A55">
        <w:rPr>
          <w:rFonts w:ascii="Times New Roman" w:hAnsi="Times New Roman" w:cs="Times New Roman"/>
          <w:sz w:val="24"/>
          <w:szCs w:val="24"/>
        </w:rPr>
        <w:t xml:space="preserve"> The latter</w:t>
      </w:r>
      <w:r w:rsidRPr="00FF7A55">
        <w:rPr>
          <w:rFonts w:ascii="Times New Roman" w:hAnsi="Times New Roman" w:cs="Times New Roman"/>
          <w:sz w:val="24"/>
          <w:szCs w:val="24"/>
        </w:rPr>
        <w:t xml:space="preserve"> </w:t>
      </w:r>
      <w:r w:rsidR="00F10246" w:rsidRPr="00FF7A55">
        <w:rPr>
          <w:rFonts w:ascii="Times New Roman" w:hAnsi="Times New Roman" w:cs="Times New Roman"/>
          <w:sz w:val="24"/>
          <w:szCs w:val="24"/>
        </w:rPr>
        <w:t xml:space="preserve">then, in February 2015, filed an application for </w:t>
      </w:r>
      <w:r w:rsidR="004753F6" w:rsidRPr="00FF7A55">
        <w:rPr>
          <w:rFonts w:ascii="Times New Roman" w:hAnsi="Times New Roman" w:cs="Times New Roman"/>
          <w:sz w:val="24"/>
          <w:szCs w:val="24"/>
        </w:rPr>
        <w:t xml:space="preserve">a </w:t>
      </w:r>
      <w:r w:rsidR="00F10246" w:rsidRPr="00FF7A55">
        <w:rPr>
          <w:rFonts w:ascii="Times New Roman" w:hAnsi="Times New Roman" w:cs="Times New Roman"/>
          <w:sz w:val="24"/>
          <w:szCs w:val="24"/>
        </w:rPr>
        <w:t xml:space="preserve">contribution towards the costs of her litigation in terms of r 274 of the High Court Rules. </w:t>
      </w:r>
      <w:r w:rsidR="006E67E3" w:rsidRPr="00FF7A55">
        <w:rPr>
          <w:rFonts w:ascii="Times New Roman" w:hAnsi="Times New Roman" w:cs="Times New Roman"/>
          <w:sz w:val="24"/>
          <w:szCs w:val="24"/>
        </w:rPr>
        <w:t xml:space="preserve">It was the </w:t>
      </w:r>
      <w:r w:rsidR="001C14CE" w:rsidRPr="00FF7A55">
        <w:rPr>
          <w:rFonts w:ascii="Times New Roman" w:hAnsi="Times New Roman" w:cs="Times New Roman"/>
          <w:sz w:val="24"/>
          <w:szCs w:val="24"/>
        </w:rPr>
        <w:t xml:space="preserve">court </w:t>
      </w:r>
      <w:r w:rsidR="001C14CE" w:rsidRPr="00FF7A55">
        <w:rPr>
          <w:rFonts w:ascii="Times New Roman" w:hAnsi="Times New Roman" w:cs="Times New Roman"/>
          <w:i/>
          <w:sz w:val="24"/>
          <w:szCs w:val="24"/>
        </w:rPr>
        <w:t>a quo’s</w:t>
      </w:r>
      <w:r w:rsidR="001C14CE" w:rsidRPr="00FF7A55">
        <w:rPr>
          <w:rFonts w:ascii="Times New Roman" w:hAnsi="Times New Roman" w:cs="Times New Roman"/>
          <w:sz w:val="24"/>
          <w:szCs w:val="24"/>
        </w:rPr>
        <w:t xml:space="preserve"> finding </w:t>
      </w:r>
      <w:r w:rsidR="006E67E3" w:rsidRPr="00FF7A55">
        <w:rPr>
          <w:rFonts w:ascii="Times New Roman" w:hAnsi="Times New Roman" w:cs="Times New Roman"/>
          <w:sz w:val="24"/>
          <w:szCs w:val="24"/>
        </w:rPr>
        <w:t>that th</w:t>
      </w:r>
      <w:r w:rsidR="001C14CE" w:rsidRPr="00FF7A55">
        <w:rPr>
          <w:rFonts w:ascii="Times New Roman" w:hAnsi="Times New Roman" w:cs="Times New Roman"/>
          <w:sz w:val="24"/>
          <w:szCs w:val="24"/>
        </w:rPr>
        <w:t>e</w:t>
      </w:r>
      <w:r w:rsidR="006E67E3" w:rsidRPr="00FF7A55">
        <w:rPr>
          <w:rFonts w:ascii="Times New Roman" w:hAnsi="Times New Roman" w:cs="Times New Roman"/>
          <w:sz w:val="24"/>
          <w:szCs w:val="24"/>
        </w:rPr>
        <w:t xml:space="preserve"> </w:t>
      </w:r>
      <w:r w:rsidRPr="00FF7A55">
        <w:rPr>
          <w:rFonts w:ascii="Times New Roman" w:hAnsi="Times New Roman" w:cs="Times New Roman"/>
          <w:sz w:val="24"/>
          <w:szCs w:val="24"/>
        </w:rPr>
        <w:t>amendment</w:t>
      </w:r>
      <w:r w:rsidR="005B2AA9" w:rsidRPr="00FF7A55">
        <w:rPr>
          <w:rFonts w:ascii="Times New Roman" w:hAnsi="Times New Roman" w:cs="Times New Roman"/>
          <w:sz w:val="24"/>
          <w:szCs w:val="24"/>
        </w:rPr>
        <w:t xml:space="preserve"> sought by </w:t>
      </w:r>
      <w:proofErr w:type="spellStart"/>
      <w:r w:rsidR="005B2AA9" w:rsidRPr="00FF7A55">
        <w:rPr>
          <w:rFonts w:ascii="Times New Roman" w:hAnsi="Times New Roman" w:cs="Times New Roman"/>
          <w:sz w:val="24"/>
          <w:szCs w:val="24"/>
        </w:rPr>
        <w:t>Mr</w:t>
      </w:r>
      <w:proofErr w:type="spellEnd"/>
      <w:r w:rsidR="005B2AA9" w:rsidRPr="00FF7A55">
        <w:rPr>
          <w:rFonts w:ascii="Times New Roman" w:hAnsi="Times New Roman" w:cs="Times New Roman"/>
          <w:sz w:val="24"/>
          <w:szCs w:val="24"/>
        </w:rPr>
        <w:t> </w:t>
      </w:r>
      <w:r w:rsidR="00F10246" w:rsidRPr="00FF7A55">
        <w:rPr>
          <w:rFonts w:ascii="Times New Roman" w:hAnsi="Times New Roman" w:cs="Times New Roman"/>
          <w:sz w:val="24"/>
          <w:szCs w:val="24"/>
        </w:rPr>
        <w:t>Bowers,</w:t>
      </w:r>
      <w:r w:rsidR="001C14CE" w:rsidRPr="00FF7A55">
        <w:rPr>
          <w:rFonts w:ascii="Times New Roman" w:hAnsi="Times New Roman" w:cs="Times New Roman"/>
          <w:sz w:val="24"/>
          <w:szCs w:val="24"/>
        </w:rPr>
        <w:t xml:space="preserve"> </w:t>
      </w:r>
      <w:r w:rsidRPr="00FF7A55">
        <w:rPr>
          <w:rFonts w:ascii="Times New Roman" w:hAnsi="Times New Roman" w:cs="Times New Roman"/>
          <w:sz w:val="24"/>
          <w:szCs w:val="24"/>
        </w:rPr>
        <w:t>if successful</w:t>
      </w:r>
      <w:r w:rsidR="006E67E3" w:rsidRPr="00FF7A55">
        <w:rPr>
          <w:rFonts w:ascii="Times New Roman" w:hAnsi="Times New Roman" w:cs="Times New Roman"/>
          <w:sz w:val="24"/>
          <w:szCs w:val="24"/>
        </w:rPr>
        <w:t>,</w:t>
      </w:r>
      <w:r w:rsidRPr="00FF7A55">
        <w:rPr>
          <w:rFonts w:ascii="Times New Roman" w:hAnsi="Times New Roman" w:cs="Times New Roman"/>
          <w:sz w:val="24"/>
          <w:szCs w:val="24"/>
        </w:rPr>
        <w:t xml:space="preserve"> would result in a </w:t>
      </w:r>
      <w:r w:rsidR="001C14CE" w:rsidRPr="00FF7A55">
        <w:rPr>
          <w:rFonts w:ascii="Times New Roman" w:hAnsi="Times New Roman" w:cs="Times New Roman"/>
          <w:sz w:val="24"/>
          <w:szCs w:val="24"/>
        </w:rPr>
        <w:t xml:space="preserve">costly and </w:t>
      </w:r>
      <w:r w:rsidRPr="00FF7A55">
        <w:rPr>
          <w:rFonts w:ascii="Times New Roman" w:hAnsi="Times New Roman" w:cs="Times New Roman"/>
          <w:sz w:val="24"/>
          <w:szCs w:val="24"/>
        </w:rPr>
        <w:t xml:space="preserve">seriously contested </w:t>
      </w:r>
      <w:r w:rsidR="002D7A89" w:rsidRPr="00FF7A55">
        <w:rPr>
          <w:rFonts w:ascii="Times New Roman" w:hAnsi="Times New Roman" w:cs="Times New Roman"/>
          <w:sz w:val="24"/>
          <w:szCs w:val="24"/>
        </w:rPr>
        <w:t xml:space="preserve">trial </w:t>
      </w:r>
      <w:r w:rsidR="001C14CE" w:rsidRPr="00FF7A55">
        <w:rPr>
          <w:rFonts w:ascii="Times New Roman" w:hAnsi="Times New Roman" w:cs="Times New Roman"/>
          <w:sz w:val="24"/>
          <w:szCs w:val="24"/>
        </w:rPr>
        <w:t xml:space="preserve">over issues of custody, maintenance for the children and post-divorce maintenance for </w:t>
      </w:r>
      <w:proofErr w:type="spellStart"/>
      <w:r w:rsidR="001C14CE" w:rsidRPr="00FF7A55">
        <w:rPr>
          <w:rFonts w:ascii="Times New Roman" w:hAnsi="Times New Roman" w:cs="Times New Roman"/>
          <w:sz w:val="24"/>
          <w:szCs w:val="24"/>
        </w:rPr>
        <w:t>Mrs</w:t>
      </w:r>
      <w:proofErr w:type="spellEnd"/>
      <w:r w:rsidR="001C14CE" w:rsidRPr="00FF7A55">
        <w:rPr>
          <w:rFonts w:ascii="Times New Roman" w:hAnsi="Times New Roman" w:cs="Times New Roman"/>
          <w:sz w:val="24"/>
          <w:szCs w:val="24"/>
        </w:rPr>
        <w:t xml:space="preserve"> Bowers. </w:t>
      </w:r>
    </w:p>
    <w:p w:rsidR="007864C8" w:rsidRPr="00FF7A55" w:rsidRDefault="007864C8" w:rsidP="003E5D5F">
      <w:pPr>
        <w:spacing w:after="0" w:line="480" w:lineRule="auto"/>
        <w:ind w:firstLine="1134"/>
        <w:jc w:val="both"/>
        <w:rPr>
          <w:rFonts w:ascii="Times New Roman" w:hAnsi="Times New Roman" w:cs="Times New Roman"/>
          <w:sz w:val="24"/>
          <w:szCs w:val="24"/>
        </w:rPr>
      </w:pPr>
    </w:p>
    <w:p w:rsidR="00061ACE" w:rsidRPr="00FF7A55" w:rsidRDefault="00F10246" w:rsidP="003E5D5F">
      <w:pPr>
        <w:spacing w:after="0" w:line="480" w:lineRule="auto"/>
        <w:ind w:firstLine="1134"/>
        <w:jc w:val="both"/>
        <w:rPr>
          <w:rFonts w:ascii="Times New Roman" w:hAnsi="Times New Roman" w:cs="Times New Roman"/>
          <w:sz w:val="24"/>
          <w:szCs w:val="24"/>
        </w:rPr>
      </w:pPr>
      <w:r w:rsidRPr="00FF7A55">
        <w:rPr>
          <w:rFonts w:ascii="Times New Roman" w:hAnsi="Times New Roman" w:cs="Times New Roman"/>
          <w:sz w:val="24"/>
          <w:szCs w:val="24"/>
        </w:rPr>
        <w:t xml:space="preserve">The court </w:t>
      </w:r>
      <w:r w:rsidRPr="00FF7A55">
        <w:rPr>
          <w:rFonts w:ascii="Times New Roman" w:hAnsi="Times New Roman" w:cs="Times New Roman"/>
          <w:i/>
          <w:sz w:val="24"/>
          <w:szCs w:val="24"/>
        </w:rPr>
        <w:t>a quo</w:t>
      </w:r>
      <w:r w:rsidR="001C14CE" w:rsidRPr="00FF7A55">
        <w:rPr>
          <w:rFonts w:ascii="Times New Roman" w:hAnsi="Times New Roman" w:cs="Times New Roman"/>
          <w:sz w:val="24"/>
          <w:szCs w:val="24"/>
        </w:rPr>
        <w:t xml:space="preserve"> accordingly </w:t>
      </w:r>
      <w:r w:rsidR="002D7A89" w:rsidRPr="00FF7A55">
        <w:rPr>
          <w:rFonts w:ascii="Times New Roman" w:hAnsi="Times New Roman" w:cs="Times New Roman"/>
          <w:sz w:val="24"/>
          <w:szCs w:val="24"/>
        </w:rPr>
        <w:t xml:space="preserve">found in </w:t>
      </w:r>
      <w:r w:rsidRPr="00FF7A55">
        <w:rPr>
          <w:rFonts w:ascii="Times New Roman" w:hAnsi="Times New Roman" w:cs="Times New Roman"/>
          <w:sz w:val="24"/>
          <w:szCs w:val="24"/>
        </w:rPr>
        <w:t xml:space="preserve">the </w:t>
      </w:r>
      <w:r w:rsidR="00096794" w:rsidRPr="00FF7A55">
        <w:rPr>
          <w:rFonts w:ascii="Times New Roman" w:hAnsi="Times New Roman" w:cs="Times New Roman"/>
          <w:sz w:val="24"/>
          <w:szCs w:val="24"/>
        </w:rPr>
        <w:t>respondent’s favour</w:t>
      </w:r>
      <w:r w:rsidR="002D7A89" w:rsidRPr="00FF7A55">
        <w:rPr>
          <w:rFonts w:ascii="Times New Roman" w:hAnsi="Times New Roman" w:cs="Times New Roman"/>
          <w:sz w:val="24"/>
          <w:szCs w:val="24"/>
        </w:rPr>
        <w:t xml:space="preserve"> </w:t>
      </w:r>
      <w:r w:rsidR="001C14CE" w:rsidRPr="00FF7A55">
        <w:rPr>
          <w:rFonts w:ascii="Times New Roman" w:hAnsi="Times New Roman" w:cs="Times New Roman"/>
          <w:sz w:val="24"/>
          <w:szCs w:val="24"/>
        </w:rPr>
        <w:t xml:space="preserve">and granted the order that she sought. </w:t>
      </w:r>
      <w:r w:rsidR="002D7A89" w:rsidRPr="00FF7A55">
        <w:rPr>
          <w:rFonts w:ascii="Times New Roman" w:hAnsi="Times New Roman" w:cs="Times New Roman"/>
          <w:sz w:val="24"/>
          <w:szCs w:val="24"/>
        </w:rPr>
        <w:t xml:space="preserve"> </w:t>
      </w:r>
      <w:r w:rsidR="001C14CE" w:rsidRPr="00FF7A55">
        <w:rPr>
          <w:rFonts w:ascii="Times New Roman" w:hAnsi="Times New Roman" w:cs="Times New Roman"/>
          <w:sz w:val="24"/>
          <w:szCs w:val="24"/>
        </w:rPr>
        <w:t>I</w:t>
      </w:r>
      <w:r w:rsidR="002D7A89" w:rsidRPr="00FF7A55">
        <w:rPr>
          <w:rFonts w:ascii="Times New Roman" w:hAnsi="Times New Roman" w:cs="Times New Roman"/>
          <w:sz w:val="24"/>
          <w:szCs w:val="24"/>
        </w:rPr>
        <w:t xml:space="preserve">t is this decision </w:t>
      </w:r>
      <w:r w:rsidR="00B424AA" w:rsidRPr="00FF7A55">
        <w:rPr>
          <w:rFonts w:ascii="Times New Roman" w:hAnsi="Times New Roman" w:cs="Times New Roman"/>
          <w:sz w:val="24"/>
          <w:szCs w:val="24"/>
        </w:rPr>
        <w:t xml:space="preserve">that </w:t>
      </w:r>
      <w:r w:rsidRPr="00FF7A55">
        <w:rPr>
          <w:rFonts w:ascii="Times New Roman" w:hAnsi="Times New Roman" w:cs="Times New Roman"/>
          <w:sz w:val="24"/>
          <w:szCs w:val="24"/>
        </w:rPr>
        <w:t xml:space="preserve">the appellant </w:t>
      </w:r>
      <w:r w:rsidR="002D7A89" w:rsidRPr="00FF7A55">
        <w:rPr>
          <w:rFonts w:ascii="Times New Roman" w:hAnsi="Times New Roman" w:cs="Times New Roman"/>
          <w:sz w:val="24"/>
          <w:szCs w:val="24"/>
        </w:rPr>
        <w:t xml:space="preserve">has brought </w:t>
      </w:r>
      <w:r w:rsidR="005B2AA9" w:rsidRPr="00FF7A55">
        <w:rPr>
          <w:rFonts w:ascii="Times New Roman" w:hAnsi="Times New Roman" w:cs="Times New Roman"/>
          <w:sz w:val="24"/>
          <w:szCs w:val="24"/>
        </w:rPr>
        <w:t>to this C</w:t>
      </w:r>
      <w:r w:rsidR="00B424AA" w:rsidRPr="00FF7A55">
        <w:rPr>
          <w:rFonts w:ascii="Times New Roman" w:hAnsi="Times New Roman" w:cs="Times New Roman"/>
          <w:sz w:val="24"/>
          <w:szCs w:val="24"/>
        </w:rPr>
        <w:t xml:space="preserve">ourt </w:t>
      </w:r>
      <w:r w:rsidR="002D7A89" w:rsidRPr="00FF7A55">
        <w:rPr>
          <w:rFonts w:ascii="Times New Roman" w:hAnsi="Times New Roman" w:cs="Times New Roman"/>
          <w:sz w:val="24"/>
          <w:szCs w:val="24"/>
        </w:rPr>
        <w:t>on appeal.</w:t>
      </w:r>
      <w:r w:rsidR="00B424AA" w:rsidRPr="00FF7A55">
        <w:rPr>
          <w:rFonts w:ascii="Times New Roman" w:hAnsi="Times New Roman" w:cs="Times New Roman"/>
          <w:sz w:val="24"/>
          <w:szCs w:val="24"/>
        </w:rPr>
        <w:t xml:space="preserve"> </w:t>
      </w:r>
    </w:p>
    <w:p w:rsidR="007864C8" w:rsidRPr="00FF7A55" w:rsidRDefault="007864C8" w:rsidP="00096794">
      <w:pPr>
        <w:spacing w:after="0" w:line="480" w:lineRule="auto"/>
        <w:jc w:val="both"/>
        <w:rPr>
          <w:rFonts w:ascii="Times New Roman" w:hAnsi="Times New Roman" w:cs="Times New Roman"/>
          <w:sz w:val="24"/>
          <w:szCs w:val="24"/>
        </w:rPr>
      </w:pPr>
    </w:p>
    <w:p w:rsidR="007864C8" w:rsidRPr="00FF7A55" w:rsidRDefault="00B424AA" w:rsidP="00096794">
      <w:pPr>
        <w:spacing w:after="0" w:line="480" w:lineRule="auto"/>
        <w:ind w:firstLine="1134"/>
        <w:jc w:val="both"/>
        <w:rPr>
          <w:rFonts w:ascii="Times New Roman" w:hAnsi="Times New Roman" w:cs="Times New Roman"/>
          <w:sz w:val="24"/>
          <w:szCs w:val="24"/>
        </w:rPr>
      </w:pPr>
      <w:r w:rsidRPr="00FF7A55">
        <w:rPr>
          <w:rFonts w:ascii="Times New Roman" w:hAnsi="Times New Roman" w:cs="Times New Roman"/>
          <w:sz w:val="24"/>
          <w:szCs w:val="24"/>
        </w:rPr>
        <w:t xml:space="preserve">The grounds of appeal relied </w:t>
      </w:r>
      <w:r w:rsidR="001C14CE" w:rsidRPr="00FF7A55">
        <w:rPr>
          <w:rFonts w:ascii="Times New Roman" w:hAnsi="Times New Roman" w:cs="Times New Roman"/>
          <w:sz w:val="24"/>
          <w:szCs w:val="24"/>
        </w:rPr>
        <w:t>up</w:t>
      </w:r>
      <w:r w:rsidRPr="00FF7A55">
        <w:rPr>
          <w:rFonts w:ascii="Times New Roman" w:hAnsi="Times New Roman" w:cs="Times New Roman"/>
          <w:sz w:val="24"/>
          <w:szCs w:val="24"/>
        </w:rPr>
        <w:t>on raise the single issue of w</w:t>
      </w:r>
      <w:r w:rsidR="001C20B1" w:rsidRPr="00FF7A55">
        <w:rPr>
          <w:rFonts w:ascii="Times New Roman" w:hAnsi="Times New Roman" w:cs="Times New Roman"/>
          <w:sz w:val="24"/>
          <w:szCs w:val="24"/>
        </w:rPr>
        <w:t>hether or not the respondent was entitled to a contribution towards her legal costs</w:t>
      </w:r>
      <w:r w:rsidRPr="00FF7A55">
        <w:rPr>
          <w:rFonts w:ascii="Times New Roman" w:hAnsi="Times New Roman" w:cs="Times New Roman"/>
          <w:sz w:val="24"/>
          <w:szCs w:val="24"/>
        </w:rPr>
        <w:t>.</w:t>
      </w:r>
    </w:p>
    <w:p w:rsidR="007864C8" w:rsidRPr="00FF7A55" w:rsidRDefault="007864C8" w:rsidP="00336CE8">
      <w:pPr>
        <w:spacing w:after="0" w:line="480" w:lineRule="auto"/>
        <w:ind w:firstLine="1134"/>
        <w:jc w:val="both"/>
        <w:rPr>
          <w:rFonts w:ascii="Times New Roman" w:hAnsi="Times New Roman" w:cs="Times New Roman"/>
          <w:sz w:val="24"/>
          <w:szCs w:val="24"/>
        </w:rPr>
      </w:pPr>
    </w:p>
    <w:p w:rsidR="00FF059F" w:rsidRPr="00FF7A55" w:rsidRDefault="00FF059F" w:rsidP="003E5D5F">
      <w:pPr>
        <w:spacing w:after="0" w:line="480" w:lineRule="auto"/>
        <w:ind w:firstLine="1134"/>
        <w:jc w:val="both"/>
        <w:rPr>
          <w:rFonts w:ascii="Times New Roman" w:hAnsi="Times New Roman" w:cs="Times New Roman"/>
          <w:sz w:val="24"/>
          <w:szCs w:val="24"/>
        </w:rPr>
      </w:pPr>
      <w:r w:rsidRPr="00FF7A55">
        <w:rPr>
          <w:rFonts w:ascii="Times New Roman" w:hAnsi="Times New Roman" w:cs="Times New Roman"/>
          <w:sz w:val="24"/>
          <w:szCs w:val="24"/>
        </w:rPr>
        <w:t xml:space="preserve">The judge </w:t>
      </w:r>
      <w:r w:rsidRPr="00FF7A55">
        <w:rPr>
          <w:rFonts w:ascii="Times New Roman" w:hAnsi="Times New Roman" w:cs="Times New Roman"/>
          <w:i/>
          <w:sz w:val="24"/>
          <w:szCs w:val="24"/>
        </w:rPr>
        <w:t>a</w:t>
      </w:r>
      <w:r w:rsidR="005224AD" w:rsidRPr="00FF7A55">
        <w:rPr>
          <w:rFonts w:ascii="Times New Roman" w:hAnsi="Times New Roman" w:cs="Times New Roman"/>
          <w:i/>
          <w:sz w:val="24"/>
          <w:szCs w:val="24"/>
        </w:rPr>
        <w:t xml:space="preserve"> </w:t>
      </w:r>
      <w:r w:rsidRPr="00FF7A55">
        <w:rPr>
          <w:rFonts w:ascii="Times New Roman" w:hAnsi="Times New Roman" w:cs="Times New Roman"/>
          <w:i/>
          <w:sz w:val="24"/>
          <w:szCs w:val="24"/>
        </w:rPr>
        <w:t>quo</w:t>
      </w:r>
      <w:r w:rsidR="003C69EE" w:rsidRPr="00FF7A55">
        <w:rPr>
          <w:rFonts w:ascii="Times New Roman" w:hAnsi="Times New Roman" w:cs="Times New Roman"/>
          <w:i/>
          <w:sz w:val="24"/>
          <w:szCs w:val="24"/>
        </w:rPr>
        <w:t>,</w:t>
      </w:r>
      <w:r w:rsidRPr="00FF7A55">
        <w:rPr>
          <w:rFonts w:ascii="Times New Roman" w:hAnsi="Times New Roman" w:cs="Times New Roman"/>
          <w:sz w:val="24"/>
          <w:szCs w:val="24"/>
        </w:rPr>
        <w:t xml:space="preserve"> </w:t>
      </w:r>
      <w:r w:rsidR="003C69EE" w:rsidRPr="00FF7A55">
        <w:rPr>
          <w:rFonts w:ascii="Times New Roman" w:hAnsi="Times New Roman" w:cs="Times New Roman"/>
          <w:sz w:val="24"/>
          <w:szCs w:val="24"/>
        </w:rPr>
        <w:t xml:space="preserve">relying on the case of </w:t>
      </w:r>
      <w:proofErr w:type="spellStart"/>
      <w:r w:rsidR="003C69EE" w:rsidRPr="00FF7A55">
        <w:rPr>
          <w:rFonts w:ascii="Times New Roman" w:hAnsi="Times New Roman" w:cs="Times New Roman"/>
          <w:i/>
          <w:sz w:val="24"/>
          <w:szCs w:val="24"/>
        </w:rPr>
        <w:t>Chinyamakobvu</w:t>
      </w:r>
      <w:proofErr w:type="spellEnd"/>
      <w:r w:rsidR="003C69EE" w:rsidRPr="00FF7A55">
        <w:rPr>
          <w:rFonts w:ascii="Times New Roman" w:hAnsi="Times New Roman" w:cs="Times New Roman"/>
          <w:i/>
          <w:sz w:val="24"/>
          <w:szCs w:val="24"/>
        </w:rPr>
        <w:t xml:space="preserve"> v </w:t>
      </w:r>
      <w:proofErr w:type="spellStart"/>
      <w:r w:rsidR="003C69EE" w:rsidRPr="00FF7A55">
        <w:rPr>
          <w:rFonts w:ascii="Times New Roman" w:hAnsi="Times New Roman" w:cs="Times New Roman"/>
          <w:i/>
          <w:sz w:val="24"/>
          <w:szCs w:val="24"/>
        </w:rPr>
        <w:t>Chinyamakob</w:t>
      </w:r>
      <w:r w:rsidR="00C51E69" w:rsidRPr="00FF7A55">
        <w:rPr>
          <w:rFonts w:ascii="Times New Roman" w:hAnsi="Times New Roman" w:cs="Times New Roman"/>
          <w:i/>
          <w:sz w:val="24"/>
          <w:szCs w:val="24"/>
        </w:rPr>
        <w:t>v</w:t>
      </w:r>
      <w:r w:rsidR="003C69EE" w:rsidRPr="00FF7A55">
        <w:rPr>
          <w:rFonts w:ascii="Times New Roman" w:hAnsi="Times New Roman" w:cs="Times New Roman"/>
          <w:i/>
          <w:sz w:val="24"/>
          <w:szCs w:val="24"/>
        </w:rPr>
        <w:t>u</w:t>
      </w:r>
      <w:proofErr w:type="spellEnd"/>
      <w:r w:rsidR="00A53BE2" w:rsidRPr="00FF7A55">
        <w:rPr>
          <w:rStyle w:val="FootnoteReference"/>
          <w:rFonts w:ascii="Times New Roman" w:hAnsi="Times New Roman" w:cs="Times New Roman"/>
          <w:sz w:val="24"/>
          <w:szCs w:val="24"/>
        </w:rPr>
        <w:footnoteReference w:id="1"/>
      </w:r>
      <w:r w:rsidR="003C69EE" w:rsidRPr="00FF7A55">
        <w:rPr>
          <w:rFonts w:ascii="Times New Roman" w:hAnsi="Times New Roman" w:cs="Times New Roman"/>
          <w:sz w:val="24"/>
          <w:szCs w:val="24"/>
        </w:rPr>
        <w:t xml:space="preserve"> </w:t>
      </w:r>
      <w:r w:rsidR="005224AD" w:rsidRPr="00FF7A55">
        <w:rPr>
          <w:rFonts w:ascii="Times New Roman" w:hAnsi="Times New Roman" w:cs="Times New Roman"/>
          <w:sz w:val="24"/>
          <w:szCs w:val="24"/>
        </w:rPr>
        <w:t xml:space="preserve">correctly set out </w:t>
      </w:r>
      <w:r w:rsidRPr="00FF7A55">
        <w:rPr>
          <w:rFonts w:ascii="Times New Roman" w:hAnsi="Times New Roman" w:cs="Times New Roman"/>
          <w:sz w:val="24"/>
          <w:szCs w:val="24"/>
        </w:rPr>
        <w:t xml:space="preserve">the requirements for the granting of </w:t>
      </w:r>
      <w:r w:rsidR="00A53BE2" w:rsidRPr="00FF7A55">
        <w:rPr>
          <w:rFonts w:ascii="Times New Roman" w:hAnsi="Times New Roman" w:cs="Times New Roman"/>
          <w:sz w:val="24"/>
          <w:szCs w:val="24"/>
        </w:rPr>
        <w:t xml:space="preserve">an </w:t>
      </w:r>
      <w:r w:rsidRPr="00FF7A55">
        <w:rPr>
          <w:rFonts w:ascii="Times New Roman" w:hAnsi="Times New Roman" w:cs="Times New Roman"/>
          <w:sz w:val="24"/>
          <w:szCs w:val="24"/>
        </w:rPr>
        <w:t>order</w:t>
      </w:r>
      <w:r w:rsidR="005224AD" w:rsidRPr="00FF7A55">
        <w:rPr>
          <w:rFonts w:ascii="Times New Roman" w:hAnsi="Times New Roman" w:cs="Times New Roman"/>
          <w:sz w:val="24"/>
          <w:szCs w:val="24"/>
        </w:rPr>
        <w:t xml:space="preserve"> </w:t>
      </w:r>
      <w:r w:rsidR="003C69EE" w:rsidRPr="00FF7A55">
        <w:rPr>
          <w:rFonts w:ascii="Times New Roman" w:hAnsi="Times New Roman" w:cs="Times New Roman"/>
          <w:sz w:val="24"/>
          <w:szCs w:val="24"/>
        </w:rPr>
        <w:t xml:space="preserve">of </w:t>
      </w:r>
      <w:r w:rsidR="005224AD" w:rsidRPr="00FF7A55">
        <w:rPr>
          <w:rFonts w:ascii="Times New Roman" w:hAnsi="Times New Roman" w:cs="Times New Roman"/>
          <w:sz w:val="24"/>
          <w:szCs w:val="24"/>
        </w:rPr>
        <w:t>contribution towards legal costs</w:t>
      </w:r>
      <w:r w:rsidR="003C69EE" w:rsidRPr="00FF7A55">
        <w:rPr>
          <w:rFonts w:ascii="Times New Roman" w:hAnsi="Times New Roman" w:cs="Times New Roman"/>
          <w:sz w:val="24"/>
          <w:szCs w:val="24"/>
        </w:rPr>
        <w:t xml:space="preserve"> in divorce proceedings, as follows;</w:t>
      </w:r>
      <w:r w:rsidRPr="00FF7A55">
        <w:rPr>
          <w:rFonts w:ascii="Times New Roman" w:hAnsi="Times New Roman" w:cs="Times New Roman"/>
          <w:sz w:val="24"/>
          <w:szCs w:val="24"/>
        </w:rPr>
        <w:t xml:space="preserve"> </w:t>
      </w:r>
    </w:p>
    <w:p w:rsidR="003C69EE" w:rsidRPr="00FF7A55" w:rsidRDefault="003C69EE" w:rsidP="003E5D5F">
      <w:pPr>
        <w:pStyle w:val="NormalWeb"/>
        <w:numPr>
          <w:ilvl w:val="0"/>
          <w:numId w:val="16"/>
        </w:numPr>
        <w:shd w:val="clear" w:color="auto" w:fill="FFFFFF"/>
        <w:spacing w:before="0" w:beforeAutospacing="0" w:after="0" w:afterAutospacing="0" w:line="360" w:lineRule="auto"/>
        <w:jc w:val="both"/>
        <w:rPr>
          <w:rFonts w:eastAsiaTheme="minorHAnsi"/>
        </w:rPr>
      </w:pPr>
      <w:r w:rsidRPr="00FF7A55">
        <w:rPr>
          <w:rFonts w:eastAsiaTheme="minorHAnsi"/>
        </w:rPr>
        <w:lastRenderedPageBreak/>
        <w:t>t</w:t>
      </w:r>
      <w:r w:rsidR="00FF059F" w:rsidRPr="00FF7A55">
        <w:rPr>
          <w:rFonts w:eastAsiaTheme="minorHAnsi"/>
        </w:rPr>
        <w:t>here must be a subsisting marriage</w:t>
      </w:r>
      <w:r w:rsidRPr="00FF7A55">
        <w:rPr>
          <w:rFonts w:eastAsiaTheme="minorHAnsi"/>
        </w:rPr>
        <w:t>;</w:t>
      </w:r>
    </w:p>
    <w:p w:rsidR="003C69EE" w:rsidRPr="00FF7A55" w:rsidRDefault="003C69EE" w:rsidP="003E5D5F">
      <w:pPr>
        <w:pStyle w:val="NormalWeb"/>
        <w:numPr>
          <w:ilvl w:val="0"/>
          <w:numId w:val="16"/>
        </w:numPr>
        <w:shd w:val="clear" w:color="auto" w:fill="FFFFFF"/>
        <w:spacing w:before="0" w:beforeAutospacing="0" w:after="0" w:afterAutospacing="0" w:line="360" w:lineRule="auto"/>
        <w:jc w:val="both"/>
        <w:rPr>
          <w:rFonts w:eastAsiaTheme="minorHAnsi"/>
        </w:rPr>
      </w:pPr>
      <w:r w:rsidRPr="00FF7A55">
        <w:rPr>
          <w:rFonts w:eastAsiaTheme="minorHAnsi"/>
        </w:rPr>
        <w:t>t</w:t>
      </w:r>
      <w:r w:rsidR="00FF059F" w:rsidRPr="00FF7A55">
        <w:rPr>
          <w:rFonts w:eastAsiaTheme="minorHAnsi"/>
        </w:rPr>
        <w:t>he suit in action must</w:t>
      </w:r>
      <w:r w:rsidR="00966D2C" w:rsidRPr="00FF7A55">
        <w:rPr>
          <w:rFonts w:eastAsiaTheme="minorHAnsi"/>
        </w:rPr>
        <w:t xml:space="preserve"> </w:t>
      </w:r>
      <w:r w:rsidR="00FF059F" w:rsidRPr="00FF7A55">
        <w:rPr>
          <w:rFonts w:eastAsiaTheme="minorHAnsi"/>
        </w:rPr>
        <w:t xml:space="preserve">be matrimonial </w:t>
      </w:r>
      <w:r w:rsidRPr="00FF7A55">
        <w:rPr>
          <w:rFonts w:eastAsiaTheme="minorHAnsi"/>
        </w:rPr>
        <w:t>in nature;</w:t>
      </w:r>
    </w:p>
    <w:p w:rsidR="00FF059F" w:rsidRPr="00FF7A55" w:rsidRDefault="003C69EE" w:rsidP="003E5D5F">
      <w:pPr>
        <w:pStyle w:val="NormalWeb"/>
        <w:numPr>
          <w:ilvl w:val="0"/>
          <w:numId w:val="16"/>
        </w:numPr>
        <w:shd w:val="clear" w:color="auto" w:fill="FFFFFF"/>
        <w:spacing w:before="0" w:beforeAutospacing="0" w:after="0" w:afterAutospacing="0" w:line="360" w:lineRule="auto"/>
        <w:jc w:val="both"/>
        <w:rPr>
          <w:rFonts w:eastAsiaTheme="minorHAnsi"/>
          <w:color w:val="FF0000"/>
        </w:rPr>
      </w:pPr>
      <w:r w:rsidRPr="00FF7A55">
        <w:rPr>
          <w:rFonts w:eastAsiaTheme="minorHAnsi"/>
        </w:rPr>
        <w:t>t</w:t>
      </w:r>
      <w:r w:rsidR="00FF059F" w:rsidRPr="00FF7A55">
        <w:rPr>
          <w:rFonts w:eastAsiaTheme="minorHAnsi"/>
        </w:rPr>
        <w:t>he applica</w:t>
      </w:r>
      <w:r w:rsidR="00040E50" w:rsidRPr="00FF7A55">
        <w:rPr>
          <w:rFonts w:eastAsiaTheme="minorHAnsi"/>
        </w:rPr>
        <w:t>tion</w:t>
      </w:r>
      <w:r w:rsidR="00FF059F" w:rsidRPr="00FF7A55">
        <w:rPr>
          <w:rFonts w:eastAsiaTheme="minorHAnsi"/>
        </w:rPr>
        <w:t xml:space="preserve"> must have reasonable prospects of success</w:t>
      </w:r>
      <w:r w:rsidRPr="00FF7A55">
        <w:rPr>
          <w:rFonts w:eastAsiaTheme="minorHAnsi"/>
        </w:rPr>
        <w:t>;</w:t>
      </w:r>
    </w:p>
    <w:p w:rsidR="00040E50" w:rsidRPr="00FF7A55" w:rsidRDefault="003C69EE" w:rsidP="003E5D5F">
      <w:pPr>
        <w:pStyle w:val="NormalWeb"/>
        <w:numPr>
          <w:ilvl w:val="0"/>
          <w:numId w:val="16"/>
        </w:numPr>
        <w:shd w:val="clear" w:color="auto" w:fill="FFFFFF"/>
        <w:spacing w:before="0" w:beforeAutospacing="0" w:after="0" w:afterAutospacing="0" w:line="360" w:lineRule="auto"/>
        <w:jc w:val="both"/>
        <w:rPr>
          <w:rFonts w:eastAsiaTheme="minorHAnsi"/>
        </w:rPr>
      </w:pPr>
      <w:r w:rsidRPr="00FF7A55">
        <w:rPr>
          <w:rFonts w:eastAsiaTheme="minorHAnsi"/>
        </w:rPr>
        <w:t xml:space="preserve">the </w:t>
      </w:r>
      <w:r w:rsidR="00FF059F" w:rsidRPr="00FF7A55">
        <w:rPr>
          <w:rFonts w:eastAsiaTheme="minorHAnsi"/>
        </w:rPr>
        <w:t xml:space="preserve">applicant </w:t>
      </w:r>
      <w:r w:rsidRPr="00FF7A55">
        <w:rPr>
          <w:rFonts w:eastAsiaTheme="minorHAnsi"/>
        </w:rPr>
        <w:t>must show that</w:t>
      </w:r>
      <w:r w:rsidR="00040E50" w:rsidRPr="00FF7A55">
        <w:rPr>
          <w:rFonts w:eastAsiaTheme="minorHAnsi"/>
        </w:rPr>
        <w:t>;</w:t>
      </w:r>
      <w:r w:rsidRPr="00FF7A55">
        <w:rPr>
          <w:rFonts w:eastAsiaTheme="minorHAnsi"/>
        </w:rPr>
        <w:t xml:space="preserve"> </w:t>
      </w:r>
    </w:p>
    <w:p w:rsidR="001341F9" w:rsidRPr="00FF7A55" w:rsidRDefault="003C69EE" w:rsidP="003E5D5F">
      <w:pPr>
        <w:pStyle w:val="NormalWeb"/>
        <w:numPr>
          <w:ilvl w:val="0"/>
          <w:numId w:val="18"/>
        </w:numPr>
        <w:shd w:val="clear" w:color="auto" w:fill="FFFFFF"/>
        <w:spacing w:before="0" w:beforeAutospacing="0" w:after="0" w:afterAutospacing="0" w:line="360" w:lineRule="auto"/>
        <w:jc w:val="both"/>
        <w:rPr>
          <w:rFonts w:eastAsiaTheme="minorHAnsi"/>
        </w:rPr>
      </w:pPr>
      <w:r w:rsidRPr="00FF7A55">
        <w:rPr>
          <w:rFonts w:eastAsiaTheme="minorHAnsi"/>
        </w:rPr>
        <w:t xml:space="preserve">he or she is not </w:t>
      </w:r>
      <w:r w:rsidR="00FF059F" w:rsidRPr="00FF7A55">
        <w:rPr>
          <w:rFonts w:eastAsiaTheme="minorHAnsi"/>
        </w:rPr>
        <w:t>financia</w:t>
      </w:r>
      <w:r w:rsidRPr="00FF7A55">
        <w:rPr>
          <w:rFonts w:eastAsiaTheme="minorHAnsi"/>
        </w:rPr>
        <w:t>l</w:t>
      </w:r>
      <w:r w:rsidR="00FF059F" w:rsidRPr="00FF7A55">
        <w:rPr>
          <w:rFonts w:eastAsiaTheme="minorHAnsi"/>
        </w:rPr>
        <w:t>l</w:t>
      </w:r>
      <w:r w:rsidR="00040E50" w:rsidRPr="00FF7A55">
        <w:rPr>
          <w:rFonts w:eastAsiaTheme="minorHAnsi"/>
        </w:rPr>
        <w:t xml:space="preserve">y </w:t>
      </w:r>
      <w:r w:rsidR="00A92A05" w:rsidRPr="00FF7A55">
        <w:rPr>
          <w:rFonts w:eastAsiaTheme="minorHAnsi"/>
        </w:rPr>
        <w:t>able to</w:t>
      </w:r>
      <w:r w:rsidR="00FF059F" w:rsidRPr="00FF7A55">
        <w:rPr>
          <w:rFonts w:eastAsiaTheme="minorHAnsi"/>
        </w:rPr>
        <w:t xml:space="preserve"> bring or to defend the action without the contribution from the other spouse</w:t>
      </w:r>
      <w:r w:rsidR="00040E50" w:rsidRPr="00FF7A55">
        <w:rPr>
          <w:rFonts w:eastAsiaTheme="minorHAnsi"/>
        </w:rPr>
        <w:t>;</w:t>
      </w:r>
      <w:r w:rsidR="00FF059F" w:rsidRPr="00FF7A55">
        <w:rPr>
          <w:rFonts w:eastAsiaTheme="minorHAnsi"/>
        </w:rPr>
        <w:t xml:space="preserve"> and</w:t>
      </w:r>
    </w:p>
    <w:p w:rsidR="00702E9F" w:rsidRDefault="00FF059F" w:rsidP="005A1A89">
      <w:pPr>
        <w:pStyle w:val="NormalWeb"/>
        <w:numPr>
          <w:ilvl w:val="0"/>
          <w:numId w:val="18"/>
        </w:numPr>
        <w:shd w:val="clear" w:color="auto" w:fill="FFFFFF"/>
        <w:spacing w:before="0" w:beforeAutospacing="0" w:after="0" w:afterAutospacing="0" w:line="480" w:lineRule="auto"/>
        <w:jc w:val="both"/>
        <w:rPr>
          <w:rFonts w:eastAsiaTheme="minorHAnsi"/>
        </w:rPr>
      </w:pPr>
      <w:r w:rsidRPr="00FF7A55">
        <w:rPr>
          <w:rFonts w:eastAsiaTheme="minorHAnsi"/>
        </w:rPr>
        <w:t xml:space="preserve">the other spouse is able to provide the applicant with </w:t>
      </w:r>
      <w:r w:rsidR="00A92A05" w:rsidRPr="00FF7A55">
        <w:rPr>
          <w:rFonts w:eastAsiaTheme="minorHAnsi"/>
        </w:rPr>
        <w:t xml:space="preserve">  </w:t>
      </w:r>
      <w:r w:rsidRPr="00FF7A55">
        <w:rPr>
          <w:rFonts w:eastAsiaTheme="minorHAnsi"/>
        </w:rPr>
        <w:t>th</w:t>
      </w:r>
      <w:r w:rsidR="00040E50" w:rsidRPr="00FF7A55">
        <w:rPr>
          <w:rFonts w:eastAsiaTheme="minorHAnsi"/>
        </w:rPr>
        <w:t>e</w:t>
      </w:r>
      <w:r w:rsidRPr="00FF7A55">
        <w:rPr>
          <w:rFonts w:eastAsiaTheme="minorHAnsi"/>
        </w:rPr>
        <w:t xml:space="preserve"> contribution</w:t>
      </w:r>
      <w:r w:rsidR="00040E50" w:rsidRPr="00FF7A55">
        <w:rPr>
          <w:rFonts w:eastAsiaTheme="minorHAnsi"/>
        </w:rPr>
        <w:t xml:space="preserve"> sought</w:t>
      </w:r>
      <w:r w:rsidRPr="00FF7A55">
        <w:rPr>
          <w:rFonts w:eastAsiaTheme="minorHAnsi"/>
        </w:rPr>
        <w:t xml:space="preserve">. </w:t>
      </w:r>
    </w:p>
    <w:p w:rsidR="00FF059F" w:rsidRPr="00FF7A55" w:rsidRDefault="00FF059F" w:rsidP="005A1A89">
      <w:pPr>
        <w:pStyle w:val="NormalWeb"/>
        <w:shd w:val="clear" w:color="auto" w:fill="FFFFFF"/>
        <w:spacing w:before="0" w:beforeAutospacing="0" w:after="0" w:afterAutospacing="0" w:line="480" w:lineRule="auto"/>
        <w:jc w:val="both"/>
        <w:rPr>
          <w:rFonts w:eastAsiaTheme="minorHAnsi"/>
        </w:rPr>
      </w:pPr>
    </w:p>
    <w:p w:rsidR="00B929E5" w:rsidRPr="00FF7A55" w:rsidRDefault="00040E50" w:rsidP="005A1A89">
      <w:pPr>
        <w:pStyle w:val="NormalWeb"/>
        <w:shd w:val="clear" w:color="auto" w:fill="FFFFFF"/>
        <w:spacing w:before="0" w:beforeAutospacing="0" w:after="0" w:afterAutospacing="0" w:line="480" w:lineRule="auto"/>
        <w:ind w:firstLine="1134"/>
        <w:jc w:val="both"/>
        <w:rPr>
          <w:rFonts w:eastAsiaTheme="minorHAnsi"/>
        </w:rPr>
      </w:pPr>
      <w:r w:rsidRPr="00FF7A55">
        <w:rPr>
          <w:rFonts w:eastAsiaTheme="minorHAnsi"/>
        </w:rPr>
        <w:t>The learned author</w:t>
      </w:r>
      <w:r w:rsidR="00A53BE2" w:rsidRPr="00FF7A55">
        <w:rPr>
          <w:rFonts w:eastAsiaTheme="minorHAnsi"/>
        </w:rPr>
        <w:t>,</w:t>
      </w:r>
      <w:r w:rsidRPr="00FF7A55">
        <w:rPr>
          <w:rFonts w:eastAsiaTheme="minorHAnsi"/>
        </w:rPr>
        <w:t xml:space="preserve"> </w:t>
      </w:r>
      <w:proofErr w:type="spellStart"/>
      <w:r w:rsidR="00FF059F" w:rsidRPr="00FF7A55">
        <w:rPr>
          <w:rFonts w:eastAsiaTheme="minorHAnsi"/>
        </w:rPr>
        <w:t>Hahlo</w:t>
      </w:r>
      <w:proofErr w:type="spellEnd"/>
      <w:r w:rsidRPr="00FF7A55">
        <w:rPr>
          <w:rFonts w:eastAsiaTheme="minorHAnsi"/>
        </w:rPr>
        <w:t>,</w:t>
      </w:r>
      <w:r w:rsidR="00FF059F" w:rsidRPr="00FF7A55">
        <w:rPr>
          <w:rFonts w:eastAsiaTheme="minorHAnsi"/>
        </w:rPr>
        <w:t xml:space="preserve"> in his book “South Africa</w:t>
      </w:r>
      <w:r w:rsidR="00832E53" w:rsidRPr="00FF7A55">
        <w:rPr>
          <w:rFonts w:eastAsiaTheme="minorHAnsi"/>
        </w:rPr>
        <w:t>n</w:t>
      </w:r>
      <w:r w:rsidR="00FF059F" w:rsidRPr="00FF7A55">
        <w:rPr>
          <w:rFonts w:eastAsiaTheme="minorHAnsi"/>
        </w:rPr>
        <w:t xml:space="preserve"> Law of Husband and Wife</w:t>
      </w:r>
      <w:r w:rsidRPr="00FF7A55">
        <w:rPr>
          <w:rFonts w:eastAsiaTheme="minorHAnsi"/>
        </w:rPr>
        <w:t>”</w:t>
      </w:r>
      <w:r w:rsidR="00234997" w:rsidRPr="00FF7A55">
        <w:rPr>
          <w:rStyle w:val="FootnoteReference"/>
          <w:rFonts w:eastAsiaTheme="minorHAnsi"/>
        </w:rPr>
        <w:footnoteReference w:id="2"/>
      </w:r>
      <w:r w:rsidR="00FF059F" w:rsidRPr="00FF7A55">
        <w:rPr>
          <w:rFonts w:eastAsiaTheme="minorHAnsi"/>
        </w:rPr>
        <w:t xml:space="preserve"> </w:t>
      </w:r>
      <w:r w:rsidRPr="00FF7A55">
        <w:rPr>
          <w:rFonts w:eastAsiaTheme="minorHAnsi"/>
        </w:rPr>
        <w:t xml:space="preserve">states </w:t>
      </w:r>
      <w:r w:rsidR="00FF059F" w:rsidRPr="00FF7A55">
        <w:rPr>
          <w:rFonts w:eastAsiaTheme="minorHAnsi"/>
        </w:rPr>
        <w:t>that the last two requirements</w:t>
      </w:r>
      <w:r w:rsidRPr="00FF7A55">
        <w:rPr>
          <w:rFonts w:eastAsiaTheme="minorHAnsi"/>
        </w:rPr>
        <w:t xml:space="preserve"> cited</w:t>
      </w:r>
      <w:r w:rsidR="001C14CE" w:rsidRPr="00FF7A55">
        <w:rPr>
          <w:rFonts w:eastAsiaTheme="minorHAnsi"/>
        </w:rPr>
        <w:t>,</w:t>
      </w:r>
      <w:r w:rsidRPr="00FF7A55">
        <w:rPr>
          <w:rFonts w:eastAsiaTheme="minorHAnsi"/>
        </w:rPr>
        <w:t xml:space="preserve"> </w:t>
      </w:r>
      <w:r w:rsidR="00FF059F" w:rsidRPr="00FF7A55">
        <w:rPr>
          <w:rFonts w:eastAsiaTheme="minorHAnsi"/>
        </w:rPr>
        <w:t>in particular</w:t>
      </w:r>
      <w:r w:rsidR="001C14CE" w:rsidRPr="00FF7A55">
        <w:rPr>
          <w:rFonts w:eastAsiaTheme="minorHAnsi"/>
        </w:rPr>
        <w:t>, are</w:t>
      </w:r>
      <w:r w:rsidR="00FF059F" w:rsidRPr="00FF7A55">
        <w:rPr>
          <w:rFonts w:eastAsiaTheme="minorHAnsi"/>
        </w:rPr>
        <w:t xml:space="preserve"> conjunctive,</w:t>
      </w:r>
      <w:r w:rsidRPr="00FF7A55">
        <w:rPr>
          <w:rFonts w:eastAsiaTheme="minorHAnsi"/>
        </w:rPr>
        <w:t xml:space="preserve"> </w:t>
      </w:r>
      <w:r w:rsidR="000B4D65" w:rsidRPr="00FF7A55">
        <w:rPr>
          <w:rFonts w:eastAsiaTheme="minorHAnsi"/>
        </w:rPr>
        <w:t>and that</w:t>
      </w:r>
      <w:r w:rsidR="004F0173" w:rsidRPr="00FF7A55">
        <w:rPr>
          <w:rFonts w:eastAsiaTheme="minorHAnsi"/>
        </w:rPr>
        <w:t xml:space="preserve"> ultimately for th</w:t>
      </w:r>
      <w:r w:rsidRPr="00FF7A55">
        <w:rPr>
          <w:rFonts w:eastAsiaTheme="minorHAnsi"/>
        </w:rPr>
        <w:t>e</w:t>
      </w:r>
      <w:r w:rsidR="004F0173" w:rsidRPr="00FF7A55">
        <w:rPr>
          <w:rFonts w:eastAsiaTheme="minorHAnsi"/>
        </w:rPr>
        <w:t xml:space="preserve"> application to succeed all the requirements must be met. </w:t>
      </w:r>
    </w:p>
    <w:p w:rsidR="007864C8" w:rsidRPr="00FF7A55" w:rsidRDefault="007864C8" w:rsidP="005A1A89">
      <w:pPr>
        <w:pStyle w:val="NormalWeb"/>
        <w:shd w:val="clear" w:color="auto" w:fill="FFFFFF"/>
        <w:spacing w:before="0" w:beforeAutospacing="0" w:after="0" w:afterAutospacing="0" w:line="480" w:lineRule="auto"/>
        <w:jc w:val="both"/>
        <w:rPr>
          <w:rFonts w:eastAsiaTheme="minorHAnsi"/>
        </w:rPr>
      </w:pPr>
    </w:p>
    <w:p w:rsidR="00B92CED" w:rsidRPr="00FF7A55" w:rsidRDefault="00061ACE" w:rsidP="005B2AA9">
      <w:pPr>
        <w:pStyle w:val="NormalWeb"/>
        <w:shd w:val="clear" w:color="auto" w:fill="FFFFFF"/>
        <w:spacing w:before="0" w:beforeAutospacing="0" w:after="0" w:afterAutospacing="0" w:line="480" w:lineRule="auto"/>
        <w:ind w:firstLine="1134"/>
        <w:jc w:val="both"/>
        <w:rPr>
          <w:rFonts w:eastAsiaTheme="minorHAnsi"/>
        </w:rPr>
      </w:pPr>
      <w:r w:rsidRPr="00FF7A55">
        <w:rPr>
          <w:rFonts w:eastAsiaTheme="minorHAnsi"/>
        </w:rPr>
        <w:t xml:space="preserve">The judge </w:t>
      </w:r>
      <w:r w:rsidRPr="00FF7A55">
        <w:rPr>
          <w:rFonts w:eastAsiaTheme="minorHAnsi"/>
          <w:i/>
        </w:rPr>
        <w:t>a quo</w:t>
      </w:r>
      <w:r w:rsidRPr="00FF7A55">
        <w:rPr>
          <w:rFonts w:eastAsiaTheme="minorHAnsi"/>
        </w:rPr>
        <w:t xml:space="preserve"> correctly found that requirement</w:t>
      </w:r>
      <w:r w:rsidR="005A3221" w:rsidRPr="00FF7A55">
        <w:rPr>
          <w:rFonts w:eastAsiaTheme="minorHAnsi"/>
        </w:rPr>
        <w:t xml:space="preserve">s </w:t>
      </w:r>
      <w:r w:rsidR="001341F9" w:rsidRPr="00FF7A55">
        <w:rPr>
          <w:rFonts w:eastAsiaTheme="minorHAnsi"/>
        </w:rPr>
        <w:t>(a</w:t>
      </w:r>
      <w:r w:rsidR="00966D2C" w:rsidRPr="00FF7A55">
        <w:rPr>
          <w:rFonts w:eastAsiaTheme="minorHAnsi"/>
        </w:rPr>
        <w:t xml:space="preserve">) and </w:t>
      </w:r>
      <w:r w:rsidR="005A3221" w:rsidRPr="00FF7A55">
        <w:rPr>
          <w:rFonts w:eastAsiaTheme="minorHAnsi"/>
        </w:rPr>
        <w:t>(</w:t>
      </w:r>
      <w:r w:rsidR="00966D2C" w:rsidRPr="00FF7A55">
        <w:rPr>
          <w:rFonts w:eastAsiaTheme="minorHAnsi"/>
        </w:rPr>
        <w:t xml:space="preserve">b) had been met. </w:t>
      </w:r>
      <w:r w:rsidR="00E974B8" w:rsidRPr="00FF7A55">
        <w:rPr>
          <w:rFonts w:eastAsiaTheme="minorHAnsi"/>
        </w:rPr>
        <w:t xml:space="preserve">As for </w:t>
      </w:r>
      <w:r w:rsidR="00966D2C" w:rsidRPr="00FF7A55">
        <w:rPr>
          <w:rFonts w:eastAsiaTheme="minorHAnsi"/>
        </w:rPr>
        <w:t xml:space="preserve">requirement </w:t>
      </w:r>
      <w:r w:rsidR="005A3221" w:rsidRPr="00FF7A55">
        <w:rPr>
          <w:rFonts w:eastAsiaTheme="minorHAnsi"/>
        </w:rPr>
        <w:t>(</w:t>
      </w:r>
      <w:r w:rsidR="00966D2C" w:rsidRPr="00FF7A55">
        <w:rPr>
          <w:rFonts w:eastAsiaTheme="minorHAnsi"/>
        </w:rPr>
        <w:t>c), that is, the prospects of success</w:t>
      </w:r>
      <w:r w:rsidR="00E974B8" w:rsidRPr="00FF7A55">
        <w:rPr>
          <w:rFonts w:eastAsiaTheme="minorHAnsi"/>
        </w:rPr>
        <w:t xml:space="preserve"> in relation to the division of the parties’ matrimonial assets as well as custody of the minor </w:t>
      </w:r>
      <w:r w:rsidR="001341F9" w:rsidRPr="00FF7A55">
        <w:rPr>
          <w:rFonts w:eastAsiaTheme="minorHAnsi"/>
        </w:rPr>
        <w:t>child,</w:t>
      </w:r>
      <w:r w:rsidR="00966D2C" w:rsidRPr="00FF7A55">
        <w:rPr>
          <w:rFonts w:eastAsiaTheme="minorHAnsi"/>
        </w:rPr>
        <w:t xml:space="preserve"> the judge opined as follows in his judgment;</w:t>
      </w:r>
    </w:p>
    <w:p w:rsidR="0033502B" w:rsidRPr="00FF7A55" w:rsidRDefault="005A3221" w:rsidP="003E5D5F">
      <w:pPr>
        <w:pStyle w:val="NormalWeb"/>
        <w:shd w:val="clear" w:color="auto" w:fill="FFFFFF"/>
        <w:spacing w:before="0" w:beforeAutospacing="0" w:after="0" w:afterAutospacing="0"/>
        <w:ind w:left="720"/>
        <w:jc w:val="both"/>
        <w:rPr>
          <w:rFonts w:eastAsiaTheme="minorHAnsi"/>
        </w:rPr>
      </w:pPr>
      <w:r w:rsidRPr="00FF7A55">
        <w:rPr>
          <w:rFonts w:eastAsiaTheme="minorHAnsi"/>
        </w:rPr>
        <w:t>“</w:t>
      </w:r>
      <w:r w:rsidR="0033502B" w:rsidRPr="00FF7A55">
        <w:rPr>
          <w:rFonts w:eastAsiaTheme="minorHAnsi"/>
        </w:rPr>
        <w:t>The</w:t>
      </w:r>
      <w:r w:rsidR="0033502B" w:rsidRPr="00FF7A55">
        <w:rPr>
          <w:rFonts w:eastAsiaTheme="minorHAnsi"/>
          <w:b/>
        </w:rPr>
        <w:t xml:space="preserve"> </w:t>
      </w:r>
      <w:r w:rsidR="0033502B" w:rsidRPr="00FF7A55">
        <w:rPr>
          <w:rFonts w:eastAsiaTheme="minorHAnsi"/>
        </w:rPr>
        <w:t xml:space="preserve">aspect that seemed contentious is whether there are prospects of success. This should however not overly detain me. In terms of the Matrimonial Causes Act [Chapter 5:13], a court in determining the matrimonial issues between spouses is enjoined to consider all the circumstances of the case. The spouses must be able to place before the court all relevant factors to be considered. Where, as in this case, parties are not in agreement on the extent of their matrimonial estate it is only prudent that each party be able to satisfy </w:t>
      </w:r>
      <w:r w:rsidRPr="00FF7A55">
        <w:rPr>
          <w:rFonts w:eastAsiaTheme="minorHAnsi"/>
        </w:rPr>
        <w:t xml:space="preserve">the </w:t>
      </w:r>
      <w:r w:rsidR="0033502B" w:rsidRPr="00FF7A55">
        <w:rPr>
          <w:rFonts w:eastAsiaTheme="minorHAnsi"/>
        </w:rPr>
        <w:t>court of their contention regarding such assets. The success or otherwise will be in the sharing ratios to be determined by court.</w:t>
      </w:r>
    </w:p>
    <w:p w:rsidR="00702E9F" w:rsidRPr="00FF7A55" w:rsidRDefault="00702E9F" w:rsidP="003E5D5F">
      <w:pPr>
        <w:pStyle w:val="NormalWeb"/>
        <w:shd w:val="clear" w:color="auto" w:fill="FFFFFF"/>
        <w:spacing w:before="0" w:beforeAutospacing="0" w:after="0" w:afterAutospacing="0"/>
        <w:ind w:left="720"/>
        <w:jc w:val="both"/>
        <w:rPr>
          <w:rFonts w:eastAsiaTheme="minorHAnsi"/>
        </w:rPr>
      </w:pPr>
    </w:p>
    <w:p w:rsidR="000710A0" w:rsidRPr="00FF7A55" w:rsidRDefault="0033502B" w:rsidP="003E5D5F">
      <w:pPr>
        <w:pStyle w:val="NormalWeb"/>
        <w:shd w:val="clear" w:color="auto" w:fill="FFFFFF"/>
        <w:spacing w:before="0" w:beforeAutospacing="0" w:after="0" w:afterAutospacing="0"/>
        <w:ind w:left="720"/>
        <w:jc w:val="both"/>
        <w:rPr>
          <w:rFonts w:eastAsiaTheme="minorHAnsi"/>
        </w:rPr>
      </w:pPr>
      <w:r w:rsidRPr="00FF7A55">
        <w:rPr>
          <w:rFonts w:eastAsiaTheme="minorHAnsi"/>
        </w:rPr>
        <w:t xml:space="preserve">It is my view that the facts clearly show that applicant may succeed in getting a </w:t>
      </w:r>
      <w:r w:rsidR="005A3221" w:rsidRPr="00FF7A55">
        <w:rPr>
          <w:rFonts w:eastAsiaTheme="minorHAnsi"/>
        </w:rPr>
        <w:t>f</w:t>
      </w:r>
      <w:r w:rsidRPr="00FF7A55">
        <w:rPr>
          <w:rFonts w:eastAsiaTheme="minorHAnsi"/>
        </w:rPr>
        <w:t xml:space="preserve">avourable share of the matrimonial estate as compared with what she is being offered. In </w:t>
      </w:r>
      <w:r w:rsidR="001341F9" w:rsidRPr="00FF7A55">
        <w:rPr>
          <w:rFonts w:eastAsiaTheme="minorHAnsi"/>
        </w:rPr>
        <w:t>fact,</w:t>
      </w:r>
      <w:r w:rsidRPr="00FF7A55">
        <w:rPr>
          <w:rFonts w:eastAsiaTheme="minorHAnsi"/>
        </w:rPr>
        <w:t xml:space="preserve"> in terms of the intended amendment t</w:t>
      </w:r>
      <w:r w:rsidR="000710A0" w:rsidRPr="00FF7A55">
        <w:rPr>
          <w:rFonts w:eastAsiaTheme="minorHAnsi"/>
        </w:rPr>
        <w:t xml:space="preserve">he offer of number 129 Patrick Close had been withdrawn and replaced by a usufruct right for 2 years and half of the sale proceeds thereafter. I am of the </w:t>
      </w:r>
      <w:r w:rsidR="000710A0" w:rsidRPr="00FF7A55">
        <w:rPr>
          <w:rFonts w:eastAsiaTheme="minorHAnsi"/>
        </w:rPr>
        <w:lastRenderedPageBreak/>
        <w:t>view that there are prospects of success in applicant arguing for a better division of the immovable property taking into account other properties she alleges respondent acquired.</w:t>
      </w:r>
    </w:p>
    <w:p w:rsidR="007E6953" w:rsidRPr="00FF7A55" w:rsidRDefault="000710A0" w:rsidP="003E5D5F">
      <w:pPr>
        <w:pStyle w:val="NormalWeb"/>
        <w:shd w:val="clear" w:color="auto" w:fill="FFFFFF"/>
        <w:spacing w:after="0"/>
        <w:ind w:left="720"/>
        <w:jc w:val="both"/>
      </w:pPr>
      <w:r w:rsidRPr="00FF7A55">
        <w:rPr>
          <w:rFonts w:eastAsiaTheme="minorHAnsi"/>
        </w:rPr>
        <w:t>On the issue of custody, clearly this is contentious and the need for parties to adequately argue their respective cases cannot be overemphasized. The paramount consideration is the best interests of the children and in my view this can only be achieved where both spouses are afforded the opportunity to adequately argue their case.”</w:t>
      </w:r>
      <w:r w:rsidR="001341F9" w:rsidRPr="00FF7A55">
        <w:t xml:space="preserve"> </w:t>
      </w:r>
    </w:p>
    <w:p w:rsidR="000710A0" w:rsidRPr="00FF7A55" w:rsidRDefault="000710A0" w:rsidP="003E5D5F">
      <w:pPr>
        <w:pStyle w:val="NormalWeb"/>
        <w:shd w:val="clear" w:color="auto" w:fill="FFFFFF"/>
        <w:spacing w:after="0"/>
        <w:ind w:left="720"/>
        <w:jc w:val="both"/>
      </w:pPr>
      <w:r w:rsidRPr="00FF7A55">
        <w:t xml:space="preserve">  </w:t>
      </w:r>
    </w:p>
    <w:p w:rsidR="00461B23" w:rsidRPr="00FF7A55" w:rsidRDefault="000710A0" w:rsidP="005B2AA9">
      <w:pPr>
        <w:pStyle w:val="NormalWeb"/>
        <w:shd w:val="clear" w:color="auto" w:fill="FFFFFF"/>
        <w:spacing w:after="0" w:line="480" w:lineRule="auto"/>
        <w:ind w:firstLine="1134"/>
        <w:jc w:val="both"/>
        <w:rPr>
          <w:rFonts w:eastAsiaTheme="minorHAnsi"/>
        </w:rPr>
      </w:pPr>
      <w:r w:rsidRPr="00FF7A55">
        <w:rPr>
          <w:rFonts w:eastAsiaTheme="minorHAnsi"/>
        </w:rPr>
        <w:t>Concerning</w:t>
      </w:r>
      <w:r w:rsidR="00461B23" w:rsidRPr="00FF7A55">
        <w:rPr>
          <w:rFonts w:eastAsiaTheme="minorHAnsi"/>
        </w:rPr>
        <w:t xml:space="preserve"> the respondent’s prospects of success in respect of spousal maintenance and her financial capacity the judge </w:t>
      </w:r>
      <w:r w:rsidR="00461B23" w:rsidRPr="00FF7A55">
        <w:rPr>
          <w:rFonts w:eastAsiaTheme="minorHAnsi"/>
          <w:i/>
        </w:rPr>
        <w:t>a quo</w:t>
      </w:r>
      <w:r w:rsidR="00461B23" w:rsidRPr="00FF7A55">
        <w:rPr>
          <w:rFonts w:eastAsiaTheme="minorHAnsi"/>
        </w:rPr>
        <w:t xml:space="preserve"> had this to say:</w:t>
      </w:r>
    </w:p>
    <w:p w:rsidR="00461B23" w:rsidRPr="00FF7A55" w:rsidRDefault="00461B23" w:rsidP="00AA0037">
      <w:pPr>
        <w:pStyle w:val="NormalWeb"/>
        <w:shd w:val="clear" w:color="auto" w:fill="FFFFFF"/>
        <w:spacing w:before="0" w:beforeAutospacing="0" w:after="0" w:afterAutospacing="0"/>
        <w:jc w:val="both"/>
        <w:rPr>
          <w:rFonts w:eastAsiaTheme="minorHAnsi"/>
        </w:rPr>
      </w:pPr>
      <w:r w:rsidRPr="00FF7A55">
        <w:rPr>
          <w:rFonts w:eastAsiaTheme="minorHAnsi"/>
        </w:rPr>
        <w:t>“The last issue of spousal post-divorce maintenance is an issue that is also contentious especially that respondent on his own volition had deemed it proper to offer applicant maintenance as he realized she needed financial support. Now that he wishes to withdraw such offer applicant is justified in seeking to be awarded maintenance as her need for maintenance had initially been appreciated by respondent. Whilst post-divorce maintenance is not granted just on the asking, it is only proper that applicant be given opportunity to argue her case. It may also be noted that the duration of the marriage and the standard of living they had been used to may enhance the prospects of success for applicant. I am thus of the view that there are prospects of success.”</w:t>
      </w:r>
    </w:p>
    <w:p w:rsidR="00F70C1C" w:rsidRPr="00FF7A55" w:rsidRDefault="00F70C1C" w:rsidP="007E6953">
      <w:pPr>
        <w:pStyle w:val="NormalWeb"/>
        <w:shd w:val="clear" w:color="auto" w:fill="FFFFFF"/>
        <w:spacing w:before="0" w:beforeAutospacing="0" w:after="0" w:afterAutospacing="0" w:line="360" w:lineRule="auto"/>
        <w:jc w:val="both"/>
        <w:rPr>
          <w:rFonts w:eastAsiaTheme="minorHAnsi"/>
        </w:rPr>
      </w:pPr>
    </w:p>
    <w:p w:rsidR="00702E9F" w:rsidRPr="00FF7A55" w:rsidRDefault="00702E9F" w:rsidP="00AA0037">
      <w:pPr>
        <w:pStyle w:val="NormalWeb"/>
        <w:shd w:val="clear" w:color="auto" w:fill="FFFFFF"/>
        <w:spacing w:before="0" w:beforeAutospacing="0" w:after="0" w:afterAutospacing="0"/>
        <w:ind w:firstLine="1134"/>
        <w:jc w:val="both"/>
        <w:rPr>
          <w:rFonts w:eastAsiaTheme="minorHAnsi"/>
        </w:rPr>
      </w:pPr>
    </w:p>
    <w:p w:rsidR="008E6349" w:rsidRDefault="00CD3FC3" w:rsidP="003E5D5F">
      <w:pPr>
        <w:pStyle w:val="NormalWeb"/>
        <w:shd w:val="clear" w:color="auto" w:fill="FFFFFF"/>
        <w:spacing w:before="0" w:beforeAutospacing="0" w:after="0" w:afterAutospacing="0" w:line="480" w:lineRule="auto"/>
        <w:ind w:firstLine="1134"/>
        <w:jc w:val="both"/>
        <w:rPr>
          <w:rFonts w:eastAsiaTheme="minorHAnsi"/>
        </w:rPr>
      </w:pPr>
      <w:r w:rsidRPr="00FF7A55">
        <w:rPr>
          <w:rFonts w:eastAsiaTheme="minorHAnsi"/>
        </w:rPr>
        <w:t xml:space="preserve">The judge </w:t>
      </w:r>
      <w:r w:rsidRPr="00FF7A55">
        <w:rPr>
          <w:rFonts w:eastAsiaTheme="minorHAnsi"/>
          <w:i/>
        </w:rPr>
        <w:t xml:space="preserve">a quo </w:t>
      </w:r>
      <w:r w:rsidRPr="00FF7A55">
        <w:rPr>
          <w:rFonts w:eastAsiaTheme="minorHAnsi"/>
        </w:rPr>
        <w:t xml:space="preserve">also considered the question of the parties’ financial situations </w:t>
      </w:r>
      <w:r w:rsidR="00CF53F8" w:rsidRPr="00FF7A55">
        <w:rPr>
          <w:rFonts w:eastAsiaTheme="minorHAnsi"/>
          <w:i/>
        </w:rPr>
        <w:t>vis</w:t>
      </w:r>
      <w:r w:rsidRPr="00FF7A55">
        <w:rPr>
          <w:rFonts w:eastAsiaTheme="minorHAnsi"/>
          <w:i/>
        </w:rPr>
        <w:t>a</w:t>
      </w:r>
      <w:r w:rsidR="00852164">
        <w:rPr>
          <w:rFonts w:eastAsiaTheme="minorHAnsi"/>
          <w:i/>
        </w:rPr>
        <w:t>-</w:t>
      </w:r>
      <w:r w:rsidR="00093FFE">
        <w:rPr>
          <w:rFonts w:eastAsiaTheme="minorHAnsi"/>
          <w:i/>
        </w:rPr>
        <w:t> </w:t>
      </w:r>
      <w:r w:rsidRPr="00FF7A55">
        <w:rPr>
          <w:rFonts w:eastAsiaTheme="minorHAnsi"/>
          <w:i/>
        </w:rPr>
        <w:t>vis</w:t>
      </w:r>
      <w:r w:rsidRPr="00FF7A55">
        <w:rPr>
          <w:rFonts w:eastAsiaTheme="minorHAnsi"/>
        </w:rPr>
        <w:t xml:space="preserve"> the respondent’s ability or o</w:t>
      </w:r>
      <w:r w:rsidR="00655167">
        <w:rPr>
          <w:rFonts w:eastAsiaTheme="minorHAnsi"/>
        </w:rPr>
        <w:t>therwise to pay her legal costs</w:t>
      </w:r>
      <w:r w:rsidRPr="00FF7A55">
        <w:rPr>
          <w:rFonts w:eastAsiaTheme="minorHAnsi"/>
        </w:rPr>
        <w:t xml:space="preserve"> and whether the appellant was able or obliged to contribute to such costs. </w:t>
      </w:r>
      <w:r w:rsidR="00F70C1C" w:rsidRPr="00FF7A55">
        <w:rPr>
          <w:rFonts w:eastAsiaTheme="minorHAnsi"/>
        </w:rPr>
        <w:t xml:space="preserve"> Th</w:t>
      </w:r>
      <w:r w:rsidR="00262FE6" w:rsidRPr="00FF7A55">
        <w:rPr>
          <w:rFonts w:eastAsiaTheme="minorHAnsi"/>
        </w:rPr>
        <w:t>e</w:t>
      </w:r>
      <w:r w:rsidR="00F70C1C" w:rsidRPr="00FF7A55">
        <w:rPr>
          <w:rFonts w:eastAsiaTheme="minorHAnsi"/>
        </w:rPr>
        <w:t xml:space="preserve"> appellant it seems</w:t>
      </w:r>
      <w:r w:rsidR="00852164">
        <w:rPr>
          <w:rFonts w:eastAsiaTheme="minorHAnsi"/>
        </w:rPr>
        <w:t xml:space="preserve"> did not dispute</w:t>
      </w:r>
      <w:r w:rsidR="00F70C1C" w:rsidRPr="00FF7A55">
        <w:rPr>
          <w:rFonts w:eastAsiaTheme="minorHAnsi"/>
        </w:rPr>
        <w:t xml:space="preserve"> that the respondent had a monthly income of </w:t>
      </w:r>
      <w:r w:rsidR="00AC2A30" w:rsidRPr="00FF7A55">
        <w:rPr>
          <w:rFonts w:eastAsiaTheme="minorHAnsi"/>
        </w:rPr>
        <w:t>$6384,</w:t>
      </w:r>
      <w:r w:rsidR="008E6349" w:rsidRPr="00FF7A55">
        <w:rPr>
          <w:rFonts w:eastAsiaTheme="minorHAnsi"/>
        </w:rPr>
        <w:t>00</w:t>
      </w:r>
      <w:r w:rsidR="00E559D6" w:rsidRPr="00FF7A55">
        <w:rPr>
          <w:rFonts w:eastAsiaTheme="minorHAnsi"/>
        </w:rPr>
        <w:t xml:space="preserve"> made up of </w:t>
      </w:r>
      <w:r w:rsidR="00AC2A30" w:rsidRPr="00FF7A55">
        <w:rPr>
          <w:rFonts w:eastAsiaTheme="minorHAnsi"/>
        </w:rPr>
        <w:t>$1084</w:t>
      </w:r>
      <w:r w:rsidR="008E6349" w:rsidRPr="00FF7A55">
        <w:rPr>
          <w:rFonts w:eastAsiaTheme="minorHAnsi"/>
        </w:rPr>
        <w:t>,00 salary</w:t>
      </w:r>
      <w:r w:rsidR="00AC2A30" w:rsidRPr="00FF7A55">
        <w:rPr>
          <w:rFonts w:eastAsiaTheme="minorHAnsi"/>
        </w:rPr>
        <w:t>, $2000</w:t>
      </w:r>
      <w:r w:rsidR="008E6349" w:rsidRPr="00FF7A55">
        <w:rPr>
          <w:rFonts w:eastAsiaTheme="minorHAnsi"/>
        </w:rPr>
        <w:t>,00</w:t>
      </w:r>
      <w:r w:rsidR="00AC2A30" w:rsidRPr="00FF7A55">
        <w:rPr>
          <w:rFonts w:eastAsiaTheme="minorHAnsi"/>
        </w:rPr>
        <w:t xml:space="preserve"> maintenance for herself, $2000</w:t>
      </w:r>
      <w:r w:rsidR="008E6349" w:rsidRPr="00FF7A55">
        <w:rPr>
          <w:rFonts w:eastAsiaTheme="minorHAnsi"/>
        </w:rPr>
        <w:t>.00</w:t>
      </w:r>
      <w:r w:rsidR="00AC2A30" w:rsidRPr="00FF7A55">
        <w:rPr>
          <w:rFonts w:eastAsiaTheme="minorHAnsi"/>
        </w:rPr>
        <w:t xml:space="preserve"> </w:t>
      </w:r>
      <w:r w:rsidR="00E559D6" w:rsidRPr="00FF7A55">
        <w:rPr>
          <w:rFonts w:eastAsiaTheme="minorHAnsi"/>
        </w:rPr>
        <w:t>maintenance for the children, $</w:t>
      </w:r>
      <w:r w:rsidR="00AC2A30" w:rsidRPr="00FF7A55">
        <w:rPr>
          <w:rFonts w:eastAsiaTheme="minorHAnsi"/>
        </w:rPr>
        <w:t>1000</w:t>
      </w:r>
      <w:r w:rsidR="008E6349" w:rsidRPr="00FF7A55">
        <w:rPr>
          <w:rFonts w:eastAsiaTheme="minorHAnsi"/>
        </w:rPr>
        <w:t>,00 received as</w:t>
      </w:r>
      <w:r w:rsidR="00AC2A30" w:rsidRPr="00FF7A55">
        <w:rPr>
          <w:rFonts w:eastAsiaTheme="minorHAnsi"/>
        </w:rPr>
        <w:t xml:space="preserve"> rent and $300</w:t>
      </w:r>
      <w:r w:rsidR="008E6349" w:rsidRPr="00FF7A55">
        <w:rPr>
          <w:rFonts w:eastAsiaTheme="minorHAnsi"/>
        </w:rPr>
        <w:t>.00</w:t>
      </w:r>
      <w:r w:rsidR="001611CB" w:rsidRPr="00FF7A55">
        <w:rPr>
          <w:rFonts w:eastAsiaTheme="minorHAnsi"/>
        </w:rPr>
        <w:t xml:space="preserve"> receive</w:t>
      </w:r>
      <w:r w:rsidR="00AC2A30" w:rsidRPr="00FF7A55">
        <w:rPr>
          <w:rFonts w:eastAsiaTheme="minorHAnsi"/>
        </w:rPr>
        <w:t>d from her daughter. The respondent showed how that income was spent</w:t>
      </w:r>
      <w:r w:rsidR="008E6349" w:rsidRPr="00FF7A55">
        <w:rPr>
          <w:rFonts w:eastAsiaTheme="minorHAnsi"/>
        </w:rPr>
        <w:t xml:space="preserve">, leaving her with slightly over $300.00. The appellant was of the view that if respondent did not live a ‘lavish’ lifestyle, </w:t>
      </w:r>
      <w:r w:rsidR="00262FE6" w:rsidRPr="00FF7A55">
        <w:rPr>
          <w:rFonts w:eastAsiaTheme="minorHAnsi"/>
        </w:rPr>
        <w:t xml:space="preserve">as evidenced by the </w:t>
      </w:r>
      <w:r w:rsidR="008E6349" w:rsidRPr="00FF7A55">
        <w:rPr>
          <w:rFonts w:eastAsiaTheme="minorHAnsi"/>
        </w:rPr>
        <w:t xml:space="preserve">breakdown of her expenses, she could easily afford the cost of the litigation in question. </w:t>
      </w:r>
    </w:p>
    <w:p w:rsidR="005A1A89" w:rsidRPr="00FF7A55" w:rsidRDefault="005A1A89" w:rsidP="003E5D5F">
      <w:pPr>
        <w:pStyle w:val="NormalWeb"/>
        <w:shd w:val="clear" w:color="auto" w:fill="FFFFFF"/>
        <w:spacing w:before="0" w:beforeAutospacing="0" w:after="0" w:afterAutospacing="0" w:line="480" w:lineRule="auto"/>
        <w:ind w:firstLine="1134"/>
        <w:jc w:val="both"/>
        <w:rPr>
          <w:rFonts w:eastAsiaTheme="minorHAnsi"/>
        </w:rPr>
      </w:pPr>
    </w:p>
    <w:p w:rsidR="001611CB" w:rsidRPr="00FF7A55" w:rsidRDefault="008E6349" w:rsidP="004B5D85">
      <w:pPr>
        <w:pStyle w:val="NormalWeb"/>
        <w:shd w:val="clear" w:color="auto" w:fill="FFFFFF"/>
        <w:spacing w:before="0" w:beforeAutospacing="0" w:after="0" w:afterAutospacing="0" w:line="480" w:lineRule="auto"/>
        <w:ind w:firstLine="1134"/>
        <w:jc w:val="both"/>
        <w:rPr>
          <w:rFonts w:eastAsiaTheme="minorHAnsi"/>
        </w:rPr>
      </w:pPr>
      <w:r w:rsidRPr="00FF7A55">
        <w:rPr>
          <w:rFonts w:eastAsiaTheme="minorHAnsi"/>
        </w:rPr>
        <w:lastRenderedPageBreak/>
        <w:t xml:space="preserve">The judge </w:t>
      </w:r>
      <w:r w:rsidRPr="00FF7A55">
        <w:rPr>
          <w:rFonts w:eastAsiaTheme="minorHAnsi"/>
          <w:i/>
        </w:rPr>
        <w:t>a quo</w:t>
      </w:r>
      <w:r w:rsidRPr="00FF7A55">
        <w:rPr>
          <w:rFonts w:eastAsiaTheme="minorHAnsi"/>
        </w:rPr>
        <w:t xml:space="preserve"> was not persuaded by the appellant’s submissi</w:t>
      </w:r>
      <w:r w:rsidR="001611CB" w:rsidRPr="00FF7A55">
        <w:rPr>
          <w:rFonts w:eastAsiaTheme="minorHAnsi"/>
        </w:rPr>
        <w:t xml:space="preserve">ons in this respect. </w:t>
      </w:r>
      <w:r w:rsidRPr="00FF7A55">
        <w:rPr>
          <w:rFonts w:eastAsiaTheme="minorHAnsi"/>
        </w:rPr>
        <w:t xml:space="preserve"> </w:t>
      </w:r>
      <w:r w:rsidR="001611CB" w:rsidRPr="00FF7A55">
        <w:rPr>
          <w:rFonts w:eastAsiaTheme="minorHAnsi"/>
        </w:rPr>
        <w:t>He</w:t>
      </w:r>
      <w:r w:rsidRPr="00FF7A55">
        <w:rPr>
          <w:rFonts w:eastAsiaTheme="minorHAnsi"/>
        </w:rPr>
        <w:t xml:space="preserve"> noted that </w:t>
      </w:r>
      <w:r w:rsidR="001611CB" w:rsidRPr="00FF7A55">
        <w:rPr>
          <w:rFonts w:eastAsiaTheme="minorHAnsi"/>
        </w:rPr>
        <w:t>they ignored firstly the fact that the respondent was exp</w:t>
      </w:r>
      <w:r w:rsidR="00BD0A2B" w:rsidRPr="00FF7A55">
        <w:rPr>
          <w:rFonts w:eastAsiaTheme="minorHAnsi"/>
        </w:rPr>
        <w:t>ected to continue living the lif</w:t>
      </w:r>
      <w:r w:rsidR="001611CB" w:rsidRPr="00FF7A55">
        <w:rPr>
          <w:rFonts w:eastAsiaTheme="minorHAnsi"/>
        </w:rPr>
        <w:t xml:space="preserve">estyle to which </w:t>
      </w:r>
      <w:r w:rsidR="00BD0A2B" w:rsidRPr="00FF7A55">
        <w:rPr>
          <w:rFonts w:eastAsiaTheme="minorHAnsi"/>
        </w:rPr>
        <w:t xml:space="preserve">she and he (a specialist </w:t>
      </w:r>
      <w:r w:rsidR="00702E9F" w:rsidRPr="00FF7A55">
        <w:rPr>
          <w:rFonts w:eastAsiaTheme="minorHAnsi"/>
        </w:rPr>
        <w:t>orthopedic</w:t>
      </w:r>
      <w:r w:rsidR="001611CB" w:rsidRPr="00FF7A55">
        <w:rPr>
          <w:rFonts w:eastAsiaTheme="minorHAnsi"/>
        </w:rPr>
        <w:t xml:space="preserve"> surgeon) were accustomed, and secondly, that $4000,00 of the amount was specifically for her and the children’s maintenance. The judge stated as follows in his judgment;</w:t>
      </w:r>
    </w:p>
    <w:p w:rsidR="001611CB" w:rsidRPr="00FF7A55" w:rsidRDefault="00995572" w:rsidP="003E5D5F">
      <w:pPr>
        <w:pStyle w:val="NormalWeb"/>
        <w:shd w:val="clear" w:color="auto" w:fill="FFFFFF"/>
        <w:spacing w:before="0" w:beforeAutospacing="0" w:after="0" w:afterAutospacing="0"/>
        <w:ind w:left="720"/>
        <w:jc w:val="both"/>
        <w:rPr>
          <w:rFonts w:eastAsiaTheme="minorHAnsi"/>
        </w:rPr>
      </w:pPr>
      <w:r w:rsidRPr="00FF7A55">
        <w:rPr>
          <w:rFonts w:eastAsiaTheme="minorHAnsi"/>
        </w:rPr>
        <w:t>“</w:t>
      </w:r>
      <w:r w:rsidR="001611CB" w:rsidRPr="00FF7A55">
        <w:rPr>
          <w:rFonts w:eastAsiaTheme="minorHAnsi"/>
        </w:rPr>
        <w:t xml:space="preserve">It would be an act of irresponsibility for applicant to </w:t>
      </w:r>
      <w:proofErr w:type="spellStart"/>
      <w:r w:rsidR="001611CB" w:rsidRPr="00FF7A55">
        <w:rPr>
          <w:rFonts w:eastAsiaTheme="minorHAnsi"/>
        </w:rPr>
        <w:t>utilise</w:t>
      </w:r>
      <w:proofErr w:type="spellEnd"/>
      <w:r w:rsidR="001611CB" w:rsidRPr="00FF7A55">
        <w:rPr>
          <w:rFonts w:eastAsiaTheme="minorHAnsi"/>
        </w:rPr>
        <w:t xml:space="preserve"> money for the children’s maintenance for her legal fees. The children should not be denied their requirements just because father and mother have some court battle. Out of the remaining $4384-00, $2000-00 was for applicant’s personal maintenance. Upon separation respondent on realizing the standard of living expected of his wife had offered her that sum. It was thus not a sum for savings but for the applicant’s monthly requirements as appreciated by respondent.</w:t>
      </w:r>
      <w:r w:rsidRPr="00FF7A55">
        <w:rPr>
          <w:rFonts w:eastAsiaTheme="minorHAnsi"/>
        </w:rPr>
        <w:t>”</w:t>
      </w:r>
    </w:p>
    <w:p w:rsidR="00995572" w:rsidRPr="00FF7A55" w:rsidRDefault="00995572" w:rsidP="003E5D5F">
      <w:pPr>
        <w:pStyle w:val="NormalWeb"/>
        <w:shd w:val="clear" w:color="auto" w:fill="FFFFFF"/>
        <w:spacing w:before="0" w:beforeAutospacing="0" w:after="0" w:afterAutospacing="0" w:line="360" w:lineRule="auto"/>
        <w:jc w:val="both"/>
        <w:rPr>
          <w:rFonts w:eastAsiaTheme="minorHAnsi"/>
        </w:rPr>
      </w:pPr>
    </w:p>
    <w:p w:rsidR="00E559D6" w:rsidRPr="00FF7A55" w:rsidRDefault="00E559D6" w:rsidP="00AA0037">
      <w:pPr>
        <w:pStyle w:val="NormalWeb"/>
        <w:shd w:val="clear" w:color="auto" w:fill="FFFFFF"/>
        <w:spacing w:before="0" w:beforeAutospacing="0" w:after="0" w:afterAutospacing="0"/>
        <w:ind w:firstLine="1134"/>
        <w:jc w:val="both"/>
        <w:rPr>
          <w:rFonts w:eastAsiaTheme="minorHAnsi"/>
        </w:rPr>
      </w:pPr>
    </w:p>
    <w:p w:rsidR="00C85A67" w:rsidRPr="00FF7A55" w:rsidRDefault="00995572" w:rsidP="003E5D5F">
      <w:pPr>
        <w:pStyle w:val="NormalWeb"/>
        <w:shd w:val="clear" w:color="auto" w:fill="FFFFFF"/>
        <w:spacing w:before="0" w:beforeAutospacing="0" w:after="0" w:afterAutospacing="0" w:line="480" w:lineRule="auto"/>
        <w:ind w:firstLine="1134"/>
        <w:jc w:val="both"/>
        <w:rPr>
          <w:rFonts w:eastAsiaTheme="minorHAnsi"/>
        </w:rPr>
      </w:pPr>
      <w:r w:rsidRPr="00FF7A55">
        <w:rPr>
          <w:rFonts w:eastAsiaTheme="minorHAnsi"/>
        </w:rPr>
        <w:t>The appellant, it would appear, did not assert that the expenses listed by the respondent went beyond what the parties used to enjoy whilst staying together.</w:t>
      </w:r>
      <w:r w:rsidR="001611CB" w:rsidRPr="00FF7A55">
        <w:rPr>
          <w:rFonts w:eastAsiaTheme="minorHAnsi"/>
        </w:rPr>
        <w:t xml:space="preserve"> </w:t>
      </w:r>
      <w:r w:rsidR="00E92B33" w:rsidRPr="00FF7A55">
        <w:rPr>
          <w:rFonts w:eastAsiaTheme="minorHAnsi"/>
        </w:rPr>
        <w:t xml:space="preserve">He made the suggestion but tendered no </w:t>
      </w:r>
      <w:r w:rsidR="00592DB4" w:rsidRPr="00FF7A55">
        <w:rPr>
          <w:rFonts w:eastAsiaTheme="minorHAnsi"/>
        </w:rPr>
        <w:t xml:space="preserve">evidence to </w:t>
      </w:r>
      <w:r w:rsidR="00E92B33" w:rsidRPr="00FF7A55">
        <w:rPr>
          <w:rFonts w:eastAsiaTheme="minorHAnsi"/>
        </w:rPr>
        <w:t xml:space="preserve">substantiate it, that the respondent had other, undisclosed sources of income. The latter disputed this assertion and placed before the court records showing the extent to which </w:t>
      </w:r>
      <w:r w:rsidR="009F0C4A" w:rsidRPr="00FF7A55">
        <w:rPr>
          <w:rFonts w:eastAsiaTheme="minorHAnsi"/>
        </w:rPr>
        <w:t xml:space="preserve">she had been compelled to raise </w:t>
      </w:r>
      <w:r w:rsidR="00E559D6" w:rsidRPr="00FF7A55">
        <w:rPr>
          <w:rFonts w:eastAsiaTheme="minorHAnsi"/>
        </w:rPr>
        <w:t>loans in</w:t>
      </w:r>
      <w:r w:rsidR="00702E9F" w:rsidRPr="00FF7A55">
        <w:rPr>
          <w:rFonts w:eastAsiaTheme="minorHAnsi"/>
        </w:rPr>
        <w:t xml:space="preserve"> </w:t>
      </w:r>
      <w:r w:rsidR="00E559D6" w:rsidRPr="00FF7A55">
        <w:rPr>
          <w:rFonts w:eastAsiaTheme="minorHAnsi"/>
        </w:rPr>
        <w:t>order</w:t>
      </w:r>
      <w:r w:rsidR="00E92B33" w:rsidRPr="00FF7A55">
        <w:rPr>
          <w:rFonts w:eastAsiaTheme="minorHAnsi"/>
        </w:rPr>
        <w:t xml:space="preserve"> to meet some of the family’s expenses. </w:t>
      </w:r>
      <w:r w:rsidR="00592DB4" w:rsidRPr="00FF7A55">
        <w:rPr>
          <w:rFonts w:eastAsiaTheme="minorHAnsi"/>
        </w:rPr>
        <w:t>These were not seriously challenged by the appellant.</w:t>
      </w:r>
    </w:p>
    <w:p w:rsidR="00096794" w:rsidRPr="00FF7A55" w:rsidRDefault="00096794" w:rsidP="00096794">
      <w:pPr>
        <w:pStyle w:val="NormalWeb"/>
        <w:shd w:val="clear" w:color="auto" w:fill="FFFFFF"/>
        <w:spacing w:before="0" w:beforeAutospacing="0" w:after="0" w:afterAutospacing="0" w:line="360" w:lineRule="auto"/>
        <w:jc w:val="both"/>
        <w:rPr>
          <w:rFonts w:eastAsiaTheme="minorHAnsi"/>
        </w:rPr>
      </w:pPr>
    </w:p>
    <w:p w:rsidR="00262FE6" w:rsidRPr="00FF7A55" w:rsidRDefault="00C85A67" w:rsidP="00C51E69">
      <w:pPr>
        <w:pStyle w:val="NormalWeb"/>
        <w:shd w:val="clear" w:color="auto" w:fill="FFFFFF"/>
        <w:spacing w:before="0" w:beforeAutospacing="0" w:after="0" w:afterAutospacing="0" w:line="480" w:lineRule="auto"/>
        <w:ind w:firstLine="1134"/>
        <w:jc w:val="both"/>
        <w:rPr>
          <w:rFonts w:eastAsiaTheme="minorHAnsi"/>
        </w:rPr>
      </w:pPr>
      <w:r w:rsidRPr="00FF7A55">
        <w:rPr>
          <w:rFonts w:eastAsiaTheme="minorHAnsi"/>
        </w:rPr>
        <w:t xml:space="preserve">The last requirement relates to the appellant’s ability or otherwise to pay the costs sought by the respondent. </w:t>
      </w:r>
      <w:r w:rsidR="00504961" w:rsidRPr="00FF7A55">
        <w:rPr>
          <w:rFonts w:eastAsiaTheme="minorHAnsi"/>
        </w:rPr>
        <w:t xml:space="preserve"> The judge </w:t>
      </w:r>
      <w:r w:rsidR="00504961" w:rsidRPr="00FF7A55">
        <w:rPr>
          <w:rFonts w:eastAsiaTheme="minorHAnsi"/>
          <w:i/>
        </w:rPr>
        <w:t>a quo</w:t>
      </w:r>
      <w:r w:rsidR="00504961" w:rsidRPr="00FF7A55">
        <w:rPr>
          <w:rFonts w:eastAsiaTheme="minorHAnsi"/>
        </w:rPr>
        <w:t xml:space="preserve"> noted that the appellant did not dispute that he had a bank balance of some $185 000,00 as shown by the respondent. Nor did he indicate what expenses he had, out of an admitted monthly income of </w:t>
      </w:r>
      <w:r w:rsidR="00CB7BF8" w:rsidRPr="00FF7A55">
        <w:rPr>
          <w:rFonts w:eastAsiaTheme="minorHAnsi"/>
        </w:rPr>
        <w:t>$7</w:t>
      </w:r>
      <w:r w:rsidR="006E61A4" w:rsidRPr="00FF7A55">
        <w:rPr>
          <w:rFonts w:eastAsiaTheme="minorHAnsi"/>
        </w:rPr>
        <w:t> </w:t>
      </w:r>
      <w:r w:rsidR="00CB7BF8" w:rsidRPr="00FF7A55">
        <w:rPr>
          <w:rFonts w:eastAsiaTheme="minorHAnsi"/>
        </w:rPr>
        <w:t>50</w:t>
      </w:r>
      <w:r w:rsidR="006E61A4" w:rsidRPr="00FF7A55">
        <w:rPr>
          <w:rFonts w:eastAsiaTheme="minorHAnsi"/>
        </w:rPr>
        <w:t>0.</w:t>
      </w:r>
      <w:r w:rsidR="00CB7BF8" w:rsidRPr="00FF7A55">
        <w:rPr>
          <w:rFonts w:eastAsiaTheme="minorHAnsi"/>
        </w:rPr>
        <w:t>00</w:t>
      </w:r>
      <w:r w:rsidR="006E61A4" w:rsidRPr="00FF7A55">
        <w:rPr>
          <w:rFonts w:eastAsiaTheme="minorHAnsi"/>
        </w:rPr>
        <w:t>,</w:t>
      </w:r>
      <w:r w:rsidR="00CB7BF8" w:rsidRPr="00FF7A55">
        <w:rPr>
          <w:rFonts w:eastAsiaTheme="minorHAnsi"/>
        </w:rPr>
        <w:t xml:space="preserve"> </w:t>
      </w:r>
      <w:r w:rsidR="00504961" w:rsidRPr="00FF7A55">
        <w:rPr>
          <w:rFonts w:eastAsiaTheme="minorHAnsi"/>
        </w:rPr>
        <w:t>that made it not possible for him</w:t>
      </w:r>
      <w:r w:rsidR="006E61A4" w:rsidRPr="00FF7A55">
        <w:rPr>
          <w:rFonts w:eastAsiaTheme="minorHAnsi"/>
        </w:rPr>
        <w:t xml:space="preserve"> </w:t>
      </w:r>
      <w:r w:rsidR="004753F6" w:rsidRPr="00FF7A55">
        <w:rPr>
          <w:rFonts w:eastAsiaTheme="minorHAnsi"/>
        </w:rPr>
        <w:t xml:space="preserve">to </w:t>
      </w:r>
      <w:r w:rsidR="006E61A4" w:rsidRPr="00FF7A55">
        <w:rPr>
          <w:rFonts w:eastAsiaTheme="minorHAnsi"/>
        </w:rPr>
        <w:t>contribute towards the respondent</w:t>
      </w:r>
      <w:r w:rsidR="009F0C4A" w:rsidRPr="00FF7A55">
        <w:rPr>
          <w:rFonts w:eastAsiaTheme="minorHAnsi"/>
        </w:rPr>
        <w:t>’</w:t>
      </w:r>
      <w:r w:rsidR="006E61A4" w:rsidRPr="00FF7A55">
        <w:rPr>
          <w:rFonts w:eastAsiaTheme="minorHAnsi"/>
        </w:rPr>
        <w:t>s legal costs.</w:t>
      </w:r>
      <w:r w:rsidR="00592DB4" w:rsidRPr="00FF7A55">
        <w:rPr>
          <w:rFonts w:eastAsiaTheme="minorHAnsi"/>
        </w:rPr>
        <w:t xml:space="preserve">  The judge </w:t>
      </w:r>
      <w:r w:rsidR="00592DB4" w:rsidRPr="00FF7A55">
        <w:rPr>
          <w:rFonts w:eastAsiaTheme="minorHAnsi"/>
          <w:i/>
        </w:rPr>
        <w:t xml:space="preserve">a quo </w:t>
      </w:r>
      <w:r w:rsidR="00592DB4" w:rsidRPr="00FF7A55">
        <w:rPr>
          <w:rFonts w:eastAsiaTheme="minorHAnsi"/>
        </w:rPr>
        <w:t>in my view correctly observed that the appellant’s opposition to the claim was not because he could not af</w:t>
      </w:r>
      <w:r w:rsidR="000E3EBE" w:rsidRPr="00FF7A55">
        <w:rPr>
          <w:rFonts w:eastAsiaTheme="minorHAnsi"/>
        </w:rPr>
        <w:t xml:space="preserve">ford to contribute to </w:t>
      </w:r>
      <w:r w:rsidR="000E3EBE" w:rsidRPr="00FF7A55">
        <w:rPr>
          <w:rFonts w:eastAsiaTheme="minorHAnsi"/>
        </w:rPr>
        <w:lastRenderedPageBreak/>
        <w:t>the responde</w:t>
      </w:r>
      <w:r w:rsidR="00592DB4" w:rsidRPr="00FF7A55">
        <w:rPr>
          <w:rFonts w:eastAsiaTheme="minorHAnsi"/>
        </w:rPr>
        <w:t xml:space="preserve">nt’s costs, but </w:t>
      </w:r>
      <w:r w:rsidR="004753F6" w:rsidRPr="00FF7A55">
        <w:rPr>
          <w:rFonts w:eastAsiaTheme="minorHAnsi"/>
        </w:rPr>
        <w:t xml:space="preserve">his belief </w:t>
      </w:r>
      <w:r w:rsidR="00592DB4" w:rsidRPr="00FF7A55">
        <w:rPr>
          <w:rFonts w:eastAsiaTheme="minorHAnsi"/>
        </w:rPr>
        <w:t>that she was extravagant in her expenses a</w:t>
      </w:r>
      <w:r w:rsidR="000E3EBE" w:rsidRPr="00FF7A55">
        <w:rPr>
          <w:rFonts w:eastAsiaTheme="minorHAnsi"/>
        </w:rPr>
        <w:t xml:space="preserve">nd ought to be able to fund her defence from her own resources. </w:t>
      </w:r>
    </w:p>
    <w:p w:rsidR="007864C8" w:rsidRPr="00FF7A55" w:rsidRDefault="007864C8" w:rsidP="00AA0037">
      <w:pPr>
        <w:pStyle w:val="NormalWeb"/>
        <w:shd w:val="clear" w:color="auto" w:fill="FFFFFF"/>
        <w:spacing w:before="0" w:beforeAutospacing="0" w:after="0" w:afterAutospacing="0"/>
        <w:jc w:val="both"/>
        <w:rPr>
          <w:rFonts w:eastAsiaTheme="minorHAnsi"/>
        </w:rPr>
      </w:pPr>
    </w:p>
    <w:p w:rsidR="00C85A67" w:rsidRPr="00FF7A55" w:rsidRDefault="000E3EBE" w:rsidP="003E5D5F">
      <w:pPr>
        <w:pStyle w:val="NormalWeb"/>
        <w:shd w:val="clear" w:color="auto" w:fill="FFFFFF"/>
        <w:spacing w:before="0" w:beforeAutospacing="0" w:after="0" w:afterAutospacing="0" w:line="480" w:lineRule="auto"/>
        <w:ind w:firstLine="1134"/>
        <w:jc w:val="both"/>
        <w:rPr>
          <w:rFonts w:eastAsiaTheme="minorHAnsi"/>
        </w:rPr>
      </w:pPr>
      <w:r w:rsidRPr="00FF7A55">
        <w:rPr>
          <w:rFonts w:eastAsiaTheme="minorHAnsi"/>
        </w:rPr>
        <w:t xml:space="preserve">It is also clear from his heads of argument that </w:t>
      </w:r>
      <w:r w:rsidR="009F0C4A" w:rsidRPr="00FF7A55">
        <w:rPr>
          <w:rFonts w:eastAsiaTheme="minorHAnsi"/>
        </w:rPr>
        <w:t>t</w:t>
      </w:r>
      <w:r w:rsidRPr="00FF7A55">
        <w:rPr>
          <w:rFonts w:eastAsiaTheme="minorHAnsi"/>
        </w:rPr>
        <w:t xml:space="preserve">he </w:t>
      </w:r>
      <w:r w:rsidR="00262FE6" w:rsidRPr="00FF7A55">
        <w:rPr>
          <w:rFonts w:eastAsiaTheme="minorHAnsi"/>
        </w:rPr>
        <w:t xml:space="preserve">appellant </w:t>
      </w:r>
      <w:r w:rsidRPr="00FF7A55">
        <w:rPr>
          <w:rFonts w:eastAsiaTheme="minorHAnsi"/>
        </w:rPr>
        <w:t xml:space="preserve">believes </w:t>
      </w:r>
      <w:r w:rsidR="00C85A67" w:rsidRPr="00FF7A55">
        <w:rPr>
          <w:rFonts w:eastAsiaTheme="minorHAnsi"/>
        </w:rPr>
        <w:t xml:space="preserve">that he already does much </w:t>
      </w:r>
      <w:r w:rsidRPr="00FF7A55">
        <w:rPr>
          <w:rFonts w:eastAsiaTheme="minorHAnsi"/>
        </w:rPr>
        <w:t xml:space="preserve">for the family </w:t>
      </w:r>
      <w:r w:rsidR="00C85A67" w:rsidRPr="00FF7A55">
        <w:rPr>
          <w:rFonts w:eastAsiaTheme="minorHAnsi"/>
        </w:rPr>
        <w:t xml:space="preserve">and ought </w:t>
      </w:r>
      <w:r w:rsidRPr="00FF7A55">
        <w:rPr>
          <w:rFonts w:eastAsiaTheme="minorHAnsi"/>
        </w:rPr>
        <w:t>therefore not to be made to take on the respondent’s legal costs as well</w:t>
      </w:r>
      <w:r w:rsidR="00C85A67" w:rsidRPr="00FF7A55">
        <w:rPr>
          <w:rFonts w:eastAsiaTheme="minorHAnsi"/>
        </w:rPr>
        <w:t xml:space="preserve">. </w:t>
      </w:r>
      <w:r w:rsidRPr="00FF7A55">
        <w:rPr>
          <w:rFonts w:eastAsiaTheme="minorHAnsi"/>
        </w:rPr>
        <w:t>The point will be made here that while t</w:t>
      </w:r>
      <w:r w:rsidR="00C85A67" w:rsidRPr="00FF7A55">
        <w:rPr>
          <w:rFonts w:eastAsiaTheme="minorHAnsi"/>
        </w:rPr>
        <w:t>his</w:t>
      </w:r>
      <w:r w:rsidRPr="00FF7A55">
        <w:rPr>
          <w:rFonts w:eastAsiaTheme="minorHAnsi"/>
        </w:rPr>
        <w:t xml:space="preserve"> may very well be true, it is</w:t>
      </w:r>
      <w:r w:rsidR="00C85A67" w:rsidRPr="00FF7A55">
        <w:rPr>
          <w:rFonts w:eastAsiaTheme="minorHAnsi"/>
        </w:rPr>
        <w:t xml:space="preserve"> not part of the requirements put to the test in such an application</w:t>
      </w:r>
      <w:r w:rsidRPr="00FF7A55">
        <w:rPr>
          <w:rFonts w:eastAsiaTheme="minorHAnsi"/>
        </w:rPr>
        <w:t>. What suffices is that the appellant does not dispute his ability to contribute towards the respondent’s legal costs as claimed.</w:t>
      </w:r>
    </w:p>
    <w:p w:rsidR="00EF5A05" w:rsidRPr="00FF7A55" w:rsidRDefault="00EF5A05" w:rsidP="00022CC1">
      <w:pPr>
        <w:pStyle w:val="NormalWeb"/>
        <w:shd w:val="clear" w:color="auto" w:fill="FFFFFF"/>
        <w:spacing w:before="0" w:beforeAutospacing="0" w:after="0" w:afterAutospacing="0"/>
        <w:ind w:firstLine="1134"/>
        <w:jc w:val="both"/>
        <w:rPr>
          <w:rFonts w:eastAsiaTheme="minorHAnsi"/>
        </w:rPr>
      </w:pPr>
    </w:p>
    <w:p w:rsidR="009F7F14" w:rsidRPr="00FF7A55" w:rsidRDefault="00FD7017" w:rsidP="003E5D5F">
      <w:pPr>
        <w:pStyle w:val="NormalWeb"/>
        <w:shd w:val="clear" w:color="auto" w:fill="FFFFFF"/>
        <w:spacing w:after="0" w:line="480" w:lineRule="auto"/>
        <w:ind w:firstLine="1134"/>
        <w:jc w:val="both"/>
        <w:rPr>
          <w:rFonts w:eastAsiaTheme="minorHAnsi"/>
        </w:rPr>
      </w:pPr>
      <w:r w:rsidRPr="00FF7A55">
        <w:rPr>
          <w:rFonts w:eastAsiaTheme="minorHAnsi"/>
        </w:rPr>
        <w:t>With all of the foregoing in mind, i</w:t>
      </w:r>
      <w:r w:rsidR="00385376" w:rsidRPr="00FF7A55">
        <w:rPr>
          <w:rFonts w:eastAsiaTheme="minorHAnsi"/>
        </w:rPr>
        <w:t xml:space="preserve">t is in my view correctly argued for the respondent that the standard applicable in considering prospects of success is itself low. In </w:t>
      </w:r>
      <w:r w:rsidR="009F7F14" w:rsidRPr="00FF7A55">
        <w:rPr>
          <w:rFonts w:eastAsiaTheme="minorHAnsi"/>
        </w:rPr>
        <w:t>the case</w:t>
      </w:r>
      <w:r w:rsidR="00EF5A05" w:rsidRPr="00FF7A55">
        <w:rPr>
          <w:rFonts w:eastAsiaTheme="minorHAnsi"/>
        </w:rPr>
        <w:t xml:space="preserve"> </w:t>
      </w:r>
      <w:r w:rsidR="009F7F14" w:rsidRPr="00FF7A55">
        <w:rPr>
          <w:rFonts w:eastAsiaTheme="minorHAnsi"/>
        </w:rPr>
        <w:t xml:space="preserve">of </w:t>
      </w:r>
      <w:r w:rsidR="009F7F14" w:rsidRPr="00FF7A55">
        <w:rPr>
          <w:rFonts w:eastAsiaTheme="minorHAnsi"/>
          <w:i/>
        </w:rPr>
        <w:t xml:space="preserve">S v </w:t>
      </w:r>
      <w:proofErr w:type="spellStart"/>
      <w:r w:rsidR="009F7F14" w:rsidRPr="00FF7A55">
        <w:rPr>
          <w:rFonts w:eastAsiaTheme="minorHAnsi"/>
          <w:i/>
        </w:rPr>
        <w:t>McGown</w:t>
      </w:r>
      <w:proofErr w:type="spellEnd"/>
      <w:r w:rsidR="009F7F14" w:rsidRPr="00FF7A55">
        <w:rPr>
          <w:rStyle w:val="FootnoteReference"/>
          <w:rFonts w:eastAsiaTheme="minorHAnsi"/>
        </w:rPr>
        <w:footnoteReference w:id="3"/>
      </w:r>
      <w:r w:rsidR="009F7F14" w:rsidRPr="00FF7A55">
        <w:rPr>
          <w:rFonts w:eastAsiaTheme="minorHAnsi"/>
        </w:rPr>
        <w:t xml:space="preserve"> </w:t>
      </w:r>
      <w:r w:rsidR="0099533F" w:rsidRPr="00FF7A55">
        <w:rPr>
          <w:rFonts w:eastAsiaTheme="minorHAnsi"/>
        </w:rPr>
        <w:t xml:space="preserve"> </w:t>
      </w:r>
      <w:proofErr w:type="spellStart"/>
      <w:r w:rsidR="0099533F" w:rsidRPr="00FF7A55">
        <w:rPr>
          <w:rFonts w:eastAsiaTheme="minorHAnsi"/>
        </w:rPr>
        <w:t>Garwe</w:t>
      </w:r>
      <w:proofErr w:type="spellEnd"/>
      <w:r w:rsidR="0099533F" w:rsidRPr="00FF7A55">
        <w:rPr>
          <w:rFonts w:eastAsiaTheme="minorHAnsi"/>
        </w:rPr>
        <w:t xml:space="preserve"> JA, </w:t>
      </w:r>
      <w:r w:rsidR="009F7F14" w:rsidRPr="00FF7A55">
        <w:rPr>
          <w:rFonts w:eastAsiaTheme="minorHAnsi"/>
        </w:rPr>
        <w:t xml:space="preserve">after considering a number of authorities on the matter, </w:t>
      </w:r>
      <w:r w:rsidR="0099533F" w:rsidRPr="00FF7A55">
        <w:rPr>
          <w:rFonts w:eastAsiaTheme="minorHAnsi"/>
        </w:rPr>
        <w:t xml:space="preserve">stated </w:t>
      </w:r>
      <w:r w:rsidR="009F7F14" w:rsidRPr="00FF7A55">
        <w:rPr>
          <w:rFonts w:eastAsiaTheme="minorHAnsi"/>
        </w:rPr>
        <w:t>as follows</w:t>
      </w:r>
      <w:r w:rsidR="0099533F" w:rsidRPr="00FF7A55">
        <w:rPr>
          <w:rFonts w:eastAsiaTheme="minorHAnsi"/>
        </w:rPr>
        <w:t>;</w:t>
      </w:r>
      <w:r w:rsidR="009F7F14" w:rsidRPr="00FF7A55">
        <w:rPr>
          <w:rFonts w:eastAsiaTheme="minorHAnsi"/>
        </w:rPr>
        <w:t xml:space="preserve"> </w:t>
      </w:r>
    </w:p>
    <w:p w:rsidR="001157E1" w:rsidRPr="00FF7A55" w:rsidRDefault="009F7F14" w:rsidP="003E5D5F">
      <w:pPr>
        <w:pStyle w:val="NormalWeb"/>
        <w:shd w:val="clear" w:color="auto" w:fill="FFFFFF"/>
        <w:spacing w:after="0"/>
        <w:ind w:left="720"/>
        <w:jc w:val="both"/>
        <w:rPr>
          <w:rFonts w:eastAsiaTheme="minorHAnsi"/>
        </w:rPr>
      </w:pPr>
      <w:r w:rsidRPr="00FF7A55">
        <w:rPr>
          <w:rFonts w:eastAsiaTheme="minorHAnsi"/>
        </w:rPr>
        <w:t>“The applicant should, therefore, be required to make out a reasonably arguable case, in the sense of there being substance in the argument</w:t>
      </w:r>
      <w:r w:rsidR="00832E53" w:rsidRPr="00FF7A55">
        <w:rPr>
          <w:rFonts w:eastAsiaTheme="minorHAnsi"/>
        </w:rPr>
        <w:t>:</w:t>
      </w:r>
      <w:r w:rsidR="0099533F" w:rsidRPr="00FF7A55">
        <w:t xml:space="preserve"> </w:t>
      </w:r>
      <w:proofErr w:type="spellStart"/>
      <w:r w:rsidR="00C51E69" w:rsidRPr="00FF7A55">
        <w:rPr>
          <w:rFonts w:eastAsiaTheme="minorHAnsi"/>
          <w:i/>
        </w:rPr>
        <w:t>Beatley’s</w:t>
      </w:r>
      <w:proofErr w:type="spellEnd"/>
      <w:r w:rsidR="00C51E69" w:rsidRPr="00FF7A55">
        <w:rPr>
          <w:rFonts w:eastAsiaTheme="minorHAnsi"/>
          <w:i/>
        </w:rPr>
        <w:t xml:space="preserve"> Trustee v </w:t>
      </w:r>
      <w:proofErr w:type="spellStart"/>
      <w:r w:rsidR="00C51E69" w:rsidRPr="00FF7A55">
        <w:rPr>
          <w:rFonts w:eastAsiaTheme="minorHAnsi"/>
          <w:i/>
        </w:rPr>
        <w:t>P</w:t>
      </w:r>
      <w:r w:rsidR="0099533F" w:rsidRPr="00FF7A55">
        <w:rPr>
          <w:rFonts w:eastAsiaTheme="minorHAnsi"/>
          <w:i/>
        </w:rPr>
        <w:t>andor</w:t>
      </w:r>
      <w:proofErr w:type="spellEnd"/>
      <w:r w:rsidR="0099533F" w:rsidRPr="00FF7A55">
        <w:rPr>
          <w:rFonts w:eastAsiaTheme="minorHAnsi"/>
          <w:i/>
        </w:rPr>
        <w:t xml:space="preserve"> &amp; Co</w:t>
      </w:r>
      <w:r w:rsidR="0099533F" w:rsidRPr="00FF7A55">
        <w:rPr>
          <w:rFonts w:eastAsiaTheme="minorHAnsi"/>
        </w:rPr>
        <w:t xml:space="preserve"> 1935 TPD 365 at 366, cited in </w:t>
      </w:r>
      <w:r w:rsidR="0099533F" w:rsidRPr="00FF7A55">
        <w:rPr>
          <w:rFonts w:eastAsiaTheme="minorHAnsi"/>
          <w:i/>
        </w:rPr>
        <w:t>S</w:t>
      </w:r>
      <w:r w:rsidR="00EF5A05" w:rsidRPr="00FF7A55">
        <w:rPr>
          <w:rFonts w:eastAsiaTheme="minorHAnsi"/>
          <w:i/>
        </w:rPr>
        <w:t xml:space="preserve"> </w:t>
      </w:r>
      <w:r w:rsidR="0099533F" w:rsidRPr="00FF7A55">
        <w:rPr>
          <w:rFonts w:eastAsiaTheme="minorHAnsi"/>
          <w:i/>
        </w:rPr>
        <w:t>v</w:t>
      </w:r>
      <w:r w:rsidR="00EF5A05" w:rsidRPr="00FF7A55">
        <w:rPr>
          <w:rFonts w:eastAsiaTheme="minorHAnsi"/>
          <w:i/>
        </w:rPr>
        <w:t xml:space="preserve"> </w:t>
      </w:r>
      <w:r w:rsidR="0099533F" w:rsidRPr="00FF7A55">
        <w:rPr>
          <w:rFonts w:eastAsiaTheme="minorHAnsi"/>
          <w:i/>
        </w:rPr>
        <w:t xml:space="preserve">Mutasa </w:t>
      </w:r>
      <w:r w:rsidR="0099533F" w:rsidRPr="00FF7A55">
        <w:rPr>
          <w:rFonts w:eastAsiaTheme="minorHAnsi"/>
        </w:rPr>
        <w:t>1988 (2)</w:t>
      </w:r>
      <w:r w:rsidR="00EF5A05" w:rsidRPr="00FF7A55">
        <w:rPr>
          <w:rFonts w:eastAsiaTheme="minorHAnsi"/>
        </w:rPr>
        <w:t xml:space="preserve"> </w:t>
      </w:r>
      <w:r w:rsidR="0099533F" w:rsidRPr="00FF7A55">
        <w:rPr>
          <w:rFonts w:eastAsiaTheme="minorHAnsi"/>
        </w:rPr>
        <w:t>ZLR 4 (S)</w:t>
      </w:r>
      <w:r w:rsidRPr="00FF7A55">
        <w:rPr>
          <w:rFonts w:eastAsiaTheme="minorHAnsi"/>
        </w:rPr>
        <w:t>”</w:t>
      </w:r>
      <w:r w:rsidR="00EF5A05" w:rsidRPr="00FF7A55">
        <w:rPr>
          <w:rFonts w:eastAsiaTheme="minorHAnsi"/>
        </w:rPr>
        <w:t>.</w:t>
      </w:r>
    </w:p>
    <w:p w:rsidR="00EF5A05" w:rsidRPr="00FF7A55" w:rsidRDefault="00EF5A05" w:rsidP="00AA0037">
      <w:pPr>
        <w:pStyle w:val="NormalWeb"/>
        <w:shd w:val="clear" w:color="auto" w:fill="FFFFFF"/>
        <w:ind w:firstLine="1134"/>
        <w:jc w:val="both"/>
        <w:rPr>
          <w:rFonts w:eastAsiaTheme="minorHAnsi"/>
        </w:rPr>
      </w:pPr>
    </w:p>
    <w:p w:rsidR="005A1A89" w:rsidRDefault="00995572" w:rsidP="00AA0037">
      <w:pPr>
        <w:pStyle w:val="NormalWeb"/>
        <w:shd w:val="clear" w:color="auto" w:fill="FFFFFF"/>
        <w:spacing w:line="480" w:lineRule="auto"/>
        <w:ind w:firstLine="1134"/>
        <w:jc w:val="both"/>
        <w:rPr>
          <w:rFonts w:eastAsiaTheme="minorHAnsi"/>
        </w:rPr>
      </w:pPr>
      <w:r w:rsidRPr="00FF7A55">
        <w:rPr>
          <w:rFonts w:eastAsiaTheme="minorHAnsi"/>
        </w:rPr>
        <w:t>Wh</w:t>
      </w:r>
      <w:r w:rsidR="0099533F" w:rsidRPr="00FF7A55">
        <w:rPr>
          <w:rFonts w:eastAsiaTheme="minorHAnsi"/>
        </w:rPr>
        <w:t xml:space="preserve">en this test is applied to the circumstances of this case, I do not </w:t>
      </w:r>
      <w:r w:rsidR="005A3221" w:rsidRPr="00FF7A55">
        <w:rPr>
          <w:rFonts w:eastAsiaTheme="minorHAnsi"/>
        </w:rPr>
        <w:t xml:space="preserve">find </w:t>
      </w:r>
      <w:r w:rsidR="00262FE6" w:rsidRPr="00FF7A55">
        <w:rPr>
          <w:rFonts w:eastAsiaTheme="minorHAnsi"/>
        </w:rPr>
        <w:t xml:space="preserve">that there is </w:t>
      </w:r>
      <w:r w:rsidR="0099533F" w:rsidRPr="00FF7A55">
        <w:rPr>
          <w:rFonts w:eastAsiaTheme="minorHAnsi"/>
        </w:rPr>
        <w:t xml:space="preserve">anything to fault in the </w:t>
      </w:r>
      <w:r w:rsidR="005A3221" w:rsidRPr="00FF7A55">
        <w:rPr>
          <w:rFonts w:eastAsiaTheme="minorHAnsi"/>
        </w:rPr>
        <w:t xml:space="preserve">reasoning </w:t>
      </w:r>
      <w:r w:rsidR="0099533F" w:rsidRPr="00FF7A55">
        <w:rPr>
          <w:rFonts w:eastAsiaTheme="minorHAnsi"/>
        </w:rPr>
        <w:t xml:space="preserve">of the court </w:t>
      </w:r>
      <w:r w:rsidR="0099533F" w:rsidRPr="00FF7A55">
        <w:rPr>
          <w:rFonts w:eastAsiaTheme="minorHAnsi"/>
          <w:i/>
        </w:rPr>
        <w:t xml:space="preserve">a quo </w:t>
      </w:r>
      <w:r w:rsidR="0099533F" w:rsidRPr="00FF7A55">
        <w:rPr>
          <w:rFonts w:eastAsiaTheme="minorHAnsi"/>
        </w:rPr>
        <w:t>as cited above, nor in the conclusion</w:t>
      </w:r>
      <w:r w:rsidR="001157E1" w:rsidRPr="00FF7A55">
        <w:rPr>
          <w:rFonts w:eastAsiaTheme="minorHAnsi"/>
        </w:rPr>
        <w:t>s</w:t>
      </w:r>
      <w:r w:rsidR="0099533F" w:rsidRPr="00FF7A55">
        <w:rPr>
          <w:rFonts w:eastAsiaTheme="minorHAnsi"/>
        </w:rPr>
        <w:t xml:space="preserve"> reached</w:t>
      </w:r>
      <w:r w:rsidR="000710A0" w:rsidRPr="00FF7A55">
        <w:rPr>
          <w:rFonts w:eastAsiaTheme="minorHAnsi"/>
        </w:rPr>
        <w:t xml:space="preserve"> on the question of the respondent’s prospects of success in the main action</w:t>
      </w:r>
      <w:r w:rsidR="00BD0A2B" w:rsidRPr="00FF7A55">
        <w:rPr>
          <w:rFonts w:eastAsiaTheme="minorHAnsi"/>
        </w:rPr>
        <w:t>.</w:t>
      </w:r>
      <w:r w:rsidR="0098387A" w:rsidRPr="00FF7A55">
        <w:rPr>
          <w:rFonts w:eastAsiaTheme="minorHAnsi"/>
        </w:rPr>
        <w:t xml:space="preserve"> </w:t>
      </w:r>
      <w:r w:rsidR="009F0C4A" w:rsidRPr="00FF7A55">
        <w:rPr>
          <w:rFonts w:eastAsiaTheme="minorHAnsi"/>
        </w:rPr>
        <w:t>Issues of division of matrimonial assets, custody of minor children and maintenance tend to be contentious issues in divorce matters. Generally, they are be</w:t>
      </w:r>
      <w:r w:rsidR="00295BFB" w:rsidRPr="00FF7A55">
        <w:rPr>
          <w:rFonts w:eastAsiaTheme="minorHAnsi"/>
        </w:rPr>
        <w:t>tter</w:t>
      </w:r>
      <w:r w:rsidR="009F0C4A" w:rsidRPr="00FF7A55">
        <w:rPr>
          <w:rFonts w:eastAsiaTheme="minorHAnsi"/>
        </w:rPr>
        <w:t xml:space="preserve"> determined by a divorce court after the consideration of detailed evidence be it </w:t>
      </w:r>
      <w:r w:rsidR="009F0C4A" w:rsidRPr="00FF7A55">
        <w:rPr>
          <w:rFonts w:eastAsiaTheme="minorHAnsi"/>
          <w:i/>
        </w:rPr>
        <w:t>viva voce</w:t>
      </w:r>
      <w:r w:rsidR="009F0C4A" w:rsidRPr="00FF7A55">
        <w:rPr>
          <w:rFonts w:eastAsiaTheme="minorHAnsi"/>
        </w:rPr>
        <w:t xml:space="preserve"> or otherwise</w:t>
      </w:r>
      <w:r w:rsidR="00295BFB" w:rsidRPr="00FF7A55">
        <w:rPr>
          <w:rFonts w:eastAsiaTheme="minorHAnsi"/>
        </w:rPr>
        <w:t xml:space="preserve">. Thus a court hearing an application for contribution towards the legal costs of a party in ongoing, contested divorce proceedings may not always be </w:t>
      </w:r>
      <w:r w:rsidR="00295BFB" w:rsidRPr="00FF7A55">
        <w:rPr>
          <w:rFonts w:eastAsiaTheme="minorHAnsi"/>
        </w:rPr>
        <w:lastRenderedPageBreak/>
        <w:t xml:space="preserve">best placed to make a definitive finding on that party’s prospects of success or lack thereof, in the main action.  </w:t>
      </w:r>
    </w:p>
    <w:p w:rsidR="00D9534C" w:rsidRPr="00FF7A55" w:rsidRDefault="00295BFB" w:rsidP="00AA0037">
      <w:pPr>
        <w:pStyle w:val="NormalWeb"/>
        <w:shd w:val="clear" w:color="auto" w:fill="FFFFFF"/>
        <w:spacing w:line="480" w:lineRule="auto"/>
        <w:ind w:firstLine="1134"/>
        <w:jc w:val="both"/>
        <w:rPr>
          <w:rFonts w:eastAsiaTheme="minorHAnsi"/>
        </w:rPr>
      </w:pPr>
      <w:r w:rsidRPr="00FF7A55">
        <w:rPr>
          <w:rFonts w:eastAsiaTheme="minorHAnsi"/>
        </w:rPr>
        <w:t>I accordingly</w:t>
      </w:r>
      <w:r w:rsidR="00C51E69" w:rsidRPr="00FF7A55">
        <w:rPr>
          <w:rFonts w:eastAsiaTheme="minorHAnsi"/>
        </w:rPr>
        <w:t>,</w:t>
      </w:r>
      <w:r w:rsidRPr="00FF7A55">
        <w:rPr>
          <w:rFonts w:eastAsiaTheme="minorHAnsi"/>
        </w:rPr>
        <w:t xml:space="preserve"> hold the view that the respondent cannot be said to have failed to make out a reasonably arguable case nor for that matter, that such case as she made out, lacked substance.  In the result </w:t>
      </w:r>
      <w:r w:rsidR="0099533F" w:rsidRPr="00FF7A55">
        <w:rPr>
          <w:rFonts w:eastAsiaTheme="minorHAnsi"/>
        </w:rPr>
        <w:t xml:space="preserve">I do not find any merit in </w:t>
      </w:r>
      <w:r w:rsidR="00262FE6" w:rsidRPr="00FF7A55">
        <w:rPr>
          <w:rFonts w:eastAsiaTheme="minorHAnsi"/>
        </w:rPr>
        <w:t xml:space="preserve">the appellant’s </w:t>
      </w:r>
      <w:r w:rsidR="0099533F" w:rsidRPr="00FF7A55">
        <w:rPr>
          <w:rFonts w:eastAsiaTheme="minorHAnsi"/>
        </w:rPr>
        <w:t xml:space="preserve">assertion that </w:t>
      </w:r>
      <w:r w:rsidR="005A3221" w:rsidRPr="00FF7A55">
        <w:rPr>
          <w:rFonts w:eastAsiaTheme="minorHAnsi"/>
        </w:rPr>
        <w:t xml:space="preserve">the court </w:t>
      </w:r>
      <w:r w:rsidR="005A3221" w:rsidRPr="00FF7A55">
        <w:rPr>
          <w:rFonts w:eastAsiaTheme="minorHAnsi"/>
          <w:i/>
        </w:rPr>
        <w:t>a quo</w:t>
      </w:r>
      <w:r w:rsidR="005A3221" w:rsidRPr="00FF7A55">
        <w:rPr>
          <w:rFonts w:eastAsiaTheme="minorHAnsi"/>
        </w:rPr>
        <w:t xml:space="preserve"> fell into error </w:t>
      </w:r>
      <w:r w:rsidR="00FD7017" w:rsidRPr="00FF7A55">
        <w:rPr>
          <w:rFonts w:eastAsiaTheme="minorHAnsi"/>
        </w:rPr>
        <w:t>in reaching the decision that the respondent had proved a case for contribution from him, towards her legal costs</w:t>
      </w:r>
      <w:r w:rsidR="001157E1" w:rsidRPr="00FF7A55">
        <w:rPr>
          <w:rFonts w:eastAsiaTheme="minorHAnsi"/>
        </w:rPr>
        <w:t xml:space="preserve">. </w:t>
      </w:r>
      <w:r w:rsidR="005A3221" w:rsidRPr="00FF7A55">
        <w:rPr>
          <w:rFonts w:eastAsiaTheme="minorHAnsi"/>
        </w:rPr>
        <w:t xml:space="preserve"> </w:t>
      </w:r>
    </w:p>
    <w:p w:rsidR="00295BFB" w:rsidRPr="00FF7A55" w:rsidRDefault="00FD7017" w:rsidP="005B2AA9">
      <w:pPr>
        <w:pStyle w:val="NormalWeb"/>
        <w:shd w:val="clear" w:color="auto" w:fill="FFFFFF"/>
        <w:spacing w:after="0" w:line="480" w:lineRule="auto"/>
        <w:ind w:firstLine="1134"/>
        <w:jc w:val="both"/>
        <w:rPr>
          <w:rFonts w:eastAsiaTheme="minorHAnsi"/>
        </w:rPr>
      </w:pPr>
      <w:r w:rsidRPr="00FF7A55">
        <w:rPr>
          <w:rFonts w:eastAsiaTheme="minorHAnsi"/>
        </w:rPr>
        <w:t xml:space="preserve">The last </w:t>
      </w:r>
      <w:r w:rsidR="00295BFB" w:rsidRPr="00FF7A55">
        <w:rPr>
          <w:rFonts w:eastAsiaTheme="minorHAnsi"/>
        </w:rPr>
        <w:t xml:space="preserve">issue </w:t>
      </w:r>
      <w:r w:rsidRPr="00FF7A55">
        <w:rPr>
          <w:rFonts w:eastAsiaTheme="minorHAnsi"/>
        </w:rPr>
        <w:t xml:space="preserve">to consider is the </w:t>
      </w:r>
      <w:r w:rsidRPr="00FF7A55">
        <w:rPr>
          <w:rFonts w:eastAsiaTheme="minorHAnsi"/>
          <w:i/>
        </w:rPr>
        <w:t>quantum</w:t>
      </w:r>
      <w:r w:rsidRPr="00FF7A55">
        <w:rPr>
          <w:rFonts w:eastAsiaTheme="minorHAnsi"/>
        </w:rPr>
        <w:t xml:space="preserve"> of the contribution awarded. </w:t>
      </w:r>
      <w:r w:rsidR="00836717" w:rsidRPr="00FF7A55">
        <w:rPr>
          <w:rFonts w:eastAsiaTheme="minorHAnsi"/>
        </w:rPr>
        <w:t>The respondent claimed $28 750.00 contribution in legal costs and the court granted $25 000.00 in her favour. The judge reasoned as follows;</w:t>
      </w:r>
    </w:p>
    <w:p w:rsidR="00CF0ABE" w:rsidRPr="00FF7A55" w:rsidRDefault="005A0B16" w:rsidP="005B2AA9">
      <w:pPr>
        <w:pStyle w:val="NormalWeb"/>
        <w:shd w:val="clear" w:color="auto" w:fill="FFFFFF"/>
        <w:spacing w:after="0"/>
        <w:ind w:left="720"/>
        <w:jc w:val="both"/>
        <w:rPr>
          <w:rFonts w:eastAsiaTheme="minorHAnsi"/>
        </w:rPr>
      </w:pPr>
      <w:r w:rsidRPr="00FF7A55">
        <w:rPr>
          <w:rFonts w:eastAsiaTheme="minorHAnsi"/>
        </w:rPr>
        <w:t>“Upon a carefu</w:t>
      </w:r>
      <w:r w:rsidR="00CF0ABE" w:rsidRPr="00FF7A55">
        <w:rPr>
          <w:rFonts w:eastAsiaTheme="minorHAnsi"/>
        </w:rPr>
        <w:t>l consideration of the sum being claimed I have come to the conclusion that it may be on the high side. It must be borne in mind that that this is a contribution and so it need not pay for everything.  The applicant should be able to save a bit on her own. To expect (the) respondent to foot the entire bill</w:t>
      </w:r>
      <w:r w:rsidR="00295BFB" w:rsidRPr="00FF7A55">
        <w:rPr>
          <w:rFonts w:eastAsiaTheme="minorHAnsi"/>
        </w:rPr>
        <w:t xml:space="preserve"> </w:t>
      </w:r>
      <w:r w:rsidR="00CF0ABE" w:rsidRPr="00FF7A55">
        <w:rPr>
          <w:rFonts w:eastAsiaTheme="minorHAnsi"/>
        </w:rPr>
        <w:t>may not be appropriate. I believe a contribution in the sum of $25 000.00 should be adequate”</w:t>
      </w:r>
    </w:p>
    <w:p w:rsidR="00295BFB" w:rsidRPr="00FF7A55" w:rsidRDefault="00295BFB" w:rsidP="00336CE8">
      <w:pPr>
        <w:pStyle w:val="NormalWeb"/>
        <w:shd w:val="clear" w:color="auto" w:fill="FFFFFF"/>
        <w:spacing w:after="0"/>
        <w:ind w:firstLine="720"/>
        <w:jc w:val="both"/>
        <w:rPr>
          <w:rFonts w:eastAsiaTheme="minorHAnsi"/>
        </w:rPr>
      </w:pPr>
    </w:p>
    <w:p w:rsidR="005A1A89" w:rsidRPr="00FF7A55" w:rsidRDefault="00CF0ABE" w:rsidP="00AA0037">
      <w:pPr>
        <w:pStyle w:val="NormalWeb"/>
        <w:shd w:val="clear" w:color="auto" w:fill="FFFFFF"/>
        <w:spacing w:after="0" w:line="480" w:lineRule="auto"/>
        <w:ind w:firstLine="1134"/>
        <w:jc w:val="both"/>
        <w:rPr>
          <w:rFonts w:eastAsiaTheme="minorHAnsi"/>
        </w:rPr>
      </w:pPr>
      <w:r w:rsidRPr="00FF7A55">
        <w:rPr>
          <w:rFonts w:eastAsiaTheme="minorHAnsi"/>
        </w:rPr>
        <w:t>There is no gain</w:t>
      </w:r>
      <w:r w:rsidR="004E7C7E" w:rsidRPr="00FF7A55">
        <w:rPr>
          <w:rFonts w:eastAsiaTheme="minorHAnsi"/>
        </w:rPr>
        <w:t xml:space="preserve"> </w:t>
      </w:r>
      <w:r w:rsidRPr="00FF7A55">
        <w:rPr>
          <w:rFonts w:eastAsiaTheme="minorHAnsi"/>
        </w:rPr>
        <w:t xml:space="preserve">saying the fact that in reasoning and concluding thus, the judge </w:t>
      </w:r>
      <w:r w:rsidRPr="00FF7A55">
        <w:rPr>
          <w:rFonts w:eastAsiaTheme="minorHAnsi"/>
          <w:i/>
        </w:rPr>
        <w:t>a quo</w:t>
      </w:r>
      <w:r w:rsidR="00FD7017" w:rsidRPr="00FF7A55">
        <w:rPr>
          <w:rFonts w:eastAsiaTheme="minorHAnsi"/>
          <w:i/>
        </w:rPr>
        <w:t xml:space="preserve"> </w:t>
      </w:r>
      <w:r w:rsidRPr="00FF7A55">
        <w:rPr>
          <w:rFonts w:eastAsiaTheme="minorHAnsi"/>
        </w:rPr>
        <w:t>exercised</w:t>
      </w:r>
      <w:r w:rsidRPr="00FF7A55">
        <w:rPr>
          <w:rFonts w:eastAsiaTheme="minorHAnsi"/>
          <w:i/>
        </w:rPr>
        <w:t xml:space="preserve"> </w:t>
      </w:r>
      <w:r w:rsidRPr="00FF7A55">
        <w:rPr>
          <w:rFonts w:eastAsiaTheme="minorHAnsi"/>
        </w:rPr>
        <w:t>a</w:t>
      </w:r>
      <w:r w:rsidRPr="00FF7A55">
        <w:rPr>
          <w:rFonts w:eastAsiaTheme="minorHAnsi"/>
          <w:i/>
        </w:rPr>
        <w:t xml:space="preserve"> </w:t>
      </w:r>
      <w:r w:rsidRPr="00FF7A55">
        <w:rPr>
          <w:rFonts w:eastAsiaTheme="minorHAnsi"/>
        </w:rPr>
        <w:t>discretion. The r</w:t>
      </w:r>
      <w:r w:rsidR="002203B2" w:rsidRPr="00FF7A55">
        <w:rPr>
          <w:rFonts w:eastAsiaTheme="minorHAnsi"/>
        </w:rPr>
        <w:t>espondent in this respect con</w:t>
      </w:r>
      <w:r w:rsidR="00466909" w:rsidRPr="00FF7A55">
        <w:rPr>
          <w:rFonts w:eastAsiaTheme="minorHAnsi"/>
        </w:rPr>
        <w:t>t</w:t>
      </w:r>
      <w:r w:rsidR="002203B2" w:rsidRPr="00FF7A55">
        <w:rPr>
          <w:rFonts w:eastAsiaTheme="minorHAnsi"/>
        </w:rPr>
        <w:t>ends</w:t>
      </w:r>
      <w:r w:rsidRPr="00FF7A55">
        <w:rPr>
          <w:rFonts w:eastAsiaTheme="minorHAnsi"/>
        </w:rPr>
        <w:t xml:space="preserve"> correctly that nowhere in his arguments did the appellant challenge the exercise of this discretion. It is an established principle of the law that a higher court </w:t>
      </w:r>
      <w:r w:rsidR="00242137" w:rsidRPr="00FF7A55">
        <w:rPr>
          <w:rFonts w:eastAsiaTheme="minorHAnsi"/>
        </w:rPr>
        <w:t>will not</w:t>
      </w:r>
      <w:r w:rsidR="002203B2" w:rsidRPr="00FF7A55">
        <w:rPr>
          <w:rFonts w:eastAsiaTheme="minorHAnsi"/>
        </w:rPr>
        <w:t xml:space="preserve"> lightly</w:t>
      </w:r>
      <w:r w:rsidR="00242137" w:rsidRPr="00FF7A55">
        <w:rPr>
          <w:rFonts w:eastAsiaTheme="minorHAnsi"/>
        </w:rPr>
        <w:t xml:space="preserve"> interfere with the exercise o</w:t>
      </w:r>
      <w:r w:rsidR="002203B2" w:rsidRPr="00FF7A55">
        <w:rPr>
          <w:rFonts w:eastAsiaTheme="minorHAnsi"/>
        </w:rPr>
        <w:t>f</w:t>
      </w:r>
      <w:r w:rsidR="00242137" w:rsidRPr="00FF7A55">
        <w:rPr>
          <w:rFonts w:eastAsiaTheme="minorHAnsi"/>
        </w:rPr>
        <w:t xml:space="preserve"> discretion by a lowe</w:t>
      </w:r>
      <w:r w:rsidR="002203B2" w:rsidRPr="00FF7A55">
        <w:rPr>
          <w:rFonts w:eastAsiaTheme="minorHAnsi"/>
        </w:rPr>
        <w:t>r</w:t>
      </w:r>
      <w:r w:rsidR="00242137" w:rsidRPr="00FF7A55">
        <w:rPr>
          <w:rFonts w:eastAsiaTheme="minorHAnsi"/>
        </w:rPr>
        <w:t xml:space="preserve"> court</w:t>
      </w:r>
      <w:r w:rsidR="00777DA8" w:rsidRPr="00FF7A55">
        <w:rPr>
          <w:rFonts w:eastAsiaTheme="minorHAnsi"/>
        </w:rPr>
        <w:t xml:space="preserve">. It can only do so if </w:t>
      </w:r>
      <w:r w:rsidR="00242137" w:rsidRPr="00FF7A55">
        <w:rPr>
          <w:rFonts w:eastAsiaTheme="minorHAnsi"/>
        </w:rPr>
        <w:t>it i</w:t>
      </w:r>
      <w:r w:rsidR="002203B2" w:rsidRPr="00FF7A55">
        <w:rPr>
          <w:rFonts w:eastAsiaTheme="minorHAnsi"/>
        </w:rPr>
        <w:t>s</w:t>
      </w:r>
      <w:r w:rsidR="00242137" w:rsidRPr="00FF7A55">
        <w:rPr>
          <w:rFonts w:eastAsiaTheme="minorHAnsi"/>
        </w:rPr>
        <w:t xml:space="preserve"> established that the discretion was exe</w:t>
      </w:r>
      <w:r w:rsidR="002203B2" w:rsidRPr="00FF7A55">
        <w:rPr>
          <w:rFonts w:eastAsiaTheme="minorHAnsi"/>
        </w:rPr>
        <w:t>r</w:t>
      </w:r>
      <w:r w:rsidR="00242137" w:rsidRPr="00FF7A55">
        <w:rPr>
          <w:rFonts w:eastAsiaTheme="minorHAnsi"/>
        </w:rPr>
        <w:t>cised capriciously</w:t>
      </w:r>
      <w:r w:rsidR="002203B2" w:rsidRPr="00FF7A55">
        <w:rPr>
          <w:rFonts w:eastAsiaTheme="minorHAnsi"/>
        </w:rPr>
        <w:t xml:space="preserve"> or </w:t>
      </w:r>
      <w:r w:rsidR="002203B2" w:rsidRPr="00FF7A55">
        <w:rPr>
          <w:rFonts w:eastAsiaTheme="minorHAnsi"/>
        </w:rPr>
        <w:lastRenderedPageBreak/>
        <w:t xml:space="preserve">erroneously, that the </w:t>
      </w:r>
      <w:r w:rsidR="00777DA8" w:rsidRPr="00FF7A55">
        <w:rPr>
          <w:rFonts w:eastAsiaTheme="minorHAnsi"/>
        </w:rPr>
        <w:t xml:space="preserve">lower </w:t>
      </w:r>
      <w:r w:rsidR="002203B2" w:rsidRPr="00FF7A55">
        <w:rPr>
          <w:rFonts w:eastAsiaTheme="minorHAnsi"/>
        </w:rPr>
        <w:t>court acted on a wrong principle, allowed extraneous or irrelevant matters to guide it</w:t>
      </w:r>
      <w:r w:rsidR="00242137" w:rsidRPr="00FF7A55">
        <w:rPr>
          <w:rFonts w:eastAsiaTheme="minorHAnsi"/>
        </w:rPr>
        <w:t xml:space="preserve">, </w:t>
      </w:r>
      <w:r w:rsidR="002203B2" w:rsidRPr="00FF7A55">
        <w:rPr>
          <w:rFonts w:eastAsiaTheme="minorHAnsi"/>
        </w:rPr>
        <w:t>mist</w:t>
      </w:r>
      <w:r w:rsidR="00466909" w:rsidRPr="00FF7A55">
        <w:rPr>
          <w:rFonts w:eastAsiaTheme="minorHAnsi"/>
        </w:rPr>
        <w:t>ook</w:t>
      </w:r>
      <w:r w:rsidR="002203B2" w:rsidRPr="00FF7A55">
        <w:rPr>
          <w:rFonts w:eastAsiaTheme="minorHAnsi"/>
        </w:rPr>
        <w:t xml:space="preserve"> the facts or disregard</w:t>
      </w:r>
      <w:r w:rsidR="00466909" w:rsidRPr="00FF7A55">
        <w:rPr>
          <w:rFonts w:eastAsiaTheme="minorHAnsi"/>
        </w:rPr>
        <w:t>ed</w:t>
      </w:r>
      <w:r w:rsidR="002203B2" w:rsidRPr="00FF7A55">
        <w:rPr>
          <w:rFonts w:eastAsiaTheme="minorHAnsi"/>
        </w:rPr>
        <w:t xml:space="preserve"> some relevant considerations</w:t>
      </w:r>
      <w:r w:rsidR="004D126A" w:rsidRPr="00FF7A55">
        <w:rPr>
          <w:rStyle w:val="FootnoteReference"/>
          <w:rFonts w:eastAsiaTheme="minorHAnsi"/>
        </w:rPr>
        <w:footnoteReference w:id="4"/>
      </w:r>
      <w:r w:rsidR="00C51E69" w:rsidRPr="00FF7A55">
        <w:rPr>
          <w:rFonts w:eastAsiaTheme="minorHAnsi"/>
        </w:rPr>
        <w:t>.</w:t>
      </w:r>
    </w:p>
    <w:p w:rsidR="005A1A89" w:rsidRPr="00FF7A55" w:rsidRDefault="00466909" w:rsidP="00AA0037">
      <w:pPr>
        <w:pStyle w:val="NormalWeb"/>
        <w:shd w:val="clear" w:color="auto" w:fill="FFFFFF"/>
        <w:spacing w:after="0" w:line="480" w:lineRule="auto"/>
        <w:ind w:firstLine="1134"/>
        <w:jc w:val="both"/>
        <w:rPr>
          <w:rFonts w:eastAsiaTheme="minorHAnsi"/>
        </w:rPr>
      </w:pPr>
      <w:r w:rsidRPr="00FF7A55">
        <w:rPr>
          <w:rFonts w:eastAsiaTheme="minorHAnsi"/>
        </w:rPr>
        <w:t xml:space="preserve">All this not having been alleged, much less established, I am unable to find that the judge </w:t>
      </w:r>
      <w:r w:rsidRPr="00FF7A55">
        <w:rPr>
          <w:rFonts w:eastAsiaTheme="minorHAnsi"/>
          <w:i/>
        </w:rPr>
        <w:t>a quo</w:t>
      </w:r>
      <w:r w:rsidRPr="00FF7A55">
        <w:rPr>
          <w:rFonts w:eastAsiaTheme="minorHAnsi"/>
        </w:rPr>
        <w:t xml:space="preserve"> misdirected himself in ordering that the appellant contributes</w:t>
      </w:r>
      <w:r w:rsidR="004E7C7E" w:rsidRPr="00FF7A55">
        <w:rPr>
          <w:rFonts w:eastAsiaTheme="minorHAnsi"/>
        </w:rPr>
        <w:t xml:space="preserve"> </w:t>
      </w:r>
      <w:r w:rsidRPr="00FF7A55">
        <w:rPr>
          <w:rFonts w:eastAsiaTheme="minorHAnsi"/>
        </w:rPr>
        <w:t>$25000.00 towards the legal costs of the respondent.</w:t>
      </w:r>
    </w:p>
    <w:p w:rsidR="005A1A89" w:rsidRDefault="00147AE9" w:rsidP="005A1A89">
      <w:pPr>
        <w:pStyle w:val="NormalWeb"/>
        <w:shd w:val="clear" w:color="auto" w:fill="FFFFFF"/>
        <w:spacing w:after="0" w:line="480" w:lineRule="auto"/>
        <w:ind w:firstLine="1134"/>
        <w:jc w:val="both"/>
        <w:rPr>
          <w:rFonts w:eastAsiaTheme="minorHAnsi"/>
        </w:rPr>
      </w:pPr>
      <w:r w:rsidRPr="00FF7A55">
        <w:rPr>
          <w:rFonts w:eastAsiaTheme="minorHAnsi"/>
        </w:rPr>
        <w:t>In all respects therefore we were satisfied that the appeal lacked merit. Hence the order dismissing it with costs.</w:t>
      </w:r>
    </w:p>
    <w:p w:rsidR="00AA0037" w:rsidRPr="005A1A89" w:rsidRDefault="00AA0037" w:rsidP="005A1A89">
      <w:pPr>
        <w:pStyle w:val="NormalWeb"/>
        <w:shd w:val="clear" w:color="auto" w:fill="FFFFFF"/>
        <w:spacing w:after="0" w:line="480" w:lineRule="auto"/>
        <w:ind w:firstLine="1134"/>
        <w:jc w:val="both"/>
        <w:rPr>
          <w:rFonts w:eastAsiaTheme="minorHAnsi"/>
        </w:rPr>
      </w:pPr>
    </w:p>
    <w:p w:rsidR="009814E1" w:rsidRDefault="009814E1" w:rsidP="005A1A89">
      <w:pPr>
        <w:pStyle w:val="NormalWeb"/>
        <w:shd w:val="clear" w:color="auto" w:fill="FFFFFF"/>
        <w:spacing w:after="0" w:line="360" w:lineRule="auto"/>
        <w:ind w:left="414" w:firstLine="720"/>
        <w:jc w:val="both"/>
        <w:rPr>
          <w:rFonts w:eastAsiaTheme="minorHAnsi"/>
        </w:rPr>
      </w:pPr>
      <w:r w:rsidRPr="00FF7A55">
        <w:rPr>
          <w:rFonts w:eastAsiaTheme="minorHAnsi"/>
          <w:b/>
        </w:rPr>
        <w:t>GOWORA JA</w:t>
      </w:r>
      <w:r w:rsidRPr="00FF7A55">
        <w:rPr>
          <w:rFonts w:eastAsiaTheme="minorHAnsi"/>
          <w:b/>
        </w:rPr>
        <w:tab/>
      </w:r>
      <w:r w:rsidRPr="00FF7A55">
        <w:rPr>
          <w:rFonts w:eastAsiaTheme="minorHAnsi"/>
          <w:b/>
        </w:rPr>
        <w:tab/>
      </w:r>
      <w:r w:rsidRPr="00FF7A55">
        <w:rPr>
          <w:rFonts w:eastAsiaTheme="minorHAnsi"/>
          <w:b/>
        </w:rPr>
        <w:tab/>
      </w:r>
      <w:r w:rsidRPr="00FF7A55">
        <w:rPr>
          <w:rFonts w:eastAsiaTheme="minorHAnsi"/>
        </w:rPr>
        <w:t>I agree</w:t>
      </w:r>
    </w:p>
    <w:p w:rsidR="005A1A89" w:rsidRPr="005A1A89" w:rsidRDefault="005A1A89" w:rsidP="005A1A89">
      <w:pPr>
        <w:pStyle w:val="NormalWeb"/>
        <w:shd w:val="clear" w:color="auto" w:fill="FFFFFF"/>
        <w:spacing w:after="0" w:line="360" w:lineRule="auto"/>
        <w:ind w:left="414" w:firstLine="720"/>
        <w:jc w:val="both"/>
        <w:rPr>
          <w:rFonts w:eastAsiaTheme="minorHAnsi"/>
        </w:rPr>
      </w:pPr>
    </w:p>
    <w:p w:rsidR="005A1A89" w:rsidRDefault="004E7C7E" w:rsidP="005A1A89">
      <w:pPr>
        <w:pStyle w:val="NormalWeb"/>
        <w:shd w:val="clear" w:color="auto" w:fill="FFFFFF"/>
        <w:spacing w:after="0" w:line="360" w:lineRule="auto"/>
        <w:ind w:left="414" w:firstLine="720"/>
        <w:jc w:val="both"/>
        <w:rPr>
          <w:rFonts w:eastAsiaTheme="minorHAnsi"/>
        </w:rPr>
      </w:pPr>
      <w:r w:rsidRPr="00FF7A55">
        <w:rPr>
          <w:rFonts w:eastAsiaTheme="minorHAnsi"/>
          <w:b/>
        </w:rPr>
        <w:t>HLATS</w:t>
      </w:r>
      <w:r w:rsidR="003D221E" w:rsidRPr="00FF7A55">
        <w:rPr>
          <w:rFonts w:eastAsiaTheme="minorHAnsi"/>
          <w:b/>
        </w:rPr>
        <w:t>H</w:t>
      </w:r>
      <w:r w:rsidRPr="00FF7A55">
        <w:rPr>
          <w:rFonts w:eastAsiaTheme="minorHAnsi"/>
          <w:b/>
        </w:rPr>
        <w:t>WAYO JA</w:t>
      </w:r>
      <w:r w:rsidRPr="00FF7A55">
        <w:rPr>
          <w:rFonts w:eastAsiaTheme="minorHAnsi"/>
          <w:b/>
        </w:rPr>
        <w:tab/>
      </w:r>
      <w:r w:rsidRPr="00FF7A55">
        <w:rPr>
          <w:rFonts w:eastAsiaTheme="minorHAnsi"/>
          <w:b/>
        </w:rPr>
        <w:tab/>
      </w:r>
      <w:r w:rsidR="0098387A" w:rsidRPr="00FF7A55">
        <w:rPr>
          <w:rFonts w:eastAsiaTheme="minorHAnsi"/>
        </w:rPr>
        <w:t>I agree</w:t>
      </w:r>
    </w:p>
    <w:p w:rsidR="005A1A89" w:rsidRPr="00FF7A55" w:rsidRDefault="005A1A89" w:rsidP="005A1A89">
      <w:pPr>
        <w:pStyle w:val="NormalWeb"/>
        <w:shd w:val="clear" w:color="auto" w:fill="FFFFFF"/>
        <w:spacing w:after="0" w:line="360" w:lineRule="auto"/>
        <w:ind w:left="414" w:firstLine="720"/>
        <w:jc w:val="both"/>
        <w:rPr>
          <w:rFonts w:eastAsiaTheme="minorHAnsi"/>
        </w:rPr>
      </w:pPr>
    </w:p>
    <w:p w:rsidR="0098387A" w:rsidRPr="00FF7A55" w:rsidRDefault="0098387A" w:rsidP="005A1A89">
      <w:pPr>
        <w:pStyle w:val="NormalWeb"/>
        <w:shd w:val="clear" w:color="auto" w:fill="FFFFFF"/>
        <w:spacing w:line="480" w:lineRule="auto"/>
        <w:jc w:val="both"/>
        <w:rPr>
          <w:rFonts w:eastAsiaTheme="minorHAnsi"/>
          <w:i/>
        </w:rPr>
      </w:pPr>
      <w:proofErr w:type="spellStart"/>
      <w:r w:rsidRPr="00FF7A55">
        <w:rPr>
          <w:rFonts w:eastAsiaTheme="minorHAnsi"/>
          <w:i/>
        </w:rPr>
        <w:t>Atherstone</w:t>
      </w:r>
      <w:proofErr w:type="spellEnd"/>
      <w:r w:rsidRPr="00FF7A55">
        <w:rPr>
          <w:rFonts w:eastAsiaTheme="minorHAnsi"/>
          <w:i/>
        </w:rPr>
        <w:t xml:space="preserve"> and Cook, </w:t>
      </w:r>
      <w:r w:rsidRPr="00FF7A55">
        <w:rPr>
          <w:rFonts w:eastAsiaTheme="minorHAnsi"/>
        </w:rPr>
        <w:t>appellant’s legal practitioners</w:t>
      </w:r>
    </w:p>
    <w:p w:rsidR="00B92CED" w:rsidRPr="00FF7A55" w:rsidRDefault="0098387A" w:rsidP="005A1A89">
      <w:pPr>
        <w:pStyle w:val="NormalWeb"/>
        <w:shd w:val="clear" w:color="auto" w:fill="FFFFFF"/>
        <w:spacing w:line="480" w:lineRule="auto"/>
        <w:jc w:val="both"/>
        <w:rPr>
          <w:rFonts w:eastAsiaTheme="minorHAnsi"/>
        </w:rPr>
      </w:pPr>
      <w:r w:rsidRPr="00FF7A55">
        <w:rPr>
          <w:rFonts w:eastAsiaTheme="minorHAnsi"/>
          <w:i/>
        </w:rPr>
        <w:t xml:space="preserve">Gill, </w:t>
      </w:r>
      <w:proofErr w:type="spellStart"/>
      <w:r w:rsidRPr="00FF7A55">
        <w:rPr>
          <w:rFonts w:eastAsiaTheme="minorHAnsi"/>
          <w:i/>
        </w:rPr>
        <w:t>Godlonton</w:t>
      </w:r>
      <w:proofErr w:type="spellEnd"/>
      <w:r w:rsidRPr="00FF7A55">
        <w:rPr>
          <w:rFonts w:eastAsiaTheme="minorHAnsi"/>
          <w:i/>
        </w:rPr>
        <w:t xml:space="preserve"> and </w:t>
      </w:r>
      <w:proofErr w:type="spellStart"/>
      <w:r w:rsidRPr="00FF7A55">
        <w:rPr>
          <w:rFonts w:eastAsiaTheme="minorHAnsi"/>
          <w:i/>
        </w:rPr>
        <w:t>Gerrans</w:t>
      </w:r>
      <w:proofErr w:type="spellEnd"/>
      <w:r w:rsidRPr="00FF7A55">
        <w:rPr>
          <w:rFonts w:eastAsiaTheme="minorHAnsi"/>
          <w:i/>
        </w:rPr>
        <w:t xml:space="preserve">, </w:t>
      </w:r>
      <w:r w:rsidR="004E7C7E" w:rsidRPr="00FF7A55">
        <w:rPr>
          <w:rFonts w:eastAsiaTheme="minorHAnsi"/>
        </w:rPr>
        <w:t>r</w:t>
      </w:r>
      <w:r w:rsidRPr="00FF7A55">
        <w:rPr>
          <w:rFonts w:eastAsiaTheme="minorHAnsi"/>
        </w:rPr>
        <w:t>espondent’s legal practitioners</w:t>
      </w:r>
      <w:r w:rsidR="0033502B" w:rsidRPr="00FF7A55">
        <w:rPr>
          <w:rFonts w:eastAsiaTheme="minorHAnsi"/>
        </w:rPr>
        <w:t xml:space="preserve">  </w:t>
      </w:r>
    </w:p>
    <w:sectPr w:rsidR="00B92CED" w:rsidRPr="00FF7A55" w:rsidSect="00617C7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447F" w:rsidRDefault="0007447F" w:rsidP="00146411">
      <w:pPr>
        <w:spacing w:after="0" w:line="240" w:lineRule="auto"/>
      </w:pPr>
      <w:r>
        <w:separator/>
      </w:r>
    </w:p>
  </w:endnote>
  <w:endnote w:type="continuationSeparator" w:id="0">
    <w:p w:rsidR="0007447F" w:rsidRDefault="0007447F" w:rsidP="001464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0ABE" w:rsidRDefault="00CF0ABE">
    <w:pPr>
      <w:pStyle w:val="Footer"/>
      <w:jc w:val="right"/>
    </w:pPr>
  </w:p>
  <w:p w:rsidR="00CF0ABE" w:rsidRDefault="00CF0A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447F" w:rsidRDefault="0007447F" w:rsidP="00146411">
      <w:pPr>
        <w:spacing w:after="0" w:line="240" w:lineRule="auto"/>
      </w:pPr>
      <w:r>
        <w:separator/>
      </w:r>
    </w:p>
  </w:footnote>
  <w:footnote w:type="continuationSeparator" w:id="0">
    <w:p w:rsidR="0007447F" w:rsidRDefault="0007447F" w:rsidP="00146411">
      <w:pPr>
        <w:spacing w:after="0" w:line="240" w:lineRule="auto"/>
      </w:pPr>
      <w:r>
        <w:continuationSeparator/>
      </w:r>
    </w:p>
  </w:footnote>
  <w:footnote w:id="1">
    <w:p w:rsidR="00A53BE2" w:rsidRPr="00A53BE2" w:rsidRDefault="00A53BE2">
      <w:pPr>
        <w:pStyle w:val="FootnoteText"/>
        <w:rPr>
          <w:lang w:val="en-ZW"/>
        </w:rPr>
      </w:pPr>
      <w:r>
        <w:rPr>
          <w:rStyle w:val="FootnoteReference"/>
        </w:rPr>
        <w:footnoteRef/>
      </w:r>
      <w:r>
        <w:t xml:space="preserve"> </w:t>
      </w:r>
      <w:r>
        <w:rPr>
          <w:lang w:val="en-ZW"/>
        </w:rPr>
        <w:t>2014(</w:t>
      </w:r>
      <w:r w:rsidR="001341F9">
        <w:rPr>
          <w:lang w:val="en-ZW"/>
        </w:rPr>
        <w:t>1) ZLR</w:t>
      </w:r>
      <w:r>
        <w:rPr>
          <w:lang w:val="en-ZW"/>
        </w:rPr>
        <w:t xml:space="preserve"> 509 (H)</w:t>
      </w:r>
    </w:p>
  </w:footnote>
  <w:footnote w:id="2">
    <w:p w:rsidR="00CF0ABE" w:rsidRPr="00234997" w:rsidRDefault="00CF0ABE">
      <w:pPr>
        <w:pStyle w:val="FootnoteText"/>
        <w:rPr>
          <w:lang w:val="en-ZW"/>
        </w:rPr>
      </w:pPr>
      <w:r>
        <w:rPr>
          <w:rStyle w:val="FootnoteReference"/>
        </w:rPr>
        <w:footnoteRef/>
      </w:r>
      <w:r>
        <w:t xml:space="preserve"> </w:t>
      </w:r>
      <w:r>
        <w:rPr>
          <w:lang w:val="en-ZW"/>
        </w:rPr>
        <w:t>5</w:t>
      </w:r>
      <w:r w:rsidRPr="00234997">
        <w:rPr>
          <w:vertAlign w:val="superscript"/>
          <w:lang w:val="en-ZW"/>
        </w:rPr>
        <w:t>th</w:t>
      </w:r>
      <w:r>
        <w:rPr>
          <w:lang w:val="en-ZW"/>
        </w:rPr>
        <w:t xml:space="preserve"> Edition at page 424</w:t>
      </w:r>
    </w:p>
  </w:footnote>
  <w:footnote w:id="3">
    <w:p w:rsidR="00CF0ABE" w:rsidRPr="009F7F14" w:rsidRDefault="00CF0ABE">
      <w:pPr>
        <w:pStyle w:val="FootnoteText"/>
        <w:rPr>
          <w:lang w:val="en-ZW"/>
        </w:rPr>
      </w:pPr>
      <w:r>
        <w:rPr>
          <w:rStyle w:val="FootnoteReference"/>
        </w:rPr>
        <w:footnoteRef/>
      </w:r>
      <w:r>
        <w:t xml:space="preserve"> </w:t>
      </w:r>
      <w:r>
        <w:rPr>
          <w:lang w:val="en-ZW"/>
        </w:rPr>
        <w:t>1995 (2) ZLR (S) 81 at page 83</w:t>
      </w:r>
    </w:p>
  </w:footnote>
  <w:footnote w:id="4">
    <w:p w:rsidR="004D126A" w:rsidRDefault="004D126A">
      <w:pPr>
        <w:pStyle w:val="FootnoteText"/>
        <w:rPr>
          <w:lang w:val="en-ZA"/>
        </w:rPr>
      </w:pPr>
      <w:r>
        <w:rPr>
          <w:rStyle w:val="FootnoteReference"/>
        </w:rPr>
        <w:footnoteRef/>
      </w:r>
      <w:r>
        <w:t xml:space="preserve"> </w:t>
      </w:r>
      <w:r>
        <w:rPr>
          <w:lang w:val="en-ZA"/>
        </w:rPr>
        <w:t>See Barros &amp; Anor v Chimponda 1999 (1) ZLR 58(SC) at 63-</w:t>
      </w:r>
      <w:r w:rsidR="00466909">
        <w:rPr>
          <w:lang w:val="en-ZA"/>
        </w:rPr>
        <w:t>64</w:t>
      </w:r>
    </w:p>
    <w:p w:rsidR="00466909" w:rsidRDefault="00466909">
      <w:pPr>
        <w:pStyle w:val="FootnoteText"/>
        <w:rPr>
          <w:lang w:val="en-ZA"/>
        </w:rPr>
      </w:pPr>
    </w:p>
    <w:p w:rsidR="00466909" w:rsidRDefault="00466909">
      <w:pPr>
        <w:pStyle w:val="FootnoteText"/>
        <w:rPr>
          <w:lang w:val="en-ZA"/>
        </w:rPr>
      </w:pPr>
    </w:p>
    <w:p w:rsidR="00466909" w:rsidRPr="004D126A" w:rsidRDefault="00466909">
      <w:pPr>
        <w:pStyle w:val="FootnoteText"/>
        <w:rPr>
          <w:lang w:val="en-ZA"/>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0ABE" w:rsidRDefault="00A92A05">
    <w:pPr>
      <w:pStyle w:val="Header"/>
    </w:pPr>
    <w:r>
      <w:rPr>
        <w:noProof/>
        <w:lang w:val="en-GB" w:eastAsia="en-GB"/>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imes New Roman" w:hAnsi="Times New Roman" w:cs="Times New Roman"/>
                              <w:sz w:val="24"/>
                              <w:szCs w:val="24"/>
                            </w:rPr>
                            <w:id w:val="241840702"/>
                            <w:docPartObj>
                              <w:docPartGallery w:val="Page Numbers (Top of Page)"/>
                              <w:docPartUnique/>
                            </w:docPartObj>
                          </w:sdtPr>
                          <w:sdtEndPr>
                            <w:rPr>
                              <w:noProof/>
                            </w:rPr>
                          </w:sdtEndPr>
                          <w:sdtContent>
                            <w:p w:rsidR="00A92A05" w:rsidRPr="00FF7A55" w:rsidRDefault="00A92A05" w:rsidP="00A92A05">
                              <w:pPr>
                                <w:pStyle w:val="Header"/>
                                <w:jc w:val="right"/>
                                <w:rPr>
                                  <w:rFonts w:ascii="Times New Roman" w:hAnsi="Times New Roman" w:cs="Times New Roman"/>
                                  <w:sz w:val="24"/>
                                  <w:szCs w:val="24"/>
                                </w:rPr>
                              </w:pPr>
                            </w:p>
                            <w:p w:rsidR="00A92A05" w:rsidRPr="00FF7A55" w:rsidRDefault="00A92A05" w:rsidP="00A92A05">
                              <w:pPr>
                                <w:pStyle w:val="Header"/>
                                <w:jc w:val="right"/>
                                <w:rPr>
                                  <w:rFonts w:ascii="Times New Roman" w:hAnsi="Times New Roman" w:cs="Times New Roman"/>
                                  <w:sz w:val="24"/>
                                  <w:szCs w:val="24"/>
                                </w:rPr>
                              </w:pPr>
                              <w:r w:rsidRPr="00FF7A55">
                                <w:rPr>
                                  <w:rFonts w:ascii="Times New Roman" w:hAnsi="Times New Roman" w:cs="Times New Roman"/>
                                  <w:sz w:val="24"/>
                                  <w:szCs w:val="24"/>
                                </w:rPr>
                                <w:t xml:space="preserve">Judgment No. </w:t>
                              </w:r>
                              <w:r w:rsidR="00FF7A55">
                                <w:rPr>
                                  <w:rFonts w:ascii="Times New Roman" w:hAnsi="Times New Roman" w:cs="Times New Roman"/>
                                  <w:sz w:val="24"/>
                                  <w:szCs w:val="24"/>
                                </w:rPr>
                                <w:t>11</w:t>
                              </w:r>
                              <w:r w:rsidRPr="00FF7A55">
                                <w:rPr>
                                  <w:rFonts w:ascii="Times New Roman" w:hAnsi="Times New Roman" w:cs="Times New Roman"/>
                                  <w:sz w:val="24"/>
                                  <w:szCs w:val="24"/>
                                </w:rPr>
                                <w:t xml:space="preserve">/18 </w:t>
                              </w:r>
                            </w:p>
                          </w:sdtContent>
                        </w:sdt>
                        <w:p w:rsidR="00A92A05" w:rsidRPr="00FF7A55" w:rsidRDefault="00A92A05" w:rsidP="00A92A05">
                          <w:pPr>
                            <w:pStyle w:val="Header"/>
                            <w:rPr>
                              <w:rFonts w:ascii="Times New Roman" w:hAnsi="Times New Roman" w:cs="Times New Roman"/>
                              <w:sz w:val="24"/>
                              <w:szCs w:val="24"/>
                            </w:rPr>
                          </w:pPr>
                          <w:r w:rsidRPr="00FF7A55">
                            <w:rPr>
                              <w:rFonts w:ascii="Times New Roman" w:hAnsi="Times New Roman" w:cs="Times New Roman"/>
                              <w:sz w:val="24"/>
                              <w:szCs w:val="24"/>
                            </w:rPr>
                            <w:tab/>
                            <w:t xml:space="preserve">                                                                                                        Civil Appeal No. SC 550/16</w:t>
                          </w:r>
                        </w:p>
                        <w:p w:rsidR="00A92A05" w:rsidRDefault="00A92A05">
                          <w:pPr>
                            <w:spacing w:after="0" w:line="240" w:lineRule="auto"/>
                            <w:jc w:val="right"/>
                            <w:rPr>
                              <w:noProof/>
                            </w:rP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sdt>
                    <w:sdtPr>
                      <w:rPr>
                        <w:rFonts w:ascii="Times New Roman" w:hAnsi="Times New Roman" w:cs="Times New Roman"/>
                        <w:sz w:val="24"/>
                        <w:szCs w:val="24"/>
                      </w:rPr>
                      <w:id w:val="241840702"/>
                      <w:docPartObj>
                        <w:docPartGallery w:val="Page Numbers (Top of Page)"/>
                        <w:docPartUnique/>
                      </w:docPartObj>
                    </w:sdtPr>
                    <w:sdtEndPr>
                      <w:rPr>
                        <w:noProof/>
                      </w:rPr>
                    </w:sdtEndPr>
                    <w:sdtContent>
                      <w:p w:rsidR="00A92A05" w:rsidRPr="00FF7A55" w:rsidRDefault="00A92A05" w:rsidP="00A92A05">
                        <w:pPr>
                          <w:pStyle w:val="Header"/>
                          <w:jc w:val="right"/>
                          <w:rPr>
                            <w:rFonts w:ascii="Times New Roman" w:hAnsi="Times New Roman" w:cs="Times New Roman"/>
                            <w:sz w:val="24"/>
                            <w:szCs w:val="24"/>
                          </w:rPr>
                        </w:pPr>
                      </w:p>
                      <w:p w:rsidR="00A92A05" w:rsidRPr="00FF7A55" w:rsidRDefault="00A92A05" w:rsidP="00A92A05">
                        <w:pPr>
                          <w:pStyle w:val="Header"/>
                          <w:jc w:val="right"/>
                          <w:rPr>
                            <w:rFonts w:ascii="Times New Roman" w:hAnsi="Times New Roman" w:cs="Times New Roman"/>
                            <w:sz w:val="24"/>
                            <w:szCs w:val="24"/>
                          </w:rPr>
                        </w:pPr>
                        <w:r w:rsidRPr="00FF7A55">
                          <w:rPr>
                            <w:rFonts w:ascii="Times New Roman" w:hAnsi="Times New Roman" w:cs="Times New Roman"/>
                            <w:sz w:val="24"/>
                            <w:szCs w:val="24"/>
                          </w:rPr>
                          <w:t xml:space="preserve">Judgment No. </w:t>
                        </w:r>
                        <w:r w:rsidR="00FF7A55">
                          <w:rPr>
                            <w:rFonts w:ascii="Times New Roman" w:hAnsi="Times New Roman" w:cs="Times New Roman"/>
                            <w:sz w:val="24"/>
                            <w:szCs w:val="24"/>
                          </w:rPr>
                          <w:t>11</w:t>
                        </w:r>
                        <w:r w:rsidRPr="00FF7A55">
                          <w:rPr>
                            <w:rFonts w:ascii="Times New Roman" w:hAnsi="Times New Roman" w:cs="Times New Roman"/>
                            <w:sz w:val="24"/>
                            <w:szCs w:val="24"/>
                          </w:rPr>
                          <w:t xml:space="preserve">/18 </w:t>
                        </w:r>
                      </w:p>
                    </w:sdtContent>
                  </w:sdt>
                  <w:p w:rsidR="00A92A05" w:rsidRPr="00FF7A55" w:rsidRDefault="00A92A05" w:rsidP="00A92A05">
                    <w:pPr>
                      <w:pStyle w:val="Header"/>
                      <w:rPr>
                        <w:rFonts w:ascii="Times New Roman" w:hAnsi="Times New Roman" w:cs="Times New Roman"/>
                        <w:sz w:val="24"/>
                        <w:szCs w:val="24"/>
                      </w:rPr>
                    </w:pPr>
                    <w:r w:rsidRPr="00FF7A55">
                      <w:rPr>
                        <w:rFonts w:ascii="Times New Roman" w:hAnsi="Times New Roman" w:cs="Times New Roman"/>
                        <w:sz w:val="24"/>
                        <w:szCs w:val="24"/>
                      </w:rPr>
                      <w:tab/>
                      <w:t xml:space="preserve">                                                                                                        Civil Appeal No. SC 550/16</w:t>
                    </w:r>
                  </w:p>
                  <w:p w:rsidR="00A92A05" w:rsidRDefault="00A92A05">
                    <w:pPr>
                      <w:spacing w:after="0" w:line="240" w:lineRule="auto"/>
                      <w:jc w:val="right"/>
                      <w:rPr>
                        <w:noProof/>
                      </w:rPr>
                    </w:pPr>
                  </w:p>
                </w:txbxContent>
              </v:textbox>
              <w10:wrap anchorx="margin" anchory="margin"/>
            </v:shape>
          </w:pict>
        </mc:Fallback>
      </mc:AlternateContent>
    </w:r>
    <w:r>
      <w:rPr>
        <w:noProof/>
        <w:lang w:val="en-GB" w:eastAsia="en-GB"/>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A92A05" w:rsidRDefault="00A92A05">
                          <w:pPr>
                            <w:spacing w:after="0" w:line="240" w:lineRule="auto"/>
                            <w:rPr>
                              <w:color w:val="FFFFFF" w:themeColor="background1"/>
                            </w:rPr>
                          </w:pPr>
                          <w:r>
                            <w:fldChar w:fldCharType="begin"/>
                          </w:r>
                          <w:r>
                            <w:instrText xml:space="preserve"> PAGE   \* MERGEFORMAT </w:instrText>
                          </w:r>
                          <w:r>
                            <w:fldChar w:fldCharType="separate"/>
                          </w:r>
                          <w:r w:rsidR="00AA0037" w:rsidRPr="00AA0037">
                            <w:rPr>
                              <w:noProof/>
                              <w:color w:val="FFFFFF" w:themeColor="background1"/>
                            </w:rPr>
                            <w:t>8</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rsidR="00A92A05" w:rsidRDefault="00A92A05">
                    <w:pPr>
                      <w:spacing w:after="0" w:line="240" w:lineRule="auto"/>
                      <w:rPr>
                        <w:color w:val="FFFFFF" w:themeColor="background1"/>
                      </w:rPr>
                    </w:pPr>
                    <w:r>
                      <w:fldChar w:fldCharType="begin"/>
                    </w:r>
                    <w:r>
                      <w:instrText xml:space="preserve"> PAGE   \* MERGEFORMAT </w:instrText>
                    </w:r>
                    <w:r>
                      <w:fldChar w:fldCharType="separate"/>
                    </w:r>
                    <w:r w:rsidR="00AA0037" w:rsidRPr="00AA0037">
                      <w:rPr>
                        <w:noProof/>
                        <w:color w:val="FFFFFF" w:themeColor="background1"/>
                      </w:rPr>
                      <w:t>8</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F0FEE"/>
    <w:multiLevelType w:val="hybridMultilevel"/>
    <w:tmpl w:val="6010A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5B11E4"/>
    <w:multiLevelType w:val="hybridMultilevel"/>
    <w:tmpl w:val="AAE81644"/>
    <w:lvl w:ilvl="0" w:tplc="2786A9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DE50C5"/>
    <w:multiLevelType w:val="hybridMultilevel"/>
    <w:tmpl w:val="87CAE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F41FB4"/>
    <w:multiLevelType w:val="hybridMultilevel"/>
    <w:tmpl w:val="A8D47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BE5FAD"/>
    <w:multiLevelType w:val="hybridMultilevel"/>
    <w:tmpl w:val="186AE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BF3E5E"/>
    <w:multiLevelType w:val="hybridMultilevel"/>
    <w:tmpl w:val="57D4C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F34ACC"/>
    <w:multiLevelType w:val="hybridMultilevel"/>
    <w:tmpl w:val="DF72DBA4"/>
    <w:lvl w:ilvl="0" w:tplc="BA560480">
      <w:start w:val="1"/>
      <w:numFmt w:val="lowerLetter"/>
      <w:lvlText w:val="%1)"/>
      <w:lvlJc w:val="left"/>
      <w:pPr>
        <w:ind w:left="644"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257676"/>
    <w:multiLevelType w:val="hybridMultilevel"/>
    <w:tmpl w:val="0F2C8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C36E83"/>
    <w:multiLevelType w:val="hybridMultilevel"/>
    <w:tmpl w:val="CCEE5056"/>
    <w:lvl w:ilvl="0" w:tplc="C66EEF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5F068F6"/>
    <w:multiLevelType w:val="hybridMultilevel"/>
    <w:tmpl w:val="C5F6F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2D469D"/>
    <w:multiLevelType w:val="hybridMultilevel"/>
    <w:tmpl w:val="C3507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CE1C82"/>
    <w:multiLevelType w:val="hybridMultilevel"/>
    <w:tmpl w:val="189A3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451F21"/>
    <w:multiLevelType w:val="hybridMultilevel"/>
    <w:tmpl w:val="ED267EBC"/>
    <w:lvl w:ilvl="0" w:tplc="5596EBF6">
      <w:start w:val="9"/>
      <w:numFmt w:val="lowerLetter"/>
      <w:lvlText w:val="%1)"/>
      <w:lvlJc w:val="left"/>
      <w:pPr>
        <w:ind w:left="1778"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13" w15:restartNumberingAfterBreak="0">
    <w:nsid w:val="6BBA11BE"/>
    <w:multiLevelType w:val="hybridMultilevel"/>
    <w:tmpl w:val="605899DC"/>
    <w:lvl w:ilvl="0" w:tplc="10EEB86E">
      <w:start w:val="1"/>
      <w:numFmt w:val="lowerRoman"/>
      <w:lvlText w:val="%1)"/>
      <w:lvlJc w:val="left"/>
      <w:pPr>
        <w:ind w:left="2138" w:hanging="720"/>
      </w:pPr>
      <w:rPr>
        <w:rFonts w:hint="default"/>
      </w:rPr>
    </w:lvl>
    <w:lvl w:ilvl="1" w:tplc="08090019" w:tentative="1">
      <w:start w:val="1"/>
      <w:numFmt w:val="lowerLetter"/>
      <w:lvlText w:val="%2."/>
      <w:lvlJc w:val="left"/>
      <w:pPr>
        <w:ind w:left="2498" w:hanging="360"/>
      </w:pPr>
    </w:lvl>
    <w:lvl w:ilvl="2" w:tplc="0809001B" w:tentative="1">
      <w:start w:val="1"/>
      <w:numFmt w:val="lowerRoman"/>
      <w:lvlText w:val="%3."/>
      <w:lvlJc w:val="right"/>
      <w:pPr>
        <w:ind w:left="3218" w:hanging="180"/>
      </w:pPr>
    </w:lvl>
    <w:lvl w:ilvl="3" w:tplc="0809000F" w:tentative="1">
      <w:start w:val="1"/>
      <w:numFmt w:val="decimal"/>
      <w:lvlText w:val="%4."/>
      <w:lvlJc w:val="left"/>
      <w:pPr>
        <w:ind w:left="3938" w:hanging="360"/>
      </w:pPr>
    </w:lvl>
    <w:lvl w:ilvl="4" w:tplc="08090019" w:tentative="1">
      <w:start w:val="1"/>
      <w:numFmt w:val="lowerLetter"/>
      <w:lvlText w:val="%5."/>
      <w:lvlJc w:val="left"/>
      <w:pPr>
        <w:ind w:left="4658" w:hanging="360"/>
      </w:pPr>
    </w:lvl>
    <w:lvl w:ilvl="5" w:tplc="0809001B" w:tentative="1">
      <w:start w:val="1"/>
      <w:numFmt w:val="lowerRoman"/>
      <w:lvlText w:val="%6."/>
      <w:lvlJc w:val="right"/>
      <w:pPr>
        <w:ind w:left="5378" w:hanging="180"/>
      </w:pPr>
    </w:lvl>
    <w:lvl w:ilvl="6" w:tplc="0809000F" w:tentative="1">
      <w:start w:val="1"/>
      <w:numFmt w:val="decimal"/>
      <w:lvlText w:val="%7."/>
      <w:lvlJc w:val="left"/>
      <w:pPr>
        <w:ind w:left="6098" w:hanging="360"/>
      </w:pPr>
    </w:lvl>
    <w:lvl w:ilvl="7" w:tplc="08090019" w:tentative="1">
      <w:start w:val="1"/>
      <w:numFmt w:val="lowerLetter"/>
      <w:lvlText w:val="%8."/>
      <w:lvlJc w:val="left"/>
      <w:pPr>
        <w:ind w:left="6818" w:hanging="360"/>
      </w:pPr>
    </w:lvl>
    <w:lvl w:ilvl="8" w:tplc="0809001B" w:tentative="1">
      <w:start w:val="1"/>
      <w:numFmt w:val="lowerRoman"/>
      <w:lvlText w:val="%9."/>
      <w:lvlJc w:val="right"/>
      <w:pPr>
        <w:ind w:left="7538" w:hanging="180"/>
      </w:pPr>
    </w:lvl>
  </w:abstractNum>
  <w:abstractNum w:abstractNumId="14" w15:restartNumberingAfterBreak="0">
    <w:nsid w:val="6BEF03A6"/>
    <w:multiLevelType w:val="hybridMultilevel"/>
    <w:tmpl w:val="6D9A2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AF4B01"/>
    <w:multiLevelType w:val="hybridMultilevel"/>
    <w:tmpl w:val="4692A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7D7373"/>
    <w:multiLevelType w:val="hybridMultilevel"/>
    <w:tmpl w:val="CA1AE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EE01E4"/>
    <w:multiLevelType w:val="hybridMultilevel"/>
    <w:tmpl w:val="28747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0"/>
  </w:num>
  <w:num w:numId="4">
    <w:abstractNumId w:val="16"/>
  </w:num>
  <w:num w:numId="5">
    <w:abstractNumId w:val="15"/>
  </w:num>
  <w:num w:numId="6">
    <w:abstractNumId w:val="17"/>
  </w:num>
  <w:num w:numId="7">
    <w:abstractNumId w:val="3"/>
  </w:num>
  <w:num w:numId="8">
    <w:abstractNumId w:val="14"/>
  </w:num>
  <w:num w:numId="9">
    <w:abstractNumId w:val="10"/>
  </w:num>
  <w:num w:numId="10">
    <w:abstractNumId w:val="8"/>
  </w:num>
  <w:num w:numId="11">
    <w:abstractNumId w:val="1"/>
  </w:num>
  <w:num w:numId="12">
    <w:abstractNumId w:val="7"/>
  </w:num>
  <w:num w:numId="13">
    <w:abstractNumId w:val="4"/>
  </w:num>
  <w:num w:numId="14">
    <w:abstractNumId w:val="5"/>
  </w:num>
  <w:num w:numId="15">
    <w:abstractNumId w:val="9"/>
  </w:num>
  <w:num w:numId="16">
    <w:abstractNumId w:val="6"/>
  </w:num>
  <w:num w:numId="17">
    <w:abstractNumId w:val="1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411"/>
    <w:rsid w:val="00000FB2"/>
    <w:rsid w:val="00022CC1"/>
    <w:rsid w:val="00026594"/>
    <w:rsid w:val="00037770"/>
    <w:rsid w:val="00040E50"/>
    <w:rsid w:val="00061ACE"/>
    <w:rsid w:val="000710A0"/>
    <w:rsid w:val="0007447F"/>
    <w:rsid w:val="0008237D"/>
    <w:rsid w:val="00085019"/>
    <w:rsid w:val="00093FFE"/>
    <w:rsid w:val="0009451C"/>
    <w:rsid w:val="00095886"/>
    <w:rsid w:val="00096794"/>
    <w:rsid w:val="000A2E1C"/>
    <w:rsid w:val="000B20AD"/>
    <w:rsid w:val="000B2960"/>
    <w:rsid w:val="000B4D65"/>
    <w:rsid w:val="000C6AC0"/>
    <w:rsid w:val="000D7D4B"/>
    <w:rsid w:val="000E3EBE"/>
    <w:rsid w:val="000E5A6D"/>
    <w:rsid w:val="00100158"/>
    <w:rsid w:val="0010186E"/>
    <w:rsid w:val="001049CA"/>
    <w:rsid w:val="001157E1"/>
    <w:rsid w:val="001233CF"/>
    <w:rsid w:val="001341F9"/>
    <w:rsid w:val="00142060"/>
    <w:rsid w:val="00146411"/>
    <w:rsid w:val="00147AE9"/>
    <w:rsid w:val="001611CB"/>
    <w:rsid w:val="00163713"/>
    <w:rsid w:val="00174FAB"/>
    <w:rsid w:val="0017678E"/>
    <w:rsid w:val="00182E4C"/>
    <w:rsid w:val="001A4961"/>
    <w:rsid w:val="001A7C24"/>
    <w:rsid w:val="001C14CE"/>
    <w:rsid w:val="001C20B1"/>
    <w:rsid w:val="001D39A7"/>
    <w:rsid w:val="001E66D6"/>
    <w:rsid w:val="001E685F"/>
    <w:rsid w:val="001F02DE"/>
    <w:rsid w:val="002203B2"/>
    <w:rsid w:val="00234997"/>
    <w:rsid w:val="00242137"/>
    <w:rsid w:val="00243920"/>
    <w:rsid w:val="002532EF"/>
    <w:rsid w:val="00262FE6"/>
    <w:rsid w:val="00295BFB"/>
    <w:rsid w:val="002C01C5"/>
    <w:rsid w:val="002D6C70"/>
    <w:rsid w:val="002D7A89"/>
    <w:rsid w:val="002E3FED"/>
    <w:rsid w:val="00310172"/>
    <w:rsid w:val="003107DF"/>
    <w:rsid w:val="0033502B"/>
    <w:rsid w:val="00336CE8"/>
    <w:rsid w:val="00341BCE"/>
    <w:rsid w:val="003517F4"/>
    <w:rsid w:val="00360F13"/>
    <w:rsid w:val="00385376"/>
    <w:rsid w:val="003B111B"/>
    <w:rsid w:val="003B5C34"/>
    <w:rsid w:val="003B6072"/>
    <w:rsid w:val="003C69EE"/>
    <w:rsid w:val="003D221E"/>
    <w:rsid w:val="003E5D5F"/>
    <w:rsid w:val="00431BF6"/>
    <w:rsid w:val="0045481B"/>
    <w:rsid w:val="00461B23"/>
    <w:rsid w:val="00466909"/>
    <w:rsid w:val="00471639"/>
    <w:rsid w:val="004753F6"/>
    <w:rsid w:val="0049370E"/>
    <w:rsid w:val="004A15B1"/>
    <w:rsid w:val="004A695D"/>
    <w:rsid w:val="004B51BC"/>
    <w:rsid w:val="004B5D85"/>
    <w:rsid w:val="004D126A"/>
    <w:rsid w:val="004D404E"/>
    <w:rsid w:val="004E0222"/>
    <w:rsid w:val="004E0369"/>
    <w:rsid w:val="004E29F9"/>
    <w:rsid w:val="004E7C7E"/>
    <w:rsid w:val="004F0173"/>
    <w:rsid w:val="004F770D"/>
    <w:rsid w:val="0050076A"/>
    <w:rsid w:val="00504961"/>
    <w:rsid w:val="005224AD"/>
    <w:rsid w:val="00530067"/>
    <w:rsid w:val="0056535A"/>
    <w:rsid w:val="00592DB4"/>
    <w:rsid w:val="005A0B16"/>
    <w:rsid w:val="005A1A89"/>
    <w:rsid w:val="005A3221"/>
    <w:rsid w:val="005A603C"/>
    <w:rsid w:val="005B2AA9"/>
    <w:rsid w:val="005E31E8"/>
    <w:rsid w:val="005E674D"/>
    <w:rsid w:val="00601766"/>
    <w:rsid w:val="00616195"/>
    <w:rsid w:val="00617C72"/>
    <w:rsid w:val="006214B0"/>
    <w:rsid w:val="00625F7B"/>
    <w:rsid w:val="00636C72"/>
    <w:rsid w:val="00655167"/>
    <w:rsid w:val="00683030"/>
    <w:rsid w:val="006853DE"/>
    <w:rsid w:val="00690791"/>
    <w:rsid w:val="00690F50"/>
    <w:rsid w:val="00696A44"/>
    <w:rsid w:val="006B356C"/>
    <w:rsid w:val="006C0FBD"/>
    <w:rsid w:val="006C569C"/>
    <w:rsid w:val="006D1DF2"/>
    <w:rsid w:val="006E25DE"/>
    <w:rsid w:val="006E61A4"/>
    <w:rsid w:val="006E67E3"/>
    <w:rsid w:val="00702C59"/>
    <w:rsid w:val="00702E9F"/>
    <w:rsid w:val="00721B41"/>
    <w:rsid w:val="00724A5D"/>
    <w:rsid w:val="00727844"/>
    <w:rsid w:val="00730108"/>
    <w:rsid w:val="0073450A"/>
    <w:rsid w:val="007425F0"/>
    <w:rsid w:val="0074385D"/>
    <w:rsid w:val="00755230"/>
    <w:rsid w:val="00762986"/>
    <w:rsid w:val="0077277C"/>
    <w:rsid w:val="00777DA8"/>
    <w:rsid w:val="007864C8"/>
    <w:rsid w:val="00790FC7"/>
    <w:rsid w:val="00796378"/>
    <w:rsid w:val="007A741D"/>
    <w:rsid w:val="007A7583"/>
    <w:rsid w:val="007B1953"/>
    <w:rsid w:val="007B3EA5"/>
    <w:rsid w:val="007C1B52"/>
    <w:rsid w:val="007D0353"/>
    <w:rsid w:val="007D0578"/>
    <w:rsid w:val="007E6953"/>
    <w:rsid w:val="007F4425"/>
    <w:rsid w:val="00802F05"/>
    <w:rsid w:val="00803081"/>
    <w:rsid w:val="0080597E"/>
    <w:rsid w:val="00822C6F"/>
    <w:rsid w:val="008234D6"/>
    <w:rsid w:val="00826377"/>
    <w:rsid w:val="00832E53"/>
    <w:rsid w:val="00836717"/>
    <w:rsid w:val="00852164"/>
    <w:rsid w:val="00876F70"/>
    <w:rsid w:val="00884527"/>
    <w:rsid w:val="008872BE"/>
    <w:rsid w:val="008A36C2"/>
    <w:rsid w:val="008A48EA"/>
    <w:rsid w:val="008D32E0"/>
    <w:rsid w:val="008E6349"/>
    <w:rsid w:val="008F135E"/>
    <w:rsid w:val="00906675"/>
    <w:rsid w:val="00912BF3"/>
    <w:rsid w:val="00920C43"/>
    <w:rsid w:val="009529E7"/>
    <w:rsid w:val="00961885"/>
    <w:rsid w:val="00966D2C"/>
    <w:rsid w:val="00971F00"/>
    <w:rsid w:val="009814E1"/>
    <w:rsid w:val="0098387A"/>
    <w:rsid w:val="00985C42"/>
    <w:rsid w:val="0099533F"/>
    <w:rsid w:val="00995572"/>
    <w:rsid w:val="009B0691"/>
    <w:rsid w:val="009B2244"/>
    <w:rsid w:val="009D570E"/>
    <w:rsid w:val="009E0EC6"/>
    <w:rsid w:val="009F0C4A"/>
    <w:rsid w:val="009F7B6E"/>
    <w:rsid w:val="009F7F14"/>
    <w:rsid w:val="00A22F62"/>
    <w:rsid w:val="00A44D5F"/>
    <w:rsid w:val="00A53BE2"/>
    <w:rsid w:val="00A803B5"/>
    <w:rsid w:val="00A86932"/>
    <w:rsid w:val="00A92A05"/>
    <w:rsid w:val="00AA0037"/>
    <w:rsid w:val="00AB044A"/>
    <w:rsid w:val="00AB7494"/>
    <w:rsid w:val="00AC2A30"/>
    <w:rsid w:val="00AE3C12"/>
    <w:rsid w:val="00AE657D"/>
    <w:rsid w:val="00AF7B97"/>
    <w:rsid w:val="00B20B1D"/>
    <w:rsid w:val="00B21665"/>
    <w:rsid w:val="00B26F92"/>
    <w:rsid w:val="00B424AA"/>
    <w:rsid w:val="00B60950"/>
    <w:rsid w:val="00B66575"/>
    <w:rsid w:val="00B70416"/>
    <w:rsid w:val="00B72391"/>
    <w:rsid w:val="00B91605"/>
    <w:rsid w:val="00B929E5"/>
    <w:rsid w:val="00B92CED"/>
    <w:rsid w:val="00BB44ED"/>
    <w:rsid w:val="00BC1A4E"/>
    <w:rsid w:val="00BC2C2C"/>
    <w:rsid w:val="00BD0A2B"/>
    <w:rsid w:val="00BD1073"/>
    <w:rsid w:val="00BD306F"/>
    <w:rsid w:val="00BE2EE8"/>
    <w:rsid w:val="00BE7A1F"/>
    <w:rsid w:val="00C1417E"/>
    <w:rsid w:val="00C3000A"/>
    <w:rsid w:val="00C51E69"/>
    <w:rsid w:val="00C52DEC"/>
    <w:rsid w:val="00C7285A"/>
    <w:rsid w:val="00C85A67"/>
    <w:rsid w:val="00CA29C8"/>
    <w:rsid w:val="00CB726A"/>
    <w:rsid w:val="00CB7BF8"/>
    <w:rsid w:val="00CC24B2"/>
    <w:rsid w:val="00CC2AAC"/>
    <w:rsid w:val="00CC3ABA"/>
    <w:rsid w:val="00CD3FC3"/>
    <w:rsid w:val="00CE4BDD"/>
    <w:rsid w:val="00CF0ABE"/>
    <w:rsid w:val="00CF45B8"/>
    <w:rsid w:val="00CF53F8"/>
    <w:rsid w:val="00D6409B"/>
    <w:rsid w:val="00D8522D"/>
    <w:rsid w:val="00D86AB6"/>
    <w:rsid w:val="00D9534C"/>
    <w:rsid w:val="00DB3EBF"/>
    <w:rsid w:val="00DB7076"/>
    <w:rsid w:val="00DF51F0"/>
    <w:rsid w:val="00E018C6"/>
    <w:rsid w:val="00E40B1B"/>
    <w:rsid w:val="00E44041"/>
    <w:rsid w:val="00E454D8"/>
    <w:rsid w:val="00E559D6"/>
    <w:rsid w:val="00E642A6"/>
    <w:rsid w:val="00E67CA2"/>
    <w:rsid w:val="00E82E32"/>
    <w:rsid w:val="00E82F5C"/>
    <w:rsid w:val="00E92B33"/>
    <w:rsid w:val="00E94C72"/>
    <w:rsid w:val="00E974B8"/>
    <w:rsid w:val="00EB2FB5"/>
    <w:rsid w:val="00EC5059"/>
    <w:rsid w:val="00EE2B67"/>
    <w:rsid w:val="00EF5A05"/>
    <w:rsid w:val="00EF68A8"/>
    <w:rsid w:val="00EF7C9F"/>
    <w:rsid w:val="00F10246"/>
    <w:rsid w:val="00F15122"/>
    <w:rsid w:val="00F16145"/>
    <w:rsid w:val="00F25FE0"/>
    <w:rsid w:val="00F26F82"/>
    <w:rsid w:val="00F42B0C"/>
    <w:rsid w:val="00F5088D"/>
    <w:rsid w:val="00F61C8C"/>
    <w:rsid w:val="00F70C1C"/>
    <w:rsid w:val="00F7244F"/>
    <w:rsid w:val="00F9334C"/>
    <w:rsid w:val="00F97BCC"/>
    <w:rsid w:val="00FA6229"/>
    <w:rsid w:val="00FD7017"/>
    <w:rsid w:val="00FE4659"/>
    <w:rsid w:val="00FF059F"/>
    <w:rsid w:val="00FF7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1285928-49EE-40A9-A57A-57C9FCEBD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64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64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46411"/>
    <w:rPr>
      <w:rFonts w:asciiTheme="majorHAnsi" w:eastAsiaTheme="majorEastAsia" w:hAnsiTheme="majorHAnsi" w:cstheme="majorBidi"/>
      <w:color w:val="17365D" w:themeColor="text2" w:themeShade="BF"/>
      <w:spacing w:val="5"/>
      <w:kern w:val="28"/>
      <w:sz w:val="52"/>
      <w:szCs w:val="52"/>
    </w:rPr>
  </w:style>
  <w:style w:type="paragraph" w:styleId="FootnoteText">
    <w:name w:val="footnote text"/>
    <w:basedOn w:val="Normal"/>
    <w:link w:val="FootnoteTextChar"/>
    <w:uiPriority w:val="99"/>
    <w:semiHidden/>
    <w:unhideWhenUsed/>
    <w:rsid w:val="001464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6411"/>
    <w:rPr>
      <w:sz w:val="20"/>
      <w:szCs w:val="20"/>
    </w:rPr>
  </w:style>
  <w:style w:type="character" w:styleId="FootnoteReference">
    <w:name w:val="footnote reference"/>
    <w:basedOn w:val="DefaultParagraphFont"/>
    <w:uiPriority w:val="99"/>
    <w:semiHidden/>
    <w:unhideWhenUsed/>
    <w:rsid w:val="00146411"/>
    <w:rPr>
      <w:vertAlign w:val="superscript"/>
    </w:rPr>
  </w:style>
  <w:style w:type="paragraph" w:styleId="ListParagraph">
    <w:name w:val="List Paragraph"/>
    <w:basedOn w:val="Normal"/>
    <w:uiPriority w:val="34"/>
    <w:qFormat/>
    <w:rsid w:val="00146411"/>
    <w:pPr>
      <w:ind w:left="720"/>
      <w:contextualSpacing/>
    </w:pPr>
  </w:style>
  <w:style w:type="paragraph" w:styleId="Header">
    <w:name w:val="header"/>
    <w:basedOn w:val="Normal"/>
    <w:link w:val="HeaderChar"/>
    <w:uiPriority w:val="99"/>
    <w:unhideWhenUsed/>
    <w:rsid w:val="001464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411"/>
  </w:style>
  <w:style w:type="paragraph" w:styleId="Footer">
    <w:name w:val="footer"/>
    <w:basedOn w:val="Normal"/>
    <w:link w:val="FooterChar"/>
    <w:uiPriority w:val="99"/>
    <w:unhideWhenUsed/>
    <w:rsid w:val="001464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411"/>
  </w:style>
  <w:style w:type="paragraph" w:styleId="BalloonText">
    <w:name w:val="Balloon Text"/>
    <w:basedOn w:val="Normal"/>
    <w:link w:val="BalloonTextChar"/>
    <w:uiPriority w:val="99"/>
    <w:semiHidden/>
    <w:unhideWhenUsed/>
    <w:rsid w:val="007C1B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B52"/>
    <w:rPr>
      <w:rFonts w:ascii="Tahoma" w:hAnsi="Tahoma" w:cs="Tahoma"/>
      <w:sz w:val="16"/>
      <w:szCs w:val="16"/>
    </w:rPr>
  </w:style>
  <w:style w:type="paragraph" w:styleId="NormalWeb">
    <w:name w:val="Normal (Web)"/>
    <w:basedOn w:val="Normal"/>
    <w:uiPriority w:val="99"/>
    <w:unhideWhenUsed/>
    <w:rsid w:val="00FF059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F059F"/>
    <w:rPr>
      <w:i/>
      <w:iCs/>
    </w:rPr>
  </w:style>
  <w:style w:type="paragraph" w:styleId="NoSpacing">
    <w:name w:val="No Spacing"/>
    <w:uiPriority w:val="1"/>
    <w:qFormat/>
    <w:rsid w:val="00061AC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833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FFBD93-4454-43AC-B306-468614C63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1916</Words>
  <Characters>10925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jsc</dc:creator>
  <cp:lastModifiedBy>Zimlii</cp:lastModifiedBy>
  <cp:revision>2</cp:revision>
  <cp:lastPrinted>2018-02-08T07:42:00Z</cp:lastPrinted>
  <dcterms:created xsi:type="dcterms:W3CDTF">2018-11-26T07:47:00Z</dcterms:created>
  <dcterms:modified xsi:type="dcterms:W3CDTF">2018-11-26T07:47:00Z</dcterms:modified>
</cp:coreProperties>
</file>