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353FD" w14:textId="77777777" w:rsidR="009D791A" w:rsidRDefault="009D791A">
      <w:pPr>
        <w:pStyle w:val="Body"/>
        <w:spacing w:after="0" w:line="480" w:lineRule="auto"/>
        <w:jc w:val="both"/>
        <w:rPr>
          <w:rFonts w:ascii="Times New Roman" w:eastAsia="Times New Roman" w:hAnsi="Times New Roman" w:cs="Times New Roman"/>
          <w:sz w:val="24"/>
          <w:szCs w:val="24"/>
          <w:lang w:val="en-US"/>
        </w:rPr>
      </w:pPr>
    </w:p>
    <w:p w14:paraId="3E7A1070" w14:textId="76716960" w:rsidR="009D791A" w:rsidRPr="007F58EA" w:rsidRDefault="007F58EA">
      <w:pPr>
        <w:pStyle w:val="Body"/>
        <w:spacing w:after="0" w:line="480" w:lineRule="auto"/>
        <w:jc w:val="both"/>
        <w:rPr>
          <w:rFonts w:ascii="Times New Roman" w:eastAsia="Times New Roman" w:hAnsi="Times New Roman" w:cs="Times New Roman"/>
          <w:b/>
          <w:sz w:val="24"/>
          <w:szCs w:val="24"/>
          <w:lang w:val="en-US"/>
        </w:rPr>
      </w:pPr>
      <w:r w:rsidRPr="007F58EA">
        <w:rPr>
          <w:rFonts w:ascii="Times New Roman" w:eastAsia="Times New Roman" w:hAnsi="Times New Roman" w:cs="Times New Roman"/>
          <w:b/>
          <w:sz w:val="24"/>
          <w:szCs w:val="24"/>
          <w:u w:val="single"/>
          <w:lang w:val="en-US"/>
        </w:rPr>
        <w:t>REPORTABLE</w:t>
      </w:r>
      <w:r w:rsidRPr="007F58EA">
        <w:rPr>
          <w:rFonts w:ascii="Times New Roman" w:eastAsia="Times New Roman" w:hAnsi="Times New Roman" w:cs="Times New Roman"/>
          <w:b/>
          <w:sz w:val="24"/>
          <w:szCs w:val="24"/>
          <w:lang w:val="en-US"/>
        </w:rPr>
        <w:tab/>
        <w:t>(</w:t>
      </w:r>
      <w:r w:rsidR="00F30A80">
        <w:rPr>
          <w:rFonts w:ascii="Times New Roman" w:eastAsia="Times New Roman" w:hAnsi="Times New Roman" w:cs="Times New Roman"/>
          <w:b/>
          <w:sz w:val="24"/>
          <w:szCs w:val="24"/>
          <w:lang w:val="en-US"/>
        </w:rPr>
        <w:t>3</w:t>
      </w:r>
      <w:r w:rsidRPr="007F58EA">
        <w:rPr>
          <w:rFonts w:ascii="Times New Roman" w:eastAsia="Times New Roman" w:hAnsi="Times New Roman" w:cs="Times New Roman"/>
          <w:b/>
          <w:sz w:val="24"/>
          <w:szCs w:val="24"/>
          <w:lang w:val="en-US"/>
        </w:rPr>
        <w:t>)</w:t>
      </w:r>
    </w:p>
    <w:p w14:paraId="6BD57885" w14:textId="77777777" w:rsidR="009D791A" w:rsidRDefault="009D791A">
      <w:pPr>
        <w:pStyle w:val="Body"/>
        <w:spacing w:after="0" w:line="480" w:lineRule="auto"/>
        <w:jc w:val="both"/>
        <w:rPr>
          <w:rFonts w:ascii="Times New Roman" w:eastAsia="Times New Roman" w:hAnsi="Times New Roman" w:cs="Times New Roman"/>
          <w:sz w:val="24"/>
          <w:szCs w:val="24"/>
          <w:lang w:val="en-US"/>
        </w:rPr>
      </w:pPr>
    </w:p>
    <w:p w14:paraId="777D6C5E" w14:textId="6FE372EE" w:rsidR="009D791A" w:rsidRDefault="00CD0AA0" w:rsidP="00CD0AA0">
      <w:pPr>
        <w:pStyle w:val="Body"/>
        <w:numPr>
          <w:ilvl w:val="0"/>
          <w:numId w:val="30"/>
        </w:numPr>
        <w:spacing w:after="0" w:line="240" w:lineRule="auto"/>
        <w:rPr>
          <w:rFonts w:ascii="Times New Roman" w:hAnsi="Times New Roman"/>
          <w:b/>
          <w:bCs/>
          <w:sz w:val="24"/>
          <w:szCs w:val="24"/>
          <w:lang w:val="en-US"/>
        </w:rPr>
      </w:pPr>
      <w:r>
        <w:rPr>
          <w:rFonts w:ascii="Times New Roman" w:hAnsi="Times New Roman"/>
          <w:b/>
          <w:bCs/>
          <w:sz w:val="24"/>
          <w:szCs w:val="24"/>
          <w:lang w:val="en-US"/>
        </w:rPr>
        <w:t xml:space="preserve">     COMBINED     HARARE     </w:t>
      </w:r>
      <w:r w:rsidR="007B4448">
        <w:rPr>
          <w:rFonts w:ascii="Times New Roman" w:hAnsi="Times New Roman"/>
          <w:b/>
          <w:bCs/>
          <w:sz w:val="24"/>
          <w:szCs w:val="24"/>
          <w:lang w:val="en-US"/>
        </w:rPr>
        <w:t>RESID</w:t>
      </w:r>
      <w:r>
        <w:rPr>
          <w:rFonts w:ascii="Times New Roman" w:hAnsi="Times New Roman"/>
          <w:b/>
          <w:bCs/>
          <w:sz w:val="24"/>
          <w:szCs w:val="24"/>
          <w:lang w:val="en-US"/>
        </w:rPr>
        <w:t xml:space="preserve">ENTS’     ASSOCIATION     </w:t>
      </w:r>
      <w:r w:rsidR="003E1616">
        <w:rPr>
          <w:rFonts w:ascii="Times New Roman" w:hAnsi="Times New Roman"/>
          <w:b/>
          <w:bCs/>
          <w:sz w:val="24"/>
          <w:szCs w:val="24"/>
          <w:lang w:val="en-US"/>
        </w:rPr>
        <w:t>(2</w:t>
      </w:r>
      <w:r>
        <w:rPr>
          <w:rFonts w:ascii="Times New Roman" w:hAnsi="Times New Roman"/>
          <w:b/>
          <w:bCs/>
          <w:sz w:val="24"/>
          <w:szCs w:val="24"/>
          <w:lang w:val="en-US"/>
        </w:rPr>
        <w:t xml:space="preserve">)     BORROWDALE     </w:t>
      </w:r>
      <w:r w:rsidR="007B4448">
        <w:rPr>
          <w:rFonts w:ascii="Times New Roman" w:hAnsi="Times New Roman"/>
          <w:b/>
          <w:bCs/>
          <w:sz w:val="24"/>
          <w:szCs w:val="24"/>
          <w:lang w:val="en-US"/>
        </w:rPr>
        <w:t>RESIDE</w:t>
      </w:r>
      <w:r>
        <w:rPr>
          <w:rFonts w:ascii="Times New Roman" w:hAnsi="Times New Roman"/>
          <w:b/>
          <w:bCs/>
          <w:sz w:val="24"/>
          <w:szCs w:val="24"/>
          <w:lang w:val="en-US"/>
        </w:rPr>
        <w:t xml:space="preserve">NTS’     ASSOCIATION     </w:t>
      </w:r>
      <w:r w:rsidR="003E1616">
        <w:rPr>
          <w:rFonts w:ascii="Times New Roman" w:hAnsi="Times New Roman"/>
          <w:b/>
          <w:bCs/>
          <w:sz w:val="24"/>
          <w:szCs w:val="24"/>
          <w:lang w:val="en-US"/>
        </w:rPr>
        <w:t>(3)</w:t>
      </w:r>
      <w:r>
        <w:rPr>
          <w:rFonts w:ascii="Times New Roman" w:hAnsi="Times New Roman"/>
          <w:b/>
          <w:bCs/>
          <w:sz w:val="24"/>
          <w:szCs w:val="24"/>
          <w:lang w:val="en-US"/>
        </w:rPr>
        <w:t xml:space="preserve">     CLEVER     RAMBANAPASI     </w:t>
      </w:r>
      <w:r w:rsidR="003E1616">
        <w:rPr>
          <w:rFonts w:ascii="Times New Roman" w:hAnsi="Times New Roman"/>
          <w:b/>
          <w:bCs/>
          <w:sz w:val="24"/>
          <w:szCs w:val="24"/>
          <w:lang w:val="en-US"/>
        </w:rPr>
        <w:t>(4)</w:t>
      </w:r>
      <w:r>
        <w:rPr>
          <w:rFonts w:ascii="Times New Roman" w:hAnsi="Times New Roman"/>
          <w:b/>
          <w:bCs/>
          <w:sz w:val="24"/>
          <w:szCs w:val="24"/>
          <w:lang w:val="en-US"/>
        </w:rPr>
        <w:t xml:space="preserve">     IAN     MAKONE     </w:t>
      </w:r>
      <w:r w:rsidR="003E1616">
        <w:rPr>
          <w:rFonts w:ascii="Times New Roman" w:hAnsi="Times New Roman"/>
          <w:b/>
          <w:bCs/>
          <w:sz w:val="24"/>
          <w:szCs w:val="24"/>
          <w:lang w:val="en-US"/>
        </w:rPr>
        <w:t>(5)</w:t>
      </w:r>
      <w:r>
        <w:rPr>
          <w:rFonts w:ascii="Times New Roman" w:hAnsi="Times New Roman"/>
          <w:b/>
          <w:bCs/>
          <w:sz w:val="24"/>
          <w:szCs w:val="24"/>
          <w:lang w:val="en-US"/>
        </w:rPr>
        <w:t xml:space="preserve">     ELVIS     </w:t>
      </w:r>
      <w:r w:rsidR="007B4448">
        <w:rPr>
          <w:rFonts w:ascii="Times New Roman" w:hAnsi="Times New Roman"/>
          <w:b/>
          <w:bCs/>
          <w:sz w:val="24"/>
          <w:szCs w:val="24"/>
          <w:lang w:val="en-US"/>
        </w:rPr>
        <w:t>RUZANE</w:t>
      </w:r>
    </w:p>
    <w:p w14:paraId="1FA7C4E9" w14:textId="77777777" w:rsidR="007F58EA" w:rsidRDefault="007F58EA">
      <w:pPr>
        <w:pStyle w:val="Body"/>
        <w:spacing w:after="0" w:line="240" w:lineRule="auto"/>
        <w:jc w:val="center"/>
        <w:rPr>
          <w:rFonts w:ascii="Times New Roman" w:eastAsia="Times New Roman" w:hAnsi="Times New Roman" w:cs="Times New Roman"/>
          <w:b/>
          <w:bCs/>
          <w:sz w:val="24"/>
          <w:szCs w:val="24"/>
        </w:rPr>
      </w:pPr>
    </w:p>
    <w:p w14:paraId="21B33B46" w14:textId="3A013896" w:rsidR="009D791A" w:rsidRDefault="007F58EA">
      <w:pPr>
        <w:pStyle w:val="Body"/>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v</w:t>
      </w:r>
    </w:p>
    <w:p w14:paraId="0239E2D5" w14:textId="77777777" w:rsidR="007F58EA" w:rsidRDefault="007F58EA">
      <w:pPr>
        <w:pStyle w:val="Body"/>
        <w:spacing w:after="0" w:line="240" w:lineRule="auto"/>
        <w:jc w:val="center"/>
        <w:rPr>
          <w:rFonts w:ascii="Times New Roman" w:eastAsia="Times New Roman" w:hAnsi="Times New Roman" w:cs="Times New Roman"/>
          <w:b/>
          <w:bCs/>
          <w:sz w:val="24"/>
          <w:szCs w:val="24"/>
        </w:rPr>
      </w:pPr>
    </w:p>
    <w:p w14:paraId="73F5C046" w14:textId="6456938A" w:rsidR="009D791A" w:rsidRDefault="00CD0AA0">
      <w:pPr>
        <w:pStyle w:val="Body"/>
        <w:spacing w:after="0" w:line="240" w:lineRule="auto"/>
        <w:jc w:val="center"/>
        <w:rPr>
          <w:rFonts w:ascii="Times New Roman" w:eastAsia="Times New Roman" w:hAnsi="Times New Roman" w:cs="Times New Roman"/>
          <w:b/>
          <w:bCs/>
          <w:sz w:val="24"/>
          <w:szCs w:val="24"/>
        </w:rPr>
      </w:pPr>
      <w:r>
        <w:rPr>
          <w:rFonts w:ascii="Times New Roman" w:hAnsi="Times New Roman"/>
          <w:b/>
          <w:bCs/>
          <w:sz w:val="24"/>
          <w:szCs w:val="24"/>
          <w:lang w:val="en-US"/>
        </w:rPr>
        <w:t xml:space="preserve">THE      MINISTER     OF      LOCAL     GOVERNMENT,     PUBLIC     WORKS     AND     NATIONAL     </w:t>
      </w:r>
      <w:r w:rsidR="007B4448">
        <w:rPr>
          <w:rFonts w:ascii="Times New Roman" w:hAnsi="Times New Roman"/>
          <w:b/>
          <w:bCs/>
          <w:sz w:val="24"/>
          <w:szCs w:val="24"/>
          <w:lang w:val="en-US"/>
        </w:rPr>
        <w:t>HOUSING</w:t>
      </w:r>
      <w:r w:rsidR="007B4448">
        <w:rPr>
          <w:rFonts w:ascii="Times New Roman" w:eastAsia="Times New Roman" w:hAnsi="Times New Roman" w:cs="Times New Roman"/>
          <w:b/>
          <w:bCs/>
          <w:sz w:val="24"/>
          <w:szCs w:val="24"/>
        </w:rPr>
        <w:br/>
      </w:r>
      <w:bookmarkStart w:id="0" w:name="_GoBack"/>
      <w:bookmarkEnd w:id="0"/>
    </w:p>
    <w:p w14:paraId="35DE2116" w14:textId="77777777" w:rsidR="009D791A" w:rsidRDefault="009D791A">
      <w:pPr>
        <w:pStyle w:val="Body"/>
        <w:spacing w:after="0" w:line="480" w:lineRule="auto"/>
        <w:jc w:val="center"/>
        <w:rPr>
          <w:rFonts w:ascii="Times New Roman" w:eastAsia="Times New Roman" w:hAnsi="Times New Roman" w:cs="Times New Roman"/>
          <w:sz w:val="24"/>
          <w:szCs w:val="24"/>
          <w:lang w:val="en-US"/>
        </w:rPr>
      </w:pPr>
    </w:p>
    <w:p w14:paraId="25A812F3" w14:textId="77777777" w:rsidR="009D791A" w:rsidRDefault="009D791A">
      <w:pPr>
        <w:pStyle w:val="Body"/>
        <w:spacing w:after="0" w:line="480" w:lineRule="auto"/>
        <w:jc w:val="both"/>
        <w:rPr>
          <w:rFonts w:ascii="Times New Roman" w:eastAsia="Times New Roman" w:hAnsi="Times New Roman" w:cs="Times New Roman"/>
          <w:sz w:val="24"/>
          <w:szCs w:val="24"/>
          <w:lang w:val="en-US"/>
        </w:rPr>
      </w:pPr>
    </w:p>
    <w:p w14:paraId="3BEBB278" w14:textId="77777777" w:rsidR="009D791A" w:rsidRDefault="007B4448">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CONSITUTIONAL COURT OF ZIMBABWE</w:t>
      </w:r>
    </w:p>
    <w:p w14:paraId="5C2A764A" w14:textId="77777777" w:rsidR="009D791A" w:rsidRDefault="007B4448">
      <w:pPr>
        <w:pStyle w:val="Body"/>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GWAUNZA DCJ, GARWE JCC, MAKARAU JCC, GOWORA JCC, HLATSHWAYO JCC, PATEL JCC &amp; MATHONSI AJCC</w:t>
      </w:r>
    </w:p>
    <w:p w14:paraId="6408E6C6" w14:textId="595EEDE8" w:rsidR="009D791A" w:rsidRDefault="007B4448">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 xml:space="preserve">HARARE 26 JULY 2023 AND </w:t>
      </w:r>
      <w:r w:rsidR="00913AE9">
        <w:rPr>
          <w:rFonts w:ascii="Times New Roman" w:hAnsi="Times New Roman"/>
          <w:b/>
          <w:bCs/>
          <w:sz w:val="24"/>
          <w:szCs w:val="24"/>
          <w:lang w:val="en-US"/>
        </w:rPr>
        <w:t>6</w:t>
      </w:r>
      <w:r w:rsidR="00E662B5">
        <w:rPr>
          <w:rFonts w:ascii="Times New Roman" w:hAnsi="Times New Roman"/>
          <w:b/>
          <w:bCs/>
          <w:sz w:val="24"/>
          <w:szCs w:val="24"/>
          <w:lang w:val="en-US"/>
        </w:rPr>
        <w:t xml:space="preserve"> FEBRUARY</w:t>
      </w:r>
      <w:r>
        <w:rPr>
          <w:rFonts w:ascii="Times New Roman" w:hAnsi="Times New Roman"/>
          <w:b/>
          <w:bCs/>
          <w:sz w:val="24"/>
          <w:szCs w:val="24"/>
          <w:lang w:val="en-US"/>
        </w:rPr>
        <w:t xml:space="preserve"> 2024.</w:t>
      </w:r>
    </w:p>
    <w:p w14:paraId="448A175E" w14:textId="77777777" w:rsidR="009D791A" w:rsidRDefault="009D791A">
      <w:pPr>
        <w:pStyle w:val="Body"/>
        <w:spacing w:after="0" w:line="480" w:lineRule="auto"/>
        <w:jc w:val="both"/>
        <w:rPr>
          <w:rFonts w:ascii="Times New Roman" w:eastAsia="Times New Roman" w:hAnsi="Times New Roman" w:cs="Times New Roman"/>
          <w:b/>
          <w:bCs/>
          <w:sz w:val="24"/>
          <w:szCs w:val="24"/>
          <w:lang w:val="en-US"/>
        </w:rPr>
      </w:pPr>
    </w:p>
    <w:p w14:paraId="00AF3809" w14:textId="77777777" w:rsidR="009D791A" w:rsidRDefault="007B4448">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Confirmation of order of constitutional invalidity.</w:t>
      </w:r>
    </w:p>
    <w:p w14:paraId="5D055E4D" w14:textId="77777777" w:rsidR="009D791A" w:rsidRDefault="009D791A">
      <w:pPr>
        <w:pStyle w:val="Body"/>
        <w:spacing w:after="0" w:line="480" w:lineRule="auto"/>
        <w:jc w:val="both"/>
        <w:rPr>
          <w:rFonts w:ascii="Times New Roman" w:eastAsia="Times New Roman" w:hAnsi="Times New Roman" w:cs="Times New Roman"/>
          <w:sz w:val="24"/>
          <w:szCs w:val="24"/>
          <w:lang w:val="en-US"/>
        </w:rPr>
      </w:pPr>
    </w:p>
    <w:p w14:paraId="31FF902F" w14:textId="77777777" w:rsidR="009D791A" w:rsidRDefault="007B4448">
      <w:pPr>
        <w:pStyle w:val="Body"/>
        <w:spacing w:after="0" w:line="480" w:lineRule="auto"/>
        <w:jc w:val="both"/>
        <w:rPr>
          <w:rFonts w:ascii="Times New Roman" w:eastAsia="Times New Roman" w:hAnsi="Times New Roman" w:cs="Times New Roman"/>
          <w:sz w:val="24"/>
          <w:szCs w:val="24"/>
        </w:rPr>
      </w:pPr>
      <w:r>
        <w:rPr>
          <w:rFonts w:ascii="Times New Roman" w:hAnsi="Times New Roman"/>
          <w:i/>
          <w:iCs/>
          <w:sz w:val="24"/>
          <w:szCs w:val="24"/>
          <w:lang w:val="en-US"/>
        </w:rPr>
        <w:t>L. Madhuku,</w:t>
      </w:r>
      <w:r>
        <w:rPr>
          <w:rFonts w:ascii="Times New Roman" w:hAnsi="Times New Roman"/>
          <w:sz w:val="24"/>
          <w:szCs w:val="24"/>
          <w:lang w:val="en-US"/>
        </w:rPr>
        <w:t xml:space="preserve"> for applicants </w:t>
      </w:r>
    </w:p>
    <w:p w14:paraId="344B22B5" w14:textId="77777777" w:rsidR="009D791A" w:rsidRDefault="007B4448">
      <w:pPr>
        <w:pStyle w:val="Body"/>
        <w:spacing w:after="0" w:line="480" w:lineRule="auto"/>
        <w:jc w:val="both"/>
        <w:rPr>
          <w:rFonts w:ascii="Times New Roman" w:eastAsia="Times New Roman" w:hAnsi="Times New Roman" w:cs="Times New Roman"/>
          <w:sz w:val="24"/>
          <w:szCs w:val="24"/>
        </w:rPr>
      </w:pPr>
      <w:r>
        <w:rPr>
          <w:rFonts w:ascii="Times New Roman" w:hAnsi="Times New Roman"/>
          <w:i/>
          <w:iCs/>
          <w:sz w:val="24"/>
          <w:szCs w:val="24"/>
          <w:lang w:val="en-US"/>
        </w:rPr>
        <w:t>L. Uriri,</w:t>
      </w:r>
      <w:r>
        <w:rPr>
          <w:rFonts w:ascii="Times New Roman" w:hAnsi="Times New Roman"/>
          <w:sz w:val="24"/>
          <w:szCs w:val="24"/>
          <w:lang w:val="en-US"/>
        </w:rPr>
        <w:t xml:space="preserve"> for respondent.</w:t>
      </w:r>
    </w:p>
    <w:p w14:paraId="417F461B" w14:textId="77777777" w:rsidR="009D791A" w:rsidRDefault="009D791A">
      <w:pPr>
        <w:pStyle w:val="Body"/>
        <w:spacing w:after="0" w:line="480" w:lineRule="auto"/>
        <w:jc w:val="both"/>
        <w:rPr>
          <w:rFonts w:ascii="Times New Roman" w:eastAsia="Times New Roman" w:hAnsi="Times New Roman" w:cs="Times New Roman"/>
          <w:sz w:val="24"/>
          <w:szCs w:val="24"/>
          <w:lang w:val="en-US"/>
        </w:rPr>
      </w:pPr>
    </w:p>
    <w:p w14:paraId="4AB1572B" w14:textId="77777777" w:rsidR="009D791A" w:rsidRDefault="007B4448">
      <w:pPr>
        <w:pStyle w:val="Body"/>
        <w:spacing w:after="0" w:line="480" w:lineRule="auto"/>
        <w:jc w:val="both"/>
        <w:rPr>
          <w:rFonts w:ascii="Times New Roman" w:eastAsia="Times New Roman" w:hAnsi="Times New Roman" w:cs="Times New Roman"/>
          <w:b/>
          <w:bCs/>
          <w:sz w:val="24"/>
          <w:szCs w:val="24"/>
        </w:rPr>
      </w:pPr>
      <w:r>
        <w:rPr>
          <w:rFonts w:ascii="Times New Roman" w:hAnsi="Times New Roman"/>
          <w:b/>
          <w:bCs/>
          <w:sz w:val="24"/>
          <w:szCs w:val="24"/>
          <w:lang w:val="en-US"/>
        </w:rPr>
        <w:t>MAKARAU JCC</w:t>
      </w:r>
    </w:p>
    <w:p w14:paraId="76A47A1B" w14:textId="1EED4909" w:rsidR="00A41803" w:rsidRPr="00A41803" w:rsidRDefault="00A41803">
      <w:pPr>
        <w:pStyle w:val="Body"/>
        <w:spacing w:after="0" w:line="480" w:lineRule="auto"/>
        <w:jc w:val="both"/>
        <w:rPr>
          <w:rFonts w:ascii="Times New Roman" w:hAnsi="Times New Roman"/>
          <w:b/>
          <w:bCs/>
          <w:sz w:val="24"/>
          <w:szCs w:val="24"/>
          <w:u w:val="single"/>
          <w:lang w:val="en-US"/>
        </w:rPr>
      </w:pPr>
      <w:r w:rsidRPr="00A41803">
        <w:rPr>
          <w:rFonts w:ascii="Times New Roman" w:hAnsi="Times New Roman"/>
          <w:b/>
          <w:bCs/>
          <w:sz w:val="24"/>
          <w:szCs w:val="24"/>
          <w:u w:val="single"/>
          <w:lang w:val="en-US"/>
        </w:rPr>
        <w:t>INTRODUCTION</w:t>
      </w:r>
    </w:p>
    <w:p w14:paraId="4B983912" w14:textId="558A1AC6" w:rsidR="009D791A" w:rsidRDefault="007B4448">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t>On 11 January 2023, the High Court issued an order declaring the provisions of s 314 of the Urban Councils Act [</w:t>
      </w:r>
      <w:r w:rsidR="00A41803">
        <w:rPr>
          <w:rFonts w:ascii="Times New Roman" w:hAnsi="Times New Roman"/>
          <w:i/>
          <w:sz w:val="24"/>
          <w:szCs w:val="24"/>
        </w:rPr>
        <w:t>Chapter 29:</w:t>
      </w:r>
      <w:r w:rsidRPr="00A41803">
        <w:rPr>
          <w:rFonts w:ascii="Times New Roman" w:hAnsi="Times New Roman"/>
          <w:i/>
          <w:sz w:val="24"/>
          <w:szCs w:val="24"/>
        </w:rPr>
        <w:t>15</w:t>
      </w:r>
      <w:r>
        <w:rPr>
          <w:rFonts w:ascii="Times New Roman" w:hAnsi="Times New Roman"/>
          <w:sz w:val="24"/>
          <w:szCs w:val="24"/>
        </w:rPr>
        <w:t xml:space="preserve">], (“the Act”), inconsistent with the Constitution and therefore invalid. </w:t>
      </w:r>
    </w:p>
    <w:p w14:paraId="29D24760" w14:textId="77777777" w:rsidR="009D791A" w:rsidRDefault="009D791A">
      <w:pPr>
        <w:pStyle w:val="ListParagraph"/>
        <w:spacing w:after="0" w:line="480" w:lineRule="auto"/>
        <w:jc w:val="both"/>
        <w:rPr>
          <w:rFonts w:ascii="Times New Roman" w:eastAsia="Times New Roman" w:hAnsi="Times New Roman" w:cs="Times New Roman"/>
          <w:sz w:val="24"/>
          <w:szCs w:val="24"/>
        </w:rPr>
      </w:pPr>
    </w:p>
    <w:p w14:paraId="0308ED91"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By deliberate design aimed at ensuring consistency and certainty in the interpretation of the Constitution, it is an imperative of constitutional litigation in this jurisdiction that an order concerning the constitutional invalidity of any law or conduct of the President or Parliament made by any court, must be confirmed by this Court. Unless so confirmed, such order has no force or effect. In turn, the Rules of this Court set out a procedure that directs the clerk or registrar of the court making such an order to place the relevant record of proceedings before this court for the confirmation of the order.  Acting in accordance with this procedure, the Registrar of the High Court placed this matter before the Court for an appropriate order. </w:t>
      </w:r>
    </w:p>
    <w:p w14:paraId="088E964A" w14:textId="77777777" w:rsidR="009D791A" w:rsidRDefault="009D791A">
      <w:pPr>
        <w:pStyle w:val="ListParagraph"/>
        <w:jc w:val="both"/>
        <w:rPr>
          <w:rFonts w:ascii="Times New Roman" w:eastAsia="Times New Roman" w:hAnsi="Times New Roman" w:cs="Times New Roman"/>
          <w:sz w:val="24"/>
          <w:szCs w:val="24"/>
        </w:rPr>
      </w:pPr>
    </w:p>
    <w:p w14:paraId="61285AB7"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This is the judgment of the Court in the confirmation proceedings.</w:t>
      </w:r>
    </w:p>
    <w:p w14:paraId="642D1A67" w14:textId="77777777" w:rsidR="009D791A" w:rsidRDefault="009D791A">
      <w:pPr>
        <w:pStyle w:val="Body"/>
        <w:spacing w:after="0" w:line="480" w:lineRule="auto"/>
        <w:jc w:val="both"/>
        <w:rPr>
          <w:rFonts w:ascii="Times New Roman" w:eastAsia="Times New Roman" w:hAnsi="Times New Roman" w:cs="Times New Roman"/>
          <w:b/>
          <w:bCs/>
          <w:sz w:val="24"/>
          <w:szCs w:val="24"/>
          <w:lang w:val="en-US"/>
        </w:rPr>
      </w:pPr>
    </w:p>
    <w:p w14:paraId="315ABC9B" w14:textId="2CAC7FEC" w:rsidR="009D791A" w:rsidRPr="00EA4EE6" w:rsidRDefault="00EA4EE6">
      <w:pPr>
        <w:pStyle w:val="Body"/>
        <w:spacing w:after="0" w:line="480" w:lineRule="auto"/>
        <w:jc w:val="both"/>
        <w:rPr>
          <w:rFonts w:ascii="Times New Roman" w:eastAsia="Times New Roman" w:hAnsi="Times New Roman" w:cs="Times New Roman"/>
          <w:sz w:val="24"/>
          <w:szCs w:val="24"/>
          <w:u w:val="single"/>
        </w:rPr>
      </w:pPr>
      <w:r w:rsidRPr="00EA4EE6">
        <w:rPr>
          <w:rFonts w:ascii="Times New Roman" w:hAnsi="Times New Roman"/>
          <w:b/>
          <w:bCs/>
          <w:sz w:val="24"/>
          <w:szCs w:val="24"/>
          <w:u w:val="single"/>
          <w:lang w:val="en-US"/>
        </w:rPr>
        <w:t>BACKGROUND FACTS</w:t>
      </w:r>
    </w:p>
    <w:p w14:paraId="01026253" w14:textId="32857C26"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The first applicant as its name denotes, is an amalgam of Residents’ and Rates Payers’ Associations in the Harare Metropolitan area. It is a voluntary association. The second applicant is one of the associations that is a member of the first applicant. It is also a voluntary association. The third applicant is a resident in one of the suburbs of Harare. The fourth and fifth applicants were at the time of the application </w:t>
      </w:r>
      <w:r>
        <w:rPr>
          <w:rFonts w:ascii="Times New Roman" w:hAnsi="Times New Roman"/>
          <w:i/>
          <w:iCs/>
          <w:sz w:val="24"/>
          <w:szCs w:val="24"/>
        </w:rPr>
        <w:t>a quo</w:t>
      </w:r>
      <w:r>
        <w:rPr>
          <w:rFonts w:ascii="Times New Roman" w:hAnsi="Times New Roman"/>
          <w:sz w:val="24"/>
          <w:szCs w:val="24"/>
        </w:rPr>
        <w:t>, elected Council</w:t>
      </w:r>
      <w:r w:rsidR="008A1311">
        <w:rPr>
          <w:rFonts w:ascii="Times New Roman" w:hAnsi="Times New Roman"/>
          <w:sz w:val="24"/>
          <w:szCs w:val="24"/>
        </w:rPr>
        <w:t>l</w:t>
      </w:r>
      <w:r>
        <w:rPr>
          <w:rFonts w:ascii="Times New Roman" w:hAnsi="Times New Roman"/>
          <w:sz w:val="24"/>
          <w:szCs w:val="24"/>
        </w:rPr>
        <w:t>ors in the City of Harare representing Wards 18 and 42 respectively.</w:t>
      </w:r>
    </w:p>
    <w:p w14:paraId="5382BFBA"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5A02178A" w14:textId="77777777" w:rsidR="009D791A" w:rsidRDefault="007B4448">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t xml:space="preserve">The respondent is the Minister of Local Government and Public Works. He is responsible for administering the Act.  Whilst </w:t>
      </w:r>
      <w:r>
        <w:rPr>
          <w:rFonts w:ascii="Times New Roman" w:hAnsi="Times New Roman"/>
          <w:i/>
          <w:iCs/>
          <w:sz w:val="24"/>
          <w:szCs w:val="24"/>
        </w:rPr>
        <w:t>a quo</w:t>
      </w:r>
      <w:r>
        <w:rPr>
          <w:rFonts w:ascii="Times New Roman" w:hAnsi="Times New Roman"/>
          <w:sz w:val="24"/>
          <w:szCs w:val="24"/>
        </w:rPr>
        <w:t xml:space="preserve"> he was cited as the Minister of Local Government, Public Works and National Housing, since October 2022, he is  no longer responsible for the  National Housing portfolio. Nothing however turns on the </w:t>
      </w:r>
      <w:r>
        <w:rPr>
          <w:rFonts w:ascii="Times New Roman" w:hAnsi="Times New Roman"/>
          <w:sz w:val="24"/>
          <w:szCs w:val="24"/>
        </w:rPr>
        <w:lastRenderedPageBreak/>
        <w:t xml:space="preserve">improper or ill-citation of the respondent at the time of the hearing of the matter before us. </w:t>
      </w:r>
    </w:p>
    <w:p w14:paraId="51A449A2" w14:textId="77777777" w:rsidR="009D791A" w:rsidRPr="007F58EA" w:rsidRDefault="009D791A" w:rsidP="007F58EA">
      <w:pPr>
        <w:spacing w:line="480" w:lineRule="auto"/>
        <w:jc w:val="both"/>
        <w:rPr>
          <w:rFonts w:eastAsia="Times New Roman"/>
        </w:rPr>
      </w:pPr>
    </w:p>
    <w:p w14:paraId="26A9BDBF" w14:textId="2B9AC9C9"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On 15 July 2022, the applicants approached the court </w:t>
      </w:r>
      <w:r>
        <w:rPr>
          <w:rFonts w:ascii="Times New Roman" w:hAnsi="Times New Roman"/>
          <w:i/>
          <w:iCs/>
          <w:sz w:val="24"/>
          <w:szCs w:val="24"/>
        </w:rPr>
        <w:t>a quo</w:t>
      </w:r>
      <w:r>
        <w:rPr>
          <w:rFonts w:ascii="Times New Roman" w:hAnsi="Times New Roman"/>
          <w:sz w:val="24"/>
          <w:szCs w:val="24"/>
        </w:rPr>
        <w:t xml:space="preserve"> alleging that s 314 of the Act, is inconsistent with one or more provisions of the Constitution. They contended in the main that the section breaches Chapter 14 of the Constitution which sets up urban local authorities as a distinct institution of local governance. They argued that the impugned law grants undue and excessive powers upon the respondent to interfere with the smooth operations of local authorities as it gives the respondent unnecessary powers to make decision on urban council matters even on non-policy matters.  They further argued that to the extent that the directives made and given by the respondent in terms of the impugned law will interfere with the rights of local authorities to be run and managed by duly elected councillors, the law offends against s 274 of the Constitution which defines the functions of local authorities.</w:t>
      </w:r>
      <w:r w:rsidR="006C6BEA">
        <w:rPr>
          <w:rFonts w:ascii="Times New Roman" w:hAnsi="Times New Roman"/>
          <w:sz w:val="24"/>
          <w:szCs w:val="24"/>
        </w:rPr>
        <w:t xml:space="preserve"> </w:t>
      </w:r>
    </w:p>
    <w:p w14:paraId="58E0FF75" w14:textId="77777777" w:rsidR="009D791A" w:rsidRDefault="009D791A">
      <w:pPr>
        <w:pStyle w:val="Default"/>
        <w:spacing w:line="480" w:lineRule="auto"/>
        <w:ind w:left="709"/>
        <w:jc w:val="both"/>
        <w:rPr>
          <w:rFonts w:ascii="Times New Roman" w:eastAsia="Times New Roman" w:hAnsi="Times New Roman" w:cs="Times New Roman"/>
        </w:rPr>
      </w:pPr>
    </w:p>
    <w:p w14:paraId="4AB518C0"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In addition to raising concerns about the provisions of s 314 of the Act, the applicants contended and alleged in their founding papers that various other laws wrongfully emphasise the subordination of local authorities to central government. They however did not challenge the validity of such laws. </w:t>
      </w:r>
    </w:p>
    <w:p w14:paraId="20835126" w14:textId="77777777" w:rsidR="009D791A" w:rsidRDefault="009D791A">
      <w:pPr>
        <w:pStyle w:val="Default"/>
        <w:spacing w:line="480" w:lineRule="auto"/>
        <w:ind w:left="709"/>
        <w:jc w:val="both"/>
        <w:rPr>
          <w:rFonts w:ascii="Times New Roman" w:eastAsia="Times New Roman" w:hAnsi="Times New Roman" w:cs="Times New Roman"/>
        </w:rPr>
      </w:pPr>
    </w:p>
    <w:p w14:paraId="68CCD8A6"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challenge to the validity of the impugned law was also made against a backdrop of allegations by the applicants that the respondent had used the powers granted to him under the law to interfere in the contractual relationship between the City of Harare and a company called Geogenix BV for the management of waste in the City.  It was alleged as background information that the City of Harare had formed the view that the contract </w:t>
      </w:r>
      <w:r>
        <w:rPr>
          <w:rFonts w:ascii="Times New Roman" w:hAnsi="Times New Roman"/>
        </w:rPr>
        <w:lastRenderedPageBreak/>
        <w:t>between itself and Geogenix BV was onerous. It consequently resolved to rescind the contract. Using his powers under s 314 of the Act, the respondent allegedly directed the City of Harare to reverse its resolutions in this regard.</w:t>
      </w:r>
    </w:p>
    <w:p w14:paraId="15A03AD7" w14:textId="77777777" w:rsidR="009D791A" w:rsidRDefault="009D791A">
      <w:pPr>
        <w:pStyle w:val="Default"/>
        <w:spacing w:line="480" w:lineRule="auto"/>
        <w:ind w:left="709"/>
        <w:jc w:val="both"/>
        <w:rPr>
          <w:rFonts w:ascii="Times New Roman" w:eastAsia="Times New Roman" w:hAnsi="Times New Roman" w:cs="Times New Roman"/>
        </w:rPr>
      </w:pPr>
    </w:p>
    <w:p w14:paraId="3EFDF81D"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The first, second, fourth and fifth applicants, being representatives of rate payers and residents within the Harare Metropolitan area, based their standing to bring the application before the court </w:t>
      </w:r>
      <w:r>
        <w:rPr>
          <w:rFonts w:ascii="Times New Roman" w:hAnsi="Times New Roman"/>
          <w:i/>
          <w:iCs/>
          <w:sz w:val="24"/>
          <w:szCs w:val="24"/>
        </w:rPr>
        <w:t>a quo</w:t>
      </w:r>
      <w:r>
        <w:rPr>
          <w:rFonts w:ascii="Times New Roman" w:hAnsi="Times New Roman"/>
          <w:sz w:val="24"/>
          <w:szCs w:val="24"/>
        </w:rPr>
        <w:t xml:space="preserve"> on their status as such and as the ultimate beneficiaries of all services rendered by the Harare City Council. The third applicant based his status on being a rate payer and resident within the metropolitan area. </w:t>
      </w:r>
    </w:p>
    <w:p w14:paraId="3024383E" w14:textId="77777777" w:rsidR="009D791A" w:rsidRDefault="009D791A">
      <w:pPr>
        <w:pStyle w:val="ListParagraph"/>
        <w:rPr>
          <w:rFonts w:ascii="Times New Roman" w:eastAsia="Times New Roman" w:hAnsi="Times New Roman" w:cs="Times New Roman"/>
          <w:sz w:val="24"/>
          <w:szCs w:val="24"/>
        </w:rPr>
      </w:pPr>
    </w:p>
    <w:p w14:paraId="788E75D7"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application was resisted. </w:t>
      </w:r>
    </w:p>
    <w:p w14:paraId="0C4BB8B6" w14:textId="77777777" w:rsidR="009D791A" w:rsidRDefault="009D791A">
      <w:pPr>
        <w:pStyle w:val="Default"/>
        <w:spacing w:line="480" w:lineRule="auto"/>
        <w:ind w:left="709"/>
        <w:jc w:val="both"/>
        <w:rPr>
          <w:rFonts w:ascii="Times New Roman" w:eastAsia="Times New Roman" w:hAnsi="Times New Roman" w:cs="Times New Roman"/>
        </w:rPr>
      </w:pPr>
    </w:p>
    <w:p w14:paraId="4FF9DE7B"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respondent raised two points </w:t>
      </w:r>
      <w:r>
        <w:rPr>
          <w:rFonts w:ascii="Times New Roman" w:hAnsi="Times New Roman"/>
          <w:i/>
          <w:iCs/>
        </w:rPr>
        <w:t>in limine</w:t>
      </w:r>
      <w:r>
        <w:rPr>
          <w:rFonts w:ascii="Times New Roman" w:hAnsi="Times New Roman"/>
        </w:rPr>
        <w:t xml:space="preserve">. The first related to the </w:t>
      </w:r>
      <w:r w:rsidRPr="00DC3260">
        <w:rPr>
          <w:rFonts w:ascii="Times New Roman" w:hAnsi="Times New Roman"/>
          <w:i/>
        </w:rPr>
        <w:t>locus standi</w:t>
      </w:r>
      <w:r>
        <w:rPr>
          <w:rFonts w:ascii="Times New Roman" w:hAnsi="Times New Roman"/>
        </w:rPr>
        <w:t xml:space="preserve"> of the applicants. The second alleged fatal mis-joinder of the City of Harare and Geogenix BV whose contract had been referred to in the applicants’ founding papers. It was the respondent’s view that the two should have been joined as parties to the proceedings since the order sought by the applicants would impact on their contract. </w:t>
      </w:r>
    </w:p>
    <w:p w14:paraId="3FD8EFA6" w14:textId="77777777" w:rsidR="009D791A" w:rsidRDefault="009D791A">
      <w:pPr>
        <w:pStyle w:val="ListParagraph"/>
        <w:rPr>
          <w:rFonts w:ascii="Times New Roman" w:eastAsia="Times New Roman" w:hAnsi="Times New Roman" w:cs="Times New Roman"/>
        </w:rPr>
      </w:pPr>
    </w:p>
    <w:p w14:paraId="006E7A6A"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Regarding the merits of the application, the respondent argued that the impugned law did not violate the Constitution as alleged. He contended that he retains administrative obligations to ensure that the operations of local authorities are in the best interests of the residents of the local authority concerned and that such operations are also in the national interest.</w:t>
      </w:r>
    </w:p>
    <w:p w14:paraId="295AF672" w14:textId="77777777" w:rsidR="009D791A" w:rsidRDefault="009D791A">
      <w:pPr>
        <w:pStyle w:val="Default"/>
        <w:spacing w:line="480" w:lineRule="auto"/>
        <w:jc w:val="both"/>
        <w:rPr>
          <w:rFonts w:ascii="Times New Roman" w:eastAsia="Times New Roman" w:hAnsi="Times New Roman" w:cs="Times New Roman"/>
        </w:rPr>
      </w:pPr>
    </w:p>
    <w:p w14:paraId="21AD4743"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court </w:t>
      </w:r>
      <w:r>
        <w:rPr>
          <w:rFonts w:ascii="Times New Roman" w:hAnsi="Times New Roman"/>
          <w:i/>
          <w:iCs/>
        </w:rPr>
        <w:t>a quo</w:t>
      </w:r>
      <w:r>
        <w:rPr>
          <w:rFonts w:ascii="Times New Roman" w:hAnsi="Times New Roman"/>
        </w:rPr>
        <w:t xml:space="preserve"> dismissed the two preliminary points on the </w:t>
      </w:r>
      <w:r>
        <w:rPr>
          <w:rFonts w:ascii="Times New Roman" w:hAnsi="Times New Roman"/>
          <w:i/>
          <w:iCs/>
        </w:rPr>
        <w:t>locus standi</w:t>
      </w:r>
      <w:r>
        <w:rPr>
          <w:rFonts w:ascii="Times New Roman" w:hAnsi="Times New Roman"/>
        </w:rPr>
        <w:t xml:space="preserve"> of the applicants and the misjoinder of the City of Harare and Geogenix BV. Regarding the </w:t>
      </w:r>
      <w:r>
        <w:rPr>
          <w:rFonts w:ascii="Times New Roman" w:hAnsi="Times New Roman"/>
        </w:rPr>
        <w:lastRenderedPageBreak/>
        <w:t xml:space="preserve">merits of the matter, it held that s 314 of the Act “singularly gives unfettered powers to the respondent to reverse, suspend or rescind resolutions or decisions made by the people through their democratically elected representatives and is therefore </w:t>
      </w:r>
      <w:r>
        <w:rPr>
          <w:rFonts w:ascii="Times New Roman" w:hAnsi="Times New Roman"/>
          <w:i/>
          <w:iCs/>
        </w:rPr>
        <w:t xml:space="preserve">ultra vires </w:t>
      </w:r>
      <w:r>
        <w:rPr>
          <w:rFonts w:ascii="Times New Roman" w:hAnsi="Times New Roman"/>
        </w:rPr>
        <w:t>the Constitution.” The court considered that this was especially so in view of the fact that the decision to reverse suspend or rescind resolutions or decisions of council is taken “by an individual without consultation whatsoever”.</w:t>
      </w:r>
    </w:p>
    <w:p w14:paraId="0F939E23" w14:textId="77777777" w:rsidR="009D791A" w:rsidRDefault="009D791A">
      <w:pPr>
        <w:pStyle w:val="ListParagraph"/>
        <w:rPr>
          <w:rFonts w:ascii="Times New Roman" w:eastAsia="Times New Roman" w:hAnsi="Times New Roman" w:cs="Times New Roman"/>
        </w:rPr>
      </w:pPr>
    </w:p>
    <w:p w14:paraId="2D2656CE"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In due course and in accordance with the rules of this Court, the order of constitutional invalidity was duly set down before this Court for confirmation.</w:t>
      </w:r>
    </w:p>
    <w:p w14:paraId="32DCF3DE" w14:textId="77777777" w:rsidR="009D791A" w:rsidRDefault="009D791A">
      <w:pPr>
        <w:pStyle w:val="ListParagraph"/>
        <w:jc w:val="both"/>
        <w:rPr>
          <w:rFonts w:ascii="Times New Roman" w:eastAsia="Times New Roman" w:hAnsi="Times New Roman" w:cs="Times New Roman"/>
          <w:sz w:val="24"/>
          <w:szCs w:val="24"/>
        </w:rPr>
      </w:pPr>
    </w:p>
    <w:p w14:paraId="6184515E" w14:textId="024B6301" w:rsidR="009D791A" w:rsidRPr="006C6BEA" w:rsidRDefault="006C6BEA">
      <w:pPr>
        <w:pStyle w:val="Default"/>
        <w:spacing w:line="480" w:lineRule="auto"/>
        <w:jc w:val="both"/>
        <w:rPr>
          <w:rFonts w:ascii="Times New Roman" w:eastAsia="Times New Roman" w:hAnsi="Times New Roman" w:cs="Times New Roman"/>
          <w:b/>
          <w:bCs/>
          <w:u w:val="single"/>
        </w:rPr>
      </w:pPr>
      <w:r w:rsidRPr="006C6BEA">
        <w:rPr>
          <w:rFonts w:ascii="Times New Roman" w:hAnsi="Times New Roman"/>
          <w:b/>
          <w:bCs/>
          <w:u w:val="single"/>
        </w:rPr>
        <w:t>THE ISSUES FOR DETERMINATION</w:t>
      </w:r>
    </w:p>
    <w:p w14:paraId="2C3270CF"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At the confirmation proceedings, the matter narrowed down to two broad concerns. These were consecutively, whether the challenge to the provisions of the Urban Councils Act was properly before the court </w:t>
      </w:r>
      <w:r>
        <w:rPr>
          <w:rFonts w:ascii="Times New Roman" w:hAnsi="Times New Roman"/>
          <w:i/>
          <w:iCs/>
        </w:rPr>
        <w:t>a quo</w:t>
      </w:r>
      <w:r>
        <w:rPr>
          <w:rFonts w:ascii="Times New Roman" w:hAnsi="Times New Roman"/>
        </w:rPr>
        <w:t xml:space="preserve"> and if so, whether the order of constitutional invalidity made by that court was correct and in consequence thereof, should be confirmed.  The first broad question encompasses two or more issues relating to the jurisdiction of the court </w:t>
      </w:r>
      <w:r>
        <w:rPr>
          <w:rFonts w:ascii="Times New Roman" w:hAnsi="Times New Roman"/>
          <w:i/>
          <w:iCs/>
        </w:rPr>
        <w:t>a quo</w:t>
      </w:r>
      <w:r>
        <w:rPr>
          <w:rFonts w:ascii="Times New Roman" w:hAnsi="Times New Roman"/>
        </w:rPr>
        <w:t xml:space="preserve">, the </w:t>
      </w:r>
      <w:r>
        <w:rPr>
          <w:rFonts w:ascii="Times New Roman" w:hAnsi="Times New Roman"/>
          <w:i/>
          <w:iCs/>
        </w:rPr>
        <w:t>locus standi</w:t>
      </w:r>
      <w:r>
        <w:rPr>
          <w:rFonts w:ascii="Times New Roman" w:hAnsi="Times New Roman"/>
        </w:rPr>
        <w:t xml:space="preserve"> of the applicants before that court and all the procedures that were adopted by the court in making the order of invalidity. The second focuses on the merits of the matter and raises issues connected therewith.</w:t>
      </w:r>
    </w:p>
    <w:p w14:paraId="261E7557" w14:textId="77777777" w:rsidR="009D791A" w:rsidRDefault="009D791A">
      <w:pPr>
        <w:pStyle w:val="Default"/>
        <w:spacing w:line="480" w:lineRule="auto"/>
        <w:ind w:left="709"/>
        <w:jc w:val="both"/>
        <w:rPr>
          <w:rFonts w:ascii="Times New Roman" w:eastAsia="Times New Roman" w:hAnsi="Times New Roman" w:cs="Times New Roman"/>
        </w:rPr>
      </w:pPr>
    </w:p>
    <w:p w14:paraId="798850A9"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I pause momentarily to note that the two broad questions that arose for the Court’s consideration in this matter are invariably the two  that will arise  in all confirmation proceedings under s 167 (3) of the Constitution. This is so because confirmation proceedings under the section are hybrid in nature, combining both a review of the procedures that were adopted by the court </w:t>
      </w:r>
      <w:r>
        <w:rPr>
          <w:rFonts w:ascii="Times New Roman" w:hAnsi="Times New Roman"/>
          <w:i/>
          <w:iCs/>
        </w:rPr>
        <w:t>a quo</w:t>
      </w:r>
      <w:r>
        <w:rPr>
          <w:rFonts w:ascii="Times New Roman" w:hAnsi="Times New Roman"/>
        </w:rPr>
        <w:t xml:space="preserve"> and an examination of the correctness of the decision thereby made. This two pronged inquiry if I may call it that, will have </w:t>
      </w:r>
      <w:r>
        <w:rPr>
          <w:rFonts w:ascii="Times New Roman" w:hAnsi="Times New Roman"/>
        </w:rPr>
        <w:lastRenderedPageBreak/>
        <w:t xml:space="preserve">to be undertaken even if the papers filed of record by the parties to the confirmation proceedings do not so reflect. I venture to say that this inquiry will have to be made even if the confirmation proceedings are unopposed and the order of invalidity is sought to be confirmed with the consent of all parties. </w:t>
      </w:r>
    </w:p>
    <w:p w14:paraId="7D8B5D39" w14:textId="77777777" w:rsidR="009D791A" w:rsidRDefault="009D791A">
      <w:pPr>
        <w:pStyle w:val="ListParagraph"/>
        <w:rPr>
          <w:rFonts w:ascii="Times New Roman" w:eastAsia="Times New Roman" w:hAnsi="Times New Roman" w:cs="Times New Roman"/>
        </w:rPr>
      </w:pPr>
    </w:p>
    <w:p w14:paraId="66846165" w14:textId="77777777" w:rsidR="009D791A" w:rsidRDefault="007B4448">
      <w:pPr>
        <w:pStyle w:val="Default"/>
        <w:spacing w:line="480" w:lineRule="auto"/>
        <w:ind w:left="709"/>
        <w:jc w:val="both"/>
        <w:rPr>
          <w:rFonts w:ascii="Times New Roman" w:eastAsia="Times New Roman" w:hAnsi="Times New Roman" w:cs="Times New Roman"/>
        </w:rPr>
      </w:pPr>
      <w:r>
        <w:rPr>
          <w:rFonts w:ascii="Times New Roman" w:hAnsi="Times New Roman"/>
        </w:rPr>
        <w:t xml:space="preserve">Confirmation proceedings before this Court are essentially a validation not only of the ultimate order of invalidity made, but of the process by which such an order was made and, the competence of the court that made the order. Put differently, before confirming an order of constitutional invalidity, this Court must  be satisfied that the order of constitutional invalidity was not only properly raised before the court </w:t>
      </w:r>
      <w:r>
        <w:rPr>
          <w:rFonts w:ascii="Times New Roman" w:hAnsi="Times New Roman"/>
          <w:i/>
          <w:iCs/>
        </w:rPr>
        <w:t>a quo</w:t>
      </w:r>
      <w:r>
        <w:rPr>
          <w:rFonts w:ascii="Times New Roman" w:hAnsi="Times New Roman"/>
        </w:rPr>
        <w:t xml:space="preserve">, but that it was correctly made by that court and represents a correct interpretation of the Constitution.  (See </w:t>
      </w:r>
      <w:r>
        <w:rPr>
          <w:rFonts w:ascii="Times New Roman" w:hAnsi="Times New Roman"/>
          <w:i/>
          <w:iCs/>
        </w:rPr>
        <w:t>S v Chokuramba</w:t>
      </w:r>
      <w:r>
        <w:rPr>
          <w:rFonts w:ascii="Times New Roman" w:hAnsi="Times New Roman"/>
        </w:rPr>
        <w:t xml:space="preserve"> CCZ 10/19 and </w:t>
      </w:r>
      <w:r>
        <w:rPr>
          <w:rFonts w:ascii="Times New Roman" w:hAnsi="Times New Roman"/>
          <w:i/>
          <w:iCs/>
        </w:rPr>
        <w:t>Mupungu v Minister of Justice Legal &amp; Parliamentary Affairs and Others</w:t>
      </w:r>
      <w:r>
        <w:rPr>
          <w:rFonts w:ascii="Times New Roman" w:hAnsi="Times New Roman"/>
        </w:rPr>
        <w:t xml:space="preserve"> CCZ 7/21).</w:t>
      </w:r>
    </w:p>
    <w:p w14:paraId="7F994C1C" w14:textId="77777777" w:rsidR="009D791A" w:rsidRDefault="009D791A">
      <w:pPr>
        <w:pStyle w:val="Default"/>
        <w:spacing w:line="480" w:lineRule="auto"/>
        <w:ind w:left="709"/>
        <w:jc w:val="both"/>
        <w:rPr>
          <w:rFonts w:ascii="Times New Roman" w:eastAsia="Times New Roman" w:hAnsi="Times New Roman" w:cs="Times New Roman"/>
        </w:rPr>
      </w:pPr>
    </w:p>
    <w:p w14:paraId="3709C802"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detailed heads of argument filed by </w:t>
      </w:r>
      <w:r w:rsidRPr="00463050">
        <w:rPr>
          <w:rFonts w:ascii="Times New Roman" w:hAnsi="Times New Roman"/>
          <w:iCs/>
        </w:rPr>
        <w:t>Mr</w:t>
      </w:r>
      <w:r>
        <w:rPr>
          <w:rFonts w:ascii="Times New Roman" w:hAnsi="Times New Roman"/>
          <w:i/>
          <w:iCs/>
        </w:rPr>
        <w:t xml:space="preserve"> Uriri</w:t>
      </w:r>
      <w:r>
        <w:rPr>
          <w:rFonts w:ascii="Times New Roman" w:hAnsi="Times New Roman"/>
        </w:rPr>
        <w:t xml:space="preserve"> for the respondent in my view, provide a convenient framework for the inquiry that the Court must now proceed to undertake. He argued in the first instance that the constitutional jurisdiction of the court </w:t>
      </w:r>
      <w:r>
        <w:rPr>
          <w:rFonts w:ascii="Times New Roman" w:hAnsi="Times New Roman"/>
          <w:i/>
          <w:iCs/>
        </w:rPr>
        <w:t>a quo</w:t>
      </w:r>
      <w:r>
        <w:rPr>
          <w:rFonts w:ascii="Times New Roman" w:hAnsi="Times New Roman"/>
        </w:rPr>
        <w:t xml:space="preserve"> was not competently engaged and consequently, that court did not have jurisdiction to declare the impugned law unconstitutional. In the alternative, he argued that the applicants did not in any event establish a standing to directly challenge the constitutionality of the impugned law or to directly enforce the Constitution before the court </w:t>
      </w:r>
      <w:r>
        <w:rPr>
          <w:rFonts w:ascii="Times New Roman" w:hAnsi="Times New Roman"/>
          <w:i/>
          <w:iCs/>
        </w:rPr>
        <w:t>a quo</w:t>
      </w:r>
      <w:r>
        <w:rPr>
          <w:rFonts w:ascii="Times New Roman" w:hAnsi="Times New Roman"/>
        </w:rPr>
        <w:t xml:space="preserve">. Regarding the merits of the application, he argued that the impugned law is constitutional and therefore valid. </w:t>
      </w:r>
    </w:p>
    <w:p w14:paraId="0D4AB5B1" w14:textId="77777777" w:rsidR="009D791A" w:rsidRDefault="009D791A">
      <w:pPr>
        <w:pStyle w:val="Default"/>
        <w:spacing w:line="480" w:lineRule="auto"/>
        <w:ind w:left="709"/>
        <w:jc w:val="both"/>
        <w:rPr>
          <w:rFonts w:ascii="Times New Roman" w:eastAsia="Times New Roman" w:hAnsi="Times New Roman" w:cs="Times New Roman"/>
        </w:rPr>
      </w:pPr>
    </w:p>
    <w:p w14:paraId="06290D4A"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Using the above three premises upon which the confirmation proceedings were resisted, I set out the following  issues for the Court’s determination:</w:t>
      </w:r>
    </w:p>
    <w:p w14:paraId="6FEF7605" w14:textId="77777777" w:rsidR="009D791A" w:rsidRDefault="007B4448">
      <w:pPr>
        <w:pStyle w:val="Default"/>
        <w:numPr>
          <w:ilvl w:val="0"/>
          <w:numId w:val="5"/>
        </w:numPr>
        <w:spacing w:line="480" w:lineRule="auto"/>
        <w:jc w:val="both"/>
        <w:rPr>
          <w:rFonts w:ascii="Times New Roman" w:hAnsi="Times New Roman"/>
        </w:rPr>
      </w:pPr>
      <w:r>
        <w:rPr>
          <w:rFonts w:ascii="Times New Roman" w:hAnsi="Times New Roman"/>
        </w:rPr>
        <w:lastRenderedPageBreak/>
        <w:t>Did the court High Court have jurisdiction in the matter?</w:t>
      </w:r>
    </w:p>
    <w:p w14:paraId="508F891D" w14:textId="77777777" w:rsidR="009D791A" w:rsidRDefault="007B4448">
      <w:pPr>
        <w:pStyle w:val="Default"/>
        <w:numPr>
          <w:ilvl w:val="0"/>
          <w:numId w:val="5"/>
        </w:numPr>
        <w:spacing w:line="480" w:lineRule="auto"/>
        <w:jc w:val="both"/>
        <w:rPr>
          <w:rFonts w:ascii="Times New Roman" w:hAnsi="Times New Roman"/>
        </w:rPr>
      </w:pPr>
      <w:r>
        <w:rPr>
          <w:rFonts w:ascii="Times New Roman" w:hAnsi="Times New Roman"/>
        </w:rPr>
        <w:t xml:space="preserve">Did one or more of the applicants possess the requisite </w:t>
      </w:r>
      <w:r>
        <w:rPr>
          <w:rFonts w:ascii="Times New Roman" w:hAnsi="Times New Roman"/>
          <w:i/>
          <w:iCs/>
        </w:rPr>
        <w:t>locus standi</w:t>
      </w:r>
      <w:r>
        <w:rPr>
          <w:rFonts w:ascii="Times New Roman" w:hAnsi="Times New Roman"/>
        </w:rPr>
        <w:t xml:space="preserve"> to challenge the constitutional validity of the impugned law, and </w:t>
      </w:r>
    </w:p>
    <w:p w14:paraId="2D8BFB92" w14:textId="77777777" w:rsidR="009D791A" w:rsidRDefault="007B4448">
      <w:pPr>
        <w:pStyle w:val="Default"/>
        <w:numPr>
          <w:ilvl w:val="0"/>
          <w:numId w:val="5"/>
        </w:numPr>
        <w:spacing w:line="480" w:lineRule="auto"/>
        <w:jc w:val="both"/>
        <w:rPr>
          <w:rFonts w:ascii="Times New Roman" w:hAnsi="Times New Roman"/>
        </w:rPr>
      </w:pPr>
      <w:r>
        <w:rPr>
          <w:rFonts w:ascii="Times New Roman" w:hAnsi="Times New Roman"/>
        </w:rPr>
        <w:t xml:space="preserve">If the matter was properly before the court </w:t>
      </w:r>
      <w:r>
        <w:rPr>
          <w:rFonts w:ascii="Times New Roman" w:hAnsi="Times New Roman"/>
          <w:i/>
          <w:iCs/>
        </w:rPr>
        <w:t>a quo</w:t>
      </w:r>
      <w:r>
        <w:rPr>
          <w:rFonts w:ascii="Times New Roman" w:hAnsi="Times New Roman"/>
        </w:rPr>
        <w:t xml:space="preserve">, is the order of constitutional invalidity that it made correct? </w:t>
      </w:r>
    </w:p>
    <w:p w14:paraId="6E3EE84D" w14:textId="77777777" w:rsidR="009D791A" w:rsidRDefault="009D791A">
      <w:pPr>
        <w:pStyle w:val="Default"/>
        <w:spacing w:line="480" w:lineRule="auto"/>
        <w:ind w:left="1701"/>
        <w:jc w:val="both"/>
        <w:rPr>
          <w:rFonts w:ascii="Times New Roman" w:eastAsia="Times New Roman" w:hAnsi="Times New Roman" w:cs="Times New Roman"/>
        </w:rPr>
      </w:pPr>
    </w:p>
    <w:p w14:paraId="7E62D11F" w14:textId="77777777" w:rsidR="009D791A" w:rsidRDefault="007B4448">
      <w:pPr>
        <w:pStyle w:val="Default"/>
        <w:numPr>
          <w:ilvl w:val="0"/>
          <w:numId w:val="6"/>
        </w:numPr>
        <w:spacing w:line="480" w:lineRule="auto"/>
        <w:jc w:val="both"/>
        <w:rPr>
          <w:rFonts w:ascii="Times New Roman" w:hAnsi="Times New Roman"/>
        </w:rPr>
      </w:pPr>
      <w:r>
        <w:rPr>
          <w:rFonts w:ascii="Times New Roman" w:hAnsi="Times New Roman"/>
        </w:rPr>
        <w:t>I turn to the first issue.</w:t>
      </w:r>
    </w:p>
    <w:p w14:paraId="2FFD9BE8" w14:textId="77777777" w:rsidR="009D791A" w:rsidRDefault="009D791A">
      <w:pPr>
        <w:pStyle w:val="Default"/>
        <w:spacing w:line="480" w:lineRule="auto"/>
        <w:ind w:left="1701"/>
        <w:jc w:val="both"/>
        <w:rPr>
          <w:rFonts w:ascii="Times New Roman" w:eastAsia="Times New Roman" w:hAnsi="Times New Roman" w:cs="Times New Roman"/>
        </w:rPr>
      </w:pPr>
    </w:p>
    <w:p w14:paraId="2F52E0AF" w14:textId="268CB9DB" w:rsidR="009D791A" w:rsidRPr="006C6BEA" w:rsidRDefault="006C6BEA">
      <w:pPr>
        <w:pStyle w:val="Default"/>
        <w:spacing w:line="480" w:lineRule="auto"/>
        <w:jc w:val="both"/>
        <w:rPr>
          <w:rFonts w:ascii="Times New Roman" w:eastAsia="Times New Roman" w:hAnsi="Times New Roman" w:cs="Times New Roman"/>
          <w:b/>
          <w:bCs/>
          <w:u w:val="single"/>
        </w:rPr>
      </w:pPr>
      <w:r w:rsidRPr="006C6BEA">
        <w:rPr>
          <w:rFonts w:ascii="Times New Roman" w:hAnsi="Times New Roman"/>
          <w:b/>
          <w:bCs/>
          <w:u w:val="single"/>
        </w:rPr>
        <w:t>DID THE HIGH COURT HAVE JURISDICTION IN THE MATTER?</w:t>
      </w:r>
    </w:p>
    <w:p w14:paraId="19826568"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question of the jurisdiction of the court </w:t>
      </w:r>
      <w:r>
        <w:rPr>
          <w:rFonts w:ascii="Times New Roman" w:hAnsi="Times New Roman"/>
          <w:i/>
          <w:iCs/>
        </w:rPr>
        <w:t>a quo</w:t>
      </w:r>
      <w:r>
        <w:rPr>
          <w:rFonts w:ascii="Times New Roman" w:hAnsi="Times New Roman"/>
        </w:rPr>
        <w:t xml:space="preserve"> arises for the first time in these proceedings. It is raised as a preliminary point by the respondent but, as indicated above, even if it was not so raised, this Court would have proceeded as of right to satisfy itself that the court </w:t>
      </w:r>
      <w:r>
        <w:rPr>
          <w:rFonts w:ascii="Times New Roman" w:hAnsi="Times New Roman"/>
          <w:i/>
          <w:iCs/>
        </w:rPr>
        <w:t>a quo</w:t>
      </w:r>
      <w:r>
        <w:rPr>
          <w:rFonts w:ascii="Times New Roman" w:hAnsi="Times New Roman"/>
        </w:rPr>
        <w:t xml:space="preserve"> had jurisdiction to make the order of constitutional invalidity that it did.</w:t>
      </w:r>
    </w:p>
    <w:p w14:paraId="3A78F35D" w14:textId="77777777" w:rsidR="009D791A" w:rsidRDefault="009D791A">
      <w:pPr>
        <w:pStyle w:val="Default"/>
        <w:spacing w:line="480" w:lineRule="auto"/>
        <w:ind w:left="709"/>
        <w:jc w:val="both"/>
        <w:rPr>
          <w:rFonts w:ascii="Times New Roman" w:eastAsia="Times New Roman" w:hAnsi="Times New Roman" w:cs="Times New Roman"/>
        </w:rPr>
      </w:pPr>
    </w:p>
    <w:p w14:paraId="4D1D138C" w14:textId="77777777" w:rsidR="009D791A" w:rsidRDefault="007B4448">
      <w:pPr>
        <w:pStyle w:val="Default"/>
        <w:numPr>
          <w:ilvl w:val="0"/>
          <w:numId w:val="3"/>
        </w:numPr>
        <w:spacing w:line="480" w:lineRule="auto"/>
        <w:jc w:val="both"/>
        <w:rPr>
          <w:rFonts w:ascii="Times New Roman" w:hAnsi="Times New Roman"/>
        </w:rPr>
      </w:pPr>
      <w:r w:rsidRPr="00463050">
        <w:rPr>
          <w:rFonts w:ascii="Times New Roman" w:hAnsi="Times New Roman"/>
          <w:iCs/>
        </w:rPr>
        <w:t xml:space="preserve">Mr </w:t>
      </w:r>
      <w:r>
        <w:rPr>
          <w:rFonts w:ascii="Times New Roman" w:hAnsi="Times New Roman"/>
          <w:i/>
          <w:iCs/>
        </w:rPr>
        <w:t>Uriri</w:t>
      </w:r>
      <w:r>
        <w:rPr>
          <w:rFonts w:ascii="Times New Roman" w:hAnsi="Times New Roman"/>
        </w:rPr>
        <w:t xml:space="preserve"> raised the issue on a very narrow basis. He argued that the direct enforcement of the Constitution in this jurisdiction at the instance of a private citizen in his capacity as such, or in the public interest, is procedurally competent only under s 85 of the Constitution. This is the section that provides a mechanism for the enforcement of fundamental rights and freedoms. Put differently, he submitted that, absent an allegation and proof that the impugned law violates a fundamental right or freedom of the applicants, the direct enforcement of a substantive provision of the Constitution in this jurisdiction is not competent. </w:t>
      </w:r>
    </w:p>
    <w:p w14:paraId="6F83B6C0" w14:textId="77777777" w:rsidR="009D791A" w:rsidRDefault="009D791A">
      <w:pPr>
        <w:pStyle w:val="ListParagraph"/>
        <w:rPr>
          <w:rFonts w:ascii="Times New Roman" w:eastAsia="Times New Roman" w:hAnsi="Times New Roman" w:cs="Times New Roman"/>
        </w:rPr>
      </w:pPr>
    </w:p>
    <w:p w14:paraId="2B06DC3C"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If we are persuaded to adopt the submission by </w:t>
      </w:r>
      <w:r w:rsidRPr="00463050">
        <w:rPr>
          <w:rFonts w:ascii="Times New Roman" w:hAnsi="Times New Roman"/>
        </w:rPr>
        <w:t>Mr</w:t>
      </w:r>
      <w:r w:rsidRPr="00E662B5">
        <w:rPr>
          <w:rFonts w:ascii="Times New Roman" w:hAnsi="Times New Roman"/>
          <w:i/>
        </w:rPr>
        <w:t xml:space="preserve"> Uriri</w:t>
      </w:r>
      <w:r>
        <w:rPr>
          <w:rFonts w:ascii="Times New Roman" w:hAnsi="Times New Roman"/>
        </w:rPr>
        <w:t xml:space="preserve"> as representing the correct position at law, then, the applicants </w:t>
      </w:r>
      <w:r>
        <w:rPr>
          <w:rFonts w:ascii="Times New Roman" w:hAnsi="Times New Roman"/>
          <w:i/>
          <w:iCs/>
        </w:rPr>
        <w:t xml:space="preserve">in casu </w:t>
      </w:r>
      <w:r>
        <w:rPr>
          <w:rFonts w:ascii="Times New Roman" w:hAnsi="Times New Roman"/>
        </w:rPr>
        <w:t xml:space="preserve">are non-suited as they did not predicate their </w:t>
      </w:r>
      <w:r>
        <w:rPr>
          <w:rFonts w:ascii="Times New Roman" w:hAnsi="Times New Roman"/>
        </w:rPr>
        <w:lastRenderedPageBreak/>
        <w:t xml:space="preserve">application </w:t>
      </w:r>
      <w:r>
        <w:rPr>
          <w:rFonts w:ascii="Times New Roman" w:hAnsi="Times New Roman"/>
          <w:i/>
          <w:iCs/>
        </w:rPr>
        <w:t>a quo</w:t>
      </w:r>
      <w:r>
        <w:rPr>
          <w:rFonts w:ascii="Times New Roman" w:hAnsi="Times New Roman"/>
        </w:rPr>
        <w:t xml:space="preserve"> on any such allegations. Put differently, they did not seek to enforce any fundamental right or freedom before the court </w:t>
      </w:r>
      <w:r>
        <w:rPr>
          <w:rFonts w:ascii="Times New Roman" w:hAnsi="Times New Roman"/>
          <w:i/>
          <w:iCs/>
        </w:rPr>
        <w:t>a quo</w:t>
      </w:r>
      <w:r>
        <w:rPr>
          <w:rFonts w:ascii="Times New Roman" w:hAnsi="Times New Roman"/>
        </w:rPr>
        <w:t>. They simply challenged the validity of the impugned law.</w:t>
      </w:r>
    </w:p>
    <w:p w14:paraId="413BC6A2" w14:textId="77777777" w:rsidR="009D791A" w:rsidRDefault="009D791A">
      <w:pPr>
        <w:pStyle w:val="Default"/>
        <w:spacing w:line="480" w:lineRule="auto"/>
        <w:ind w:left="360"/>
        <w:jc w:val="both"/>
        <w:rPr>
          <w:rFonts w:ascii="Times New Roman" w:eastAsia="Times New Roman" w:hAnsi="Times New Roman" w:cs="Times New Roman"/>
        </w:rPr>
      </w:pPr>
    </w:p>
    <w:p w14:paraId="2D4010B7" w14:textId="2A602513"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In pressing this argument, </w:t>
      </w:r>
      <w:r w:rsidRPr="00463050">
        <w:rPr>
          <w:rFonts w:ascii="Times New Roman" w:hAnsi="Times New Roman"/>
          <w:iCs/>
        </w:rPr>
        <w:t>Mr</w:t>
      </w:r>
      <w:r>
        <w:rPr>
          <w:rFonts w:ascii="Times New Roman" w:hAnsi="Times New Roman"/>
          <w:i/>
          <w:iCs/>
        </w:rPr>
        <w:t xml:space="preserve"> Uriri </w:t>
      </w:r>
      <w:r>
        <w:rPr>
          <w:rFonts w:ascii="Times New Roman" w:hAnsi="Times New Roman"/>
        </w:rPr>
        <w:t xml:space="preserve">relied exclusively on the remarks made by this Court in the case of </w:t>
      </w:r>
      <w:r>
        <w:rPr>
          <w:rFonts w:ascii="Times New Roman" w:hAnsi="Times New Roman"/>
          <w:i/>
          <w:iCs/>
        </w:rPr>
        <w:t>Prosecutor-General, Zimbabwe v Telecel Zimbabwe (Pvt) Ltd</w:t>
      </w:r>
      <w:r>
        <w:rPr>
          <w:rFonts w:ascii="Times New Roman" w:hAnsi="Times New Roman"/>
        </w:rPr>
        <w:t xml:space="preserve"> 2015 (2) ZLR 422, (SC). In that case, the Prosecutor-General approached this Court directly to set aside a judgment of the Supreme Court that had directed him to issue a certificate </w:t>
      </w:r>
      <w:r>
        <w:rPr>
          <w:rFonts w:ascii="Times New Roman" w:hAnsi="Times New Roman"/>
          <w:i/>
          <w:iCs/>
        </w:rPr>
        <w:t>Nolle Prosequi</w:t>
      </w:r>
      <w:r>
        <w:rPr>
          <w:rFonts w:ascii="Times New Roman" w:hAnsi="Times New Roman"/>
        </w:rPr>
        <w:t xml:space="preserve"> to Telecel Zimbabwe (Pvt) Ltd which had applied for su</w:t>
      </w:r>
      <w:r w:rsidR="00251005">
        <w:rPr>
          <w:rFonts w:ascii="Times New Roman" w:hAnsi="Times New Roman"/>
        </w:rPr>
        <w:t>ch.   In denying the Prosecutor</w:t>
      </w:r>
      <w:r>
        <w:rPr>
          <w:rFonts w:ascii="Times New Roman" w:hAnsi="Times New Roman"/>
        </w:rPr>
        <w:t xml:space="preserve">–General audience, this Court held that the Prosecutor-General was improperly before the Court as he had not approached the Court in terms of s 85 (1) or any other constitutional provision that provides for direct access to the Court. </w:t>
      </w:r>
    </w:p>
    <w:p w14:paraId="0DCE0A7C" w14:textId="77777777" w:rsidR="009D791A" w:rsidRDefault="009D791A">
      <w:pPr>
        <w:pStyle w:val="ListParagraph"/>
        <w:rPr>
          <w:rFonts w:ascii="Times New Roman" w:eastAsia="Times New Roman" w:hAnsi="Times New Roman" w:cs="Times New Roman"/>
        </w:rPr>
      </w:pPr>
    </w:p>
    <w:p w14:paraId="3474EDE5" w14:textId="77777777" w:rsidR="009D791A" w:rsidRDefault="007B4448">
      <w:pPr>
        <w:pStyle w:val="Default"/>
        <w:spacing w:line="480" w:lineRule="auto"/>
        <w:ind w:left="709"/>
        <w:jc w:val="both"/>
        <w:rPr>
          <w:rFonts w:ascii="Times New Roman" w:eastAsia="Times New Roman" w:hAnsi="Times New Roman" w:cs="Times New Roman"/>
        </w:rPr>
      </w:pPr>
      <w:r>
        <w:rPr>
          <w:rFonts w:ascii="Times New Roman" w:hAnsi="Times New Roman"/>
        </w:rPr>
        <w:t xml:space="preserve">The application by the Prosecutor–General had been brought directly to this Court purportedly in terms of ss 167 (1) and 176 of the Constitution. </w:t>
      </w:r>
    </w:p>
    <w:p w14:paraId="04D74289" w14:textId="77777777" w:rsidR="009D791A" w:rsidRDefault="009D791A">
      <w:pPr>
        <w:pStyle w:val="Default"/>
        <w:spacing w:line="480" w:lineRule="auto"/>
        <w:ind w:left="709"/>
        <w:jc w:val="both"/>
        <w:rPr>
          <w:rFonts w:ascii="Times New Roman" w:eastAsia="Times New Roman" w:hAnsi="Times New Roman" w:cs="Times New Roman"/>
        </w:rPr>
      </w:pPr>
    </w:p>
    <w:p w14:paraId="51203B2A" w14:textId="3ABD13F0" w:rsidR="009D791A" w:rsidRDefault="007B4448">
      <w:pPr>
        <w:pStyle w:val="Default"/>
        <w:spacing w:line="480" w:lineRule="auto"/>
        <w:ind w:left="709"/>
        <w:jc w:val="both"/>
        <w:rPr>
          <w:rFonts w:ascii="Times New Roman" w:eastAsia="Times New Roman" w:hAnsi="Times New Roman" w:cs="Times New Roman"/>
        </w:rPr>
      </w:pPr>
      <w:r>
        <w:rPr>
          <w:rFonts w:ascii="Times New Roman" w:hAnsi="Times New Roman"/>
        </w:rPr>
        <w:t>The court went on further to hold that the application by the Prosecutor-General was neither an appeal against the Supreme Court judgment nor a referral from that court in terms of s 17</w:t>
      </w:r>
      <w:r w:rsidR="001E3266">
        <w:rPr>
          <w:rFonts w:ascii="Times New Roman" w:hAnsi="Times New Roman"/>
        </w:rPr>
        <w:t>5</w:t>
      </w:r>
      <w:r>
        <w:rPr>
          <w:rFonts w:ascii="Times New Roman" w:hAnsi="Times New Roman"/>
        </w:rPr>
        <w:t xml:space="preserve"> (4) of the Constitution. </w:t>
      </w:r>
    </w:p>
    <w:p w14:paraId="5C8A9957" w14:textId="77777777" w:rsidR="009D791A" w:rsidRDefault="009D791A">
      <w:pPr>
        <w:pStyle w:val="ListParagraph"/>
        <w:jc w:val="both"/>
        <w:rPr>
          <w:rFonts w:ascii="Times New Roman" w:eastAsia="Times New Roman" w:hAnsi="Times New Roman" w:cs="Times New Roman"/>
          <w:sz w:val="24"/>
          <w:szCs w:val="24"/>
        </w:rPr>
      </w:pPr>
    </w:p>
    <w:p w14:paraId="4C298BB3" w14:textId="25F96348"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Properly understood, the authority that the respondent urged us to rely on concerned the jurisdiction of this Court in a matter where it had been approached directly and at first instance, to enforce a substantive provision of the Co</w:t>
      </w:r>
      <w:r w:rsidR="009E02B0">
        <w:rPr>
          <w:rFonts w:ascii="Times New Roman" w:hAnsi="Times New Roman"/>
        </w:rPr>
        <w:t>nstitution. It held that, absent a</w:t>
      </w:r>
      <w:r>
        <w:rPr>
          <w:rFonts w:ascii="Times New Roman" w:hAnsi="Times New Roman"/>
        </w:rPr>
        <w:t xml:space="preserve">n allegation and proof that a fundamental right or freedom has been infracted, such an approach was impermissible. </w:t>
      </w:r>
    </w:p>
    <w:p w14:paraId="70E13DD9" w14:textId="77777777" w:rsidR="009D791A" w:rsidRDefault="009D791A">
      <w:pPr>
        <w:pStyle w:val="ListParagraph"/>
        <w:rPr>
          <w:rFonts w:ascii="Times New Roman" w:eastAsia="Times New Roman" w:hAnsi="Times New Roman" w:cs="Times New Roman"/>
        </w:rPr>
      </w:pPr>
    </w:p>
    <w:p w14:paraId="0C0E9649"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lastRenderedPageBreak/>
        <w:t xml:space="preserve">The facts giving rise to the authority sought to be relied on are clearly distinguishable from the facts of this matter. Notably, whilst the Prosecutor-General sought to approach this Court directly, the applicants did not. The appearance by the applicants before this Court in these proceedings is mandated by the law itself. It is not in the first instance. </w:t>
      </w:r>
    </w:p>
    <w:p w14:paraId="26A82A17" w14:textId="77777777" w:rsidR="009D791A" w:rsidRDefault="009D791A">
      <w:pPr>
        <w:pStyle w:val="ListParagraph"/>
        <w:jc w:val="both"/>
        <w:rPr>
          <w:rFonts w:ascii="Times New Roman" w:eastAsia="Times New Roman" w:hAnsi="Times New Roman" w:cs="Times New Roman"/>
          <w:sz w:val="24"/>
          <w:szCs w:val="24"/>
        </w:rPr>
      </w:pPr>
    </w:p>
    <w:p w14:paraId="1C637758"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Accepting as we must, that the first and direct approach to enforce a substantive provision of the Constitution was made to the court </w:t>
      </w:r>
      <w:r>
        <w:rPr>
          <w:rFonts w:ascii="Times New Roman" w:hAnsi="Times New Roman"/>
          <w:i/>
          <w:iCs/>
        </w:rPr>
        <w:t>a quo</w:t>
      </w:r>
      <w:r>
        <w:rPr>
          <w:rFonts w:ascii="Times New Roman" w:hAnsi="Times New Roman"/>
        </w:rPr>
        <w:t xml:space="preserve">, it must stand to reason that it is the jurisdiction of the court </w:t>
      </w:r>
      <w:r>
        <w:rPr>
          <w:rFonts w:ascii="Times New Roman" w:hAnsi="Times New Roman"/>
          <w:i/>
          <w:iCs/>
        </w:rPr>
        <w:t>a quo</w:t>
      </w:r>
      <w:r>
        <w:rPr>
          <w:rFonts w:ascii="Times New Roman" w:hAnsi="Times New Roman"/>
        </w:rPr>
        <w:t xml:space="preserve"> that matters in these confirmation proceedings. In other words, this Court must be satisfied that the court </w:t>
      </w:r>
      <w:r w:rsidRPr="00F86967">
        <w:rPr>
          <w:rFonts w:ascii="Times New Roman" w:hAnsi="Times New Roman"/>
          <w:i/>
        </w:rPr>
        <w:t>a quo</w:t>
      </w:r>
      <w:r>
        <w:rPr>
          <w:rFonts w:ascii="Times New Roman" w:hAnsi="Times New Roman"/>
        </w:rPr>
        <w:t xml:space="preserve"> had the requisite jurisdiction when it made the order of invalidity. It cannot be the jurisdiction of this Court that matters. The jurisdiction of this Court is assured and is in no doubt. The jurisdiction or the competence of the court that fell for determination in </w:t>
      </w:r>
      <w:r>
        <w:rPr>
          <w:rFonts w:ascii="Times New Roman" w:hAnsi="Times New Roman"/>
          <w:i/>
          <w:iCs/>
        </w:rPr>
        <w:t>Prosecutor-General, Zimbabwe v Telecel Zimbabwe (Pvt) Ltd</w:t>
      </w:r>
      <w:r>
        <w:rPr>
          <w:rFonts w:ascii="Times New Roman" w:hAnsi="Times New Roman"/>
        </w:rPr>
        <w:t xml:space="preserve">  </w:t>
      </w:r>
      <w:r>
        <w:rPr>
          <w:rFonts w:ascii="Times New Roman" w:hAnsi="Times New Roman"/>
          <w:i/>
          <w:iCs/>
        </w:rPr>
        <w:t>(supra)</w:t>
      </w:r>
      <w:r>
        <w:rPr>
          <w:rFonts w:ascii="Times New Roman" w:hAnsi="Times New Roman"/>
        </w:rPr>
        <w:t xml:space="preserve"> and the issue that we have to determine in this matter  are disparate and must not be conflated or confused. </w:t>
      </w:r>
    </w:p>
    <w:p w14:paraId="4F63F37B" w14:textId="77777777" w:rsidR="009D791A" w:rsidRDefault="009D791A" w:rsidP="00463050">
      <w:pPr>
        <w:jc w:val="both"/>
        <w:rPr>
          <w:rFonts w:eastAsia="Times New Roman"/>
          <w:color w:val="000000"/>
          <w:u w:color="000000"/>
          <w:lang w:eastAsia="en-ZW"/>
          <w14:textOutline w14:w="0" w14:cap="flat" w14:cmpd="sng" w14:algn="ctr">
            <w14:noFill/>
            <w14:prstDash w14:val="solid"/>
            <w14:bevel/>
          </w14:textOutline>
        </w:rPr>
      </w:pPr>
    </w:p>
    <w:p w14:paraId="067F4847" w14:textId="77777777" w:rsidR="00463050" w:rsidRPr="00463050" w:rsidRDefault="00463050" w:rsidP="00463050">
      <w:pPr>
        <w:jc w:val="both"/>
        <w:rPr>
          <w:rFonts w:eastAsia="Times New Roman"/>
        </w:rPr>
      </w:pPr>
    </w:p>
    <w:p w14:paraId="488084BC" w14:textId="7C4DA51D"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I make the above observation keenly aware that</w:t>
      </w:r>
      <w:r>
        <w:rPr>
          <w:rFonts w:ascii="Times New Roman" w:hAnsi="Times New Roman"/>
          <w:i/>
          <w:iCs/>
          <w:sz w:val="24"/>
          <w:szCs w:val="24"/>
        </w:rPr>
        <w:t xml:space="preserve"> </w:t>
      </w:r>
      <w:r w:rsidRPr="00463050">
        <w:rPr>
          <w:rFonts w:ascii="Times New Roman" w:hAnsi="Times New Roman"/>
          <w:iCs/>
          <w:sz w:val="24"/>
          <w:szCs w:val="24"/>
        </w:rPr>
        <w:t xml:space="preserve">Mr </w:t>
      </w:r>
      <w:r>
        <w:rPr>
          <w:rFonts w:ascii="Times New Roman" w:hAnsi="Times New Roman"/>
          <w:i/>
          <w:iCs/>
          <w:sz w:val="24"/>
          <w:szCs w:val="24"/>
        </w:rPr>
        <w:t>Uriri</w:t>
      </w:r>
      <w:r>
        <w:rPr>
          <w:rFonts w:ascii="Times New Roman" w:hAnsi="Times New Roman"/>
          <w:sz w:val="24"/>
          <w:szCs w:val="24"/>
        </w:rPr>
        <w:t xml:space="preserve"> further urged us to regard the </w:t>
      </w:r>
      <w:r>
        <w:rPr>
          <w:rFonts w:ascii="Times New Roman" w:hAnsi="Times New Roman"/>
          <w:i/>
          <w:iCs/>
          <w:sz w:val="24"/>
          <w:szCs w:val="24"/>
        </w:rPr>
        <w:t>ratio</w:t>
      </w:r>
      <w:r>
        <w:rPr>
          <w:rFonts w:ascii="Times New Roman" w:hAnsi="Times New Roman"/>
          <w:sz w:val="24"/>
          <w:szCs w:val="24"/>
        </w:rPr>
        <w:t xml:space="preserve"> in</w:t>
      </w:r>
      <w:r>
        <w:rPr>
          <w:rFonts w:ascii="Times New Roman" w:hAnsi="Times New Roman"/>
          <w:i/>
          <w:iCs/>
        </w:rPr>
        <w:t xml:space="preserve"> </w:t>
      </w:r>
      <w:r>
        <w:rPr>
          <w:rFonts w:ascii="Times New Roman" w:hAnsi="Times New Roman"/>
          <w:i/>
          <w:iCs/>
          <w:sz w:val="24"/>
          <w:szCs w:val="24"/>
        </w:rPr>
        <w:t>Prosecutor-General, Zimbabwe v Telecel Zimbabwe (Pvt) Ltd</w:t>
      </w:r>
      <w:r>
        <w:rPr>
          <w:rFonts w:ascii="Times New Roman" w:hAnsi="Times New Roman"/>
          <w:sz w:val="24"/>
          <w:szCs w:val="24"/>
        </w:rPr>
        <w:t xml:space="preserve"> </w:t>
      </w:r>
      <w:r>
        <w:rPr>
          <w:rFonts w:ascii="Times New Roman" w:hAnsi="Times New Roman"/>
          <w:i/>
          <w:iCs/>
          <w:sz w:val="24"/>
          <w:szCs w:val="24"/>
        </w:rPr>
        <w:t>(supra</w:t>
      </w:r>
      <w:r>
        <w:rPr>
          <w:rFonts w:ascii="Times New Roman" w:hAnsi="Times New Roman"/>
          <w:sz w:val="24"/>
          <w:szCs w:val="24"/>
        </w:rPr>
        <w:t>) as establishing a principle of general and universal application. He submitted that any approach to any court at first instance to enforce a substantive provision of the Constitution must be founded on an allegation that a Chapter 4 right or freedom has been or is likely to be breached in respect of the applicants. Fully developed, his argument is that absent such allegations, the approach i</w:t>
      </w:r>
      <w:r w:rsidR="00893360">
        <w:rPr>
          <w:rFonts w:ascii="Times New Roman" w:hAnsi="Times New Roman"/>
          <w:sz w:val="24"/>
          <w:szCs w:val="24"/>
        </w:rPr>
        <w:t xml:space="preserve">s </w:t>
      </w:r>
      <w:r>
        <w:rPr>
          <w:rFonts w:ascii="Times New Roman" w:hAnsi="Times New Roman"/>
          <w:sz w:val="24"/>
          <w:szCs w:val="24"/>
        </w:rPr>
        <w:t>improper and impermissible.</w:t>
      </w:r>
    </w:p>
    <w:p w14:paraId="0570EBFA"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58199AD4"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I am unable to agree. I do not read the decision in the </w:t>
      </w:r>
      <w:r>
        <w:rPr>
          <w:rFonts w:ascii="Times New Roman" w:hAnsi="Times New Roman"/>
          <w:i/>
          <w:iCs/>
          <w:sz w:val="24"/>
          <w:szCs w:val="24"/>
        </w:rPr>
        <w:t>Prosecutor-General, Zimbabwe v Telecel Zimbabwe (Pvt) Ltd</w:t>
      </w:r>
      <w:r>
        <w:rPr>
          <w:rFonts w:ascii="Times New Roman" w:hAnsi="Times New Roman"/>
          <w:sz w:val="24"/>
          <w:szCs w:val="24"/>
        </w:rPr>
        <w:t xml:space="preserve"> </w:t>
      </w:r>
      <w:r>
        <w:rPr>
          <w:rFonts w:ascii="Times New Roman" w:hAnsi="Times New Roman"/>
          <w:i/>
          <w:iCs/>
          <w:sz w:val="24"/>
          <w:szCs w:val="24"/>
        </w:rPr>
        <w:t>(supra</w:t>
      </w:r>
      <w:r>
        <w:rPr>
          <w:rFonts w:ascii="Times New Roman" w:hAnsi="Times New Roman"/>
          <w:sz w:val="24"/>
          <w:szCs w:val="24"/>
        </w:rPr>
        <w:t xml:space="preserve">) as going beyond the facts of that matter. Put </w:t>
      </w:r>
      <w:r>
        <w:rPr>
          <w:rFonts w:ascii="Times New Roman" w:hAnsi="Times New Roman"/>
          <w:sz w:val="24"/>
          <w:szCs w:val="24"/>
        </w:rPr>
        <w:lastRenderedPageBreak/>
        <w:t xml:space="preserve">differently, I do not read it as laying down a principle of general and universal application. </w:t>
      </w:r>
    </w:p>
    <w:p w14:paraId="69559C04"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144F3FF7" w14:textId="05A32C22"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I am of the further view that in disposing of the application that had been brought d</w:t>
      </w:r>
      <w:r w:rsidR="00E662B5">
        <w:rPr>
          <w:rFonts w:ascii="Times New Roman" w:hAnsi="Times New Roman"/>
          <w:sz w:val="24"/>
          <w:szCs w:val="24"/>
        </w:rPr>
        <w:t>irectly to it by the Prosecutor-</w:t>
      </w:r>
      <w:r>
        <w:rPr>
          <w:rFonts w:ascii="Times New Roman" w:hAnsi="Times New Roman"/>
          <w:sz w:val="24"/>
          <w:szCs w:val="24"/>
        </w:rPr>
        <w:t>General, this Court did not regulate the right of direct access to the High Court as a court of first instance in matters where the direct enforcement of the Constitution is sought. This is so because different considerations govern the jurisdiction of this Court as a specialised constitutional court and the High Court as the general court of the land. Whereas the jurisdiction of this Court has to be specially triggered, the jurisdiction of the High Court is inherent and generally open to all. Being omniscient and aware of the fundamental differences between its jurisdiction and that of the High Court, this Court could not have been laying down a rule of general and universal application, one that could apply to both courts. In any event, this Court could not have debated the jurisdiction of the High Court in the matter that was before it as such a debate could not have conceivably been relevant.</w:t>
      </w:r>
    </w:p>
    <w:p w14:paraId="3F559988"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51EFD617" w14:textId="282DBAEC"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 I further </w:t>
      </w:r>
      <w:r w:rsidR="00E662B5">
        <w:rPr>
          <w:rFonts w:ascii="Times New Roman" w:hAnsi="Times New Roman"/>
          <w:sz w:val="24"/>
          <w:szCs w:val="24"/>
        </w:rPr>
        <w:t>note that whilst the Prosecutor-</w:t>
      </w:r>
      <w:r>
        <w:rPr>
          <w:rFonts w:ascii="Times New Roman" w:hAnsi="Times New Roman"/>
          <w:sz w:val="24"/>
          <w:szCs w:val="24"/>
        </w:rPr>
        <w:t>General had indicated in his application that he wished to approach this Court “</w:t>
      </w:r>
      <w:r>
        <w:rPr>
          <w:rFonts w:ascii="Times New Roman" w:hAnsi="Times New Roman"/>
          <w:i/>
          <w:iCs/>
          <w:sz w:val="24"/>
          <w:szCs w:val="24"/>
        </w:rPr>
        <w:t>for an order setting aside the Supreme Court judgment on the basis that it interferes with the independence of his office and as such it is ultra vires provisions of s 260 of the Constitution of Zimbabwe…”</w:t>
      </w:r>
      <w:r>
        <w:rPr>
          <w:rFonts w:ascii="Times New Roman" w:hAnsi="Times New Roman"/>
          <w:sz w:val="24"/>
          <w:szCs w:val="24"/>
        </w:rPr>
        <w:t xml:space="preserve"> the Court formed the view that his application was a disguised appeal against the decision of the Supreme Court. It did not regard the application as a direct enforcement of s 260 of the Constitution. Pointedly, the Court did not at any stage advert to s 2 of the Constitution nor was its attention drawn to this section in support of whatever applicatio</w:t>
      </w:r>
      <w:r w:rsidR="00E662B5">
        <w:rPr>
          <w:rFonts w:ascii="Times New Roman" w:hAnsi="Times New Roman"/>
          <w:sz w:val="24"/>
          <w:szCs w:val="24"/>
        </w:rPr>
        <w:t>n the Prosecutor-</w:t>
      </w:r>
      <w:r>
        <w:rPr>
          <w:rFonts w:ascii="Times New Roman" w:hAnsi="Times New Roman"/>
          <w:sz w:val="24"/>
          <w:szCs w:val="24"/>
        </w:rPr>
        <w:t xml:space="preserve">General intended to make to protect the independence of his office. </w:t>
      </w:r>
    </w:p>
    <w:p w14:paraId="78F50878" w14:textId="77777777" w:rsidR="009D791A" w:rsidRDefault="009D791A">
      <w:pPr>
        <w:pStyle w:val="Body"/>
        <w:spacing w:after="0" w:line="480" w:lineRule="auto"/>
        <w:ind w:left="1080" w:hanging="1080"/>
        <w:jc w:val="both"/>
        <w:rPr>
          <w:rFonts w:ascii="Times New Roman" w:eastAsia="Times New Roman" w:hAnsi="Times New Roman" w:cs="Times New Roman"/>
          <w:sz w:val="24"/>
          <w:szCs w:val="24"/>
        </w:rPr>
      </w:pPr>
    </w:p>
    <w:p w14:paraId="6B52D4CF"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I conclude on this issue by drawing attention to the disposition of the matter in </w:t>
      </w:r>
      <w:r>
        <w:rPr>
          <w:rFonts w:ascii="Times New Roman" w:hAnsi="Times New Roman"/>
          <w:i/>
          <w:iCs/>
          <w:sz w:val="24"/>
          <w:szCs w:val="24"/>
        </w:rPr>
        <w:t>Prosecutor-General, Zimbabwe v Telecel Zimbabwe (Pvt) Ltd</w:t>
      </w:r>
      <w:r>
        <w:rPr>
          <w:rFonts w:ascii="Times New Roman" w:hAnsi="Times New Roman"/>
          <w:sz w:val="24"/>
          <w:szCs w:val="24"/>
        </w:rPr>
        <w:t xml:space="preserve"> </w:t>
      </w:r>
      <w:r>
        <w:rPr>
          <w:rFonts w:ascii="Times New Roman" w:hAnsi="Times New Roman"/>
          <w:i/>
          <w:iCs/>
          <w:sz w:val="24"/>
          <w:szCs w:val="24"/>
        </w:rPr>
        <w:t>(supra</w:t>
      </w:r>
      <w:r>
        <w:rPr>
          <w:rFonts w:ascii="Times New Roman" w:hAnsi="Times New Roman"/>
          <w:sz w:val="24"/>
          <w:szCs w:val="24"/>
        </w:rPr>
        <w:t>), which in my view is most telling. The Court held in the first instance that:</w:t>
      </w:r>
    </w:p>
    <w:p w14:paraId="63BAF4B8" w14:textId="77777777" w:rsidR="009D791A" w:rsidRDefault="007B4448">
      <w:pPr>
        <w:pStyle w:val="Body"/>
        <w:spacing w:after="0" w:line="240" w:lineRule="auto"/>
        <w:ind w:left="1134"/>
        <w:jc w:val="both"/>
        <w:rPr>
          <w:rFonts w:ascii="Times New Roman" w:eastAsia="Times New Roman" w:hAnsi="Times New Roman" w:cs="Times New Roman"/>
          <w:sz w:val="24"/>
          <w:szCs w:val="24"/>
        </w:rPr>
      </w:pPr>
      <w:r>
        <w:rPr>
          <w:rFonts w:ascii="Times New Roman" w:hAnsi="Times New Roman"/>
          <w:sz w:val="24"/>
          <w:szCs w:val="24"/>
          <w:lang w:val="en-US"/>
        </w:rPr>
        <w:t>“</w:t>
      </w:r>
      <w:r>
        <w:rPr>
          <w:rFonts w:ascii="Times New Roman" w:hAnsi="Times New Roman"/>
          <w:b/>
          <w:bCs/>
          <w:i/>
          <w:iCs/>
          <w:sz w:val="24"/>
          <w:szCs w:val="24"/>
          <w:lang w:val="en-US"/>
        </w:rPr>
        <w:t>Direct applications to the Constitutional Court</w:t>
      </w:r>
      <w:r>
        <w:rPr>
          <w:rFonts w:ascii="Times New Roman" w:hAnsi="Times New Roman"/>
          <w:i/>
          <w:iCs/>
          <w:sz w:val="24"/>
          <w:szCs w:val="24"/>
          <w:lang w:val="en-US"/>
        </w:rPr>
        <w:t xml:space="preserve"> are to be made only in terms of the provisions referred to above, as well as in terms of and as provided for in s 85(1). The specialised nature of the applications referred to in s 167(1) (b) and s 167(2) (b) (c) and (d), however makes these provisions irrelevant to this case</w:t>
      </w:r>
      <w:r>
        <w:rPr>
          <w:rFonts w:ascii="Times New Roman" w:hAnsi="Times New Roman"/>
          <w:sz w:val="24"/>
          <w:szCs w:val="24"/>
        </w:rPr>
        <w:t>.</w:t>
      </w:r>
      <w:r>
        <w:rPr>
          <w:rFonts w:ascii="Times New Roman" w:hAnsi="Times New Roman"/>
          <w:sz w:val="24"/>
          <w:szCs w:val="24"/>
          <w:lang w:val="en-US"/>
        </w:rPr>
        <w:t>”</w:t>
      </w:r>
      <w:r>
        <w:rPr>
          <w:rFonts w:ascii="Times New Roman" w:hAnsi="Times New Roman"/>
          <w:sz w:val="24"/>
          <w:szCs w:val="24"/>
        </w:rPr>
        <w:t xml:space="preserve"> </w:t>
      </w:r>
    </w:p>
    <w:p w14:paraId="164B29DD" w14:textId="77777777" w:rsidR="009D791A" w:rsidRDefault="009D791A">
      <w:pPr>
        <w:pStyle w:val="ListParagraph"/>
        <w:spacing w:after="0" w:line="240" w:lineRule="auto"/>
        <w:ind w:left="357"/>
        <w:jc w:val="both"/>
        <w:rPr>
          <w:rFonts w:ascii="Times New Roman" w:eastAsia="Times New Roman" w:hAnsi="Times New Roman" w:cs="Times New Roman"/>
          <w:sz w:val="24"/>
          <w:szCs w:val="24"/>
        </w:rPr>
      </w:pPr>
    </w:p>
    <w:p w14:paraId="5C91AFCB" w14:textId="77777777" w:rsidR="009D791A" w:rsidRDefault="007B4448">
      <w:pPr>
        <w:pStyle w:val="ListParagraph"/>
        <w:spacing w:after="0" w:line="240" w:lineRule="auto"/>
        <w:ind w:left="709"/>
        <w:jc w:val="both"/>
        <w:rPr>
          <w:rFonts w:ascii="Times New Roman" w:eastAsia="Times New Roman" w:hAnsi="Times New Roman" w:cs="Times New Roman"/>
          <w:sz w:val="24"/>
          <w:szCs w:val="24"/>
        </w:rPr>
      </w:pPr>
      <w:r>
        <w:rPr>
          <w:rFonts w:ascii="Times New Roman" w:hAnsi="Times New Roman"/>
          <w:sz w:val="24"/>
          <w:szCs w:val="24"/>
        </w:rPr>
        <w:t>It then proceeded to deny the Prosecutor-General direct access by observing that:</w:t>
      </w:r>
    </w:p>
    <w:p w14:paraId="5C11D48A" w14:textId="77777777" w:rsidR="009D791A" w:rsidRDefault="009D791A">
      <w:pPr>
        <w:pStyle w:val="Body"/>
        <w:spacing w:after="0" w:line="240" w:lineRule="auto"/>
        <w:ind w:left="360"/>
        <w:jc w:val="both"/>
        <w:rPr>
          <w:rFonts w:ascii="Times New Roman" w:eastAsia="Times New Roman" w:hAnsi="Times New Roman" w:cs="Times New Roman"/>
          <w:sz w:val="24"/>
          <w:szCs w:val="24"/>
        </w:rPr>
      </w:pPr>
    </w:p>
    <w:p w14:paraId="33138B26" w14:textId="77777777" w:rsidR="009D791A" w:rsidRDefault="007B4448">
      <w:pPr>
        <w:pStyle w:val="Body"/>
        <w:spacing w:after="0" w:line="240" w:lineRule="auto"/>
        <w:ind w:left="1134"/>
        <w:jc w:val="both"/>
        <w:rPr>
          <w:rFonts w:ascii="Times New Roman" w:eastAsia="Times New Roman" w:hAnsi="Times New Roman" w:cs="Times New Roman"/>
          <w:sz w:val="24"/>
          <w:szCs w:val="24"/>
        </w:rPr>
      </w:pPr>
      <w:r>
        <w:rPr>
          <w:rFonts w:ascii="Times New Roman" w:hAnsi="Times New Roman"/>
          <w:sz w:val="24"/>
          <w:szCs w:val="24"/>
          <w:lang w:val="en-US"/>
        </w:rPr>
        <w:t>“</w:t>
      </w:r>
      <w:r>
        <w:rPr>
          <w:rFonts w:ascii="Times New Roman" w:hAnsi="Times New Roman"/>
          <w:i/>
          <w:iCs/>
          <w:sz w:val="24"/>
          <w:szCs w:val="24"/>
          <w:lang w:val="en-US"/>
        </w:rPr>
        <w:t xml:space="preserve">Thus, in as much as the application failed to meet the test for a direct approach </w:t>
      </w:r>
      <w:r>
        <w:rPr>
          <w:rFonts w:ascii="Times New Roman" w:hAnsi="Times New Roman"/>
          <w:b/>
          <w:bCs/>
          <w:i/>
          <w:iCs/>
          <w:sz w:val="24"/>
          <w:szCs w:val="24"/>
          <w:lang w:val="en-US"/>
        </w:rPr>
        <w:t xml:space="preserve">to this Court, </w:t>
      </w:r>
      <w:r>
        <w:rPr>
          <w:rFonts w:ascii="Times New Roman" w:hAnsi="Times New Roman"/>
          <w:i/>
          <w:iCs/>
          <w:sz w:val="24"/>
          <w:szCs w:val="24"/>
          <w:lang w:val="en-US"/>
        </w:rPr>
        <w:t>it meets the same fate in relation to any notion (expressed or implied) of an appeal against the decision of the Supreme Court.”</w:t>
      </w:r>
      <w:r>
        <w:rPr>
          <w:rFonts w:ascii="Times New Roman" w:hAnsi="Times New Roman"/>
          <w:sz w:val="24"/>
          <w:szCs w:val="24"/>
          <w:lang w:val="en-US"/>
        </w:rPr>
        <w:t xml:space="preserve">  (My emphasis).</w:t>
      </w:r>
    </w:p>
    <w:p w14:paraId="0FCE028E" w14:textId="77777777" w:rsidR="009D791A" w:rsidRDefault="009D791A">
      <w:pPr>
        <w:pStyle w:val="Body"/>
        <w:spacing w:after="0" w:line="240" w:lineRule="auto"/>
        <w:ind w:left="357"/>
        <w:jc w:val="both"/>
        <w:rPr>
          <w:rFonts w:ascii="Times New Roman" w:eastAsia="Times New Roman" w:hAnsi="Times New Roman" w:cs="Times New Roman"/>
          <w:sz w:val="24"/>
          <w:szCs w:val="24"/>
        </w:rPr>
      </w:pPr>
    </w:p>
    <w:p w14:paraId="6D44BB94" w14:textId="77777777" w:rsidR="009D791A" w:rsidRDefault="007B4448">
      <w:pPr>
        <w:pStyle w:val="Body"/>
        <w:spacing w:after="0" w:line="240" w:lineRule="auto"/>
        <w:ind w:left="709"/>
        <w:jc w:val="both"/>
        <w:rPr>
          <w:rFonts w:ascii="Times New Roman" w:eastAsia="Times New Roman" w:hAnsi="Times New Roman" w:cs="Times New Roman"/>
          <w:sz w:val="24"/>
          <w:szCs w:val="24"/>
        </w:rPr>
      </w:pPr>
      <w:r>
        <w:rPr>
          <w:rFonts w:ascii="Times New Roman" w:hAnsi="Times New Roman"/>
          <w:sz w:val="24"/>
          <w:szCs w:val="24"/>
          <w:lang w:val="en-US"/>
        </w:rPr>
        <w:t>This Court was thus clearly dealing with its own jurisdiction and not that of any other court.</w:t>
      </w:r>
    </w:p>
    <w:p w14:paraId="00DD0D3D" w14:textId="77777777" w:rsidR="009D791A" w:rsidRDefault="009D791A">
      <w:pPr>
        <w:pStyle w:val="Body"/>
        <w:spacing w:after="0" w:line="240" w:lineRule="auto"/>
        <w:ind w:left="357"/>
        <w:jc w:val="both"/>
        <w:rPr>
          <w:rFonts w:ascii="Times New Roman" w:eastAsia="Times New Roman" w:hAnsi="Times New Roman" w:cs="Times New Roman"/>
          <w:sz w:val="24"/>
          <w:szCs w:val="24"/>
        </w:rPr>
      </w:pPr>
    </w:p>
    <w:p w14:paraId="3B518300" w14:textId="77777777" w:rsidR="009D791A" w:rsidRDefault="009D791A">
      <w:pPr>
        <w:pStyle w:val="Body"/>
        <w:spacing w:after="0" w:line="240" w:lineRule="auto"/>
        <w:ind w:left="357"/>
        <w:jc w:val="both"/>
        <w:rPr>
          <w:rFonts w:ascii="Times New Roman" w:eastAsia="Times New Roman" w:hAnsi="Times New Roman" w:cs="Times New Roman"/>
          <w:sz w:val="24"/>
          <w:szCs w:val="24"/>
        </w:rPr>
      </w:pPr>
    </w:p>
    <w:p w14:paraId="411B666D" w14:textId="77777777" w:rsidR="009D791A" w:rsidRDefault="009D791A">
      <w:pPr>
        <w:pStyle w:val="Body"/>
        <w:spacing w:after="0" w:line="240" w:lineRule="auto"/>
        <w:ind w:left="357"/>
        <w:jc w:val="both"/>
        <w:rPr>
          <w:rFonts w:ascii="Times New Roman" w:eastAsia="Times New Roman" w:hAnsi="Times New Roman" w:cs="Times New Roman"/>
          <w:sz w:val="24"/>
          <w:szCs w:val="24"/>
        </w:rPr>
      </w:pPr>
    </w:p>
    <w:p w14:paraId="53353737" w14:textId="4AE39E45"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It is therefore my finding that the decision of this Court in </w:t>
      </w:r>
      <w:r>
        <w:rPr>
          <w:rFonts w:ascii="Times New Roman" w:hAnsi="Times New Roman"/>
          <w:i/>
          <w:iCs/>
          <w:sz w:val="24"/>
          <w:szCs w:val="24"/>
        </w:rPr>
        <w:t>Prosecutor</w:t>
      </w:r>
      <w:r w:rsidR="00E662B5">
        <w:rPr>
          <w:rFonts w:ascii="Times New Roman" w:hAnsi="Times New Roman"/>
          <w:i/>
          <w:iCs/>
          <w:sz w:val="24"/>
          <w:szCs w:val="24"/>
        </w:rPr>
        <w:t>-</w:t>
      </w:r>
      <w:r>
        <w:rPr>
          <w:rFonts w:ascii="Times New Roman" w:hAnsi="Times New Roman"/>
          <w:i/>
          <w:iCs/>
          <w:sz w:val="24"/>
          <w:szCs w:val="24"/>
        </w:rPr>
        <w:t>General v Telecel</w:t>
      </w:r>
      <w:r>
        <w:rPr>
          <w:rFonts w:ascii="Times New Roman" w:hAnsi="Times New Roman"/>
          <w:sz w:val="24"/>
          <w:szCs w:val="24"/>
        </w:rPr>
        <w:t xml:space="preserve"> </w:t>
      </w:r>
      <w:r>
        <w:rPr>
          <w:rFonts w:ascii="Times New Roman" w:hAnsi="Times New Roman"/>
          <w:i/>
          <w:iCs/>
          <w:sz w:val="24"/>
          <w:szCs w:val="24"/>
        </w:rPr>
        <w:t>(supra)</w:t>
      </w:r>
      <w:r>
        <w:rPr>
          <w:rFonts w:ascii="Times New Roman" w:hAnsi="Times New Roman"/>
          <w:sz w:val="24"/>
          <w:szCs w:val="24"/>
        </w:rPr>
        <w:t xml:space="preserve"> does not lay down a general rule on the jurisdiction of the High Court in matters wherein the direct enforcement of the Constitution is sought before that court. It is therefore not binding in this matter.</w:t>
      </w:r>
    </w:p>
    <w:p w14:paraId="3B942E18" w14:textId="77777777" w:rsidR="009D791A" w:rsidRDefault="009D791A">
      <w:pPr>
        <w:pStyle w:val="ListParagraph"/>
        <w:spacing w:after="0" w:line="480" w:lineRule="auto"/>
        <w:ind w:left="360"/>
        <w:jc w:val="both"/>
        <w:rPr>
          <w:rFonts w:ascii="Times New Roman" w:eastAsia="Times New Roman" w:hAnsi="Times New Roman" w:cs="Times New Roman"/>
          <w:sz w:val="24"/>
          <w:szCs w:val="24"/>
        </w:rPr>
      </w:pPr>
    </w:p>
    <w:p w14:paraId="3EB924E3"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It is my further view that the High Court as a general rule, has jurisdiction to enforce the Constitution directly and therefore had the requisite jurisdiction in this matter. I say for the reasons that follow below.</w:t>
      </w:r>
    </w:p>
    <w:p w14:paraId="5FC8EDF5" w14:textId="77777777" w:rsidR="009D791A" w:rsidRDefault="009D791A">
      <w:pPr>
        <w:pStyle w:val="ListParagraph"/>
        <w:spacing w:line="480" w:lineRule="auto"/>
        <w:jc w:val="both"/>
        <w:rPr>
          <w:rFonts w:ascii="Times New Roman" w:eastAsia="Times New Roman" w:hAnsi="Times New Roman" w:cs="Times New Roman"/>
          <w:sz w:val="24"/>
          <w:szCs w:val="24"/>
        </w:rPr>
      </w:pPr>
    </w:p>
    <w:p w14:paraId="3A5DB382"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 That the High Court has constitutional jurisdiction in addition to its original jurisdiction at common law over all civil and criminal matters throughout Zimbabwe is not debatable.  The position is put beyond debate by the provisions of s 171 (1) of the Constitution.  Regarding constitutional matters, s 171  provides that the High Court may </w:t>
      </w:r>
      <w:r>
        <w:rPr>
          <w:rFonts w:ascii="Times New Roman" w:hAnsi="Times New Roman"/>
          <w:sz w:val="24"/>
          <w:szCs w:val="24"/>
        </w:rPr>
        <w:lastRenderedPageBreak/>
        <w:t xml:space="preserve">decide constitutional matters save those where this Court has exclusive jurisdiction. The application </w:t>
      </w:r>
      <w:r>
        <w:rPr>
          <w:rFonts w:ascii="Times New Roman" w:hAnsi="Times New Roman"/>
          <w:i/>
          <w:iCs/>
          <w:sz w:val="24"/>
          <w:szCs w:val="24"/>
        </w:rPr>
        <w:t>a quo</w:t>
      </w:r>
      <w:r>
        <w:rPr>
          <w:rFonts w:ascii="Times New Roman" w:hAnsi="Times New Roman"/>
          <w:sz w:val="24"/>
          <w:szCs w:val="24"/>
        </w:rPr>
        <w:t xml:space="preserve"> was clearly not one where this Court has exclusive jurisdiction and quite appropriately and correctly, it was not so argued for the respondent.</w:t>
      </w:r>
    </w:p>
    <w:p w14:paraId="37BC6475" w14:textId="77777777" w:rsidR="009D791A" w:rsidRDefault="009D791A">
      <w:pPr>
        <w:pStyle w:val="ListParagraph"/>
        <w:spacing w:after="0" w:line="480" w:lineRule="auto"/>
        <w:ind w:left="360"/>
        <w:jc w:val="both"/>
        <w:rPr>
          <w:rFonts w:ascii="Times New Roman" w:eastAsia="Times New Roman" w:hAnsi="Times New Roman" w:cs="Times New Roman"/>
          <w:sz w:val="24"/>
          <w:szCs w:val="24"/>
        </w:rPr>
      </w:pPr>
    </w:p>
    <w:p w14:paraId="5166BB5D"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The debate on the jurisdiction of the court </w:t>
      </w:r>
      <w:r>
        <w:rPr>
          <w:rFonts w:ascii="Times New Roman" w:hAnsi="Times New Roman"/>
          <w:i/>
          <w:iCs/>
          <w:sz w:val="24"/>
          <w:szCs w:val="24"/>
        </w:rPr>
        <w:t>a quo</w:t>
      </w:r>
      <w:r>
        <w:rPr>
          <w:rFonts w:ascii="Times New Roman" w:hAnsi="Times New Roman"/>
          <w:sz w:val="24"/>
          <w:szCs w:val="24"/>
        </w:rPr>
        <w:t xml:space="preserve"> was intricately tied to the cause of action that the applicants had relied on to challenge the constitutional validity of the impugned law. The issue of the applicable cause of action in the matter was not raised </w:t>
      </w:r>
      <w:r>
        <w:rPr>
          <w:rFonts w:ascii="Times New Roman" w:hAnsi="Times New Roman"/>
          <w:i/>
          <w:iCs/>
          <w:sz w:val="24"/>
          <w:szCs w:val="24"/>
        </w:rPr>
        <w:t>a quo</w:t>
      </w:r>
      <w:r>
        <w:rPr>
          <w:rFonts w:ascii="Times New Roman" w:hAnsi="Times New Roman"/>
          <w:sz w:val="24"/>
          <w:szCs w:val="24"/>
        </w:rPr>
        <w:t xml:space="preserve">. It was raised before us as part of the debate that ensued regarding the applicability of the </w:t>
      </w:r>
      <w:r>
        <w:rPr>
          <w:rFonts w:ascii="Times New Roman" w:hAnsi="Times New Roman"/>
          <w:i/>
          <w:iCs/>
          <w:sz w:val="24"/>
          <w:szCs w:val="24"/>
        </w:rPr>
        <w:t>ratio</w:t>
      </w:r>
      <w:r>
        <w:rPr>
          <w:rFonts w:ascii="Times New Roman" w:hAnsi="Times New Roman"/>
          <w:sz w:val="24"/>
          <w:szCs w:val="24"/>
        </w:rPr>
        <w:t xml:space="preserve"> in </w:t>
      </w:r>
      <w:r>
        <w:rPr>
          <w:rFonts w:ascii="Times New Roman" w:hAnsi="Times New Roman"/>
          <w:i/>
          <w:iCs/>
          <w:sz w:val="24"/>
          <w:szCs w:val="24"/>
        </w:rPr>
        <w:t xml:space="preserve">Prosecutor-General, Zimbabwe v Telecel Zimbabwe (Pvt) Ltd (supra). </w:t>
      </w:r>
      <w:r>
        <w:rPr>
          <w:rFonts w:ascii="Times New Roman" w:hAnsi="Times New Roman"/>
          <w:sz w:val="24"/>
          <w:szCs w:val="24"/>
        </w:rPr>
        <w:t>It was argued on behalf of the respondent that s 85(1) of the Constitution constitutes the only permissible cause of action for any challenge to the constitutional validity of any law, practice, conduct or custom. In view of the fact that the applicants did not seek to rely on s 85(1) aforesaid, they did not have a cause of action, the argument proceeded.</w:t>
      </w:r>
    </w:p>
    <w:p w14:paraId="6D2EB6F9"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342E66A5" w14:textId="77777777" w:rsidR="009D791A" w:rsidRDefault="007B4448">
      <w:pPr>
        <w:pStyle w:val="ListParagraph"/>
        <w:numPr>
          <w:ilvl w:val="0"/>
          <w:numId w:val="3"/>
        </w:numPr>
        <w:spacing w:after="0" w:line="480" w:lineRule="auto"/>
        <w:jc w:val="both"/>
        <w:rPr>
          <w:rFonts w:ascii="Times New Roman" w:hAnsi="Times New Roman"/>
          <w:sz w:val="24"/>
          <w:szCs w:val="24"/>
        </w:rPr>
      </w:pPr>
      <w:r w:rsidRPr="004C0120">
        <w:rPr>
          <w:rFonts w:ascii="Times New Roman" w:hAnsi="Times New Roman"/>
          <w:iCs/>
          <w:sz w:val="24"/>
          <w:szCs w:val="24"/>
        </w:rPr>
        <w:t>Mr</w:t>
      </w:r>
      <w:r>
        <w:rPr>
          <w:rFonts w:ascii="Times New Roman" w:hAnsi="Times New Roman"/>
          <w:i/>
          <w:iCs/>
          <w:sz w:val="24"/>
          <w:szCs w:val="24"/>
        </w:rPr>
        <w:t xml:space="preserve"> Madhuku</w:t>
      </w:r>
      <w:r>
        <w:rPr>
          <w:rFonts w:ascii="Times New Roman" w:hAnsi="Times New Roman"/>
          <w:sz w:val="24"/>
          <w:szCs w:val="24"/>
        </w:rPr>
        <w:t xml:space="preserve"> for the applicants argued that the application </w:t>
      </w:r>
      <w:r>
        <w:rPr>
          <w:rFonts w:ascii="Times New Roman" w:hAnsi="Times New Roman"/>
          <w:i/>
          <w:iCs/>
          <w:sz w:val="24"/>
          <w:szCs w:val="24"/>
        </w:rPr>
        <w:t>a quo</w:t>
      </w:r>
      <w:r>
        <w:rPr>
          <w:rFonts w:ascii="Times New Roman" w:hAnsi="Times New Roman"/>
          <w:sz w:val="24"/>
          <w:szCs w:val="24"/>
        </w:rPr>
        <w:t xml:space="preserve"> was brought under s 2 (1) of the Constitution which provides that:</w:t>
      </w:r>
    </w:p>
    <w:p w14:paraId="732488E7" w14:textId="77777777" w:rsidR="009D791A" w:rsidRDefault="007B4448">
      <w:pPr>
        <w:pStyle w:val="ListParagraph"/>
        <w:spacing w:after="0" w:line="240" w:lineRule="auto"/>
        <w:ind w:left="1134"/>
        <w:jc w:val="both"/>
        <w:rPr>
          <w:rFonts w:ascii="Times New Roman" w:eastAsia="Times New Roman" w:hAnsi="Times New Roman" w:cs="Times New Roman"/>
          <w:b/>
          <w:bCs/>
          <w:sz w:val="24"/>
          <w:szCs w:val="24"/>
        </w:rPr>
      </w:pPr>
      <w:r>
        <w:rPr>
          <w:rFonts w:ascii="Times New Roman" w:hAnsi="Times New Roman"/>
          <w:sz w:val="24"/>
          <w:szCs w:val="24"/>
        </w:rPr>
        <w:t>“</w:t>
      </w:r>
      <w:r>
        <w:rPr>
          <w:rFonts w:ascii="Times New Roman" w:hAnsi="Times New Roman"/>
          <w:b/>
          <w:bCs/>
          <w:sz w:val="24"/>
          <w:szCs w:val="24"/>
        </w:rPr>
        <w:t>2</w:t>
      </w:r>
      <w:r>
        <w:rPr>
          <w:rFonts w:ascii="Times New Roman" w:hAnsi="Times New Roman"/>
          <w:b/>
          <w:bCs/>
          <w:sz w:val="24"/>
          <w:szCs w:val="24"/>
        </w:rPr>
        <w:tab/>
        <w:t>Supremacy of Constitution</w:t>
      </w:r>
    </w:p>
    <w:p w14:paraId="5BA4F243" w14:textId="77777777" w:rsidR="009D791A" w:rsidRDefault="007B4448">
      <w:pPr>
        <w:pStyle w:val="ListParagraph"/>
        <w:numPr>
          <w:ilvl w:val="1"/>
          <w:numId w:val="3"/>
        </w:numPr>
        <w:spacing w:after="0" w:line="240" w:lineRule="auto"/>
        <w:jc w:val="both"/>
        <w:rPr>
          <w:rFonts w:ascii="Times New Roman" w:hAnsi="Times New Roman"/>
          <w:sz w:val="24"/>
          <w:szCs w:val="24"/>
        </w:rPr>
      </w:pPr>
      <w:r>
        <w:rPr>
          <w:rFonts w:ascii="Times New Roman" w:hAnsi="Times New Roman"/>
          <w:sz w:val="24"/>
          <w:szCs w:val="24"/>
        </w:rPr>
        <w:t>The Constitution is the Supreme Law of Zimbabwe and any law, practice, custom or conduct inconsistent with it is invalid to the extent of the inconsistency.”</w:t>
      </w:r>
    </w:p>
    <w:p w14:paraId="61EEE75A" w14:textId="77777777" w:rsidR="009D791A" w:rsidRDefault="009D791A">
      <w:pPr>
        <w:pStyle w:val="ListParagraph"/>
        <w:spacing w:after="0" w:line="480" w:lineRule="auto"/>
        <w:jc w:val="both"/>
        <w:rPr>
          <w:rFonts w:ascii="Times New Roman" w:eastAsia="Times New Roman" w:hAnsi="Times New Roman" w:cs="Times New Roman"/>
          <w:sz w:val="24"/>
          <w:szCs w:val="24"/>
        </w:rPr>
      </w:pPr>
    </w:p>
    <w:p w14:paraId="252E60EE" w14:textId="6310CE99"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In my view, the clear import of this section is to deny any legitimacy to, and thereby make void and of no force, any law, practice custom or conduct that is inconsistent with the Constitution to the extent of the inconsistency. This denial of legitimacy and force and effect is by operation of law.  Put differently, by virtue of this section, all laws, practices, customs or conduct that are not consistent with the Constitution are invalid </w:t>
      </w:r>
      <w:r>
        <w:rPr>
          <w:rFonts w:ascii="Times New Roman" w:hAnsi="Times New Roman"/>
          <w:i/>
          <w:iCs/>
          <w:sz w:val="24"/>
          <w:szCs w:val="24"/>
        </w:rPr>
        <w:t>ipso facto</w:t>
      </w:r>
      <w:r>
        <w:rPr>
          <w:rFonts w:ascii="Times New Roman" w:hAnsi="Times New Roman"/>
          <w:sz w:val="24"/>
          <w:szCs w:val="24"/>
        </w:rPr>
        <w:t xml:space="preserve">. Such cannot lay any claim to legality and cannot therefore have the force </w:t>
      </w:r>
      <w:r>
        <w:rPr>
          <w:rFonts w:ascii="Times New Roman" w:hAnsi="Times New Roman"/>
          <w:sz w:val="24"/>
          <w:szCs w:val="24"/>
        </w:rPr>
        <w:lastRenderedPageBreak/>
        <w:t>and effect of regulating the conduct of the citizenry. This much is not debatable but, does the section create a cause of action as s 85</w:t>
      </w:r>
      <w:r w:rsidR="000E3B73">
        <w:rPr>
          <w:rFonts w:ascii="Times New Roman" w:hAnsi="Times New Roman"/>
          <w:sz w:val="24"/>
          <w:szCs w:val="24"/>
        </w:rPr>
        <w:t xml:space="preserve"> </w:t>
      </w:r>
      <w:r>
        <w:rPr>
          <w:rFonts w:ascii="Times New Roman" w:hAnsi="Times New Roman"/>
          <w:sz w:val="24"/>
          <w:szCs w:val="24"/>
        </w:rPr>
        <w:t xml:space="preserve">(1) of the Constitution does? </w:t>
      </w:r>
      <w:r w:rsidR="004C0120">
        <w:rPr>
          <w:rFonts w:ascii="Times New Roman" w:hAnsi="Times New Roman"/>
          <w:iCs/>
          <w:sz w:val="24"/>
          <w:szCs w:val="24"/>
        </w:rPr>
        <w:t>Mr </w:t>
      </w:r>
      <w:r>
        <w:rPr>
          <w:rFonts w:ascii="Times New Roman" w:hAnsi="Times New Roman"/>
          <w:i/>
          <w:iCs/>
          <w:sz w:val="24"/>
          <w:szCs w:val="24"/>
        </w:rPr>
        <w:t>Madhuku</w:t>
      </w:r>
      <w:r>
        <w:rPr>
          <w:rFonts w:ascii="Times New Roman" w:hAnsi="Times New Roman"/>
          <w:sz w:val="24"/>
          <w:szCs w:val="24"/>
        </w:rPr>
        <w:t xml:space="preserve"> submits that it does.</w:t>
      </w:r>
    </w:p>
    <w:p w14:paraId="7F496040"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3CFE76A1" w14:textId="77777777" w:rsidR="009D791A" w:rsidRDefault="007B4448">
      <w:pPr>
        <w:pStyle w:val="ListParagraph"/>
        <w:spacing w:after="0" w:line="480" w:lineRule="auto"/>
        <w:ind w:left="709"/>
        <w:jc w:val="both"/>
        <w:rPr>
          <w:rFonts w:ascii="Times New Roman" w:eastAsia="Times New Roman" w:hAnsi="Times New Roman" w:cs="Times New Roman"/>
          <w:sz w:val="24"/>
          <w:szCs w:val="24"/>
        </w:rPr>
      </w:pPr>
      <w:r>
        <w:rPr>
          <w:rFonts w:ascii="Times New Roman" w:hAnsi="Times New Roman"/>
          <w:sz w:val="24"/>
          <w:szCs w:val="24"/>
        </w:rPr>
        <w:t xml:space="preserve">He is probably correct. Arguably s 2 of the Constitution does create a cause of action. Whilst it does not employ the explicit language of s 85 that anyone whose fundamental right or freedom is violated or threatened, is entitled to approach a court for appropriate relief, it expressly declares that any law custom, practice or conduct inconsistent with the Constitution is void. This in turn implies in my view, that anyone showing some connection to the impugned law, is entitled to approach a court and have such law custom, practice or conduct declared invalid. </w:t>
      </w:r>
    </w:p>
    <w:p w14:paraId="0919D03D"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3E566E28"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Quite apart from relying on the provisions of s 2 of the Constitution, it is my further view that one may readily locate the cause of action for the direct enforcement of the Constitution under the broad principle of legality. This is the principle by which all laws, conduct and practices regulating the exercise of power must be tested against a law to find not only authority to exercise the power, but the legitimacy to do so. It is the application of the principle broadly that has given rise to the trite position in our law that anything done in contravention of or contrary to the provisions of statute is of no force and effect. This is commonly known as the </w:t>
      </w:r>
      <w:r>
        <w:rPr>
          <w:rFonts w:ascii="Times New Roman" w:hAnsi="Times New Roman"/>
          <w:i/>
          <w:iCs/>
          <w:sz w:val="24"/>
          <w:szCs w:val="24"/>
        </w:rPr>
        <w:t>ultra vires</w:t>
      </w:r>
      <w:r>
        <w:rPr>
          <w:rFonts w:ascii="Times New Roman" w:hAnsi="Times New Roman"/>
          <w:sz w:val="24"/>
          <w:szCs w:val="24"/>
        </w:rPr>
        <w:t xml:space="preserve"> doctrine. This, though a common law precept, applies with equal force to anything done in contravention of the Constitution. </w:t>
      </w:r>
    </w:p>
    <w:p w14:paraId="14CCBEA3"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0DBA3F58" w14:textId="77777777" w:rsidR="009D791A" w:rsidRDefault="007B4448">
      <w:pPr>
        <w:pStyle w:val="ListParagraph"/>
        <w:numPr>
          <w:ilvl w:val="0"/>
          <w:numId w:val="7"/>
        </w:numPr>
        <w:spacing w:line="480" w:lineRule="auto"/>
        <w:jc w:val="both"/>
        <w:rPr>
          <w:rFonts w:ascii="Times New Roman" w:hAnsi="Times New Roman"/>
          <w:sz w:val="24"/>
          <w:szCs w:val="24"/>
        </w:rPr>
      </w:pPr>
      <w:r>
        <w:rPr>
          <w:rFonts w:ascii="Times New Roman" w:hAnsi="Times New Roman"/>
          <w:sz w:val="24"/>
          <w:szCs w:val="24"/>
        </w:rPr>
        <w:t xml:space="preserve">As stated above, it is my finding that the High Court ordinarily has jurisdiction to make an order of constitutional invalidity of any law, practice, custom, or conduct. The </w:t>
      </w:r>
      <w:r>
        <w:rPr>
          <w:rFonts w:ascii="Times New Roman" w:hAnsi="Times New Roman"/>
          <w:sz w:val="24"/>
          <w:szCs w:val="24"/>
        </w:rPr>
        <w:lastRenderedPageBreak/>
        <w:t xml:space="preserve">applicable cause of action in such matter among others is the principle of legality and in particular the </w:t>
      </w:r>
      <w:r>
        <w:rPr>
          <w:rFonts w:ascii="Times New Roman" w:hAnsi="Times New Roman"/>
          <w:i/>
          <w:iCs/>
          <w:sz w:val="24"/>
          <w:szCs w:val="24"/>
        </w:rPr>
        <w:t>ultra vires</w:t>
      </w:r>
      <w:r>
        <w:rPr>
          <w:rFonts w:ascii="Times New Roman" w:hAnsi="Times New Roman"/>
          <w:sz w:val="24"/>
          <w:szCs w:val="24"/>
        </w:rPr>
        <w:t xml:space="preserve"> doctrine. Consequently, it is my finding that the court </w:t>
      </w:r>
      <w:r>
        <w:rPr>
          <w:rFonts w:ascii="Times New Roman" w:hAnsi="Times New Roman"/>
          <w:i/>
          <w:iCs/>
          <w:sz w:val="24"/>
          <w:szCs w:val="24"/>
        </w:rPr>
        <w:t>a quo</w:t>
      </w:r>
      <w:r>
        <w:rPr>
          <w:rFonts w:ascii="Times New Roman" w:hAnsi="Times New Roman"/>
          <w:sz w:val="24"/>
          <w:szCs w:val="24"/>
        </w:rPr>
        <w:t xml:space="preserve"> had the requisite jurisdiction to make the order that it did.</w:t>
      </w:r>
    </w:p>
    <w:p w14:paraId="3D1CDB6D"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171AB0E1" w14:textId="77777777" w:rsidR="009D791A" w:rsidRDefault="007B4448">
      <w:pPr>
        <w:pStyle w:val="ListParagraph"/>
        <w:numPr>
          <w:ilvl w:val="0"/>
          <w:numId w:val="3"/>
        </w:numPr>
        <w:spacing w:after="0" w:line="480" w:lineRule="auto"/>
        <w:jc w:val="both"/>
        <w:rPr>
          <w:rFonts w:ascii="Times New Roman" w:hAnsi="Times New Roman"/>
          <w:i/>
          <w:iCs/>
          <w:sz w:val="24"/>
          <w:szCs w:val="24"/>
        </w:rPr>
      </w:pPr>
      <w:r>
        <w:rPr>
          <w:rFonts w:ascii="Times New Roman" w:hAnsi="Times New Roman"/>
          <w:sz w:val="24"/>
          <w:szCs w:val="24"/>
        </w:rPr>
        <w:t xml:space="preserve">Having resolved the first issue in favour of the applicants, I now turn to determine whether one or more of the applicants had the requisite standing to bring the proceedings </w:t>
      </w:r>
      <w:r>
        <w:rPr>
          <w:rFonts w:ascii="Times New Roman" w:hAnsi="Times New Roman"/>
          <w:i/>
          <w:iCs/>
          <w:sz w:val="24"/>
          <w:szCs w:val="24"/>
        </w:rPr>
        <w:t>a quo.</w:t>
      </w:r>
    </w:p>
    <w:p w14:paraId="760057C4" w14:textId="77777777" w:rsidR="009D791A" w:rsidRDefault="007B4448">
      <w:pPr>
        <w:pStyle w:val="ListParagraph"/>
        <w:spacing w:after="0"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p>
    <w:p w14:paraId="0633E49B" w14:textId="5B4357BD" w:rsidR="009D791A" w:rsidRPr="004A3D13" w:rsidRDefault="004A3D13">
      <w:pPr>
        <w:pStyle w:val="ListParagraph"/>
        <w:spacing w:after="0" w:line="480" w:lineRule="auto"/>
        <w:ind w:hanging="720"/>
        <w:jc w:val="both"/>
        <w:rPr>
          <w:rFonts w:ascii="Times New Roman" w:eastAsia="Times New Roman" w:hAnsi="Times New Roman" w:cs="Times New Roman"/>
          <w:sz w:val="24"/>
          <w:szCs w:val="24"/>
          <w:u w:val="single"/>
        </w:rPr>
      </w:pPr>
      <w:r w:rsidRPr="004A3D13">
        <w:rPr>
          <w:rFonts w:ascii="Times New Roman" w:hAnsi="Times New Roman"/>
          <w:b/>
          <w:bCs/>
          <w:sz w:val="24"/>
          <w:szCs w:val="24"/>
          <w:u w:val="single"/>
        </w:rPr>
        <w:t>THE LOCUS STANDI OF THE APPLICANTS</w:t>
      </w:r>
    </w:p>
    <w:p w14:paraId="0FD5BF17"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Only the standing of the first and second applicants was challenged </w:t>
      </w:r>
      <w:r>
        <w:rPr>
          <w:rFonts w:ascii="Times New Roman" w:hAnsi="Times New Roman"/>
          <w:i/>
          <w:iCs/>
          <w:sz w:val="24"/>
          <w:szCs w:val="24"/>
        </w:rPr>
        <w:t>a quo</w:t>
      </w:r>
      <w:r>
        <w:rPr>
          <w:rFonts w:ascii="Times New Roman" w:hAnsi="Times New Roman"/>
          <w:sz w:val="24"/>
          <w:szCs w:val="24"/>
        </w:rPr>
        <w:t xml:space="preserve">.  Before this Court, the standing of all the applicants was challenged in </w:t>
      </w:r>
      <w:r>
        <w:rPr>
          <w:rFonts w:ascii="Times New Roman" w:hAnsi="Times New Roman"/>
          <w:i/>
          <w:iCs/>
          <w:sz w:val="24"/>
          <w:szCs w:val="24"/>
        </w:rPr>
        <w:t>pari passu</w:t>
      </w:r>
      <w:r>
        <w:rPr>
          <w:rFonts w:ascii="Times New Roman" w:hAnsi="Times New Roman"/>
          <w:sz w:val="24"/>
          <w:szCs w:val="24"/>
        </w:rPr>
        <w:t xml:space="preserve"> with the challenge to the cause of action that they brought before the court </w:t>
      </w:r>
      <w:r>
        <w:rPr>
          <w:rFonts w:ascii="Times New Roman" w:hAnsi="Times New Roman"/>
          <w:i/>
          <w:iCs/>
          <w:sz w:val="24"/>
          <w:szCs w:val="24"/>
        </w:rPr>
        <w:t>a quo</w:t>
      </w:r>
      <w:r>
        <w:rPr>
          <w:rFonts w:ascii="Times New Roman" w:hAnsi="Times New Roman"/>
          <w:sz w:val="24"/>
          <w:szCs w:val="24"/>
        </w:rPr>
        <w:t xml:space="preserve">. In particular, it was argued that they had failed to establish any </w:t>
      </w:r>
      <w:r>
        <w:rPr>
          <w:rFonts w:ascii="Times New Roman" w:hAnsi="Times New Roman"/>
          <w:i/>
          <w:iCs/>
          <w:sz w:val="24"/>
          <w:szCs w:val="24"/>
        </w:rPr>
        <w:t>locus standi</w:t>
      </w:r>
      <w:r>
        <w:rPr>
          <w:rFonts w:ascii="Times New Roman" w:hAnsi="Times New Roman"/>
          <w:sz w:val="24"/>
          <w:szCs w:val="24"/>
        </w:rPr>
        <w:t xml:space="preserve"> under s 85 (1) of the Constitution, the only permissible cause of action that they had. That issue having been determined in favour of the applicants the entire question of the </w:t>
      </w:r>
      <w:r>
        <w:rPr>
          <w:rFonts w:ascii="Times New Roman" w:hAnsi="Times New Roman"/>
          <w:i/>
          <w:iCs/>
          <w:sz w:val="24"/>
          <w:szCs w:val="24"/>
        </w:rPr>
        <w:t>locus standi</w:t>
      </w:r>
      <w:r>
        <w:rPr>
          <w:rFonts w:ascii="Times New Roman" w:hAnsi="Times New Roman"/>
          <w:sz w:val="24"/>
          <w:szCs w:val="24"/>
        </w:rPr>
        <w:t xml:space="preserve"> falls off.</w:t>
      </w:r>
    </w:p>
    <w:p w14:paraId="1610925A" w14:textId="77777777" w:rsidR="009D791A" w:rsidRDefault="009D791A">
      <w:pPr>
        <w:pStyle w:val="ListParagraph"/>
        <w:spacing w:after="0" w:line="480" w:lineRule="auto"/>
        <w:jc w:val="both"/>
        <w:rPr>
          <w:rFonts w:ascii="Times New Roman" w:eastAsia="Times New Roman" w:hAnsi="Times New Roman" w:cs="Times New Roman"/>
          <w:sz w:val="24"/>
          <w:szCs w:val="24"/>
        </w:rPr>
      </w:pPr>
    </w:p>
    <w:p w14:paraId="14CB34A1"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Whilst the question of the standing of the applicants has fallen off, the </w:t>
      </w:r>
      <w:r>
        <w:rPr>
          <w:rFonts w:ascii="Times New Roman" w:hAnsi="Times New Roman"/>
          <w:i/>
          <w:iCs/>
          <w:sz w:val="24"/>
          <w:szCs w:val="24"/>
        </w:rPr>
        <w:t>obiter</w:t>
      </w:r>
      <w:r>
        <w:rPr>
          <w:rFonts w:ascii="Times New Roman" w:hAnsi="Times New Roman"/>
          <w:sz w:val="24"/>
          <w:szCs w:val="24"/>
        </w:rPr>
        <w:t xml:space="preserve"> that follows is in my view necessary. </w:t>
      </w:r>
    </w:p>
    <w:p w14:paraId="52AEC53A" w14:textId="77777777" w:rsidR="009D791A" w:rsidRDefault="009D791A">
      <w:pPr>
        <w:pStyle w:val="ListParagraph"/>
        <w:rPr>
          <w:rFonts w:ascii="Times New Roman" w:eastAsia="Times New Roman" w:hAnsi="Times New Roman" w:cs="Times New Roman"/>
          <w:sz w:val="24"/>
          <w:szCs w:val="24"/>
        </w:rPr>
      </w:pPr>
    </w:p>
    <w:p w14:paraId="15D11984" w14:textId="0BBC7F63"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Whilst under the common law, legal standing is confined to persons who can demonstrate a direct or substantial interest in the matter, it is now well established that the test for legal standing in constitutional matters is significantly broader. (</w:t>
      </w:r>
      <w:r>
        <w:rPr>
          <w:rFonts w:ascii="Times New Roman" w:hAnsi="Times New Roman"/>
          <w:i/>
          <w:iCs/>
          <w:sz w:val="24"/>
          <w:szCs w:val="24"/>
        </w:rPr>
        <w:t>Mupungu v Minister of Justice &amp; Others)</w:t>
      </w:r>
      <w:r>
        <w:rPr>
          <w:rFonts w:ascii="Times New Roman" w:hAnsi="Times New Roman"/>
          <w:sz w:val="24"/>
          <w:szCs w:val="24"/>
        </w:rPr>
        <w:t xml:space="preserve"> (</w:t>
      </w:r>
      <w:r>
        <w:rPr>
          <w:rFonts w:ascii="Times New Roman" w:hAnsi="Times New Roman"/>
          <w:i/>
          <w:iCs/>
          <w:sz w:val="24"/>
          <w:szCs w:val="24"/>
        </w:rPr>
        <w:t>supra)</w:t>
      </w:r>
      <w:r>
        <w:rPr>
          <w:rFonts w:ascii="Times New Roman" w:hAnsi="Times New Roman"/>
          <w:sz w:val="24"/>
          <w:szCs w:val="24"/>
        </w:rPr>
        <w:t xml:space="preserve">. The legal standing required for asserting the supremacy of the </w:t>
      </w:r>
      <w:r w:rsidR="002318F0">
        <w:rPr>
          <w:rFonts w:ascii="Times New Roman" w:hAnsi="Times New Roman"/>
          <w:sz w:val="24"/>
          <w:szCs w:val="24"/>
        </w:rPr>
        <w:t>Constitution</w:t>
      </w:r>
      <w:r>
        <w:rPr>
          <w:rFonts w:ascii="Times New Roman" w:hAnsi="Times New Roman"/>
          <w:sz w:val="24"/>
          <w:szCs w:val="24"/>
        </w:rPr>
        <w:t xml:space="preserve"> is clearly not similar to the legal standing required for enforcing a fundamental right or freedom which has been defined in s 85 (1) of the </w:t>
      </w:r>
      <w:r>
        <w:rPr>
          <w:rFonts w:ascii="Times New Roman" w:hAnsi="Times New Roman"/>
          <w:sz w:val="24"/>
          <w:szCs w:val="24"/>
        </w:rPr>
        <w:lastRenderedPageBreak/>
        <w:t xml:space="preserve">Constitution.   Legal standing under s 85 (1) of the Constitution is embedded in the cause of action set up by the section. It can only be established on that narrow premise. On the other hand, as was correctly submitted by </w:t>
      </w:r>
      <w:r w:rsidRPr="00463050">
        <w:rPr>
          <w:rFonts w:ascii="Times New Roman" w:hAnsi="Times New Roman"/>
          <w:iCs/>
          <w:sz w:val="24"/>
          <w:szCs w:val="24"/>
        </w:rPr>
        <w:t xml:space="preserve">Mr </w:t>
      </w:r>
      <w:r>
        <w:rPr>
          <w:rFonts w:ascii="Times New Roman" w:hAnsi="Times New Roman"/>
          <w:i/>
          <w:iCs/>
          <w:sz w:val="24"/>
          <w:szCs w:val="24"/>
        </w:rPr>
        <w:t>Madhuku</w:t>
      </w:r>
      <w:r>
        <w:rPr>
          <w:rFonts w:ascii="Times New Roman" w:hAnsi="Times New Roman"/>
          <w:sz w:val="24"/>
          <w:szCs w:val="24"/>
        </w:rPr>
        <w:t xml:space="preserve">, all that a litigant who wishes to directly challenge the constitutional validity of any law, custom or practice must show is some connection with the subject matter raised in the proceedings. That connection in the past has been satisfied by such broad assertions as that the applicant, a citizen, is bringing a matter of public importance or is motivated by a desire to protect the Constitution.  (See </w:t>
      </w:r>
      <w:r>
        <w:rPr>
          <w:rFonts w:ascii="Times New Roman" w:hAnsi="Times New Roman"/>
          <w:i/>
          <w:iCs/>
          <w:sz w:val="24"/>
          <w:szCs w:val="24"/>
        </w:rPr>
        <w:t>Mawarire v R G Mugabe and Others</w:t>
      </w:r>
      <w:r>
        <w:rPr>
          <w:rFonts w:ascii="Times New Roman" w:hAnsi="Times New Roman"/>
          <w:sz w:val="24"/>
          <w:szCs w:val="24"/>
        </w:rPr>
        <w:t xml:space="preserve"> 2013 (1) ZLR 469 (CC) and </w:t>
      </w:r>
      <w:r>
        <w:rPr>
          <w:rFonts w:ascii="Times New Roman" w:hAnsi="Times New Roman"/>
          <w:i/>
          <w:iCs/>
          <w:sz w:val="24"/>
          <w:szCs w:val="24"/>
        </w:rPr>
        <w:t>Mupungu v Minister of Justice &amp; Others</w:t>
      </w:r>
      <w:r>
        <w:rPr>
          <w:rFonts w:ascii="Times New Roman" w:hAnsi="Times New Roman"/>
          <w:sz w:val="24"/>
          <w:szCs w:val="24"/>
        </w:rPr>
        <w:t xml:space="preserve"> CCZ 7/21). </w:t>
      </w:r>
    </w:p>
    <w:p w14:paraId="11CC8F75" w14:textId="77777777" w:rsidR="009D791A" w:rsidRDefault="009D791A">
      <w:pPr>
        <w:pStyle w:val="ListParagraph"/>
        <w:spacing w:after="0" w:line="480" w:lineRule="auto"/>
        <w:ind w:left="709"/>
        <w:jc w:val="both"/>
        <w:rPr>
          <w:rFonts w:ascii="Times New Roman" w:eastAsia="Times New Roman" w:hAnsi="Times New Roman" w:cs="Times New Roman"/>
          <w:sz w:val="24"/>
          <w:szCs w:val="24"/>
        </w:rPr>
      </w:pPr>
    </w:p>
    <w:p w14:paraId="6FA83F50" w14:textId="24AA5FB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It is my view that the legal standing to assert the supremacy of the Constitution is patently broader than that required under s 85</w:t>
      </w:r>
      <w:r w:rsidR="002318F0">
        <w:rPr>
          <w:rFonts w:ascii="Times New Roman" w:hAnsi="Times New Roman"/>
          <w:sz w:val="24"/>
          <w:szCs w:val="24"/>
        </w:rPr>
        <w:t xml:space="preserve"> </w:t>
      </w:r>
      <w:r>
        <w:rPr>
          <w:rFonts w:ascii="Times New Roman" w:hAnsi="Times New Roman"/>
          <w:sz w:val="24"/>
          <w:szCs w:val="24"/>
        </w:rPr>
        <w:t>(1) and is notably broader than the common law requirements.</w:t>
      </w:r>
    </w:p>
    <w:p w14:paraId="2491C8AA" w14:textId="77777777" w:rsidR="009D791A" w:rsidRDefault="009D791A">
      <w:pPr>
        <w:pStyle w:val="ListParagraph"/>
        <w:rPr>
          <w:rFonts w:ascii="Times New Roman" w:eastAsia="Times New Roman" w:hAnsi="Times New Roman" w:cs="Times New Roman"/>
          <w:sz w:val="24"/>
          <w:szCs w:val="24"/>
        </w:rPr>
      </w:pPr>
    </w:p>
    <w:p w14:paraId="07CBEB1E"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It is my further view that direct challenges to assert the supremacy of the Constitution must be open to all citizens who are civic minded and wish to see the rule of law prevail.  Only those who bring frivolous and vexatious proceedings without any intention of obtaining relief from such proceedings must be denied standing and audience by the courts. This is so because a law, custom or practice that is unconstitutional is void to the extent of the inconsistency with the constitution and remains void at all times and for all purposes. It should therefore matter little and concern the court less by whom such invalidity is brought to its attention for an appropriate order to be made. </w:t>
      </w:r>
    </w:p>
    <w:p w14:paraId="35078AB5" w14:textId="77777777" w:rsidR="009D791A" w:rsidRDefault="009D791A">
      <w:pPr>
        <w:pStyle w:val="Body"/>
        <w:spacing w:after="0" w:line="480" w:lineRule="auto"/>
        <w:jc w:val="both"/>
        <w:rPr>
          <w:rFonts w:ascii="Times New Roman" w:eastAsia="Times New Roman" w:hAnsi="Times New Roman" w:cs="Times New Roman"/>
          <w:sz w:val="24"/>
          <w:szCs w:val="24"/>
          <w:lang w:val="en-US"/>
        </w:rPr>
      </w:pPr>
    </w:p>
    <w:p w14:paraId="7D610D0E" w14:textId="77777777" w:rsidR="009D791A" w:rsidRDefault="009D791A">
      <w:pPr>
        <w:pStyle w:val="ListParagraph"/>
        <w:rPr>
          <w:rFonts w:ascii="Times New Roman" w:eastAsia="Times New Roman" w:hAnsi="Times New Roman" w:cs="Times New Roman"/>
          <w:sz w:val="24"/>
          <w:szCs w:val="24"/>
        </w:rPr>
      </w:pPr>
    </w:p>
    <w:p w14:paraId="0F3EC0FC"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It is therefore my finding as was the finding </w:t>
      </w:r>
      <w:r>
        <w:rPr>
          <w:rFonts w:ascii="Times New Roman" w:hAnsi="Times New Roman"/>
          <w:i/>
          <w:iCs/>
          <w:sz w:val="24"/>
          <w:szCs w:val="24"/>
        </w:rPr>
        <w:t>a quo</w:t>
      </w:r>
      <w:r>
        <w:rPr>
          <w:rFonts w:ascii="Times New Roman" w:hAnsi="Times New Roman"/>
          <w:sz w:val="24"/>
          <w:szCs w:val="24"/>
        </w:rPr>
        <w:t xml:space="preserve"> that all of the applicants had the requisite standing to challenge the constitutional validity of s 314 of the Urban Councils Act. </w:t>
      </w:r>
    </w:p>
    <w:p w14:paraId="0514BE3C" w14:textId="77777777" w:rsidR="009D791A" w:rsidRPr="002318F0" w:rsidRDefault="009D791A" w:rsidP="002318F0">
      <w:pPr>
        <w:spacing w:line="480" w:lineRule="auto"/>
        <w:jc w:val="both"/>
        <w:rPr>
          <w:rFonts w:eastAsia="Times New Roman"/>
        </w:rPr>
      </w:pPr>
    </w:p>
    <w:p w14:paraId="07D2C85C"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 xml:space="preserve">I now turn the final issue. This is whether the order of constitutional invalidity issued by the court </w:t>
      </w:r>
      <w:r w:rsidRPr="007435D9">
        <w:rPr>
          <w:rFonts w:ascii="Times New Roman" w:hAnsi="Times New Roman"/>
          <w:i/>
          <w:sz w:val="24"/>
          <w:szCs w:val="24"/>
        </w:rPr>
        <w:t>a quo</w:t>
      </w:r>
      <w:r>
        <w:rPr>
          <w:rFonts w:ascii="Times New Roman" w:hAnsi="Times New Roman"/>
          <w:sz w:val="24"/>
          <w:szCs w:val="24"/>
        </w:rPr>
        <w:t xml:space="preserve"> was correct. </w:t>
      </w:r>
    </w:p>
    <w:p w14:paraId="3C5D2C9E" w14:textId="77777777" w:rsidR="009D791A" w:rsidRDefault="009D791A">
      <w:pPr>
        <w:pStyle w:val="Default"/>
        <w:spacing w:line="480" w:lineRule="auto"/>
        <w:ind w:left="720"/>
        <w:jc w:val="both"/>
        <w:rPr>
          <w:rFonts w:ascii="Times New Roman" w:eastAsia="Times New Roman" w:hAnsi="Times New Roman" w:cs="Times New Roman"/>
          <w:b/>
          <w:bCs/>
        </w:rPr>
      </w:pPr>
    </w:p>
    <w:p w14:paraId="5D856FE8" w14:textId="77777777" w:rsidR="009D791A" w:rsidRDefault="007B4448">
      <w:pPr>
        <w:pStyle w:val="Default"/>
        <w:spacing w:line="480" w:lineRule="auto"/>
        <w:ind w:left="720"/>
        <w:jc w:val="both"/>
        <w:rPr>
          <w:rFonts w:ascii="Times New Roman" w:eastAsia="Times New Roman" w:hAnsi="Times New Roman" w:cs="Times New Roman"/>
        </w:rPr>
      </w:pPr>
      <w:r>
        <w:rPr>
          <w:rFonts w:ascii="Times New Roman" w:hAnsi="Times New Roman"/>
          <w:b/>
          <w:bCs/>
        </w:rPr>
        <w:t>Is s 314 of the Urban Councils Act [Chapter 29.15] unconstitutional</w:t>
      </w:r>
      <w:r>
        <w:rPr>
          <w:rFonts w:ascii="Times New Roman" w:hAnsi="Times New Roman"/>
        </w:rPr>
        <w:t>?</w:t>
      </w:r>
    </w:p>
    <w:p w14:paraId="6322EE32" w14:textId="77777777" w:rsidR="009D791A" w:rsidRDefault="009D791A">
      <w:pPr>
        <w:pStyle w:val="Default"/>
        <w:spacing w:line="480" w:lineRule="auto"/>
        <w:ind w:left="720"/>
        <w:jc w:val="both"/>
        <w:rPr>
          <w:rFonts w:ascii="Times New Roman" w:eastAsia="Times New Roman" w:hAnsi="Times New Roman" w:cs="Times New Roman"/>
        </w:rPr>
      </w:pPr>
    </w:p>
    <w:p w14:paraId="4E18E8FA" w14:textId="77777777" w:rsidR="009D791A" w:rsidRDefault="007B4448">
      <w:pPr>
        <w:pStyle w:val="ListParagraph"/>
        <w:numPr>
          <w:ilvl w:val="0"/>
          <w:numId w:val="3"/>
        </w:numPr>
        <w:spacing w:after="0" w:line="480" w:lineRule="auto"/>
        <w:jc w:val="both"/>
        <w:rPr>
          <w:rFonts w:ascii="Times New Roman" w:hAnsi="Times New Roman"/>
          <w:sz w:val="24"/>
          <w:szCs w:val="24"/>
        </w:rPr>
      </w:pPr>
      <w:r>
        <w:rPr>
          <w:rFonts w:ascii="Times New Roman" w:hAnsi="Times New Roman"/>
          <w:sz w:val="24"/>
          <w:szCs w:val="24"/>
        </w:rPr>
        <w:t>The section reads as follows:</w:t>
      </w:r>
    </w:p>
    <w:p w14:paraId="2CAE9F7B" w14:textId="77777777" w:rsidR="009D791A" w:rsidRDefault="007B4448">
      <w:pPr>
        <w:pStyle w:val="Default"/>
        <w:ind w:left="1134"/>
        <w:jc w:val="both"/>
        <w:rPr>
          <w:rFonts w:ascii="Times New Roman" w:eastAsia="Times New Roman" w:hAnsi="Times New Roman" w:cs="Times New Roman"/>
        </w:rPr>
      </w:pPr>
      <w:r>
        <w:rPr>
          <w:rFonts w:ascii="Times New Roman" w:hAnsi="Times New Roman"/>
        </w:rPr>
        <w:t>“</w:t>
      </w:r>
      <w:r>
        <w:rPr>
          <w:rFonts w:ascii="Times New Roman" w:hAnsi="Times New Roman"/>
          <w:b/>
          <w:bCs/>
        </w:rPr>
        <w:t xml:space="preserve">314 Minister may reverse, suspend, rescind resolutions, decisions, etc. of councils </w:t>
      </w:r>
    </w:p>
    <w:p w14:paraId="4228F14C" w14:textId="77777777" w:rsidR="009D791A" w:rsidRDefault="007B4448">
      <w:pPr>
        <w:pStyle w:val="Default"/>
        <w:numPr>
          <w:ilvl w:val="1"/>
          <w:numId w:val="3"/>
        </w:numPr>
        <w:jc w:val="both"/>
        <w:rPr>
          <w:rFonts w:ascii="Times New Roman" w:hAnsi="Times New Roman"/>
        </w:rPr>
      </w:pPr>
      <w:r>
        <w:rPr>
          <w:rFonts w:ascii="Times New Roman" w:hAnsi="Times New Roman"/>
        </w:rPr>
        <w:t xml:space="preserve">Where the Minister is of the view that any resolution, decision or action of a council is not in the interests of the inhabitants of the council area concerned or is not in the national or public interest, the Minister may direct the council to reverse, suspend or rescind such resolution or decision or to reverse or suspend such action. </w:t>
      </w:r>
    </w:p>
    <w:p w14:paraId="37BDD29E" w14:textId="77777777" w:rsidR="009D791A" w:rsidRDefault="007B4448">
      <w:pPr>
        <w:pStyle w:val="Default"/>
        <w:numPr>
          <w:ilvl w:val="1"/>
          <w:numId w:val="3"/>
        </w:numPr>
        <w:jc w:val="both"/>
        <w:rPr>
          <w:rFonts w:ascii="Times New Roman" w:hAnsi="Times New Roman"/>
        </w:rPr>
      </w:pPr>
      <w:r>
        <w:rPr>
          <w:rFonts w:ascii="Times New Roman" w:hAnsi="Times New Roman"/>
        </w:rPr>
        <w:t xml:space="preserve">Any direction of the Minister in terms of subsection (1) to a council shall be in writing. </w:t>
      </w:r>
    </w:p>
    <w:p w14:paraId="0845C15B" w14:textId="77777777" w:rsidR="009D791A" w:rsidRDefault="007B4448">
      <w:pPr>
        <w:pStyle w:val="Default"/>
        <w:numPr>
          <w:ilvl w:val="1"/>
          <w:numId w:val="3"/>
        </w:numPr>
        <w:jc w:val="both"/>
        <w:rPr>
          <w:rFonts w:ascii="Times New Roman" w:hAnsi="Times New Roman"/>
        </w:rPr>
      </w:pPr>
      <w:r>
        <w:rPr>
          <w:rFonts w:ascii="Times New Roman" w:hAnsi="Times New Roman"/>
        </w:rPr>
        <w:t xml:space="preserve">The council shall, with all due expedition, comply with any direction given to it in terms of subsection (1).” </w:t>
      </w:r>
    </w:p>
    <w:p w14:paraId="77177E3F" w14:textId="77777777" w:rsidR="009D791A" w:rsidRDefault="009D791A">
      <w:pPr>
        <w:pStyle w:val="Default"/>
        <w:ind w:left="720"/>
        <w:jc w:val="both"/>
        <w:rPr>
          <w:rFonts w:ascii="Times New Roman" w:eastAsia="Times New Roman" w:hAnsi="Times New Roman" w:cs="Times New Roman"/>
        </w:rPr>
      </w:pPr>
    </w:p>
    <w:p w14:paraId="5B532DF2" w14:textId="77777777" w:rsidR="009D791A" w:rsidRDefault="009D791A">
      <w:pPr>
        <w:pStyle w:val="Default"/>
        <w:spacing w:line="480" w:lineRule="auto"/>
        <w:ind w:left="1080"/>
        <w:jc w:val="both"/>
        <w:rPr>
          <w:rFonts w:ascii="Times New Roman" w:eastAsia="Times New Roman" w:hAnsi="Times New Roman" w:cs="Times New Roman"/>
        </w:rPr>
      </w:pPr>
    </w:p>
    <w:p w14:paraId="21168EE2" w14:textId="4FA12ECE"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 The applicants contend in the main that this section breaches the provisions of Chapter 14 of the Constitution generally and in particular, ss 264, 265, </w:t>
      </w:r>
      <w:r w:rsidR="002318F0">
        <w:rPr>
          <w:rFonts w:ascii="Times New Roman" w:hAnsi="Times New Roman"/>
        </w:rPr>
        <w:t>274 and</w:t>
      </w:r>
      <w:r>
        <w:rPr>
          <w:rFonts w:ascii="Times New Roman" w:hAnsi="Times New Roman"/>
        </w:rPr>
        <w:t xml:space="preserve"> s 276. </w:t>
      </w:r>
    </w:p>
    <w:p w14:paraId="79743224" w14:textId="77777777" w:rsidR="009D791A" w:rsidRDefault="009D791A">
      <w:pPr>
        <w:pStyle w:val="Default"/>
        <w:spacing w:line="480" w:lineRule="auto"/>
        <w:ind w:left="1843"/>
        <w:jc w:val="both"/>
        <w:rPr>
          <w:rFonts w:ascii="Times New Roman" w:eastAsia="Times New Roman" w:hAnsi="Times New Roman" w:cs="Times New Roman"/>
        </w:rPr>
      </w:pPr>
    </w:p>
    <w:p w14:paraId="79B47833" w14:textId="44BC54A4" w:rsidR="009D791A" w:rsidRPr="00C04B27" w:rsidRDefault="00C04B27">
      <w:pPr>
        <w:pStyle w:val="Default"/>
        <w:spacing w:line="480" w:lineRule="auto"/>
        <w:ind w:firstLine="709"/>
        <w:jc w:val="both"/>
        <w:rPr>
          <w:rFonts w:ascii="Times New Roman" w:eastAsia="Times New Roman" w:hAnsi="Times New Roman" w:cs="Times New Roman"/>
          <w:b/>
          <w:bCs/>
          <w:u w:val="single"/>
        </w:rPr>
      </w:pPr>
      <w:r w:rsidRPr="00C04B27">
        <w:rPr>
          <w:rFonts w:ascii="Times New Roman" w:hAnsi="Times New Roman"/>
          <w:b/>
          <w:bCs/>
          <w:u w:val="single"/>
        </w:rPr>
        <w:t xml:space="preserve">THE DECISION </w:t>
      </w:r>
      <w:r w:rsidRPr="00C04B27">
        <w:rPr>
          <w:rFonts w:ascii="Times New Roman" w:hAnsi="Times New Roman"/>
          <w:b/>
          <w:bCs/>
          <w:i/>
          <w:iCs/>
          <w:u w:val="single"/>
        </w:rPr>
        <w:t>A QUO</w:t>
      </w:r>
    </w:p>
    <w:p w14:paraId="5464AE07" w14:textId="180BBE98" w:rsidR="009D791A" w:rsidRPr="002318F0" w:rsidRDefault="007B4448" w:rsidP="002318F0">
      <w:pPr>
        <w:pStyle w:val="Default"/>
        <w:numPr>
          <w:ilvl w:val="0"/>
          <w:numId w:val="2"/>
        </w:numPr>
        <w:spacing w:line="480" w:lineRule="auto"/>
        <w:jc w:val="both"/>
        <w:rPr>
          <w:rFonts w:ascii="Times New Roman" w:hAnsi="Times New Roman"/>
        </w:rPr>
      </w:pPr>
      <w:r>
        <w:rPr>
          <w:rFonts w:ascii="Times New Roman" w:hAnsi="Times New Roman"/>
        </w:rPr>
        <w:t xml:space="preserve"> In its judgment, the court </w:t>
      </w:r>
      <w:r>
        <w:rPr>
          <w:rFonts w:ascii="Times New Roman" w:hAnsi="Times New Roman"/>
          <w:i/>
          <w:iCs/>
        </w:rPr>
        <w:t>a quo</w:t>
      </w:r>
      <w:r>
        <w:rPr>
          <w:rFonts w:ascii="Times New Roman" w:hAnsi="Times New Roman"/>
        </w:rPr>
        <w:t xml:space="preserve"> correctly set out the approach that a court determining the constitutionality of any law custom or practice must take. This entails interpreting the Constitution first and then determining whether the impugned law, practice or </w:t>
      </w:r>
      <w:r>
        <w:rPr>
          <w:rFonts w:ascii="Times New Roman" w:hAnsi="Times New Roman"/>
        </w:rPr>
        <w:lastRenderedPageBreak/>
        <w:t>custom is consonant with the Constitution. (</w:t>
      </w:r>
      <w:r>
        <w:rPr>
          <w:rFonts w:ascii="Times New Roman" w:hAnsi="Times New Roman"/>
          <w:i/>
          <w:iCs/>
        </w:rPr>
        <w:t>Zimbabwe Township Development (Pvt) Ltd v Lou’s Shoes (Pvt) Ltd</w:t>
      </w:r>
      <w:r>
        <w:rPr>
          <w:rFonts w:ascii="Times New Roman" w:hAnsi="Times New Roman"/>
        </w:rPr>
        <w:t xml:space="preserve"> 1983 (2) ZLR 376 (S)). </w:t>
      </w:r>
    </w:p>
    <w:p w14:paraId="35751351" w14:textId="77777777" w:rsidR="009D791A" w:rsidRDefault="009D791A">
      <w:pPr>
        <w:pStyle w:val="ListParagraph"/>
        <w:rPr>
          <w:rFonts w:ascii="Times New Roman" w:eastAsia="Times New Roman" w:hAnsi="Times New Roman" w:cs="Times New Roman"/>
        </w:rPr>
      </w:pPr>
    </w:p>
    <w:p w14:paraId="6772DCEB" w14:textId="159B8172" w:rsidR="009D791A" w:rsidRDefault="007B4448">
      <w:pPr>
        <w:pStyle w:val="Default"/>
        <w:numPr>
          <w:ilvl w:val="0"/>
          <w:numId w:val="2"/>
        </w:numPr>
        <w:spacing w:line="480" w:lineRule="auto"/>
        <w:jc w:val="both"/>
        <w:rPr>
          <w:rFonts w:ascii="Times New Roman" w:hAnsi="Times New Roman"/>
          <w:i/>
          <w:iCs/>
        </w:rPr>
      </w:pPr>
      <w:r>
        <w:rPr>
          <w:rFonts w:ascii="Times New Roman" w:hAnsi="Times New Roman"/>
        </w:rPr>
        <w:t>The accepted approach referred to above calls upon the Court to interpret the relevant provisions of the Constitution in full as the first step. Having thus established the meaning of the Constitution, the court must then proceed</w:t>
      </w:r>
      <w:r w:rsidR="006F72A6">
        <w:rPr>
          <w:rFonts w:ascii="Times New Roman" w:hAnsi="Times New Roman"/>
        </w:rPr>
        <w:t xml:space="preserve"> </w:t>
      </w:r>
      <w:r w:rsidR="002318F0">
        <w:rPr>
          <w:rFonts w:ascii="Times New Roman" w:hAnsi="Times New Roman"/>
        </w:rPr>
        <w:t>t</w:t>
      </w:r>
      <w:r>
        <w:rPr>
          <w:rFonts w:ascii="Times New Roman" w:hAnsi="Times New Roman"/>
        </w:rPr>
        <w:t>o interpret the full content of the impugned law as the second step.  The final step entails comparing the meaning ascribed to the impugned law with the provisions of the Constitutions. If the impugned law is capable of two meanings, one contrary to the Constitution and the other in keeping therewith, the court must adopt the meaning that will give effect to the Constitution.</w:t>
      </w:r>
      <w:r>
        <w:rPr>
          <w:rFonts w:ascii="Times New Roman" w:hAnsi="Times New Roman"/>
          <w:i/>
          <w:iCs/>
        </w:rPr>
        <w:t xml:space="preserve"> (Zimbabwe Township Development (Pvt) Ltd v Lou’s Shoes (supra)).</w:t>
      </w:r>
      <w:r>
        <w:rPr>
          <w:rFonts w:ascii="Times New Roman" w:hAnsi="Times New Roman"/>
        </w:rPr>
        <w:t xml:space="preserve">  </w:t>
      </w:r>
    </w:p>
    <w:p w14:paraId="3C92230D" w14:textId="77777777" w:rsidR="009D791A" w:rsidRDefault="009D791A">
      <w:pPr>
        <w:pStyle w:val="Default"/>
        <w:spacing w:line="480" w:lineRule="auto"/>
        <w:ind w:left="720"/>
        <w:jc w:val="both"/>
        <w:rPr>
          <w:rFonts w:ascii="Times New Roman" w:eastAsia="Times New Roman" w:hAnsi="Times New Roman" w:cs="Times New Roman"/>
          <w:i/>
          <w:iCs/>
        </w:rPr>
      </w:pPr>
    </w:p>
    <w:p w14:paraId="4D5770FB"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Whilst the court </w:t>
      </w:r>
      <w:r>
        <w:rPr>
          <w:rFonts w:ascii="Times New Roman" w:hAnsi="Times New Roman"/>
          <w:i/>
          <w:iCs/>
        </w:rPr>
        <w:t>a quo</w:t>
      </w:r>
      <w:r>
        <w:rPr>
          <w:rFonts w:ascii="Times New Roman" w:hAnsi="Times New Roman"/>
        </w:rPr>
        <w:t xml:space="preserve"> recited the correct approach to adopt in the matter, its judgment does not reflect that it followed through with the enquiry that it ought to have then made.</w:t>
      </w:r>
    </w:p>
    <w:p w14:paraId="2E961D0F" w14:textId="77777777" w:rsidR="009D791A" w:rsidRDefault="009D791A">
      <w:pPr>
        <w:pStyle w:val="Default"/>
        <w:spacing w:line="480" w:lineRule="auto"/>
        <w:ind w:left="720"/>
        <w:jc w:val="both"/>
        <w:rPr>
          <w:rFonts w:ascii="Times New Roman" w:eastAsia="Times New Roman" w:hAnsi="Times New Roman" w:cs="Times New Roman"/>
          <w:i/>
          <w:iCs/>
        </w:rPr>
      </w:pPr>
    </w:p>
    <w:p w14:paraId="4FE5940D" w14:textId="77777777" w:rsidR="009D791A" w:rsidRDefault="007B4448">
      <w:pPr>
        <w:pStyle w:val="Default"/>
        <w:numPr>
          <w:ilvl w:val="0"/>
          <w:numId w:val="3"/>
        </w:numPr>
        <w:spacing w:line="480" w:lineRule="auto"/>
        <w:jc w:val="both"/>
        <w:rPr>
          <w:rFonts w:ascii="Times New Roman" w:hAnsi="Times New Roman"/>
          <w:i/>
          <w:iCs/>
        </w:rPr>
      </w:pPr>
      <w:r>
        <w:rPr>
          <w:rFonts w:ascii="Times New Roman" w:hAnsi="Times New Roman"/>
        </w:rPr>
        <w:t xml:space="preserve"> Having identified the several provisions of the Constitution that are allegedly violated by the impugned law, the court </w:t>
      </w:r>
      <w:r>
        <w:rPr>
          <w:rFonts w:ascii="Times New Roman" w:hAnsi="Times New Roman"/>
          <w:i/>
          <w:iCs/>
        </w:rPr>
        <w:t>a quo</w:t>
      </w:r>
      <w:r>
        <w:rPr>
          <w:rFonts w:ascii="Times New Roman" w:hAnsi="Times New Roman"/>
        </w:rPr>
        <w:t xml:space="preserve"> did not interpret each and every one of such provisions to ascertain the true meaning of the Constitution. Instead, it gave all the sections a general meaning.  It appears to me that in this regard, the court </w:t>
      </w:r>
      <w:r>
        <w:rPr>
          <w:rFonts w:ascii="Times New Roman" w:hAnsi="Times New Roman"/>
          <w:i/>
          <w:iCs/>
        </w:rPr>
        <w:t>a quo</w:t>
      </w:r>
      <w:r>
        <w:rPr>
          <w:rFonts w:ascii="Times New Roman" w:hAnsi="Times New Roman"/>
        </w:rPr>
        <w:t xml:space="preserve"> explained the purpose of the various constitutional provisions instead of interpreting them. For instance, without specifying which particular provision it was interpreting, the court </w:t>
      </w:r>
      <w:r>
        <w:rPr>
          <w:rFonts w:ascii="Times New Roman" w:hAnsi="Times New Roman"/>
          <w:i/>
          <w:iCs/>
        </w:rPr>
        <w:t>a quo</w:t>
      </w:r>
      <w:r>
        <w:rPr>
          <w:rFonts w:ascii="Times New Roman" w:hAnsi="Times New Roman"/>
        </w:rPr>
        <w:t xml:space="preserve"> found that the Constitution generally and unequivocally confers on local authorities’ powers to govern and manage and which powers should not be interfered with. In its words:</w:t>
      </w:r>
      <w:r>
        <w:rPr>
          <w:rFonts w:ascii="Times New Roman" w:hAnsi="Times New Roman"/>
          <w:i/>
          <w:iCs/>
        </w:rPr>
        <w:t xml:space="preserve"> </w:t>
      </w:r>
    </w:p>
    <w:p w14:paraId="356D9B21" w14:textId="77777777" w:rsidR="009D791A" w:rsidRDefault="009D791A">
      <w:pPr>
        <w:pStyle w:val="ListParagraph"/>
        <w:rPr>
          <w:rFonts w:ascii="Times New Roman" w:eastAsia="Times New Roman" w:hAnsi="Times New Roman" w:cs="Times New Roman"/>
          <w:i/>
          <w:iCs/>
        </w:rPr>
      </w:pPr>
    </w:p>
    <w:p w14:paraId="48E503C0" w14:textId="77777777" w:rsidR="009D791A" w:rsidRDefault="007B4448">
      <w:pPr>
        <w:pStyle w:val="Default"/>
        <w:ind w:left="1134"/>
        <w:jc w:val="both"/>
        <w:rPr>
          <w:rFonts w:ascii="Times New Roman" w:hAnsi="Times New Roman"/>
          <w:i/>
          <w:iCs/>
        </w:rPr>
      </w:pPr>
      <w:r>
        <w:rPr>
          <w:rFonts w:ascii="Times New Roman" w:hAnsi="Times New Roman"/>
          <w:i/>
          <w:iCs/>
        </w:rPr>
        <w:lastRenderedPageBreak/>
        <w:t>“The Constitution unequivocally confers local authorities with governing and management powers which should not be clandestinely interfered with.  Pertinent are the following constitutional provisions attesting to that:….”</w:t>
      </w:r>
    </w:p>
    <w:p w14:paraId="0807E522" w14:textId="77777777" w:rsidR="00C04B27" w:rsidRDefault="00C04B27">
      <w:pPr>
        <w:pStyle w:val="Default"/>
        <w:ind w:left="1134"/>
        <w:jc w:val="both"/>
        <w:rPr>
          <w:rFonts w:ascii="Times New Roman" w:hAnsi="Times New Roman"/>
          <w:i/>
          <w:iCs/>
        </w:rPr>
      </w:pPr>
    </w:p>
    <w:p w14:paraId="09C1BD0C" w14:textId="77777777" w:rsidR="002318F0" w:rsidRDefault="002318F0">
      <w:pPr>
        <w:pStyle w:val="Default"/>
        <w:ind w:left="1134"/>
        <w:jc w:val="both"/>
        <w:rPr>
          <w:rFonts w:ascii="Times New Roman" w:eastAsia="Times New Roman" w:hAnsi="Times New Roman" w:cs="Times New Roman"/>
          <w:i/>
          <w:iCs/>
        </w:rPr>
      </w:pPr>
    </w:p>
    <w:p w14:paraId="14CDB086" w14:textId="77777777" w:rsidR="009D791A" w:rsidRDefault="007B4448">
      <w:pPr>
        <w:pStyle w:val="Default"/>
        <w:spacing w:line="480" w:lineRule="auto"/>
        <w:ind w:left="709"/>
        <w:jc w:val="both"/>
        <w:rPr>
          <w:rFonts w:ascii="Times New Roman" w:eastAsia="Times New Roman" w:hAnsi="Times New Roman" w:cs="Times New Roman"/>
        </w:rPr>
      </w:pPr>
      <w:r>
        <w:rPr>
          <w:rFonts w:ascii="Times New Roman" w:hAnsi="Times New Roman"/>
        </w:rPr>
        <w:t xml:space="preserve">The court then proceeded to cite the provisions of ss 274 and 276 of the Constitution before proceeding to observe that these two provisions assert the powers of urban local authorities in a representative capacity to manage the affairs of the people in urban areas. It did not at any stage interpret these two sections. </w:t>
      </w:r>
    </w:p>
    <w:p w14:paraId="31F9BB01" w14:textId="77777777" w:rsidR="009D791A" w:rsidRDefault="009D791A">
      <w:pPr>
        <w:pStyle w:val="Default"/>
        <w:spacing w:line="480" w:lineRule="auto"/>
        <w:ind w:left="709"/>
        <w:jc w:val="both"/>
        <w:rPr>
          <w:rFonts w:ascii="Times New Roman" w:eastAsia="Times New Roman" w:hAnsi="Times New Roman" w:cs="Times New Roman"/>
        </w:rPr>
      </w:pPr>
    </w:p>
    <w:p w14:paraId="5487E34A"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I note that the judgment </w:t>
      </w:r>
      <w:r>
        <w:rPr>
          <w:rFonts w:ascii="Times New Roman" w:hAnsi="Times New Roman"/>
          <w:i/>
          <w:iCs/>
        </w:rPr>
        <w:t>a quo</w:t>
      </w:r>
      <w:r>
        <w:rPr>
          <w:rFonts w:ascii="Times New Roman" w:hAnsi="Times New Roman"/>
        </w:rPr>
        <w:t xml:space="preserve"> proceeds in this fashion and assigns broad interpretations of two or more sections of the Constitution in one breath.</w:t>
      </w:r>
    </w:p>
    <w:p w14:paraId="7C27641F" w14:textId="77777777" w:rsidR="009D791A" w:rsidRDefault="009D791A">
      <w:pPr>
        <w:pStyle w:val="Default"/>
        <w:spacing w:line="480" w:lineRule="auto"/>
        <w:jc w:val="both"/>
        <w:rPr>
          <w:rFonts w:ascii="Times New Roman" w:eastAsia="Times New Roman" w:hAnsi="Times New Roman" w:cs="Times New Roman"/>
        </w:rPr>
      </w:pPr>
    </w:p>
    <w:p w14:paraId="0E38FC17"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I opine in passing that in determining the constitutional invalidity of any law, where the position is governed by two or more provisions of the Constitution as was </w:t>
      </w:r>
      <w:r>
        <w:rPr>
          <w:rFonts w:ascii="Times New Roman" w:hAnsi="Times New Roman"/>
          <w:i/>
          <w:iCs/>
        </w:rPr>
        <w:t>in casu</w:t>
      </w:r>
      <w:r>
        <w:rPr>
          <w:rFonts w:ascii="Times New Roman" w:hAnsi="Times New Roman"/>
        </w:rPr>
        <w:t xml:space="preserve">, it is prudent to interpret each provision separately to arrive at the true meaning of the Constitution. A broad and conglomerate interpretation of the Constitution may not lead to a correct interpretation of the Constitution. Rarely is a word used superfluously in the Constitution. </w:t>
      </w:r>
    </w:p>
    <w:p w14:paraId="3B2BB787" w14:textId="77777777" w:rsidR="009D791A" w:rsidRDefault="009D791A">
      <w:pPr>
        <w:pStyle w:val="ListParagraph"/>
        <w:rPr>
          <w:rFonts w:ascii="Times New Roman" w:eastAsia="Times New Roman" w:hAnsi="Times New Roman" w:cs="Times New Roman"/>
        </w:rPr>
      </w:pPr>
    </w:p>
    <w:p w14:paraId="172C803A"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It is therefore my finding that the court </w:t>
      </w:r>
      <w:r>
        <w:rPr>
          <w:rFonts w:ascii="Times New Roman" w:hAnsi="Times New Roman"/>
          <w:i/>
          <w:iCs/>
        </w:rPr>
        <w:t>a quo</w:t>
      </w:r>
      <w:r>
        <w:rPr>
          <w:rFonts w:ascii="Times New Roman" w:hAnsi="Times New Roman"/>
        </w:rPr>
        <w:t xml:space="preserve"> fell into error in its approach to the matter that was before it. It did not interpret the Constitution fully to ascertain the true meaning of the supreme law before it sought to analyse the impugned law. Further, it did not at any stage consider whether the impugned law could be interpreted in a manner that would fall within the Constitution, fully interpreted. In other words, it did not apply the presumption of constitutionality to the impugned law before it declared the law unconstitutional.  Its decision cannot therefore stand.</w:t>
      </w:r>
    </w:p>
    <w:p w14:paraId="213FDDCE" w14:textId="77777777" w:rsidR="009D791A" w:rsidRDefault="009D791A">
      <w:pPr>
        <w:pStyle w:val="ListParagraph"/>
        <w:rPr>
          <w:rFonts w:ascii="Times New Roman" w:eastAsia="Times New Roman" w:hAnsi="Times New Roman" w:cs="Times New Roman"/>
        </w:rPr>
      </w:pPr>
    </w:p>
    <w:p w14:paraId="2A2CEC2C" w14:textId="77777777" w:rsidR="009D791A" w:rsidRDefault="009D791A">
      <w:pPr>
        <w:pStyle w:val="Default"/>
        <w:spacing w:line="480" w:lineRule="auto"/>
        <w:ind w:left="709"/>
        <w:jc w:val="both"/>
        <w:rPr>
          <w:rFonts w:ascii="Times New Roman" w:eastAsia="Times New Roman" w:hAnsi="Times New Roman" w:cs="Times New Roman"/>
        </w:rPr>
      </w:pPr>
    </w:p>
    <w:p w14:paraId="186D20A4"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I now turn to consider whether notwithstanding the incorrect approach that the court </w:t>
      </w:r>
      <w:r>
        <w:rPr>
          <w:rFonts w:ascii="Times New Roman" w:hAnsi="Times New Roman"/>
          <w:i/>
          <w:iCs/>
        </w:rPr>
        <w:t>a quo</w:t>
      </w:r>
      <w:r>
        <w:rPr>
          <w:rFonts w:ascii="Times New Roman" w:hAnsi="Times New Roman"/>
        </w:rPr>
        <w:t xml:space="preserve"> took in the matter, its decision was nevertheless correct.</w:t>
      </w:r>
    </w:p>
    <w:p w14:paraId="2D89E016" w14:textId="77777777" w:rsidR="009D791A" w:rsidRDefault="009D791A">
      <w:pPr>
        <w:pStyle w:val="ListParagraph"/>
        <w:rPr>
          <w:rFonts w:ascii="Times New Roman" w:eastAsia="Times New Roman" w:hAnsi="Times New Roman" w:cs="Times New Roman"/>
        </w:rPr>
      </w:pPr>
    </w:p>
    <w:p w14:paraId="153E2970" w14:textId="0CC87B8B" w:rsidR="00C04B27" w:rsidRPr="00C04B27" w:rsidRDefault="00C04B27">
      <w:pPr>
        <w:pStyle w:val="Default"/>
        <w:spacing w:line="480" w:lineRule="auto"/>
        <w:jc w:val="both"/>
        <w:rPr>
          <w:rFonts w:ascii="Times New Roman" w:hAnsi="Times New Roman"/>
          <w:b/>
          <w:bCs/>
          <w:u w:val="single"/>
        </w:rPr>
      </w:pPr>
      <w:r w:rsidRPr="00C04B27">
        <w:rPr>
          <w:rFonts w:ascii="Times New Roman" w:hAnsi="Times New Roman"/>
          <w:b/>
          <w:bCs/>
          <w:u w:val="single"/>
        </w:rPr>
        <w:t>THE CONSTITUTIONAL PROVISIONS</w:t>
      </w:r>
    </w:p>
    <w:p w14:paraId="008DD50A" w14:textId="0FCF6EDD"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applicants allege that s 314 of the Act contravenes the provisions of Chapter </w:t>
      </w:r>
      <w:r w:rsidR="002318F0">
        <w:rPr>
          <w:rFonts w:ascii="Times New Roman" w:hAnsi="Times New Roman"/>
        </w:rPr>
        <w:t>14 of</w:t>
      </w:r>
      <w:r>
        <w:rPr>
          <w:rFonts w:ascii="Times New Roman" w:hAnsi="Times New Roman"/>
        </w:rPr>
        <w:t xml:space="preserve"> the Constitution in general and </w:t>
      </w:r>
      <w:r w:rsidR="002318F0">
        <w:rPr>
          <w:rFonts w:ascii="Times New Roman" w:hAnsi="Times New Roman"/>
        </w:rPr>
        <w:t>ss 264</w:t>
      </w:r>
      <w:r>
        <w:rPr>
          <w:rFonts w:ascii="Times New Roman" w:hAnsi="Times New Roman"/>
        </w:rPr>
        <w:t xml:space="preserve">, 265 and 274 in particular. </w:t>
      </w:r>
    </w:p>
    <w:p w14:paraId="5C328C04" w14:textId="77777777" w:rsidR="009D791A" w:rsidRDefault="009D791A">
      <w:pPr>
        <w:pStyle w:val="Default"/>
        <w:spacing w:line="480" w:lineRule="auto"/>
        <w:ind w:left="709"/>
        <w:jc w:val="both"/>
        <w:rPr>
          <w:rFonts w:ascii="Times New Roman" w:eastAsia="Times New Roman" w:hAnsi="Times New Roman" w:cs="Times New Roman"/>
        </w:rPr>
      </w:pPr>
    </w:p>
    <w:p w14:paraId="1A3255D1"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Chapter 14 provides for provincial and local government.  It is in three parts. Part 1 provides for preliminary matters and provides for the devolution of governmental powers and responsibilities from central government to the lower tiers of government.   Part 2 provides for provinces, provincial and metropolitan councils. This part is to a large extent not relevant for the determination of this matter. Part 3 provides for urban local authorities, establishing such and defining their functions.</w:t>
      </w:r>
    </w:p>
    <w:p w14:paraId="1812E222" w14:textId="77777777" w:rsidR="009D791A" w:rsidRDefault="009D791A">
      <w:pPr>
        <w:pStyle w:val="Default"/>
        <w:spacing w:line="480" w:lineRule="auto"/>
        <w:ind w:left="709"/>
        <w:jc w:val="both"/>
        <w:rPr>
          <w:rFonts w:ascii="Times New Roman" w:eastAsia="Times New Roman" w:hAnsi="Times New Roman" w:cs="Times New Roman"/>
        </w:rPr>
      </w:pPr>
    </w:p>
    <w:p w14:paraId="2779F677"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The  preamble to Chapter 14 reads:</w:t>
      </w:r>
    </w:p>
    <w:p w14:paraId="0CF0EAFB" w14:textId="77777777" w:rsidR="009D791A" w:rsidRDefault="007B4448">
      <w:pPr>
        <w:pStyle w:val="Default"/>
        <w:ind w:left="1134"/>
        <w:jc w:val="both"/>
        <w:rPr>
          <w:rFonts w:ascii="Times New Roman" w:eastAsia="Times New Roman" w:hAnsi="Times New Roman" w:cs="Times New Roman"/>
        </w:rPr>
      </w:pPr>
      <w:r>
        <w:rPr>
          <w:rFonts w:ascii="Times New Roman" w:hAnsi="Times New Roman"/>
        </w:rPr>
        <w:t>“Whereas it is desirable to ensure:</w:t>
      </w:r>
    </w:p>
    <w:p w14:paraId="1173580F" w14:textId="77777777" w:rsidR="009D791A" w:rsidRDefault="007B4448">
      <w:pPr>
        <w:pStyle w:val="Default"/>
        <w:numPr>
          <w:ilvl w:val="0"/>
          <w:numId w:val="9"/>
        </w:numPr>
        <w:jc w:val="both"/>
        <w:rPr>
          <w:rFonts w:ascii="Times New Roman" w:hAnsi="Times New Roman"/>
        </w:rPr>
      </w:pPr>
      <w:r>
        <w:rPr>
          <w:rFonts w:ascii="Times New Roman" w:hAnsi="Times New Roman"/>
        </w:rPr>
        <w:t xml:space="preserve">The preservation of national unity in Zimbabwe and the prevention of all forms of disunity and secessionism; </w:t>
      </w:r>
    </w:p>
    <w:p w14:paraId="1105E5C2" w14:textId="77777777" w:rsidR="009D791A" w:rsidRDefault="007B4448">
      <w:pPr>
        <w:pStyle w:val="Default"/>
        <w:numPr>
          <w:ilvl w:val="0"/>
          <w:numId w:val="9"/>
        </w:numPr>
        <w:jc w:val="both"/>
        <w:rPr>
          <w:rFonts w:ascii="Times New Roman" w:hAnsi="Times New Roman"/>
        </w:rPr>
      </w:pPr>
      <w:r>
        <w:rPr>
          <w:rFonts w:ascii="Times New Roman" w:hAnsi="Times New Roman"/>
        </w:rPr>
        <w:t>The democratic participation in government by all citizens and communities in Zimbabwe; and;</w:t>
      </w:r>
    </w:p>
    <w:p w14:paraId="2A4C00B2" w14:textId="77777777" w:rsidR="009D791A" w:rsidRDefault="007B4448">
      <w:pPr>
        <w:pStyle w:val="Default"/>
        <w:numPr>
          <w:ilvl w:val="0"/>
          <w:numId w:val="9"/>
        </w:numPr>
        <w:jc w:val="both"/>
        <w:rPr>
          <w:rFonts w:ascii="Times New Roman" w:hAnsi="Times New Roman"/>
        </w:rPr>
      </w:pPr>
      <w:r>
        <w:rPr>
          <w:rFonts w:ascii="Times New Roman" w:hAnsi="Times New Roman"/>
        </w:rPr>
        <w:t>The equitable distribution of national resources and the participation of local communities in the determination of development priorities within their areas;</w:t>
      </w:r>
    </w:p>
    <w:p w14:paraId="40C36F80" w14:textId="77777777" w:rsidR="009D791A" w:rsidRDefault="007B4448">
      <w:pPr>
        <w:pStyle w:val="Default"/>
        <w:ind w:left="1701"/>
        <w:jc w:val="both"/>
        <w:rPr>
          <w:rFonts w:ascii="Times New Roman" w:eastAsia="Times New Roman" w:hAnsi="Times New Roman" w:cs="Times New Roman"/>
        </w:rPr>
      </w:pPr>
      <w:r>
        <w:rPr>
          <w:rFonts w:ascii="Times New Roman" w:hAnsi="Times New Roman"/>
        </w:rPr>
        <w:t>there must be devolution of power and responsibilities to lower tiers of government in Zimbabwe.”</w:t>
      </w:r>
    </w:p>
    <w:p w14:paraId="24995C3D" w14:textId="77777777" w:rsidR="009D791A" w:rsidRDefault="009D791A">
      <w:pPr>
        <w:pStyle w:val="Default"/>
        <w:ind w:left="1701"/>
        <w:jc w:val="both"/>
        <w:rPr>
          <w:rFonts w:ascii="Times New Roman" w:eastAsia="Times New Roman" w:hAnsi="Times New Roman" w:cs="Times New Roman"/>
        </w:rPr>
      </w:pPr>
    </w:p>
    <w:p w14:paraId="2A7468BA" w14:textId="77777777" w:rsidR="009D791A" w:rsidRDefault="009D791A">
      <w:pPr>
        <w:pStyle w:val="Default"/>
        <w:ind w:left="720"/>
        <w:jc w:val="both"/>
        <w:rPr>
          <w:rFonts w:ascii="Times New Roman" w:eastAsia="Times New Roman" w:hAnsi="Times New Roman" w:cs="Times New Roman"/>
        </w:rPr>
      </w:pPr>
    </w:p>
    <w:p w14:paraId="4EE275DF" w14:textId="77777777" w:rsidR="009D791A" w:rsidRDefault="009D791A">
      <w:pPr>
        <w:pStyle w:val="Default"/>
        <w:ind w:left="720"/>
        <w:jc w:val="both"/>
        <w:rPr>
          <w:rFonts w:ascii="Times New Roman" w:eastAsia="Times New Roman" w:hAnsi="Times New Roman" w:cs="Times New Roman"/>
        </w:rPr>
      </w:pPr>
    </w:p>
    <w:p w14:paraId="60D0BEBB" w14:textId="77777777" w:rsidR="009D791A" w:rsidRDefault="007B4448">
      <w:pPr>
        <w:pStyle w:val="Default"/>
        <w:numPr>
          <w:ilvl w:val="0"/>
          <w:numId w:val="10"/>
        </w:numPr>
        <w:spacing w:line="480" w:lineRule="auto"/>
        <w:jc w:val="both"/>
        <w:rPr>
          <w:rFonts w:ascii="Times New Roman" w:hAnsi="Times New Roman"/>
        </w:rPr>
      </w:pPr>
      <w:r>
        <w:rPr>
          <w:rFonts w:ascii="Times New Roman" w:hAnsi="Times New Roman"/>
        </w:rPr>
        <w:t xml:space="preserve">The preamble provides for devolution of power and responsibilities to lower tiers of government. It also lists three core values that underpin and overarch such devolution. The three core values are then restated in s 264 (2) as part of the objectives of the </w:t>
      </w:r>
      <w:r>
        <w:rPr>
          <w:rFonts w:ascii="Times New Roman" w:hAnsi="Times New Roman"/>
        </w:rPr>
        <w:lastRenderedPageBreak/>
        <w:t>devolution of powers and responsibilities to the lower tiers of government. To the extent that these require interpretation, I deal with them when I specifically deal with s 264 of the Constitution.</w:t>
      </w:r>
    </w:p>
    <w:p w14:paraId="4331FA27" w14:textId="77777777" w:rsidR="009D791A" w:rsidRDefault="009D791A">
      <w:pPr>
        <w:pStyle w:val="Default"/>
        <w:spacing w:line="480" w:lineRule="auto"/>
        <w:ind w:left="709"/>
        <w:jc w:val="both"/>
        <w:rPr>
          <w:rFonts w:ascii="Times New Roman" w:eastAsia="Times New Roman" w:hAnsi="Times New Roman" w:cs="Times New Roman"/>
        </w:rPr>
      </w:pPr>
    </w:p>
    <w:p w14:paraId="6F568B6C"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applicants took a broad swipe against s 314 of the Act as negating devolution as provided for in Chapter 14 generally. The court </w:t>
      </w:r>
      <w:r>
        <w:rPr>
          <w:rFonts w:ascii="Times New Roman" w:hAnsi="Times New Roman"/>
          <w:i/>
          <w:iCs/>
        </w:rPr>
        <w:t>a quo</w:t>
      </w:r>
      <w:r>
        <w:rPr>
          <w:rFonts w:ascii="Times New Roman" w:hAnsi="Times New Roman"/>
        </w:rPr>
        <w:t xml:space="preserve"> appears to have adopted this outlook wholesale as is evident from its judgment. I however pause very briefly to note that the court </w:t>
      </w:r>
      <w:r>
        <w:rPr>
          <w:rFonts w:ascii="Times New Roman" w:hAnsi="Times New Roman"/>
          <w:i/>
          <w:iCs/>
        </w:rPr>
        <w:t>a quo</w:t>
      </w:r>
      <w:r>
        <w:rPr>
          <w:rFonts w:ascii="Times New Roman" w:hAnsi="Times New Roman"/>
        </w:rPr>
        <w:t xml:space="preserve"> emphasised only one of the three values reflected in the preamble and did not advert at all to the other two in its judgment. It dwelt to a large extent and almost exclusively with the need to uphold the democratic participation in government by all citizens and communities in Zimbabwe. In fact, it omitted from its reproduction of the preamble the first paragraph that provides for the preservation of national unity and a unitary state as an underpinning value. Quite clearly, it did not consider that this was a relevant consideration in the determination of the matter that was before it.</w:t>
      </w:r>
    </w:p>
    <w:p w14:paraId="662FA598" w14:textId="77777777" w:rsidR="009D791A" w:rsidRDefault="009D791A">
      <w:pPr>
        <w:pStyle w:val="Default"/>
        <w:spacing w:line="480" w:lineRule="auto"/>
        <w:jc w:val="both"/>
        <w:rPr>
          <w:rFonts w:ascii="Times New Roman" w:eastAsia="Times New Roman" w:hAnsi="Times New Roman" w:cs="Times New Roman"/>
        </w:rPr>
      </w:pPr>
    </w:p>
    <w:p w14:paraId="4CF09FB2"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 xml:space="preserve">The term “devolution” is not defined. </w:t>
      </w:r>
    </w:p>
    <w:p w14:paraId="23DCBB2D" w14:textId="77777777" w:rsidR="002318F0" w:rsidRDefault="002318F0" w:rsidP="002318F0">
      <w:pPr>
        <w:pStyle w:val="Default"/>
        <w:spacing w:line="480" w:lineRule="auto"/>
        <w:jc w:val="both"/>
        <w:rPr>
          <w:rFonts w:ascii="Times New Roman" w:hAnsi="Times New Roman"/>
        </w:rPr>
      </w:pPr>
    </w:p>
    <w:p w14:paraId="462B4395"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The 8</w:t>
      </w:r>
      <w:r>
        <w:rPr>
          <w:rFonts w:ascii="Times New Roman" w:hAnsi="Times New Roman"/>
          <w:vertAlign w:val="superscript"/>
        </w:rPr>
        <w:t>th</w:t>
      </w:r>
      <w:r>
        <w:rPr>
          <w:rFonts w:ascii="Times New Roman" w:hAnsi="Times New Roman"/>
        </w:rPr>
        <w:t xml:space="preserve"> Edition of the Oxford Dictionary defines the term as “the act of giving power from a central authority or government to an authority or a government in a local region.” Thus, devolution in its ordinary sense entails the transfer of power from central government to a lower tier of government. Some literature refers to it as the “de-concentration of power”.  </w:t>
      </w:r>
    </w:p>
    <w:p w14:paraId="04CC95C1" w14:textId="77777777" w:rsidR="009D791A" w:rsidRDefault="009D791A">
      <w:pPr>
        <w:pStyle w:val="Default"/>
        <w:spacing w:line="480" w:lineRule="auto"/>
        <w:ind w:left="720"/>
        <w:jc w:val="both"/>
        <w:rPr>
          <w:rFonts w:ascii="Times New Roman" w:eastAsia="Times New Roman" w:hAnsi="Times New Roman" w:cs="Times New Roman"/>
        </w:rPr>
      </w:pPr>
    </w:p>
    <w:p w14:paraId="3799D2CC"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Whilst devolution was developed politically as an antidote to the fragmentation of states and the clamour by separatists for independence especially in Spain and the United </w:t>
      </w:r>
      <w:r>
        <w:rPr>
          <w:rFonts w:ascii="Times New Roman" w:hAnsi="Times New Roman"/>
        </w:rPr>
        <w:lastRenderedPageBreak/>
        <w:t xml:space="preserve">Kingdom, it has evolved as a strategy of structuring state institutions to enhance democracy and the participation of people in the making of decisions that affect then at the local level, through their elected representatives. Thus, whilst the United Kingdom has enacted three Acts of Parliament to provide for the devolution of governmental powers and responsibilities to Scotland, Wales and Northern Ireland, Kenya has provided for the devolution of governmental powers and responsibilities in its Constitution. </w:t>
      </w:r>
    </w:p>
    <w:p w14:paraId="513BC1DD" w14:textId="77777777" w:rsidR="009D791A" w:rsidRDefault="009D791A">
      <w:pPr>
        <w:pStyle w:val="Default"/>
        <w:spacing w:line="480" w:lineRule="auto"/>
        <w:jc w:val="both"/>
        <w:rPr>
          <w:rFonts w:ascii="Times New Roman" w:eastAsia="Times New Roman" w:hAnsi="Times New Roman" w:cs="Times New Roman"/>
        </w:rPr>
      </w:pPr>
    </w:p>
    <w:p w14:paraId="7C8917D1" w14:textId="77777777" w:rsidR="009D791A" w:rsidRDefault="007B4448">
      <w:pPr>
        <w:pStyle w:val="Default"/>
        <w:numPr>
          <w:ilvl w:val="0"/>
          <w:numId w:val="2"/>
        </w:numPr>
        <w:spacing w:line="480" w:lineRule="auto"/>
        <w:jc w:val="both"/>
        <w:rPr>
          <w:rFonts w:ascii="Times New Roman" w:hAnsi="Times New Roman"/>
          <w:i/>
          <w:iCs/>
        </w:rPr>
      </w:pPr>
      <w:r>
        <w:rPr>
          <w:rFonts w:ascii="Times New Roman" w:hAnsi="Times New Roman"/>
        </w:rPr>
        <w:t xml:space="preserve">In the United Kingdom, devolution is reportedly viewed as the delegation of central government powers without the relinquishing of sovereignty. (See </w:t>
      </w:r>
      <w:r w:rsidRPr="002318F0">
        <w:rPr>
          <w:rFonts w:ascii="Times New Roman" w:hAnsi="Times New Roman"/>
          <w:iCs/>
        </w:rPr>
        <w:t>the</w:t>
      </w:r>
      <w:r>
        <w:rPr>
          <w:rFonts w:ascii="Times New Roman" w:hAnsi="Times New Roman"/>
        </w:rPr>
        <w:t xml:space="preserve"> </w:t>
      </w:r>
      <w:r>
        <w:rPr>
          <w:rFonts w:ascii="Times New Roman" w:hAnsi="Times New Roman"/>
          <w:i/>
          <w:iCs/>
        </w:rPr>
        <w:t xml:space="preserve">Kilbrandon Report (1973) Report of the Royal Commission on the Constitution, London, HMSO Cmnd 5460.) </w:t>
      </w:r>
    </w:p>
    <w:p w14:paraId="3263B9A4" w14:textId="77777777" w:rsidR="009D791A" w:rsidRDefault="009D791A">
      <w:pPr>
        <w:pStyle w:val="Default"/>
        <w:spacing w:line="480" w:lineRule="auto"/>
        <w:ind w:left="720"/>
        <w:jc w:val="both"/>
        <w:rPr>
          <w:rFonts w:ascii="Times New Roman" w:eastAsia="Times New Roman" w:hAnsi="Times New Roman" w:cs="Times New Roman"/>
          <w:i/>
          <w:iCs/>
        </w:rPr>
      </w:pPr>
    </w:p>
    <w:p w14:paraId="36D5A737"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It stands to reason in my view to regard devolution as an evolving concept and notion, and one whose ambit and full effect in any given jurisdiction is best understood by making reference to the legal framework setting it up.</w:t>
      </w:r>
    </w:p>
    <w:p w14:paraId="3D7CAC44" w14:textId="77777777" w:rsidR="009D791A" w:rsidRDefault="009D791A">
      <w:pPr>
        <w:pStyle w:val="Default"/>
        <w:spacing w:line="480" w:lineRule="auto"/>
        <w:ind w:left="720"/>
        <w:jc w:val="both"/>
        <w:rPr>
          <w:rFonts w:ascii="Times New Roman" w:eastAsia="Times New Roman" w:hAnsi="Times New Roman" w:cs="Times New Roman"/>
        </w:rPr>
      </w:pPr>
    </w:p>
    <w:p w14:paraId="72E98AE3"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In this jurisdiction, s 264 provides for devolution of governmental powers and responsibilities to local authorities. As indicated above, this is a new constitutional provision. The wording of the section is clear and admits of no debate. It requires no interpretation. It reads:</w:t>
      </w:r>
    </w:p>
    <w:p w14:paraId="04820CAC" w14:textId="77777777" w:rsidR="009D791A" w:rsidRDefault="007B4448">
      <w:pPr>
        <w:pStyle w:val="Default"/>
        <w:ind w:left="1134"/>
        <w:jc w:val="both"/>
        <w:rPr>
          <w:rFonts w:ascii="Times New Roman" w:eastAsia="Times New Roman" w:hAnsi="Times New Roman" w:cs="Times New Roman"/>
        </w:rPr>
      </w:pPr>
      <w:r>
        <w:rPr>
          <w:rFonts w:ascii="Times New Roman" w:hAnsi="Times New Roman"/>
        </w:rPr>
        <w:t xml:space="preserve">“264   </w:t>
      </w:r>
      <w:r>
        <w:rPr>
          <w:rFonts w:ascii="Times New Roman" w:hAnsi="Times New Roman"/>
          <w:b/>
          <w:bCs/>
        </w:rPr>
        <w:t>Devolution of governmental powers and responsibilities</w:t>
      </w:r>
    </w:p>
    <w:p w14:paraId="0C2CCCAC" w14:textId="77777777" w:rsidR="009D791A" w:rsidRDefault="007B4448">
      <w:pPr>
        <w:pStyle w:val="Default"/>
        <w:ind w:left="1701" w:hanging="567"/>
        <w:jc w:val="both"/>
        <w:rPr>
          <w:rFonts w:ascii="Times New Roman" w:eastAsia="Times New Roman" w:hAnsi="Times New Roman" w:cs="Times New Roman"/>
        </w:rPr>
      </w:pPr>
      <w:r>
        <w:rPr>
          <w:rFonts w:ascii="Times New Roman" w:hAnsi="Times New Roman"/>
        </w:rPr>
        <w:t>(1)   Whenever appropriate, governmental powers and responsibilities must be devolved to provincial and metropolitan councils and local authorities which are competent to carry out these responsibilities efficiently and effectively.</w:t>
      </w:r>
    </w:p>
    <w:p w14:paraId="2DB4A014" w14:textId="77777777" w:rsidR="009D791A" w:rsidRDefault="007B4448">
      <w:pPr>
        <w:pStyle w:val="Default"/>
        <w:numPr>
          <w:ilvl w:val="1"/>
          <w:numId w:val="3"/>
        </w:numPr>
        <w:jc w:val="both"/>
        <w:rPr>
          <w:rFonts w:ascii="Times New Roman" w:hAnsi="Times New Roman"/>
        </w:rPr>
      </w:pPr>
      <w:r>
        <w:rPr>
          <w:rFonts w:ascii="Times New Roman" w:hAnsi="Times New Roman"/>
        </w:rPr>
        <w:t xml:space="preserve"> The objectives of the devolution of governmental powers and responsibilities to provincial and metropolitan councils and local authorities are-</w:t>
      </w:r>
    </w:p>
    <w:p w14:paraId="056DDE95" w14:textId="77777777" w:rsidR="009D791A" w:rsidRDefault="007B4448">
      <w:pPr>
        <w:pStyle w:val="Default"/>
        <w:numPr>
          <w:ilvl w:val="3"/>
          <w:numId w:val="3"/>
        </w:numPr>
        <w:jc w:val="both"/>
        <w:rPr>
          <w:rFonts w:ascii="Times New Roman" w:hAnsi="Times New Roman"/>
        </w:rPr>
      </w:pPr>
      <w:r>
        <w:rPr>
          <w:rFonts w:ascii="Times New Roman" w:hAnsi="Times New Roman"/>
        </w:rPr>
        <w:lastRenderedPageBreak/>
        <w:t>to give powers of local governance to the people and enhance their participation in the exercise of the powers of State and in making decisions affecting them;</w:t>
      </w:r>
    </w:p>
    <w:p w14:paraId="6300C043" w14:textId="77777777" w:rsidR="009D791A" w:rsidRDefault="007B4448">
      <w:pPr>
        <w:pStyle w:val="Default"/>
        <w:numPr>
          <w:ilvl w:val="3"/>
          <w:numId w:val="3"/>
        </w:numPr>
        <w:jc w:val="both"/>
        <w:rPr>
          <w:rFonts w:ascii="Times New Roman" w:hAnsi="Times New Roman"/>
        </w:rPr>
      </w:pPr>
      <w:r>
        <w:rPr>
          <w:rFonts w:ascii="Times New Roman" w:hAnsi="Times New Roman"/>
        </w:rPr>
        <w:t>to promote democratic, effective, transparent, accountable and coherent government in Zimbabwe as a whole;</w:t>
      </w:r>
    </w:p>
    <w:p w14:paraId="2EDCA4C8" w14:textId="77777777" w:rsidR="009D791A" w:rsidRDefault="007B4448">
      <w:pPr>
        <w:pStyle w:val="Default"/>
        <w:numPr>
          <w:ilvl w:val="3"/>
          <w:numId w:val="3"/>
        </w:numPr>
        <w:jc w:val="both"/>
        <w:rPr>
          <w:rFonts w:ascii="Times New Roman" w:hAnsi="Times New Roman"/>
        </w:rPr>
      </w:pPr>
      <w:r>
        <w:rPr>
          <w:rFonts w:ascii="Times New Roman" w:hAnsi="Times New Roman"/>
        </w:rPr>
        <w:t>to preserve and foster the peace, national unity and indivisibility of Zimbabwe;</w:t>
      </w:r>
    </w:p>
    <w:p w14:paraId="61AA4959" w14:textId="77777777" w:rsidR="009D791A" w:rsidRDefault="007B4448">
      <w:pPr>
        <w:pStyle w:val="Default"/>
        <w:numPr>
          <w:ilvl w:val="3"/>
          <w:numId w:val="3"/>
        </w:numPr>
        <w:jc w:val="both"/>
        <w:rPr>
          <w:rFonts w:ascii="Times New Roman" w:hAnsi="Times New Roman"/>
        </w:rPr>
      </w:pPr>
      <w:r>
        <w:rPr>
          <w:rFonts w:ascii="Times New Roman" w:hAnsi="Times New Roman"/>
        </w:rPr>
        <w:t>to recognise the right of communities to manage their own affairs and to further their development;</w:t>
      </w:r>
    </w:p>
    <w:p w14:paraId="5CCCBA1D" w14:textId="77777777" w:rsidR="009D791A" w:rsidRDefault="007B4448">
      <w:pPr>
        <w:pStyle w:val="Default"/>
        <w:numPr>
          <w:ilvl w:val="3"/>
          <w:numId w:val="3"/>
        </w:numPr>
        <w:jc w:val="both"/>
        <w:rPr>
          <w:rFonts w:ascii="Times New Roman" w:hAnsi="Times New Roman"/>
        </w:rPr>
      </w:pPr>
      <w:r>
        <w:rPr>
          <w:rFonts w:ascii="Times New Roman" w:hAnsi="Times New Roman"/>
        </w:rPr>
        <w:t>to ensure the equitable sharing of local and national resources; and</w:t>
      </w:r>
    </w:p>
    <w:p w14:paraId="350CE21F" w14:textId="77777777" w:rsidR="009D791A" w:rsidRDefault="007B4448">
      <w:pPr>
        <w:pStyle w:val="Default"/>
        <w:numPr>
          <w:ilvl w:val="3"/>
          <w:numId w:val="3"/>
        </w:numPr>
        <w:jc w:val="both"/>
        <w:rPr>
          <w:rFonts w:ascii="Times New Roman" w:hAnsi="Times New Roman"/>
        </w:rPr>
      </w:pPr>
      <w:r>
        <w:rPr>
          <w:rFonts w:ascii="Times New Roman" w:hAnsi="Times New Roman"/>
        </w:rPr>
        <w:t xml:space="preserve">to transfer responsibilities and resources from the national government in order to establish a sound financial base for each provincial and metropolitan council and local authority.” </w:t>
      </w:r>
    </w:p>
    <w:p w14:paraId="4A4B9534" w14:textId="77777777" w:rsidR="009D791A" w:rsidRDefault="009D791A">
      <w:pPr>
        <w:pStyle w:val="Default"/>
        <w:spacing w:line="480" w:lineRule="auto"/>
        <w:ind w:left="2070"/>
        <w:jc w:val="both"/>
        <w:rPr>
          <w:rFonts w:ascii="Times New Roman" w:eastAsia="Times New Roman" w:hAnsi="Times New Roman" w:cs="Times New Roman"/>
        </w:rPr>
      </w:pPr>
    </w:p>
    <w:p w14:paraId="50A7D2D7" w14:textId="77777777" w:rsidR="009D791A" w:rsidRDefault="007B4448" w:rsidP="002318F0">
      <w:pPr>
        <w:pStyle w:val="Default"/>
        <w:numPr>
          <w:ilvl w:val="0"/>
          <w:numId w:val="7"/>
        </w:numPr>
        <w:spacing w:line="480" w:lineRule="auto"/>
        <w:ind w:hanging="720"/>
        <w:jc w:val="both"/>
        <w:rPr>
          <w:rFonts w:ascii="Times New Roman" w:hAnsi="Times New Roman"/>
        </w:rPr>
      </w:pPr>
      <w:r>
        <w:rPr>
          <w:rFonts w:ascii="Times New Roman" w:hAnsi="Times New Roman"/>
        </w:rPr>
        <w:t>Whilst s 264 provides for devolution of governmental powers and responsibilities to provincial and metropolitan councils as well as to local authorities, this judgment will constrain its remarks and findings only to local authorities. Having said that, I wish to note in passing that devolution of power and responsibilities to lower tiers of government  in terms of s 264 (1) must occur when it is appropriate and the provincial or metropolitan council or local authority is competent to carry out these responsibilities efficiently and effectively.  The discretion to determine when it is appropriate to devolve power and responsibilities to the lower tiers and the power and authority  to determine that each council or local authority can carry out such responsibilities efficiently or effectively must vest in some authority. One can only surmise that such discretion and authority vests in central government.</w:t>
      </w:r>
    </w:p>
    <w:p w14:paraId="515071F9" w14:textId="77777777" w:rsidR="009D791A" w:rsidRDefault="009D791A" w:rsidP="0052603A">
      <w:pPr>
        <w:pStyle w:val="NoSpacing"/>
      </w:pPr>
    </w:p>
    <w:p w14:paraId="7A3A03BC" w14:textId="43CB3E86" w:rsidR="009D791A" w:rsidRPr="000334AA" w:rsidRDefault="007B4448" w:rsidP="000334AA">
      <w:pPr>
        <w:pStyle w:val="Default"/>
        <w:numPr>
          <w:ilvl w:val="0"/>
          <w:numId w:val="7"/>
        </w:numPr>
        <w:spacing w:line="480" w:lineRule="auto"/>
        <w:ind w:hanging="720"/>
        <w:jc w:val="both"/>
        <w:rPr>
          <w:rFonts w:ascii="Times New Roman" w:hAnsi="Times New Roman"/>
        </w:rPr>
      </w:pPr>
      <w:r>
        <w:rPr>
          <w:rFonts w:ascii="Times New Roman" w:hAnsi="Times New Roman"/>
        </w:rPr>
        <w:t xml:space="preserve">The further import of s 264, in addition to providing for devolution, is in my view to recognise the continuing role of central government. This counters the argument by </w:t>
      </w:r>
      <w:r w:rsidRPr="00463050">
        <w:rPr>
          <w:rFonts w:ascii="Times New Roman" w:hAnsi="Times New Roman"/>
          <w:iCs/>
        </w:rPr>
        <w:t>Mr</w:t>
      </w:r>
      <w:r w:rsidR="004A3D13">
        <w:rPr>
          <w:rFonts w:ascii="Times New Roman" w:hAnsi="Times New Roman"/>
          <w:iCs/>
        </w:rPr>
        <w:t> </w:t>
      </w:r>
      <w:r>
        <w:rPr>
          <w:rFonts w:ascii="Times New Roman" w:hAnsi="Times New Roman"/>
          <w:i/>
          <w:iCs/>
        </w:rPr>
        <w:t>Madhuku</w:t>
      </w:r>
      <w:r>
        <w:rPr>
          <w:rFonts w:ascii="Times New Roman" w:hAnsi="Times New Roman"/>
        </w:rPr>
        <w:t xml:space="preserve"> that once power is devolved to local authorities, the central government has no role whatsoever. The Constitution recognises the role of central government to determine when devolution may occur and to assess the efficiency and effectiveness of local authorities upon whom power and responsibilities may devolve.</w:t>
      </w:r>
    </w:p>
    <w:p w14:paraId="1EAE32F1" w14:textId="77777777" w:rsidR="009D791A" w:rsidRDefault="007B4448">
      <w:pPr>
        <w:pStyle w:val="Default"/>
        <w:numPr>
          <w:ilvl w:val="0"/>
          <w:numId w:val="2"/>
        </w:numPr>
        <w:spacing w:line="480" w:lineRule="auto"/>
        <w:jc w:val="both"/>
        <w:rPr>
          <w:rFonts w:ascii="Times New Roman" w:hAnsi="Times New Roman"/>
          <w:color w:val="FF0000"/>
        </w:rPr>
      </w:pPr>
      <w:r>
        <w:rPr>
          <w:rFonts w:ascii="Times New Roman" w:hAnsi="Times New Roman"/>
        </w:rPr>
        <w:lastRenderedPageBreak/>
        <w:t>I now turn to s 274 of the Constitution which establishes local authorities for urban areas. It provides in subsections (1) and (2) as follows:</w:t>
      </w:r>
    </w:p>
    <w:p w14:paraId="1BE513E8" w14:textId="77777777" w:rsidR="009D791A" w:rsidRDefault="007B4448">
      <w:pPr>
        <w:pStyle w:val="Default"/>
        <w:ind w:left="1134"/>
        <w:jc w:val="both"/>
        <w:rPr>
          <w:rFonts w:ascii="Times New Roman" w:eastAsia="Times New Roman" w:hAnsi="Times New Roman" w:cs="Times New Roman"/>
        </w:rPr>
      </w:pPr>
      <w:r>
        <w:rPr>
          <w:rFonts w:ascii="Times New Roman" w:hAnsi="Times New Roman"/>
        </w:rPr>
        <w:t xml:space="preserve">“274 </w:t>
      </w:r>
      <w:r>
        <w:rPr>
          <w:rFonts w:ascii="Times New Roman" w:hAnsi="Times New Roman"/>
          <w:b/>
          <w:bCs/>
        </w:rPr>
        <w:t>Urban local authorities</w:t>
      </w:r>
    </w:p>
    <w:p w14:paraId="3E396247" w14:textId="77777777" w:rsidR="009D791A" w:rsidRDefault="007B4448">
      <w:pPr>
        <w:pStyle w:val="Default"/>
        <w:numPr>
          <w:ilvl w:val="1"/>
          <w:numId w:val="2"/>
        </w:numPr>
        <w:jc w:val="both"/>
        <w:rPr>
          <w:rFonts w:ascii="Times New Roman" w:hAnsi="Times New Roman"/>
          <w:color w:val="FF0000"/>
        </w:rPr>
      </w:pPr>
      <w:r>
        <w:rPr>
          <w:rFonts w:ascii="Times New Roman" w:hAnsi="Times New Roman"/>
        </w:rPr>
        <w:t>There are urban local authorities to represent and manage the affairs of people in urban areas throughout Zimbabwe.</w:t>
      </w:r>
    </w:p>
    <w:p w14:paraId="3A7C2412" w14:textId="45F88DAE" w:rsidR="009D791A" w:rsidRDefault="007B4448">
      <w:pPr>
        <w:pStyle w:val="Default"/>
        <w:numPr>
          <w:ilvl w:val="1"/>
          <w:numId w:val="2"/>
        </w:numPr>
        <w:jc w:val="both"/>
        <w:rPr>
          <w:rFonts w:ascii="Times New Roman" w:hAnsi="Times New Roman"/>
          <w:color w:val="FF0000"/>
        </w:rPr>
      </w:pPr>
      <w:r>
        <w:rPr>
          <w:rFonts w:ascii="Times New Roman" w:hAnsi="Times New Roman"/>
        </w:rPr>
        <w:t xml:space="preserve">Urban local authorities are managed by councils composed of </w:t>
      </w:r>
      <w:r w:rsidR="000334AA">
        <w:rPr>
          <w:rFonts w:ascii="Times New Roman" w:hAnsi="Times New Roman"/>
        </w:rPr>
        <w:t>council</w:t>
      </w:r>
      <w:r w:rsidR="008A1311">
        <w:rPr>
          <w:rFonts w:ascii="Times New Roman" w:hAnsi="Times New Roman"/>
        </w:rPr>
        <w:t>l</w:t>
      </w:r>
      <w:r w:rsidR="000334AA">
        <w:rPr>
          <w:rFonts w:ascii="Times New Roman" w:hAnsi="Times New Roman"/>
        </w:rPr>
        <w:t>ors</w:t>
      </w:r>
      <w:r>
        <w:rPr>
          <w:rFonts w:ascii="Times New Roman" w:hAnsi="Times New Roman"/>
        </w:rPr>
        <w:t xml:space="preserve"> elected by registered voters in the urban areas concerned and presided over by elected mayors or chairpersons, by whatever name called.”</w:t>
      </w:r>
      <w:r>
        <w:rPr>
          <w:rFonts w:ascii="Times New Roman" w:hAnsi="Times New Roman"/>
          <w:color w:val="FF0000"/>
          <w:u w:color="FF0000"/>
        </w:rPr>
        <w:t xml:space="preserve"> </w:t>
      </w:r>
    </w:p>
    <w:p w14:paraId="47809E0E" w14:textId="77777777" w:rsidR="009D791A" w:rsidRDefault="009D791A">
      <w:pPr>
        <w:pStyle w:val="Default"/>
        <w:spacing w:line="480" w:lineRule="auto"/>
        <w:ind w:left="630"/>
        <w:jc w:val="both"/>
        <w:rPr>
          <w:rFonts w:ascii="Times New Roman" w:eastAsia="Times New Roman" w:hAnsi="Times New Roman" w:cs="Times New Roman"/>
          <w:color w:val="FF0000"/>
          <w:u w:color="FF0000"/>
        </w:rPr>
      </w:pPr>
    </w:p>
    <w:p w14:paraId="2C3C5EEC"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Again, in my view, the language used in the section is clear and admits of no ambiguity. As correctly observed by the court </w:t>
      </w:r>
      <w:r>
        <w:rPr>
          <w:rFonts w:ascii="Times New Roman" w:hAnsi="Times New Roman"/>
          <w:i/>
          <w:iCs/>
        </w:rPr>
        <w:t>a quo</w:t>
      </w:r>
      <w:r>
        <w:rPr>
          <w:rFonts w:ascii="Times New Roman" w:hAnsi="Times New Roman"/>
        </w:rPr>
        <w:t>, the section asserts the devolution of local governance as provided for in s 264, to urban local authorities and entrenches the democratic participation of urban dwellers in their local affairs through their elected representatives.</w:t>
      </w:r>
    </w:p>
    <w:p w14:paraId="2312436D" w14:textId="77777777" w:rsidR="009D791A" w:rsidRDefault="009D791A">
      <w:pPr>
        <w:pStyle w:val="Default"/>
        <w:spacing w:line="480" w:lineRule="auto"/>
        <w:ind w:left="720"/>
        <w:jc w:val="both"/>
        <w:rPr>
          <w:rFonts w:ascii="Times New Roman" w:eastAsia="Times New Roman" w:hAnsi="Times New Roman" w:cs="Times New Roman"/>
        </w:rPr>
      </w:pPr>
    </w:p>
    <w:p w14:paraId="0EB16F36"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Section 276 sets out the functions of local authorities as follows:</w:t>
      </w:r>
    </w:p>
    <w:p w14:paraId="48043073" w14:textId="77777777" w:rsidR="009D791A" w:rsidRDefault="007B4448">
      <w:pPr>
        <w:pStyle w:val="Default"/>
        <w:ind w:left="1134"/>
        <w:jc w:val="both"/>
        <w:rPr>
          <w:rFonts w:ascii="Times New Roman" w:eastAsia="Times New Roman" w:hAnsi="Times New Roman" w:cs="Times New Roman"/>
        </w:rPr>
      </w:pPr>
      <w:r>
        <w:rPr>
          <w:rFonts w:ascii="Times New Roman" w:hAnsi="Times New Roman"/>
        </w:rPr>
        <w:t xml:space="preserve">“276 </w:t>
      </w:r>
      <w:r>
        <w:rPr>
          <w:rFonts w:ascii="Times New Roman" w:hAnsi="Times New Roman"/>
          <w:b/>
          <w:bCs/>
        </w:rPr>
        <w:t>Functions of local authorities</w:t>
      </w:r>
    </w:p>
    <w:p w14:paraId="63C390B4" w14:textId="77777777" w:rsidR="009D791A" w:rsidRDefault="007B4448">
      <w:pPr>
        <w:pStyle w:val="Default"/>
        <w:numPr>
          <w:ilvl w:val="1"/>
          <w:numId w:val="2"/>
        </w:numPr>
        <w:jc w:val="both"/>
        <w:rPr>
          <w:rFonts w:ascii="Times New Roman" w:hAnsi="Times New Roman"/>
        </w:rPr>
      </w:pPr>
      <w:r>
        <w:rPr>
          <w:rFonts w:ascii="Times New Roman" w:hAnsi="Times New Roman"/>
        </w:rPr>
        <w:t>Subject to this Constitution and any Act of Parliament, a local authority has the right to govern, on its own initiative, the local affairs of the people within the area for which it has been established, and has all the powers necessary for it to do so.</w:t>
      </w:r>
    </w:p>
    <w:p w14:paraId="60933CEE" w14:textId="77777777" w:rsidR="009D791A" w:rsidRDefault="007B4448">
      <w:pPr>
        <w:pStyle w:val="Default"/>
        <w:numPr>
          <w:ilvl w:val="1"/>
          <w:numId w:val="2"/>
        </w:numPr>
        <w:spacing w:line="480" w:lineRule="auto"/>
        <w:jc w:val="both"/>
        <w:rPr>
          <w:rFonts w:ascii="Times New Roman" w:hAnsi="Times New Roman"/>
        </w:rPr>
      </w:pPr>
      <w:r>
        <w:rPr>
          <w:rFonts w:ascii="Times New Roman" w:hAnsi="Times New Roman"/>
        </w:rPr>
        <w:t>………..”</w:t>
      </w:r>
    </w:p>
    <w:p w14:paraId="0B9553C0" w14:textId="77777777" w:rsidR="009D791A" w:rsidRDefault="009D791A">
      <w:pPr>
        <w:pStyle w:val="Default"/>
        <w:spacing w:line="480" w:lineRule="auto"/>
        <w:jc w:val="both"/>
        <w:rPr>
          <w:rFonts w:ascii="Times New Roman" w:eastAsia="Times New Roman" w:hAnsi="Times New Roman" w:cs="Times New Roman"/>
        </w:rPr>
      </w:pPr>
    </w:p>
    <w:p w14:paraId="7ABAA5B1"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The language used in the section is clear.  It is the function of local authorities to run the affairs of local authorities. Conversely expressed, local authorities have the right to run the affairs of their respective areas and must manage and govern the affairs of their respective local areas. The right to govern is however to be exercised subject to the Constitution and the provisions of any statute governing local authorities. The right to govern is therefore not absolute but must be exercised in such a manner that it remains consistent with the relevant provisions of the Constitution and in accordance with the provisions of any relevant statutory law.</w:t>
      </w:r>
    </w:p>
    <w:p w14:paraId="6573794D" w14:textId="77777777" w:rsidR="009D791A" w:rsidRDefault="009D791A">
      <w:pPr>
        <w:pStyle w:val="Default"/>
        <w:spacing w:line="480" w:lineRule="auto"/>
        <w:ind w:left="720"/>
        <w:jc w:val="both"/>
        <w:rPr>
          <w:rFonts w:ascii="Times New Roman" w:eastAsia="Times New Roman" w:hAnsi="Times New Roman" w:cs="Times New Roman"/>
        </w:rPr>
      </w:pPr>
    </w:p>
    <w:p w14:paraId="1A015E82"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In summary therefore, the Constitution establishes as a new institution of governance, the devolution of governmental powers and responsibilities from the national government to local authorities. It provides the objectives of such devolution as well as the guiding principles to be observed in implementing the new order of governance. The Constitution further grants in clear language the right to local authorities to manage and govern the affairs of local authorities, making the enjoyment of such a right subject only to the Constitution and to an Act of Parliament. </w:t>
      </w:r>
    </w:p>
    <w:p w14:paraId="41936B68" w14:textId="476A3086" w:rsidR="009D791A" w:rsidRDefault="009D791A">
      <w:pPr>
        <w:pStyle w:val="Default"/>
        <w:spacing w:line="480" w:lineRule="auto"/>
        <w:ind w:left="720"/>
        <w:jc w:val="both"/>
        <w:rPr>
          <w:rFonts w:ascii="Times New Roman" w:eastAsia="Times New Roman" w:hAnsi="Times New Roman" w:cs="Times New Roman"/>
        </w:rPr>
      </w:pPr>
    </w:p>
    <w:p w14:paraId="4F8C47E0"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It is against the above framework of the constitutional dispensation that </w:t>
      </w:r>
      <w:r w:rsidR="003E0ABF">
        <w:rPr>
          <w:rFonts w:ascii="Times New Roman" w:hAnsi="Times New Roman"/>
        </w:rPr>
        <w:t xml:space="preserve">an examination of </w:t>
      </w:r>
      <w:r>
        <w:rPr>
          <w:rFonts w:ascii="Times New Roman" w:hAnsi="Times New Roman"/>
        </w:rPr>
        <w:t>the provisions of s 314 of the Urban Councils Act will now be undertaken.</w:t>
      </w:r>
    </w:p>
    <w:p w14:paraId="53AE4712" w14:textId="77777777" w:rsidR="009D791A" w:rsidRDefault="009D791A">
      <w:pPr>
        <w:pStyle w:val="ListParagraph"/>
        <w:rPr>
          <w:rFonts w:ascii="Times New Roman" w:eastAsia="Times New Roman" w:hAnsi="Times New Roman" w:cs="Times New Roman"/>
        </w:rPr>
      </w:pPr>
    </w:p>
    <w:p w14:paraId="5FE9708D"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The provisions of the section have been cited in full at the beginning of this judgment. In essence, the section grants power to the Minister administering the Act the power to reverse, suspend, or rescind resolutions, decisions of councils where in his view such</w:t>
      </w:r>
      <w:r>
        <w:rPr>
          <w:rFonts w:ascii="Times New Roman" w:hAnsi="Times New Roman"/>
          <w:b/>
          <w:bCs/>
        </w:rPr>
        <w:t xml:space="preserve"> </w:t>
      </w:r>
      <w:r>
        <w:rPr>
          <w:rFonts w:ascii="Times New Roman" w:hAnsi="Times New Roman"/>
        </w:rPr>
        <w:t>resolution, decision or action of a council is not in the interests of the inhabitants of the council area concerned or is not in the national or public interest.</w:t>
      </w:r>
    </w:p>
    <w:p w14:paraId="198FCA76" w14:textId="77777777" w:rsidR="009D791A" w:rsidRDefault="009D791A">
      <w:pPr>
        <w:pStyle w:val="ListParagraph"/>
        <w:rPr>
          <w:rFonts w:ascii="Times New Roman" w:eastAsia="Times New Roman" w:hAnsi="Times New Roman" w:cs="Times New Roman"/>
        </w:rPr>
      </w:pPr>
    </w:p>
    <w:p w14:paraId="3C56C04C"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I entertain no doubt whatsoever that to ensure that the core values of devolution are always upheld, the minister responsible for local government, on behalf of central government, must retain some residual oversight powers to step in when necessary.</w:t>
      </w:r>
    </w:p>
    <w:p w14:paraId="671BFC9F" w14:textId="77777777" w:rsidR="009D791A" w:rsidRDefault="009D791A">
      <w:pPr>
        <w:pStyle w:val="ListParagraph"/>
        <w:rPr>
          <w:rFonts w:ascii="Times New Roman" w:eastAsia="Times New Roman" w:hAnsi="Times New Roman" w:cs="Times New Roman"/>
        </w:rPr>
      </w:pPr>
    </w:p>
    <w:p w14:paraId="37B757DF" w14:textId="5440D1A3"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If it is accepted, which it must, that the role of central government to oversee local authorities to whom power may have devolved remains, then it must be accepted in turn that the Minister must be vested with powers and authority to redress and address issues of concern in the administration of the local authority. Quite conceivably and for </w:t>
      </w:r>
      <w:r>
        <w:rPr>
          <w:rFonts w:ascii="Times New Roman" w:hAnsi="Times New Roman"/>
        </w:rPr>
        <w:lastRenderedPageBreak/>
        <w:t>instance, where a decision of the local authority threatens national unity and has the effect of cre</w:t>
      </w:r>
      <w:r w:rsidR="00336C5C">
        <w:rPr>
          <w:rFonts w:ascii="Times New Roman" w:hAnsi="Times New Roman"/>
        </w:rPr>
        <w:t>ating a stand-</w:t>
      </w:r>
      <w:r>
        <w:rPr>
          <w:rFonts w:ascii="Times New Roman" w:hAnsi="Times New Roman"/>
        </w:rPr>
        <w:t xml:space="preserve">alone and </w:t>
      </w:r>
      <w:r w:rsidR="00B03556">
        <w:rPr>
          <w:rFonts w:ascii="Times New Roman" w:hAnsi="Times New Roman"/>
        </w:rPr>
        <w:t>independent local authority, un</w:t>
      </w:r>
      <w:r>
        <w:rPr>
          <w:rFonts w:ascii="Times New Roman" w:hAnsi="Times New Roman"/>
        </w:rPr>
        <w:t xml:space="preserve">-coordinated with no other local authority or the central government, then and in that event, it must be accepted that the exercise of the powers granted to the Minister in terms of s 314 will not be inappropriate. </w:t>
      </w:r>
    </w:p>
    <w:p w14:paraId="0FB2E65F" w14:textId="77777777" w:rsidR="009D791A" w:rsidRDefault="009D791A">
      <w:pPr>
        <w:pStyle w:val="ListParagraph"/>
        <w:rPr>
          <w:rFonts w:ascii="Times New Roman" w:eastAsia="Times New Roman" w:hAnsi="Times New Roman" w:cs="Times New Roman"/>
        </w:rPr>
      </w:pPr>
    </w:p>
    <w:p w14:paraId="5D3C949D"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Equally conceivable are instances where decisions by local authorities to whom governmental power and responsibilities may have devolved, are inward- looking and threaten the equitable distribution of national resources. Again, in such instances, the exercise of the residual oversight powers vesting in central government in terms of s 314 will not be amiss.  </w:t>
      </w:r>
    </w:p>
    <w:p w14:paraId="781E3D86" w14:textId="77777777" w:rsidR="009D791A" w:rsidRDefault="009D791A">
      <w:pPr>
        <w:pStyle w:val="ListParagraph"/>
        <w:rPr>
          <w:rFonts w:ascii="Times New Roman" w:eastAsia="Times New Roman" w:hAnsi="Times New Roman" w:cs="Times New Roman"/>
        </w:rPr>
      </w:pPr>
    </w:p>
    <w:p w14:paraId="3B2B2C80"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Seen in the above light, the provisions of s 314 of the Urban Councils Act are necessary. The Minister administering local government has a helicopter view of all local authorities. He or she is legally empowered and centrally positioned to ensure that the objectives of the devolution of power and responsibilities are met and that the core values attendant upon devolution are always upheld.</w:t>
      </w:r>
    </w:p>
    <w:p w14:paraId="0256F6DB" w14:textId="77777777" w:rsidR="009D791A" w:rsidRDefault="009D791A">
      <w:pPr>
        <w:pStyle w:val="ListParagraph"/>
        <w:rPr>
          <w:rFonts w:ascii="Times New Roman" w:eastAsia="Times New Roman" w:hAnsi="Times New Roman" w:cs="Times New Roman"/>
        </w:rPr>
      </w:pPr>
    </w:p>
    <w:p w14:paraId="5D48E68E"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 I have somewhere in this judgment adverted to the presumption of constitutional validity. If the impugned law is capable of another meaning that is contrary to the Constitution, it is still possible to interpret it in consonance with the Constitution and that is the meaning that ought to prevail. I accordingly adopt such as it will give effect to the Constitution.</w:t>
      </w:r>
    </w:p>
    <w:p w14:paraId="50C1BBDD" w14:textId="77777777" w:rsidR="009D791A" w:rsidRDefault="009D791A">
      <w:pPr>
        <w:pStyle w:val="ListParagraph"/>
        <w:rPr>
          <w:rFonts w:ascii="Times New Roman" w:eastAsia="Times New Roman" w:hAnsi="Times New Roman" w:cs="Times New Roman"/>
        </w:rPr>
      </w:pPr>
    </w:p>
    <w:p w14:paraId="3350FBCE"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On the basis of the foregoing, it is my finding that the power granted to the Minister in s 314 is constitutional.</w:t>
      </w:r>
    </w:p>
    <w:p w14:paraId="44D8E49A" w14:textId="77777777" w:rsidR="009D791A" w:rsidRDefault="009D791A">
      <w:pPr>
        <w:pStyle w:val="ListParagraph"/>
        <w:jc w:val="both"/>
        <w:rPr>
          <w:rFonts w:ascii="Times New Roman" w:eastAsia="Times New Roman" w:hAnsi="Times New Roman" w:cs="Times New Roman"/>
          <w:sz w:val="24"/>
          <w:szCs w:val="24"/>
        </w:rPr>
      </w:pPr>
    </w:p>
    <w:p w14:paraId="4FC6CED2" w14:textId="7B039188"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 The power granted to the minister by the provision is not exercisable at the mere whim of the Minister. It is not exercisable on the basis that the Minister would have personally preferred a different decision in the matter and were he or she present in the meeting where the decision was made, would have voted against the adoption of the decision. Expressed differently, the section does not confer upon the Minister a casting vote in the debates of local authorities. As correctly observed by the court </w:t>
      </w:r>
      <w:r w:rsidRPr="00B03556">
        <w:rPr>
          <w:rFonts w:ascii="Times New Roman" w:hAnsi="Times New Roman"/>
          <w:i/>
        </w:rPr>
        <w:t>a quo</w:t>
      </w:r>
      <w:r>
        <w:rPr>
          <w:rFonts w:ascii="Times New Roman" w:hAnsi="Times New Roman"/>
        </w:rPr>
        <w:t xml:space="preserve">, </w:t>
      </w:r>
      <w:r w:rsidR="00B03556">
        <w:rPr>
          <w:rFonts w:ascii="Times New Roman" w:hAnsi="Times New Roman"/>
        </w:rPr>
        <w:t>“it</w:t>
      </w:r>
      <w:r>
        <w:rPr>
          <w:rFonts w:ascii="Times New Roman" w:hAnsi="Times New Roman"/>
          <w:i/>
          <w:iCs/>
        </w:rPr>
        <w:t xml:space="preserve"> is improper that the Minister as an individual decides that a decision or resolution is in his view not in the interests of the inhabitants of the concerned area.”</w:t>
      </w:r>
      <w:r>
        <w:rPr>
          <w:rFonts w:ascii="Times New Roman" w:hAnsi="Times New Roman"/>
        </w:rPr>
        <w:t xml:space="preserve"> His or her view in this regard must be an informed rational decision and for which reasons must be proffered. Needless to say, the reasons must show in which respect the decision or resolution by the local authority fails to be in the national or public interest or in the interests of the inhabitants of the local area concerned. This is so because the view of the Minister and his or her consequent decision to reverse, suspend or rescind the decision of a local authority are always subject to judicial control under the Administrative Justice Act [</w:t>
      </w:r>
      <w:r w:rsidR="00B03556">
        <w:rPr>
          <w:rFonts w:ascii="Times New Roman" w:hAnsi="Times New Roman"/>
          <w:i/>
          <w:iCs/>
        </w:rPr>
        <w:t>Chapter 10:</w:t>
      </w:r>
      <w:r>
        <w:rPr>
          <w:rFonts w:ascii="Times New Roman" w:hAnsi="Times New Roman"/>
          <w:i/>
          <w:iCs/>
        </w:rPr>
        <w:t>28</w:t>
      </w:r>
      <w:r>
        <w:rPr>
          <w:rFonts w:ascii="Times New Roman" w:hAnsi="Times New Roman"/>
        </w:rPr>
        <w:t>].</w:t>
      </w:r>
    </w:p>
    <w:p w14:paraId="18F93731" w14:textId="77777777" w:rsidR="009D791A" w:rsidRDefault="009D791A">
      <w:pPr>
        <w:pStyle w:val="ListParagraph"/>
        <w:jc w:val="both"/>
        <w:rPr>
          <w:rFonts w:ascii="Times New Roman" w:eastAsia="Times New Roman" w:hAnsi="Times New Roman" w:cs="Times New Roman"/>
          <w:sz w:val="24"/>
          <w:szCs w:val="24"/>
        </w:rPr>
      </w:pPr>
    </w:p>
    <w:p w14:paraId="2BC711AB"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The devolution of power envisaged in the Constitution is to leave local authorities to manage and govern the affairs of local authorities thereby giving effect to and enhancing the democratic participation of the citizenry through its elected representatives, subject to the Minister reversing, suspending or rescinding only those decisions and resolutions that are demonstrably not in the interests of the inhabitants of the local authority or are not in the public and national interest. </w:t>
      </w:r>
    </w:p>
    <w:p w14:paraId="0EFD8FD0" w14:textId="77777777" w:rsidR="009D791A" w:rsidRDefault="009D791A">
      <w:pPr>
        <w:pStyle w:val="Default"/>
        <w:spacing w:line="480" w:lineRule="auto"/>
        <w:jc w:val="both"/>
        <w:rPr>
          <w:rFonts w:ascii="Times New Roman" w:eastAsia="Times New Roman" w:hAnsi="Times New Roman" w:cs="Times New Roman"/>
        </w:rPr>
      </w:pPr>
    </w:p>
    <w:p w14:paraId="3082C501" w14:textId="77777777" w:rsidR="009D791A" w:rsidRDefault="009D791A">
      <w:pPr>
        <w:pStyle w:val="ListParagraph"/>
        <w:jc w:val="both"/>
        <w:rPr>
          <w:rFonts w:ascii="Times New Roman" w:eastAsia="Times New Roman" w:hAnsi="Times New Roman" w:cs="Times New Roman"/>
          <w:sz w:val="24"/>
          <w:szCs w:val="24"/>
        </w:rPr>
      </w:pPr>
    </w:p>
    <w:p w14:paraId="23CC71CF"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lastRenderedPageBreak/>
        <w:t>Not only is the decision and conduct of the Minister under the provisions of the Act to be considered in each case in the light and framework of the Constitution, such decision or conduct remains subject at common law to the administrative review of the courts as it is made in the exercise of public power. These built-in control mechanism save the power granted to the Minister in terms of the provision from being “</w:t>
      </w:r>
      <w:r>
        <w:rPr>
          <w:rFonts w:ascii="Times New Roman" w:hAnsi="Times New Roman"/>
          <w:i/>
          <w:iCs/>
        </w:rPr>
        <w:t xml:space="preserve">overriding powers which have no checks and balances” </w:t>
      </w:r>
      <w:r>
        <w:rPr>
          <w:rFonts w:ascii="Times New Roman" w:hAnsi="Times New Roman"/>
        </w:rPr>
        <w:t xml:space="preserve">as was found by the court </w:t>
      </w:r>
      <w:r>
        <w:rPr>
          <w:rFonts w:ascii="Times New Roman" w:hAnsi="Times New Roman"/>
          <w:i/>
          <w:iCs/>
        </w:rPr>
        <w:t>a quo</w:t>
      </w:r>
      <w:r>
        <w:rPr>
          <w:rFonts w:ascii="Times New Roman" w:hAnsi="Times New Roman"/>
        </w:rPr>
        <w:t>. More importantly, these built-in control mechanisms save the impugned provision from being unconstitutional.</w:t>
      </w:r>
    </w:p>
    <w:p w14:paraId="7536DFBF" w14:textId="77777777" w:rsidR="009D791A" w:rsidRDefault="009D791A">
      <w:pPr>
        <w:pStyle w:val="Body"/>
        <w:rPr>
          <w:rFonts w:ascii="Times New Roman" w:eastAsia="Times New Roman" w:hAnsi="Times New Roman" w:cs="Times New Roman"/>
        </w:rPr>
      </w:pPr>
    </w:p>
    <w:p w14:paraId="5532A283" w14:textId="7137E48A" w:rsidR="009D791A" w:rsidRPr="00336C5C" w:rsidRDefault="00336C5C">
      <w:pPr>
        <w:pStyle w:val="Default"/>
        <w:spacing w:line="480" w:lineRule="auto"/>
        <w:jc w:val="both"/>
        <w:rPr>
          <w:rFonts w:ascii="Times New Roman" w:eastAsia="Times New Roman" w:hAnsi="Times New Roman" w:cs="Times New Roman"/>
          <w:b/>
          <w:bCs/>
          <w:u w:val="single"/>
        </w:rPr>
      </w:pPr>
      <w:r w:rsidRPr="00336C5C">
        <w:rPr>
          <w:rFonts w:ascii="Times New Roman" w:hAnsi="Times New Roman"/>
          <w:b/>
          <w:bCs/>
          <w:u w:val="single"/>
        </w:rPr>
        <w:t>DISPOSITION</w:t>
      </w:r>
    </w:p>
    <w:p w14:paraId="12916CCF"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The general position of this Court regarding costs is regulated by R 55 of the Constitutional Court Rules 2016. The general position is that no costs are awarded in a constitutional matter. There are no reasons in these proceedings that justify a departure from this position.</w:t>
      </w:r>
    </w:p>
    <w:p w14:paraId="70080648" w14:textId="77777777" w:rsidR="009D791A" w:rsidRDefault="009D791A">
      <w:pPr>
        <w:pStyle w:val="Default"/>
        <w:spacing w:line="480" w:lineRule="auto"/>
        <w:ind w:left="709"/>
        <w:jc w:val="both"/>
        <w:rPr>
          <w:rFonts w:ascii="Times New Roman" w:eastAsia="Times New Roman" w:hAnsi="Times New Roman" w:cs="Times New Roman"/>
        </w:rPr>
      </w:pPr>
    </w:p>
    <w:p w14:paraId="7EE5E420" w14:textId="77777777" w:rsidR="009D791A" w:rsidRDefault="007B4448">
      <w:pPr>
        <w:pStyle w:val="Default"/>
        <w:numPr>
          <w:ilvl w:val="0"/>
          <w:numId w:val="3"/>
        </w:numPr>
        <w:spacing w:line="480" w:lineRule="auto"/>
        <w:jc w:val="both"/>
        <w:rPr>
          <w:rFonts w:ascii="Times New Roman" w:hAnsi="Times New Roman"/>
        </w:rPr>
      </w:pPr>
      <w:r>
        <w:rPr>
          <w:rFonts w:ascii="Times New Roman" w:hAnsi="Times New Roman"/>
        </w:rPr>
        <w:t>In the result, I make the following order:</w:t>
      </w:r>
    </w:p>
    <w:p w14:paraId="16A5E16F" w14:textId="4FEF4254" w:rsidR="00B03556" w:rsidRPr="00B03556" w:rsidRDefault="007B4448" w:rsidP="00B03556">
      <w:pPr>
        <w:pStyle w:val="Default"/>
        <w:numPr>
          <w:ilvl w:val="0"/>
          <w:numId w:val="12"/>
        </w:numPr>
        <w:spacing w:line="480" w:lineRule="auto"/>
        <w:jc w:val="both"/>
        <w:rPr>
          <w:rFonts w:ascii="Times New Roman" w:hAnsi="Times New Roman"/>
        </w:rPr>
      </w:pPr>
      <w:r>
        <w:rPr>
          <w:rFonts w:ascii="Times New Roman" w:hAnsi="Times New Roman"/>
        </w:rPr>
        <w:t>The order of constitutional invalidity made by the High Court on 11 January 2023 in respect of s 314 of the Urban Councils Act [</w:t>
      </w:r>
      <w:r w:rsidR="006C6BEA">
        <w:rPr>
          <w:rFonts w:ascii="Times New Roman" w:hAnsi="Times New Roman"/>
          <w:i/>
          <w:iCs/>
        </w:rPr>
        <w:t>Chapter 29:</w:t>
      </w:r>
      <w:r>
        <w:rPr>
          <w:rFonts w:ascii="Times New Roman" w:hAnsi="Times New Roman"/>
          <w:i/>
          <w:iCs/>
        </w:rPr>
        <w:t>15</w:t>
      </w:r>
      <w:r>
        <w:rPr>
          <w:rFonts w:ascii="Times New Roman" w:hAnsi="Times New Roman"/>
        </w:rPr>
        <w:t>] is hereby not confirmed and is accordingly set aside.</w:t>
      </w:r>
    </w:p>
    <w:p w14:paraId="0B23AA94" w14:textId="77777777" w:rsidR="009D791A" w:rsidRDefault="007B4448">
      <w:pPr>
        <w:pStyle w:val="Default"/>
        <w:numPr>
          <w:ilvl w:val="0"/>
          <w:numId w:val="12"/>
        </w:numPr>
        <w:spacing w:line="480" w:lineRule="auto"/>
        <w:jc w:val="both"/>
        <w:rPr>
          <w:rFonts w:ascii="Times New Roman" w:hAnsi="Times New Roman"/>
        </w:rPr>
      </w:pPr>
      <w:r>
        <w:rPr>
          <w:rFonts w:ascii="Times New Roman" w:hAnsi="Times New Roman"/>
        </w:rPr>
        <w:t>There shall be no order as to costs.</w:t>
      </w:r>
    </w:p>
    <w:p w14:paraId="7253A869" w14:textId="77777777" w:rsidR="009D791A" w:rsidRDefault="009D791A">
      <w:pPr>
        <w:pStyle w:val="Default"/>
        <w:spacing w:line="480" w:lineRule="auto"/>
        <w:jc w:val="both"/>
        <w:rPr>
          <w:rFonts w:ascii="Times New Roman" w:eastAsia="Times New Roman" w:hAnsi="Times New Roman" w:cs="Times New Roman"/>
        </w:rPr>
      </w:pPr>
    </w:p>
    <w:p w14:paraId="0E70AA46" w14:textId="77777777" w:rsidR="009D791A" w:rsidRDefault="009D791A">
      <w:pPr>
        <w:pStyle w:val="Default"/>
        <w:spacing w:line="480" w:lineRule="auto"/>
        <w:jc w:val="both"/>
        <w:rPr>
          <w:rFonts w:ascii="Times New Roman" w:eastAsia="Times New Roman" w:hAnsi="Times New Roman" w:cs="Times New Roman"/>
        </w:rPr>
      </w:pPr>
    </w:p>
    <w:p w14:paraId="13410916" w14:textId="77777777" w:rsidR="009D791A" w:rsidRDefault="007B4448">
      <w:pPr>
        <w:pStyle w:val="Default"/>
        <w:spacing w:line="480" w:lineRule="auto"/>
        <w:jc w:val="both"/>
        <w:rPr>
          <w:rFonts w:ascii="Times New Roman" w:eastAsia="Times New Roman" w:hAnsi="Times New Roman" w:cs="Times New Roman"/>
        </w:rPr>
      </w:pPr>
      <w:r>
        <w:rPr>
          <w:rFonts w:ascii="Times New Roman" w:hAnsi="Times New Roman"/>
          <w:b/>
          <w:bCs/>
        </w:rPr>
        <w:t>GWAUNZA DCJ:</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 agree</w:t>
      </w:r>
    </w:p>
    <w:p w14:paraId="410659AC" w14:textId="77777777" w:rsidR="009D791A" w:rsidRDefault="007B4448">
      <w:pPr>
        <w:pStyle w:val="Default"/>
        <w:spacing w:line="480" w:lineRule="auto"/>
        <w:jc w:val="both"/>
        <w:rPr>
          <w:rFonts w:ascii="Times New Roman" w:eastAsia="Times New Roman" w:hAnsi="Times New Roman" w:cs="Times New Roman"/>
        </w:rPr>
      </w:pPr>
      <w:r>
        <w:rPr>
          <w:rFonts w:ascii="Times New Roman" w:hAnsi="Times New Roman"/>
          <w:b/>
          <w:bCs/>
        </w:rPr>
        <w:t>GOWORA JCC: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 agree</w:t>
      </w:r>
    </w:p>
    <w:p w14:paraId="1ACC9218" w14:textId="5C049047" w:rsidR="009D791A" w:rsidRDefault="007B4448">
      <w:pPr>
        <w:pStyle w:val="Default"/>
        <w:spacing w:line="480" w:lineRule="auto"/>
        <w:jc w:val="both"/>
        <w:rPr>
          <w:rFonts w:ascii="Times New Roman" w:eastAsia="Times New Roman" w:hAnsi="Times New Roman" w:cs="Times New Roman"/>
        </w:rPr>
      </w:pPr>
      <w:r>
        <w:rPr>
          <w:rFonts w:ascii="Times New Roman" w:hAnsi="Times New Roman"/>
          <w:b/>
          <w:bCs/>
        </w:rPr>
        <w:t>HLATSHWAYO JCC:</w:t>
      </w:r>
      <w:r>
        <w:rPr>
          <w:rFonts w:ascii="Times New Roman" w:eastAsia="Times New Roman" w:hAnsi="Times New Roman" w:cs="Times New Roman"/>
        </w:rPr>
        <w:tab/>
      </w:r>
      <w:r>
        <w:rPr>
          <w:rFonts w:ascii="Times New Roman" w:eastAsia="Times New Roman" w:hAnsi="Times New Roman" w:cs="Times New Roman"/>
        </w:rPr>
        <w:tab/>
        <w:t>I agree</w:t>
      </w:r>
    </w:p>
    <w:p w14:paraId="7993DDD2" w14:textId="77777777" w:rsidR="001E769B" w:rsidRDefault="001E769B">
      <w:pPr>
        <w:pStyle w:val="Default"/>
        <w:spacing w:line="480" w:lineRule="auto"/>
        <w:jc w:val="both"/>
        <w:rPr>
          <w:rFonts w:ascii="Times New Roman" w:eastAsia="Times New Roman" w:hAnsi="Times New Roman" w:cs="Times New Roman"/>
        </w:rPr>
      </w:pPr>
    </w:p>
    <w:p w14:paraId="350D6E9F" w14:textId="77777777" w:rsidR="009D791A" w:rsidRDefault="007B4448">
      <w:pPr>
        <w:pStyle w:val="Body"/>
        <w:rPr>
          <w:rFonts w:ascii="Times New Roman" w:eastAsia="Times New Roman" w:hAnsi="Times New Roman" w:cs="Times New Roman"/>
          <w:b/>
          <w:bCs/>
          <w:sz w:val="24"/>
          <w:szCs w:val="24"/>
        </w:rPr>
      </w:pPr>
      <w:r>
        <w:rPr>
          <w:rFonts w:ascii="Times New Roman" w:hAnsi="Times New Roman"/>
          <w:b/>
          <w:bCs/>
          <w:sz w:val="24"/>
          <w:szCs w:val="24"/>
          <w:lang w:val="de-DE"/>
        </w:rPr>
        <w:lastRenderedPageBreak/>
        <w:t>GARWE JCC:</w:t>
      </w:r>
    </w:p>
    <w:p w14:paraId="5F59A3AD" w14:textId="77777777" w:rsidR="009D791A" w:rsidRDefault="007B4448">
      <w:pPr>
        <w:pStyle w:val="ListParagraph"/>
        <w:numPr>
          <w:ilvl w:val="0"/>
          <w:numId w:val="13"/>
        </w:numPr>
        <w:spacing w:line="480" w:lineRule="auto"/>
        <w:jc w:val="both"/>
        <w:rPr>
          <w:rFonts w:ascii="Times New Roman" w:hAnsi="Times New Roman"/>
          <w:sz w:val="24"/>
          <w:szCs w:val="24"/>
        </w:rPr>
      </w:pPr>
      <w:r>
        <w:rPr>
          <w:rFonts w:ascii="Times New Roman" w:hAnsi="Times New Roman"/>
          <w:sz w:val="24"/>
          <w:szCs w:val="24"/>
        </w:rPr>
        <w:t>This matter comes before this court for confirmation pursuant to the requirements of ss 167 and 175 of the Constitution as read with Rule 31 of the Rules of this Court.  In short, this court is obligated to consider whether procedurally and substantively the judgment of the High Court declaring s 314 of the Urban Councils Act [</w:t>
      </w:r>
      <w:r>
        <w:rPr>
          <w:rFonts w:ascii="Times New Roman" w:hAnsi="Times New Roman"/>
          <w:i/>
          <w:iCs/>
          <w:sz w:val="24"/>
          <w:szCs w:val="24"/>
        </w:rPr>
        <w:t>Chapter 29:15</w:t>
      </w:r>
      <w:r>
        <w:rPr>
          <w:rFonts w:ascii="Times New Roman" w:hAnsi="Times New Roman"/>
          <w:sz w:val="24"/>
          <w:szCs w:val="24"/>
        </w:rPr>
        <w:t>] (“the Urban Councils Act”) was correct.  In the event that this court comes to the conclusion that the judgment of the court was correct then it must confirm it.  As a consequence of such confirmation, the declaration of invalidity would then become effective. Conversely, the Court must decline confirmation of the order of invalidity if it finds that the judgment of the High Court was not correct.</w:t>
      </w:r>
    </w:p>
    <w:p w14:paraId="0CE8FC7E" w14:textId="77777777" w:rsidR="009D791A" w:rsidRDefault="009D791A" w:rsidP="00336C5C">
      <w:pPr>
        <w:pStyle w:val="NoSpacing"/>
      </w:pPr>
    </w:p>
    <w:p w14:paraId="612B1CAD" w14:textId="77777777" w:rsidR="009D791A" w:rsidRDefault="007B4448">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The background facts of this matter have been aptly set out in the main judgment by MAKARAU JCC.  No purpose would be served in regurgitating the same except to the extent necessary to highlight the various issues that arise for determination during this confirmation process.</w:t>
      </w:r>
    </w:p>
    <w:p w14:paraId="4DF80DCF" w14:textId="77777777" w:rsidR="009D791A" w:rsidRDefault="009D791A" w:rsidP="00336C5C">
      <w:pPr>
        <w:pStyle w:val="NoSpacing"/>
      </w:pPr>
    </w:p>
    <w:p w14:paraId="4036ACCB" w14:textId="77777777" w:rsidR="009D791A" w:rsidRDefault="007B4448">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In large part, I am in agreement with the conclusions reached by MAKARAU JCC.  More specifically I agree, for slightly different reasons, that the High Court does have jurisdiction to entertain an application for the direct enforcement of the Constitution.  In doing so however, the High Court must remain alive to the need for proper pleadings and specificity in pleadings filed in a constitutional matter, just as in any other matter coming before it.  The High Court must also avoid the temptation to involve itself in matters in which there is no real dispute between the parties or where the dispute exists in the abstract.</w:t>
      </w:r>
    </w:p>
    <w:p w14:paraId="0C8FC57C" w14:textId="77777777" w:rsidR="009D791A" w:rsidRPr="00920BCD" w:rsidRDefault="009D791A" w:rsidP="00920BCD">
      <w:pPr>
        <w:spacing w:line="480" w:lineRule="auto"/>
        <w:jc w:val="both"/>
        <w:rPr>
          <w:rFonts w:eastAsia="Times New Roman"/>
        </w:rPr>
      </w:pPr>
    </w:p>
    <w:p w14:paraId="0297E271" w14:textId="77777777" w:rsidR="009D791A" w:rsidRDefault="007B4448">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lastRenderedPageBreak/>
        <w:t xml:space="preserve">For reasons that follow shortly, the determination by the High Court declaring s 314 to be unconstitutional was incorrect.  Consequently this court should, as MAKARAU JCC has concluded, decline to confirm the declaration.  I proceed to determine the individual issues that arise during this confirmation. </w:t>
      </w:r>
    </w:p>
    <w:p w14:paraId="17D6CBF7" w14:textId="77777777" w:rsidR="009D791A" w:rsidRDefault="009D791A" w:rsidP="00336C5C">
      <w:pPr>
        <w:pStyle w:val="NoSpacing"/>
      </w:pPr>
    </w:p>
    <w:p w14:paraId="1F008A5A" w14:textId="3FA983F0" w:rsidR="009D791A" w:rsidRPr="00920BCD" w:rsidRDefault="007B4448" w:rsidP="00920BCD">
      <w:pPr>
        <w:pStyle w:val="Body"/>
        <w:spacing w:line="480" w:lineRule="auto"/>
        <w:rPr>
          <w:rFonts w:ascii="Times New Roman" w:eastAsia="Times New Roman" w:hAnsi="Times New Roman" w:cs="Times New Roman"/>
          <w:b/>
          <w:bCs/>
          <w:sz w:val="24"/>
          <w:szCs w:val="24"/>
          <w:u w:val="single"/>
        </w:rPr>
      </w:pPr>
      <w:r w:rsidRPr="00920BCD">
        <w:rPr>
          <w:rFonts w:ascii="Times New Roman" w:hAnsi="Times New Roman"/>
          <w:b/>
          <w:bCs/>
          <w:sz w:val="24"/>
          <w:szCs w:val="24"/>
          <w:u w:val="single"/>
          <w:lang w:val="de-DE"/>
        </w:rPr>
        <w:t xml:space="preserve">WHETHER THE APPLICANTS SHOULD HAVE APPROACHED THE COURT </w:t>
      </w:r>
      <w:r w:rsidRPr="00920BCD">
        <w:rPr>
          <w:rFonts w:ascii="Times New Roman" w:hAnsi="Times New Roman"/>
          <w:b/>
          <w:bCs/>
          <w:i/>
          <w:iCs/>
          <w:sz w:val="24"/>
          <w:szCs w:val="24"/>
          <w:u w:val="single"/>
          <w:lang w:val="en-US"/>
        </w:rPr>
        <w:t>A QUO</w:t>
      </w:r>
      <w:r w:rsidRPr="00920BCD">
        <w:rPr>
          <w:rFonts w:ascii="Times New Roman" w:hAnsi="Times New Roman"/>
          <w:b/>
          <w:bCs/>
          <w:sz w:val="24"/>
          <w:szCs w:val="24"/>
          <w:u w:val="single"/>
          <w:lang w:val="en-US"/>
        </w:rPr>
        <w:t xml:space="preserve"> UNDER S 85 (1) OF THE CONSTITUTION</w:t>
      </w:r>
    </w:p>
    <w:p w14:paraId="72C8644D" w14:textId="77777777" w:rsidR="009D791A" w:rsidRDefault="007B4448">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It was the submission by Counsel for the respondent that the applicants, having approached the High Court otherwise than in terms of s 85 (1) of the Constitution, had no cause of action in the absence of an allegation of the violation of their fundamental rights.  Therefore, so it was argued, the High Court should have found that, in the absence of a cause of action predicated on s 85 (1) of the Constitution, it had no jurisdiction to entertain the application.</w:t>
      </w:r>
    </w:p>
    <w:p w14:paraId="0CBCD45D" w14:textId="77777777" w:rsidR="009D791A" w:rsidRPr="00920BCD" w:rsidRDefault="009D791A" w:rsidP="00920BCD">
      <w:pPr>
        <w:pStyle w:val="NoSpacing"/>
      </w:pPr>
    </w:p>
    <w:p w14:paraId="7CB10787" w14:textId="115704B0" w:rsidR="009D791A" w:rsidRDefault="007B4448" w:rsidP="00920BCD">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 I am of the firm view that the High Court has jurisdiction, outside of s 85 of the Constitution, to entertain a direct challenge to the constitutionally of a law.  It is correct that, in terms of s 2 of the Constitution, any law or conduct that is inconsistent with </w:t>
      </w:r>
      <w:r w:rsidR="009412A9">
        <w:rPr>
          <w:rFonts w:ascii="Times New Roman" w:hAnsi="Times New Roman"/>
          <w:sz w:val="24"/>
          <w:szCs w:val="24"/>
        </w:rPr>
        <w:t xml:space="preserve">the </w:t>
      </w:r>
      <w:r>
        <w:rPr>
          <w:rFonts w:ascii="Times New Roman" w:hAnsi="Times New Roman"/>
          <w:sz w:val="24"/>
          <w:szCs w:val="24"/>
        </w:rPr>
        <w:t>Constitution is invalid to the extent of the inconsistency.  Section 2 of the Constitution, however, is but a substantive provision that does not bestow jurisdiction by itself on any court to declare any law invalid for being at variance with the Constitution.  In the main judgment by MAKARAU JCC reference is also made to the High Court having jurisdiction on account of the principle of legality.  In my considered view the situation is a lot simpler and not as complicated as it might appear.</w:t>
      </w:r>
    </w:p>
    <w:p w14:paraId="525B7CC6" w14:textId="77777777" w:rsidR="00920BCD" w:rsidRPr="00920BCD" w:rsidRDefault="00920BCD" w:rsidP="00920BCD">
      <w:pPr>
        <w:pStyle w:val="NoSpacing"/>
      </w:pPr>
    </w:p>
    <w:p w14:paraId="2E7AAFEB" w14:textId="77777777" w:rsidR="009D791A" w:rsidRDefault="007B4448">
      <w:pPr>
        <w:pStyle w:val="ListParagraph"/>
        <w:numPr>
          <w:ilvl w:val="0"/>
          <w:numId w:val="14"/>
        </w:numPr>
        <w:spacing w:line="480" w:lineRule="auto"/>
        <w:jc w:val="both"/>
        <w:rPr>
          <w:rFonts w:ascii="Times New Roman" w:hAnsi="Times New Roman"/>
          <w:sz w:val="24"/>
          <w:szCs w:val="24"/>
        </w:rPr>
      </w:pPr>
      <w:r>
        <w:rPr>
          <w:rFonts w:ascii="Times New Roman" w:hAnsi="Times New Roman"/>
          <w:sz w:val="24"/>
          <w:szCs w:val="24"/>
        </w:rPr>
        <w:t xml:space="preserve">Section 171 of The Constitution states in no uncertain terms that the High Court has original jurisdiction over all civil and criminal matters in Zimbabwe.  It further provides </w:t>
      </w:r>
      <w:r>
        <w:rPr>
          <w:rFonts w:ascii="Times New Roman" w:hAnsi="Times New Roman"/>
          <w:sz w:val="24"/>
          <w:szCs w:val="24"/>
        </w:rPr>
        <w:lastRenderedPageBreak/>
        <w:t>that the Court may decide Constitutional matters except those that are the preserve of the Constitutional Court.  Put another way, the Court has the jurisdiction, save where the Constitutional Court has exclusive jurisdiction, to entertain any matter in which there is an issue involving the interpretation, protection or enforcement of the Constitution.</w:t>
      </w:r>
    </w:p>
    <w:p w14:paraId="33BB972C" w14:textId="77777777" w:rsidR="009D791A" w:rsidRDefault="009D791A" w:rsidP="00920BCD">
      <w:pPr>
        <w:pStyle w:val="NoSpacing"/>
      </w:pPr>
    </w:p>
    <w:p w14:paraId="3EA353CB" w14:textId="77777777" w:rsidR="009D791A" w:rsidRDefault="007B4448">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 In order to give effect to s 171 one must then look at the High Court Act and the rules of court made thereunder.  Section 56 (1) of the High Court Act, [</w:t>
      </w:r>
      <w:r>
        <w:rPr>
          <w:rFonts w:ascii="Times New Roman" w:hAnsi="Times New Roman"/>
          <w:i/>
          <w:iCs/>
          <w:sz w:val="24"/>
          <w:szCs w:val="24"/>
        </w:rPr>
        <w:t>Chapter 7:06</w:t>
      </w:r>
      <w:r>
        <w:rPr>
          <w:rFonts w:ascii="Times New Roman" w:hAnsi="Times New Roman"/>
          <w:sz w:val="24"/>
          <w:szCs w:val="24"/>
        </w:rPr>
        <w:t xml:space="preserve">] gives the Chief Justice the power to make rules of court for the regulation of all matters in relation to proceedings of the High Court.  In terms of s 56 (2) (aa), rules of court may give full effect to the jurisdiction conferred upon the High Court by any enactment. </w:t>
      </w:r>
    </w:p>
    <w:p w14:paraId="1AD2604D" w14:textId="77777777" w:rsidR="009D791A" w:rsidRDefault="009D791A" w:rsidP="00920BCD">
      <w:pPr>
        <w:pStyle w:val="NoSpacing"/>
      </w:pPr>
    </w:p>
    <w:p w14:paraId="13C51D60" w14:textId="77777777" w:rsidR="009D791A" w:rsidRDefault="007B4448">
      <w:pPr>
        <w:pStyle w:val="ListParagraph"/>
        <w:numPr>
          <w:ilvl w:val="0"/>
          <w:numId w:val="2"/>
        </w:numPr>
        <w:spacing w:line="480" w:lineRule="auto"/>
        <w:rPr>
          <w:rFonts w:ascii="Times New Roman" w:hAnsi="Times New Roman"/>
          <w:sz w:val="24"/>
          <w:szCs w:val="24"/>
        </w:rPr>
      </w:pPr>
      <w:r>
        <w:rPr>
          <w:rFonts w:ascii="Times New Roman" w:hAnsi="Times New Roman"/>
          <w:sz w:val="24"/>
          <w:szCs w:val="24"/>
        </w:rPr>
        <w:t>Rule 107 of the High Court Rules, 2020, in turn, provides as follows:</w:t>
      </w:r>
    </w:p>
    <w:p w14:paraId="0C04B695" w14:textId="77777777" w:rsidR="009D791A" w:rsidRDefault="007B4448">
      <w:pPr>
        <w:pStyle w:val="Body"/>
        <w:spacing w:line="240" w:lineRule="auto"/>
        <w:ind w:left="1440" w:hanging="164"/>
        <w:jc w:val="both"/>
        <w:rPr>
          <w:rFonts w:ascii="Times New Roman" w:eastAsia="Times New Roman" w:hAnsi="Times New Roman" w:cs="Times New Roman"/>
          <w:sz w:val="24"/>
          <w:szCs w:val="24"/>
        </w:rPr>
      </w:pPr>
      <w:r>
        <w:rPr>
          <w:rFonts w:ascii="Times New Roman" w:hAnsi="Times New Roman"/>
          <w:sz w:val="24"/>
          <w:szCs w:val="24"/>
          <w:lang w:val="en-US"/>
        </w:rPr>
        <w:t>“(l)</w:t>
      </w:r>
      <w:r>
        <w:rPr>
          <w:rFonts w:ascii="Times New Roman" w:hAnsi="Times New Roman"/>
          <w:sz w:val="24"/>
          <w:szCs w:val="24"/>
          <w:lang w:val="en-US"/>
        </w:rPr>
        <w:tab/>
        <w:t>A party who intends to raise a constitutional issue before the Court should do so by court application filed with the registrar …”</w:t>
      </w:r>
    </w:p>
    <w:p w14:paraId="2BDD2947" w14:textId="77777777" w:rsidR="009D791A" w:rsidRDefault="007B4448">
      <w:pPr>
        <w:pStyle w:val="Body"/>
        <w:spacing w:line="240" w:lineRule="auto"/>
        <w:ind w:left="851"/>
        <w:jc w:val="both"/>
        <w:rPr>
          <w:rFonts w:ascii="Times New Roman" w:eastAsia="Times New Roman" w:hAnsi="Times New Roman" w:cs="Times New Roman"/>
          <w:sz w:val="24"/>
          <w:szCs w:val="24"/>
        </w:rPr>
      </w:pPr>
      <w:r>
        <w:rPr>
          <w:rFonts w:ascii="Times New Roman" w:hAnsi="Times New Roman"/>
          <w:sz w:val="24"/>
          <w:szCs w:val="24"/>
        </w:rPr>
        <w:t xml:space="preserve">  </w:t>
      </w:r>
    </w:p>
    <w:p w14:paraId="5E8556A4" w14:textId="77777777" w:rsidR="009D791A" w:rsidRDefault="007B4448">
      <w:pPr>
        <w:pStyle w:val="Body"/>
        <w:spacing w:line="480" w:lineRule="auto"/>
        <w:ind w:left="1134"/>
        <w:jc w:val="both"/>
        <w:rPr>
          <w:rFonts w:ascii="Times New Roman" w:eastAsia="Times New Roman" w:hAnsi="Times New Roman" w:cs="Times New Roman"/>
          <w:sz w:val="24"/>
          <w:szCs w:val="24"/>
        </w:rPr>
      </w:pPr>
      <w:r>
        <w:rPr>
          <w:rFonts w:ascii="Times New Roman" w:hAnsi="Times New Roman"/>
          <w:sz w:val="24"/>
          <w:szCs w:val="24"/>
          <w:lang w:val="en-US"/>
        </w:rPr>
        <w:t>The rule then proceeds to lay down the procedure to be followed by a party wishing to raise a constitutional issue before the Court as well as on the set down of the matter before the Court by the registrar.  Rule 59 then provides that a court application shall be in form No 23 and shall be supported by one or more affidavits setting out the facts upon which the applicant relies.</w:t>
      </w:r>
    </w:p>
    <w:p w14:paraId="3C59C737" w14:textId="77777777" w:rsidR="009D791A" w:rsidRDefault="009D791A" w:rsidP="00336C5C">
      <w:pPr>
        <w:pStyle w:val="NoSpacing"/>
      </w:pPr>
    </w:p>
    <w:p w14:paraId="5B3C6990" w14:textId="77777777" w:rsidR="009D791A" w:rsidRDefault="007B4448">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It is apparent from the foregoing that the High Court has jurisdiction to entertain any constitutional application, save for those applications which fall exclusively within the domain of the Constitutional Court.  In doing so, it is clear that a party need not predicate its application on s 85 of the Constitution, unless it is the intention of that </w:t>
      </w:r>
      <w:r>
        <w:rPr>
          <w:rFonts w:ascii="Times New Roman" w:hAnsi="Times New Roman"/>
          <w:sz w:val="24"/>
          <w:szCs w:val="24"/>
        </w:rPr>
        <w:lastRenderedPageBreak/>
        <w:t>party to enforce fundamental human rights or freedoms in terms of Part 4 of the Constitution.</w:t>
      </w:r>
    </w:p>
    <w:p w14:paraId="37AA9853" w14:textId="77777777" w:rsidR="009D791A" w:rsidRDefault="009D791A" w:rsidP="00920BCD">
      <w:pPr>
        <w:pStyle w:val="NoSpacing"/>
      </w:pPr>
    </w:p>
    <w:p w14:paraId="26A267EB" w14:textId="77777777" w:rsidR="009D791A" w:rsidRDefault="007B4448">
      <w:pPr>
        <w:pStyle w:val="ListParagraph"/>
        <w:numPr>
          <w:ilvl w:val="0"/>
          <w:numId w:val="16"/>
        </w:numPr>
        <w:spacing w:line="48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I am aware that the respondent, in submitting that the High Court had no jurisdiction to relate to an application outside of s 85 of the Constitution, relied heavily on the determination by this court in the case of </w:t>
      </w:r>
      <w:r>
        <w:rPr>
          <w:rFonts w:ascii="Times New Roman" w:hAnsi="Times New Roman"/>
          <w:i/>
          <w:iCs/>
          <w:sz w:val="24"/>
          <w:szCs w:val="24"/>
        </w:rPr>
        <w:t>Prosecutor-General, Zimbabwe v Telecel Zimbabwe (Pvt)</w:t>
      </w:r>
      <w:r>
        <w:rPr>
          <w:rFonts w:ascii="Times New Roman" w:hAnsi="Times New Roman"/>
          <w:sz w:val="24"/>
          <w:szCs w:val="24"/>
        </w:rPr>
        <w:t xml:space="preserve"> </w:t>
      </w:r>
      <w:r>
        <w:rPr>
          <w:rFonts w:ascii="Times New Roman" w:hAnsi="Times New Roman"/>
          <w:i/>
          <w:iCs/>
          <w:sz w:val="24"/>
          <w:szCs w:val="24"/>
        </w:rPr>
        <w:t>Ltd</w:t>
      </w:r>
      <w:r>
        <w:rPr>
          <w:rFonts w:ascii="Times New Roman" w:hAnsi="Times New Roman"/>
          <w:sz w:val="24"/>
          <w:szCs w:val="24"/>
        </w:rPr>
        <w:t xml:space="preserve"> 2015 (2) ZLR 422(SC).  Mr </w:t>
      </w:r>
      <w:r>
        <w:rPr>
          <w:rFonts w:ascii="Times New Roman" w:hAnsi="Times New Roman"/>
          <w:i/>
          <w:iCs/>
          <w:sz w:val="24"/>
          <w:szCs w:val="24"/>
        </w:rPr>
        <w:t>Uriri</w:t>
      </w:r>
      <w:r>
        <w:rPr>
          <w:rFonts w:ascii="Times New Roman" w:hAnsi="Times New Roman"/>
          <w:sz w:val="24"/>
          <w:szCs w:val="24"/>
        </w:rPr>
        <w:t xml:space="preserve"> urged this court to find that the </w:t>
      </w:r>
      <w:r>
        <w:rPr>
          <w:rFonts w:ascii="Times New Roman" w:hAnsi="Times New Roman"/>
          <w:i/>
          <w:iCs/>
          <w:sz w:val="24"/>
          <w:szCs w:val="24"/>
        </w:rPr>
        <w:t xml:space="preserve">ratio decidendi </w:t>
      </w:r>
      <w:r>
        <w:rPr>
          <w:rFonts w:ascii="Times New Roman" w:hAnsi="Times New Roman"/>
          <w:sz w:val="24"/>
          <w:szCs w:val="24"/>
        </w:rPr>
        <w:t xml:space="preserve">in the </w:t>
      </w:r>
      <w:r>
        <w:rPr>
          <w:rFonts w:ascii="Times New Roman" w:hAnsi="Times New Roman"/>
          <w:i/>
          <w:iCs/>
          <w:sz w:val="24"/>
          <w:szCs w:val="24"/>
        </w:rPr>
        <w:t>Prosecutor-General</w:t>
      </w:r>
      <w:r>
        <w:rPr>
          <w:rFonts w:ascii="Times New Roman" w:hAnsi="Times New Roman"/>
          <w:sz w:val="24"/>
          <w:szCs w:val="24"/>
        </w:rPr>
        <w:t xml:space="preserve"> case, </w:t>
      </w:r>
      <w:r>
        <w:rPr>
          <w:rFonts w:ascii="Times New Roman" w:hAnsi="Times New Roman"/>
          <w:i/>
          <w:iCs/>
          <w:sz w:val="24"/>
          <w:szCs w:val="24"/>
        </w:rPr>
        <w:t>supra,</w:t>
      </w:r>
      <w:r>
        <w:rPr>
          <w:rFonts w:ascii="Times New Roman" w:hAnsi="Times New Roman"/>
          <w:sz w:val="24"/>
          <w:szCs w:val="24"/>
        </w:rPr>
        <w:t xml:space="preserve"> had established the general principle that in approaching a court a party had to do so in terms of s 85 of the Constitution.</w:t>
      </w:r>
    </w:p>
    <w:p w14:paraId="3F796BF3" w14:textId="77777777" w:rsidR="009D791A" w:rsidRDefault="009D791A" w:rsidP="00920BCD">
      <w:pPr>
        <w:pStyle w:val="NoSpacing"/>
      </w:pPr>
    </w:p>
    <w:p w14:paraId="302F315B" w14:textId="77777777" w:rsidR="009D791A" w:rsidRDefault="007B4448">
      <w:pPr>
        <w:pStyle w:val="ListParagraph"/>
        <w:numPr>
          <w:ilvl w:val="0"/>
          <w:numId w:val="16"/>
        </w:numPr>
        <w:spacing w:line="480" w:lineRule="auto"/>
        <w:jc w:val="both"/>
        <w:rPr>
          <w:rFonts w:ascii="Times New Roman" w:hAnsi="Times New Roman"/>
          <w:sz w:val="24"/>
          <w:szCs w:val="24"/>
        </w:rPr>
      </w:pPr>
      <w:r>
        <w:rPr>
          <w:rFonts w:ascii="Times New Roman" w:hAnsi="Times New Roman"/>
          <w:sz w:val="24"/>
          <w:szCs w:val="24"/>
        </w:rPr>
        <w:t xml:space="preserve">  I am inclined to agree with MAKARAU JCC that the above decision did not go beyond the particular facts of the matter and that, in disposing of the application, this Court did not purport to regulate the right of access to the High Court as a court of first instance in those instances where the direct enforcement of the Constitution is sought.  Whether or not a party had a right of access to the High Court was not an issue before the Court.  The issue in contention was whether the Court could be approached by the Prosecutor-General directly in terms of s 167 of the Constitution without him predicating his cause of action on s 85 of the Constitution.  It was in that context that the Court held that direct applications to the Constitutional Court are to be made only in terms of the provisions that allow direct access to the Court as well as s 85 (1) of the Constitution.  </w:t>
      </w:r>
    </w:p>
    <w:p w14:paraId="1D852F00" w14:textId="77777777" w:rsidR="009D791A" w:rsidRDefault="009D791A" w:rsidP="00920BCD">
      <w:pPr>
        <w:pStyle w:val="NoSpacing"/>
      </w:pPr>
    </w:p>
    <w:p w14:paraId="1968DCA8"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In the final analysis, I find that, by command of the Constitution itself, the High Court has jurisdiction to entertain applications that impugn the constitutional validity of statutes and that in doing so a party need not approach the Court under s 85 of the Constitution.</w:t>
      </w:r>
    </w:p>
    <w:p w14:paraId="66E5E1B6" w14:textId="77777777" w:rsidR="009D791A" w:rsidRDefault="009D791A" w:rsidP="00920BCD">
      <w:pPr>
        <w:pStyle w:val="NoSpacing"/>
      </w:pPr>
    </w:p>
    <w:p w14:paraId="1C10E44D" w14:textId="77777777" w:rsidR="009D791A" w:rsidRPr="00920BCD" w:rsidRDefault="007B4448">
      <w:pPr>
        <w:pStyle w:val="Body"/>
        <w:tabs>
          <w:tab w:val="left" w:pos="851"/>
        </w:tabs>
        <w:spacing w:line="480" w:lineRule="auto"/>
        <w:jc w:val="both"/>
        <w:rPr>
          <w:rFonts w:ascii="Times New Roman" w:eastAsia="Times New Roman" w:hAnsi="Times New Roman" w:cs="Times New Roman"/>
          <w:b/>
          <w:bCs/>
          <w:sz w:val="24"/>
          <w:szCs w:val="24"/>
          <w:u w:val="single"/>
        </w:rPr>
      </w:pPr>
      <w:r w:rsidRPr="00920BCD">
        <w:rPr>
          <w:rFonts w:ascii="Times New Roman" w:hAnsi="Times New Roman"/>
          <w:b/>
          <w:bCs/>
          <w:sz w:val="24"/>
          <w:szCs w:val="24"/>
          <w:u w:val="single"/>
          <w:lang w:val="en-US"/>
        </w:rPr>
        <w:t xml:space="preserve">THE APPLICANTS’ </w:t>
      </w:r>
      <w:r w:rsidRPr="00920BCD">
        <w:rPr>
          <w:rFonts w:ascii="Times New Roman" w:hAnsi="Times New Roman"/>
          <w:b/>
          <w:bCs/>
          <w:sz w:val="24"/>
          <w:szCs w:val="24"/>
          <w:u w:val="single"/>
          <w:lang w:val="de-DE"/>
        </w:rPr>
        <w:t>CAUSE OF ACTION WAS HOWEVER NOT PROPERLY PLEADED.</w:t>
      </w:r>
    </w:p>
    <w:p w14:paraId="4F132800" w14:textId="77777777" w:rsidR="009D791A" w:rsidRDefault="007B4448">
      <w:pPr>
        <w:pStyle w:val="ListParagraph"/>
        <w:numPr>
          <w:ilvl w:val="0"/>
          <w:numId w:val="17"/>
        </w:numPr>
        <w:spacing w:line="480" w:lineRule="auto"/>
        <w:jc w:val="both"/>
        <w:rPr>
          <w:rFonts w:ascii="Times New Roman" w:hAnsi="Times New Roman"/>
          <w:b/>
          <w:bCs/>
          <w:sz w:val="24"/>
          <w:szCs w:val="24"/>
        </w:rPr>
      </w:pPr>
      <w:r>
        <w:rPr>
          <w:rFonts w:ascii="Times New Roman" w:hAnsi="Times New Roman"/>
          <w:sz w:val="24"/>
          <w:szCs w:val="24"/>
        </w:rPr>
        <w:t>In approaching the High Court, the applicants did not state in terms of what law they sought an order declaring s 314 of the Urban Councils Act invalid.  They did not state in terms of what rule of procedure they were approaching the court.  The application was stated simply as one to challenge the constitutionality of s 314 of the Urban Councils Act.   To add to the confusion, on the same date the application was filed, the applicants further filed a</w:t>
      </w:r>
      <w:r>
        <w:rPr>
          <w:rFonts w:ascii="Times New Roman" w:hAnsi="Times New Roman"/>
          <w:b/>
          <w:bCs/>
          <w:sz w:val="24"/>
          <w:szCs w:val="24"/>
        </w:rPr>
        <w:t xml:space="preserve"> </w:t>
      </w:r>
      <w:r>
        <w:rPr>
          <w:rFonts w:ascii="Times New Roman" w:hAnsi="Times New Roman"/>
          <w:sz w:val="24"/>
          <w:szCs w:val="24"/>
        </w:rPr>
        <w:t xml:space="preserve">“notice of constitutional application to set aside s 314 of Urban Councils Act, </w:t>
      </w:r>
      <w:r>
        <w:rPr>
          <w:rFonts w:ascii="Times New Roman" w:hAnsi="Times New Roman"/>
          <w:i/>
          <w:iCs/>
          <w:sz w:val="24"/>
          <w:szCs w:val="24"/>
        </w:rPr>
        <w:t xml:space="preserve">[Chapter 29:15]”. </w:t>
      </w:r>
      <w:r>
        <w:rPr>
          <w:rFonts w:ascii="Times New Roman" w:hAnsi="Times New Roman"/>
          <w:sz w:val="24"/>
          <w:szCs w:val="24"/>
        </w:rPr>
        <w:t xml:space="preserve">In terms of para 2 of the notice, the applicants stated that the application was “one brought in terms of s 85 (1) (a) by the applicants praying for a declaration that s 314 of the Urban Councils Act </w:t>
      </w:r>
      <w:r>
        <w:rPr>
          <w:rFonts w:ascii="Times New Roman" w:hAnsi="Times New Roman"/>
          <w:i/>
          <w:iCs/>
          <w:sz w:val="24"/>
          <w:szCs w:val="24"/>
        </w:rPr>
        <w:t xml:space="preserve">[Chapter 29:15] </w:t>
      </w:r>
      <w:r>
        <w:rPr>
          <w:rFonts w:ascii="Times New Roman" w:hAnsi="Times New Roman"/>
          <w:sz w:val="24"/>
          <w:szCs w:val="24"/>
        </w:rPr>
        <w:t>is</w:t>
      </w:r>
      <w:r>
        <w:rPr>
          <w:rFonts w:ascii="Times New Roman" w:hAnsi="Times New Roman"/>
          <w:i/>
          <w:iCs/>
          <w:sz w:val="24"/>
          <w:szCs w:val="24"/>
        </w:rPr>
        <w:t xml:space="preserve"> ultra vires </w:t>
      </w:r>
      <w:r>
        <w:rPr>
          <w:rFonts w:ascii="Times New Roman" w:hAnsi="Times New Roman"/>
          <w:sz w:val="24"/>
          <w:szCs w:val="24"/>
        </w:rPr>
        <w:t>the provisions of s 274, 264 (2) and 265 (1) and (2) of the Constitution of Zimbabwe.”</w:t>
      </w:r>
    </w:p>
    <w:p w14:paraId="2CF27386" w14:textId="77777777" w:rsidR="009D791A" w:rsidRDefault="009D791A" w:rsidP="00920BCD">
      <w:pPr>
        <w:pStyle w:val="NoSpacing"/>
      </w:pPr>
    </w:p>
    <w:p w14:paraId="6C46A841"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The reference to s 85(1) of the Constitution only served to further confuse and obfuscate the applicants’ cause of action. Appreciating the difficulty, Mr </w:t>
      </w:r>
      <w:r>
        <w:rPr>
          <w:rFonts w:ascii="Times New Roman" w:hAnsi="Times New Roman"/>
          <w:i/>
          <w:iCs/>
          <w:sz w:val="24"/>
          <w:szCs w:val="24"/>
        </w:rPr>
        <w:t>Madhuku</w:t>
      </w:r>
      <w:r>
        <w:rPr>
          <w:rFonts w:ascii="Times New Roman" w:hAnsi="Times New Roman"/>
          <w:sz w:val="24"/>
          <w:szCs w:val="24"/>
        </w:rPr>
        <w:t xml:space="preserve">, for the applicants, conceded at the hearing of this matter that the reference to s 85 (1) in the “notice of constitutional application” was “an obvious error” as it was not referred to anywhere else in the papers.  However, to make matters worse, it was Mr </w:t>
      </w:r>
      <w:r>
        <w:rPr>
          <w:rFonts w:ascii="Times New Roman" w:hAnsi="Times New Roman"/>
          <w:i/>
          <w:iCs/>
          <w:sz w:val="24"/>
          <w:szCs w:val="24"/>
        </w:rPr>
        <w:t>Madhuku</w:t>
      </w:r>
      <w:r>
        <w:rPr>
          <w:rFonts w:ascii="Times New Roman" w:hAnsi="Times New Roman"/>
          <w:sz w:val="24"/>
          <w:szCs w:val="24"/>
        </w:rPr>
        <w:t xml:space="preserve">’s submission that the application had been made under s 2 of the Constitution.  As noted earlier, s 2 is a substantive provision and, on its own, does not grant access to a court.  Moreover reliance on s 2 of the Constitution had not been pleaded </w:t>
      </w:r>
      <w:r w:rsidRPr="001E769B">
        <w:rPr>
          <w:rFonts w:ascii="Times New Roman" w:hAnsi="Times New Roman"/>
          <w:i/>
          <w:sz w:val="24"/>
          <w:szCs w:val="24"/>
        </w:rPr>
        <w:t>a</w:t>
      </w:r>
      <w:r>
        <w:rPr>
          <w:rFonts w:ascii="Times New Roman" w:hAnsi="Times New Roman"/>
          <w:sz w:val="24"/>
          <w:szCs w:val="24"/>
        </w:rPr>
        <w:t xml:space="preserve"> </w:t>
      </w:r>
      <w:r>
        <w:rPr>
          <w:rFonts w:ascii="Times New Roman" w:hAnsi="Times New Roman"/>
          <w:i/>
          <w:iCs/>
          <w:sz w:val="24"/>
          <w:szCs w:val="24"/>
        </w:rPr>
        <w:t xml:space="preserve">quo.  </w:t>
      </w:r>
      <w:r>
        <w:rPr>
          <w:rFonts w:ascii="Times New Roman" w:hAnsi="Times New Roman"/>
          <w:sz w:val="24"/>
          <w:szCs w:val="24"/>
        </w:rPr>
        <w:t>It</w:t>
      </w:r>
      <w:r>
        <w:rPr>
          <w:rFonts w:ascii="Times New Roman" w:hAnsi="Times New Roman"/>
          <w:i/>
          <w:iCs/>
          <w:sz w:val="24"/>
          <w:szCs w:val="24"/>
        </w:rPr>
        <w:t xml:space="preserve"> </w:t>
      </w:r>
      <w:r>
        <w:rPr>
          <w:rFonts w:ascii="Times New Roman" w:hAnsi="Times New Roman"/>
          <w:sz w:val="24"/>
          <w:szCs w:val="24"/>
        </w:rPr>
        <w:t xml:space="preserve">became clear, during the proceedings before this court, that the applicants had not, in approaching the </w:t>
      </w:r>
      <w:r w:rsidRPr="001E769B">
        <w:rPr>
          <w:rFonts w:ascii="Times New Roman" w:hAnsi="Times New Roman"/>
          <w:iCs/>
          <w:sz w:val="24"/>
          <w:szCs w:val="24"/>
        </w:rPr>
        <w:t>court</w:t>
      </w:r>
      <w:r>
        <w:rPr>
          <w:rFonts w:ascii="Times New Roman" w:hAnsi="Times New Roman"/>
          <w:i/>
          <w:iCs/>
          <w:sz w:val="24"/>
          <w:szCs w:val="24"/>
        </w:rPr>
        <w:t xml:space="preserve"> </w:t>
      </w:r>
      <w:r w:rsidRPr="001E769B">
        <w:rPr>
          <w:rFonts w:ascii="Times New Roman" w:hAnsi="Times New Roman"/>
          <w:i/>
          <w:iCs/>
          <w:sz w:val="24"/>
          <w:szCs w:val="24"/>
        </w:rPr>
        <w:t>a</w:t>
      </w:r>
      <w:r w:rsidRPr="001E769B">
        <w:rPr>
          <w:rFonts w:ascii="Times New Roman" w:hAnsi="Times New Roman"/>
          <w:i/>
          <w:sz w:val="24"/>
          <w:szCs w:val="24"/>
        </w:rPr>
        <w:t xml:space="preserve"> </w:t>
      </w:r>
      <w:r>
        <w:rPr>
          <w:rFonts w:ascii="Times New Roman" w:hAnsi="Times New Roman"/>
          <w:i/>
          <w:iCs/>
          <w:sz w:val="24"/>
          <w:szCs w:val="24"/>
        </w:rPr>
        <w:t xml:space="preserve">quo, </w:t>
      </w:r>
      <w:r>
        <w:rPr>
          <w:rFonts w:ascii="Times New Roman" w:hAnsi="Times New Roman"/>
          <w:sz w:val="24"/>
          <w:szCs w:val="24"/>
        </w:rPr>
        <w:t>delineated the</w:t>
      </w:r>
      <w:r>
        <w:rPr>
          <w:rFonts w:ascii="Times New Roman" w:hAnsi="Times New Roman"/>
          <w:i/>
          <w:iCs/>
          <w:sz w:val="24"/>
          <w:szCs w:val="24"/>
        </w:rPr>
        <w:t xml:space="preserve"> </w:t>
      </w:r>
      <w:r>
        <w:rPr>
          <w:rFonts w:ascii="Times New Roman" w:hAnsi="Times New Roman"/>
          <w:sz w:val="24"/>
          <w:szCs w:val="24"/>
        </w:rPr>
        <w:t xml:space="preserve">exact procedural provisions in terms of which they had sought to approach that court.  It is axiomatic that the provision in terms of which a matter is brought to court must be stated clearly.  </w:t>
      </w:r>
    </w:p>
    <w:p w14:paraId="6DB1B7E0" w14:textId="77777777" w:rsidR="009D791A" w:rsidRDefault="009D791A" w:rsidP="00920BCD">
      <w:pPr>
        <w:pStyle w:val="NoSpacing"/>
      </w:pPr>
    </w:p>
    <w:p w14:paraId="55E80CBA"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In this jurisdiction, a court must be approached in terms of a procedure specifically provided for. The rule relied upon must establish or found both the court’s jurisdiction and the jurisdictional facts required to establish the </w:t>
      </w:r>
      <w:r>
        <w:rPr>
          <w:rFonts w:ascii="Times New Roman" w:hAnsi="Times New Roman"/>
          <w:i/>
          <w:iCs/>
          <w:sz w:val="24"/>
          <w:szCs w:val="24"/>
        </w:rPr>
        <w:t xml:space="preserve">locus standi </w:t>
      </w:r>
      <w:r>
        <w:rPr>
          <w:rFonts w:ascii="Times New Roman" w:hAnsi="Times New Roman"/>
          <w:sz w:val="24"/>
          <w:szCs w:val="24"/>
        </w:rPr>
        <w:t>of</w:t>
      </w:r>
      <w:r>
        <w:rPr>
          <w:rFonts w:ascii="Times New Roman" w:hAnsi="Times New Roman"/>
          <w:i/>
          <w:iCs/>
          <w:sz w:val="24"/>
          <w:szCs w:val="24"/>
        </w:rPr>
        <w:t xml:space="preserve"> </w:t>
      </w:r>
      <w:r>
        <w:rPr>
          <w:rFonts w:ascii="Times New Roman" w:hAnsi="Times New Roman"/>
          <w:sz w:val="24"/>
          <w:szCs w:val="24"/>
        </w:rPr>
        <w:t>a party.  An application cannot be launched in the air.  All relevant issues must be pleaded for jurisdiction to be properly engaged.  Whilst it goes without saying that the Constitution is the supreme law and that statutory provisions derogating from the Constitution must be narrowly and restrictively interpreted, it ought to be borne in mind that the supremacy of the Constitution can only be asserted and enforced in accordance with a set of procedural rules.  Therefore, whilst the High Court, in accordance with the Constitution and its own rules, has jurisdiction in direct constitutional litigation, it must be emphasised that such jurisdiction has to be properly engaged.</w:t>
      </w:r>
    </w:p>
    <w:p w14:paraId="423D1B41" w14:textId="77777777" w:rsidR="009D791A" w:rsidRDefault="009D791A" w:rsidP="00920BCD">
      <w:pPr>
        <w:pStyle w:val="NoSpacing"/>
      </w:pPr>
    </w:p>
    <w:p w14:paraId="3D4B64BB" w14:textId="0E25215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The importance o</w:t>
      </w:r>
      <w:r w:rsidR="00AB0B20">
        <w:rPr>
          <w:rFonts w:ascii="Times New Roman" w:hAnsi="Times New Roman"/>
          <w:sz w:val="24"/>
          <w:szCs w:val="24"/>
        </w:rPr>
        <w:t>f stating the provision of the l</w:t>
      </w:r>
      <w:r>
        <w:rPr>
          <w:rFonts w:ascii="Times New Roman" w:hAnsi="Times New Roman"/>
          <w:sz w:val="24"/>
          <w:szCs w:val="24"/>
        </w:rPr>
        <w:t xml:space="preserve">aw in terms of which a party approaches a court has been emphasized in a long line of cases.  In </w:t>
      </w:r>
      <w:r>
        <w:rPr>
          <w:rFonts w:ascii="Times New Roman" w:hAnsi="Times New Roman"/>
          <w:i/>
          <w:iCs/>
          <w:sz w:val="24"/>
          <w:szCs w:val="24"/>
        </w:rPr>
        <w:t xml:space="preserve">Minister of Mines and Mining Development and Anor v Fidelity Printers and Refineries (Pvt) Ltd and Anor </w:t>
      </w:r>
      <w:r>
        <w:rPr>
          <w:rFonts w:ascii="Times New Roman" w:hAnsi="Times New Roman"/>
          <w:sz w:val="24"/>
          <w:szCs w:val="24"/>
        </w:rPr>
        <w:t>CCZ 9/22, this Court stated as follows, at pp 11-12:</w:t>
      </w:r>
    </w:p>
    <w:p w14:paraId="106424CA" w14:textId="77777777" w:rsidR="009D791A" w:rsidRDefault="007B4448">
      <w:pPr>
        <w:pStyle w:val="Body"/>
        <w:tabs>
          <w:tab w:val="left" w:pos="851"/>
          <w:tab w:val="left" w:pos="1418"/>
        </w:tabs>
        <w:spacing w:line="240" w:lineRule="auto"/>
        <w:ind w:left="1440" w:hanging="22"/>
        <w:jc w:val="both"/>
        <w:rPr>
          <w:rFonts w:ascii="Times New Roman" w:eastAsia="Times New Roman" w:hAnsi="Times New Roman" w:cs="Times New Roman"/>
          <w:sz w:val="24"/>
          <w:szCs w:val="24"/>
        </w:rPr>
      </w:pPr>
      <w:r>
        <w:rPr>
          <w:rFonts w:ascii="Times New Roman" w:hAnsi="Times New Roman"/>
          <w:sz w:val="24"/>
          <w:szCs w:val="24"/>
          <w:lang w:val="en-US"/>
        </w:rPr>
        <w:t>“It must be emphasized that litigants must proceed in terms of the relevant rule as that is what informs the respondent and the Court as to the nature of the application and the relief sought.  It is the rule that delineates the processes to be followed by the parties and the time frames demanded for each process”</w:t>
      </w:r>
      <w:r>
        <w:rPr>
          <w:rFonts w:ascii="Times New Roman" w:hAnsi="Times New Roman"/>
          <w:sz w:val="24"/>
          <w:szCs w:val="24"/>
        </w:rPr>
        <w:t>.</w:t>
      </w:r>
    </w:p>
    <w:p w14:paraId="6CE41E77" w14:textId="77777777" w:rsidR="009D791A" w:rsidRDefault="009D791A">
      <w:pPr>
        <w:pStyle w:val="Body"/>
        <w:tabs>
          <w:tab w:val="left" w:pos="851"/>
        </w:tabs>
        <w:spacing w:line="240" w:lineRule="auto"/>
        <w:ind w:left="851"/>
        <w:jc w:val="both"/>
        <w:rPr>
          <w:rFonts w:ascii="Times New Roman" w:eastAsia="Times New Roman" w:hAnsi="Times New Roman" w:cs="Times New Roman"/>
          <w:sz w:val="24"/>
          <w:szCs w:val="24"/>
        </w:rPr>
      </w:pPr>
    </w:p>
    <w:p w14:paraId="0671A735"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In </w:t>
      </w:r>
      <w:r>
        <w:rPr>
          <w:rFonts w:ascii="Times New Roman" w:hAnsi="Times New Roman"/>
          <w:i/>
          <w:iCs/>
          <w:sz w:val="24"/>
          <w:szCs w:val="24"/>
        </w:rPr>
        <w:t>Sibangani v Bindura University of Science Education</w:t>
      </w:r>
      <w:r>
        <w:rPr>
          <w:rFonts w:ascii="Times New Roman" w:hAnsi="Times New Roman"/>
          <w:sz w:val="24"/>
          <w:szCs w:val="24"/>
        </w:rPr>
        <w:t xml:space="preserve"> CCZ 7/22, this Court, quoting Woolman and Bishop, </w:t>
      </w:r>
      <w:r>
        <w:rPr>
          <w:rFonts w:ascii="Times New Roman" w:hAnsi="Times New Roman"/>
          <w:i/>
          <w:iCs/>
          <w:sz w:val="24"/>
          <w:szCs w:val="24"/>
        </w:rPr>
        <w:t>Constitutional Law of South Africa</w:t>
      </w:r>
      <w:r>
        <w:rPr>
          <w:rFonts w:ascii="Times New Roman" w:hAnsi="Times New Roman"/>
          <w:sz w:val="24"/>
          <w:szCs w:val="24"/>
        </w:rPr>
        <w:t xml:space="preserve"> </w:t>
      </w:r>
      <w:r>
        <w:rPr>
          <w:rFonts w:ascii="Times New Roman" w:hAnsi="Times New Roman"/>
          <w:i/>
          <w:iCs/>
          <w:sz w:val="24"/>
          <w:szCs w:val="24"/>
        </w:rPr>
        <w:t>2 ed, Vol 1</w:t>
      </w:r>
      <w:r>
        <w:rPr>
          <w:rFonts w:ascii="Times New Roman" w:hAnsi="Times New Roman"/>
          <w:sz w:val="24"/>
          <w:szCs w:val="24"/>
        </w:rPr>
        <w:t xml:space="preserve"> 2014 stated, at para. 34, that:</w:t>
      </w:r>
    </w:p>
    <w:p w14:paraId="512845FD" w14:textId="77777777" w:rsidR="009D791A" w:rsidRDefault="007B4448">
      <w:pPr>
        <w:pStyle w:val="Body"/>
        <w:tabs>
          <w:tab w:val="left" w:pos="851"/>
        </w:tabs>
        <w:spacing w:line="240" w:lineRule="auto"/>
        <w:ind w:left="1440"/>
        <w:jc w:val="both"/>
        <w:rPr>
          <w:rFonts w:ascii="Times New Roman" w:eastAsia="Times New Roman" w:hAnsi="Times New Roman" w:cs="Times New Roman"/>
          <w:sz w:val="24"/>
          <w:szCs w:val="24"/>
        </w:rPr>
      </w:pPr>
      <w:r>
        <w:rPr>
          <w:rFonts w:ascii="Times New Roman" w:hAnsi="Times New Roman"/>
          <w:sz w:val="24"/>
          <w:szCs w:val="24"/>
          <w:lang w:val="en-US"/>
        </w:rPr>
        <w:t>“Irrespective of how and in which forum a constitutional matter arises, it has been frequently stated that constitutional matters must be properly pleaded.  The general principles of civil procedure and the need to alert a party to litigation of the case must be met.”</w:t>
      </w:r>
    </w:p>
    <w:p w14:paraId="1111DB6C" w14:textId="77777777" w:rsidR="009D791A" w:rsidRDefault="007B4448">
      <w:pPr>
        <w:pStyle w:val="Body"/>
        <w:tabs>
          <w:tab w:val="left" w:pos="851"/>
        </w:tabs>
        <w:spacing w:line="240" w:lineRule="auto"/>
        <w:ind w:left="851"/>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  </w:t>
      </w:r>
    </w:p>
    <w:p w14:paraId="751B6FE9"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More recently, in </w:t>
      </w:r>
      <w:r>
        <w:rPr>
          <w:rFonts w:ascii="Times New Roman" w:hAnsi="Times New Roman"/>
          <w:i/>
          <w:iCs/>
          <w:sz w:val="24"/>
          <w:szCs w:val="24"/>
        </w:rPr>
        <w:t>Innocent</w:t>
      </w:r>
      <w:r>
        <w:rPr>
          <w:rFonts w:ascii="Times New Roman" w:hAnsi="Times New Roman"/>
          <w:sz w:val="24"/>
          <w:szCs w:val="24"/>
        </w:rPr>
        <w:t xml:space="preserve"> </w:t>
      </w:r>
      <w:r>
        <w:rPr>
          <w:rFonts w:ascii="Times New Roman" w:hAnsi="Times New Roman"/>
          <w:i/>
          <w:iCs/>
          <w:sz w:val="24"/>
          <w:szCs w:val="24"/>
        </w:rPr>
        <w:t>Tinashe Gonese v Minister of Finance and Economic Development</w:t>
      </w:r>
      <w:r>
        <w:rPr>
          <w:rFonts w:ascii="Times New Roman" w:hAnsi="Times New Roman"/>
          <w:sz w:val="24"/>
          <w:szCs w:val="24"/>
        </w:rPr>
        <w:t xml:space="preserve">, CCZ 11/23 this Court underscored the need for careful attention to detail in constitutional matters.  The Court, in emphasizing the need for accuracy in matters where the parties place reliance on the Constitution in asserting their rights, cited with approval remarks by ACKERMAN J in </w:t>
      </w:r>
      <w:r>
        <w:rPr>
          <w:rFonts w:ascii="Times New Roman" w:hAnsi="Times New Roman"/>
          <w:i/>
          <w:iCs/>
          <w:sz w:val="24"/>
          <w:szCs w:val="24"/>
        </w:rPr>
        <w:t>Shaik v Minister of Justice and Constitutional Development and Others</w:t>
      </w:r>
      <w:r>
        <w:rPr>
          <w:rFonts w:ascii="Times New Roman" w:hAnsi="Times New Roman"/>
          <w:sz w:val="24"/>
          <w:szCs w:val="24"/>
        </w:rPr>
        <w:t xml:space="preserve"> (CCT 34/03) (2003) ZACC 24; 2004 (3) SA 559 CC; 2004 (4) BCLR 333 (CC) (02 December 2003), at para. 24- 25 that:</w:t>
      </w:r>
    </w:p>
    <w:p w14:paraId="38A127E5" w14:textId="77777777" w:rsidR="009D791A" w:rsidRDefault="007B4448">
      <w:pPr>
        <w:pStyle w:val="ListParagraph"/>
        <w:tabs>
          <w:tab w:val="left" w:pos="851"/>
        </w:tabs>
        <w:spacing w:line="240" w:lineRule="auto"/>
        <w:ind w:left="1440"/>
        <w:jc w:val="both"/>
        <w:rPr>
          <w:rFonts w:ascii="Times New Roman" w:eastAsia="Times New Roman" w:hAnsi="Times New Roman" w:cs="Times New Roman"/>
          <w:sz w:val="24"/>
          <w:szCs w:val="24"/>
        </w:rPr>
      </w:pPr>
      <w:r>
        <w:rPr>
          <w:rFonts w:ascii="Times New Roman" w:hAnsi="Times New Roman"/>
          <w:sz w:val="24"/>
          <w:szCs w:val="24"/>
        </w:rPr>
        <w:t>“(24) the minds of litigants (and in particular practitioners) in the High Courts are focused on the need for specificity by the provisions of uniform r 16A (1).  The purpose of the Rule is to bring to the attention of persons (who may be affected by or have a legitimate interest in the case) the particularity of constitutional challenge in order that they may take steps to protect their interests…..</w:t>
      </w:r>
    </w:p>
    <w:p w14:paraId="1984458D" w14:textId="77777777" w:rsidR="009D791A" w:rsidRDefault="007B4448">
      <w:pPr>
        <w:pStyle w:val="ListParagraph"/>
        <w:tabs>
          <w:tab w:val="left" w:pos="851"/>
        </w:tabs>
        <w:spacing w:line="240" w:lineRule="auto"/>
        <w:ind w:left="1440"/>
        <w:jc w:val="both"/>
        <w:rPr>
          <w:rFonts w:ascii="Times New Roman" w:hAnsi="Times New Roman"/>
          <w:sz w:val="24"/>
          <w:szCs w:val="24"/>
        </w:rPr>
      </w:pPr>
      <w:r>
        <w:rPr>
          <w:rFonts w:ascii="Times New Roman" w:hAnsi="Times New Roman"/>
          <w:sz w:val="24"/>
          <w:szCs w:val="24"/>
        </w:rPr>
        <w:t xml:space="preserve">(25) It constitutes sound discipline in constitutional litigation to require accuracy in the identification of statutory provisions that are attacked on the ground of their constitutional invalidity…..”  </w:t>
      </w:r>
    </w:p>
    <w:p w14:paraId="6EABD20B" w14:textId="77777777" w:rsidR="00AB0B20" w:rsidRDefault="00AB0B20">
      <w:pPr>
        <w:pStyle w:val="ListParagraph"/>
        <w:tabs>
          <w:tab w:val="left" w:pos="851"/>
        </w:tabs>
        <w:spacing w:line="240" w:lineRule="auto"/>
        <w:ind w:left="1440"/>
        <w:jc w:val="both"/>
        <w:rPr>
          <w:rFonts w:ascii="Times New Roman" w:eastAsia="Times New Roman" w:hAnsi="Times New Roman" w:cs="Times New Roman"/>
          <w:sz w:val="24"/>
          <w:szCs w:val="24"/>
        </w:rPr>
      </w:pPr>
    </w:p>
    <w:p w14:paraId="026CDF09" w14:textId="02D836B5" w:rsidR="009D791A" w:rsidRPr="00AB0B20" w:rsidRDefault="007B4448" w:rsidP="00AB0B20">
      <w:pPr>
        <w:tabs>
          <w:tab w:val="left" w:pos="851"/>
        </w:tabs>
        <w:spacing w:line="480" w:lineRule="auto"/>
        <w:ind w:left="720"/>
        <w:jc w:val="both"/>
        <w:rPr>
          <w:rFonts w:eastAsia="Times New Roman"/>
        </w:rPr>
      </w:pPr>
      <w:r w:rsidRPr="00AB0B20">
        <w:t xml:space="preserve">Attention may also be drawn to similar remarks made by CHITAPI J in </w:t>
      </w:r>
      <w:r w:rsidRPr="00AB0B20">
        <w:rPr>
          <w:i/>
          <w:iCs/>
        </w:rPr>
        <w:t xml:space="preserve">Bramwell Bushu v Grain Marketing Board and Two Ors </w:t>
      </w:r>
      <w:r w:rsidRPr="00AB0B20">
        <w:t>HH 326/17, particularly at p 3 of the judgment.</w:t>
      </w:r>
    </w:p>
    <w:p w14:paraId="25B50136" w14:textId="77777777" w:rsidR="009D791A" w:rsidRDefault="009D791A" w:rsidP="00336C5C">
      <w:pPr>
        <w:pStyle w:val="NoSpacing"/>
      </w:pPr>
    </w:p>
    <w:p w14:paraId="2BFC3D27"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In the present matter there can be little doubt that the applicants fell woefully short of the standard required in application proceedings in general and constitutional litigation in particular.  The applicants appear to have been unclear, from the beginning, as to the correct procedure they had to follow in order to obtain a declaration of constitutional invalidity of s 314 of the Urban Councils Act.</w:t>
      </w:r>
    </w:p>
    <w:p w14:paraId="06C2C50F" w14:textId="77777777" w:rsidR="009D791A" w:rsidRDefault="009D791A" w:rsidP="00920BCD">
      <w:pPr>
        <w:pStyle w:val="NoSpacing"/>
      </w:pPr>
    </w:p>
    <w:p w14:paraId="790E734A"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lastRenderedPageBreak/>
        <w:t xml:space="preserve">In these circumstances, the court </w:t>
      </w:r>
      <w:r>
        <w:rPr>
          <w:rFonts w:ascii="Times New Roman" w:hAnsi="Times New Roman"/>
          <w:i/>
          <w:iCs/>
          <w:sz w:val="24"/>
          <w:szCs w:val="24"/>
        </w:rPr>
        <w:t xml:space="preserve">a quo </w:t>
      </w:r>
      <w:r>
        <w:rPr>
          <w:rFonts w:ascii="Times New Roman" w:hAnsi="Times New Roman"/>
          <w:sz w:val="24"/>
          <w:szCs w:val="24"/>
        </w:rPr>
        <w:t>should have found that the application was not properly before it.  It should therefore have struck the matter off the roll accompanied by such order of costs as it considered appropriate.</w:t>
      </w:r>
    </w:p>
    <w:p w14:paraId="3A69C97B" w14:textId="77777777" w:rsidR="009D791A" w:rsidRDefault="009D791A" w:rsidP="00920BCD">
      <w:pPr>
        <w:pStyle w:val="NoSpacing"/>
      </w:pPr>
    </w:p>
    <w:p w14:paraId="0763473B" w14:textId="77777777" w:rsidR="009D791A" w:rsidRDefault="007B4448">
      <w:pPr>
        <w:pStyle w:val="ListParagraph"/>
        <w:numPr>
          <w:ilvl w:val="0"/>
          <w:numId w:val="18"/>
        </w:numPr>
        <w:spacing w:line="480" w:lineRule="auto"/>
        <w:jc w:val="both"/>
        <w:rPr>
          <w:rFonts w:ascii="Times New Roman" w:hAnsi="Times New Roman"/>
          <w:sz w:val="24"/>
          <w:szCs w:val="24"/>
        </w:rPr>
      </w:pPr>
      <w:r>
        <w:rPr>
          <w:rFonts w:ascii="Times New Roman" w:hAnsi="Times New Roman"/>
          <w:sz w:val="24"/>
          <w:szCs w:val="24"/>
        </w:rPr>
        <w:t xml:space="preserve">I would, partly for the foregoing reason, decline to confirm the declaration of invalidity made by the court </w:t>
      </w:r>
      <w:r>
        <w:rPr>
          <w:rFonts w:ascii="Times New Roman" w:hAnsi="Times New Roman"/>
          <w:i/>
          <w:iCs/>
          <w:sz w:val="24"/>
          <w:szCs w:val="24"/>
        </w:rPr>
        <w:t>a quo</w:t>
      </w:r>
      <w:r>
        <w:rPr>
          <w:rFonts w:ascii="Times New Roman" w:hAnsi="Times New Roman"/>
          <w:sz w:val="24"/>
          <w:szCs w:val="24"/>
        </w:rPr>
        <w:t xml:space="preserve"> as the jurisdiction of the court was not competently engaged.  There are, however, two additional reasons why the declaration of the court</w:t>
      </w:r>
      <w:r>
        <w:rPr>
          <w:rFonts w:ascii="Times New Roman" w:hAnsi="Times New Roman"/>
          <w:i/>
          <w:iCs/>
          <w:sz w:val="24"/>
          <w:szCs w:val="24"/>
        </w:rPr>
        <w:t xml:space="preserve"> a quo</w:t>
      </w:r>
      <w:r>
        <w:rPr>
          <w:rFonts w:ascii="Times New Roman" w:hAnsi="Times New Roman"/>
          <w:sz w:val="24"/>
          <w:szCs w:val="24"/>
        </w:rPr>
        <w:t xml:space="preserve"> cannot be sustained. </w:t>
      </w:r>
    </w:p>
    <w:p w14:paraId="06B06A38" w14:textId="77777777" w:rsidR="009D791A" w:rsidRDefault="009D791A" w:rsidP="00920BCD">
      <w:pPr>
        <w:pStyle w:val="NoSpacing"/>
      </w:pPr>
    </w:p>
    <w:p w14:paraId="38E79A45" w14:textId="77777777" w:rsidR="009D791A" w:rsidRPr="00920BCD" w:rsidRDefault="007B4448">
      <w:pPr>
        <w:pStyle w:val="Body"/>
        <w:tabs>
          <w:tab w:val="left" w:pos="851"/>
        </w:tabs>
        <w:spacing w:line="480" w:lineRule="auto"/>
        <w:jc w:val="both"/>
        <w:rPr>
          <w:rFonts w:ascii="Times New Roman" w:eastAsia="Times New Roman" w:hAnsi="Times New Roman" w:cs="Times New Roman"/>
          <w:b/>
          <w:bCs/>
          <w:sz w:val="24"/>
          <w:szCs w:val="24"/>
          <w:u w:val="single"/>
        </w:rPr>
      </w:pPr>
      <w:r w:rsidRPr="00920BCD">
        <w:rPr>
          <w:rFonts w:ascii="Times New Roman" w:hAnsi="Times New Roman"/>
          <w:b/>
          <w:bCs/>
          <w:sz w:val="24"/>
          <w:szCs w:val="24"/>
          <w:u w:val="single"/>
          <w:lang w:val="en-US"/>
        </w:rPr>
        <w:t xml:space="preserve">THE PROCEDINGS BEFORE THE COURT </w:t>
      </w:r>
      <w:r w:rsidRPr="00920BCD">
        <w:rPr>
          <w:rFonts w:ascii="Times New Roman" w:hAnsi="Times New Roman"/>
          <w:b/>
          <w:bCs/>
          <w:i/>
          <w:iCs/>
          <w:sz w:val="24"/>
          <w:szCs w:val="24"/>
          <w:u w:val="single"/>
          <w:lang w:val="en-US"/>
        </w:rPr>
        <w:t xml:space="preserve">A QUO </w:t>
      </w:r>
      <w:r w:rsidRPr="00920BCD">
        <w:rPr>
          <w:rFonts w:ascii="Times New Roman" w:hAnsi="Times New Roman"/>
          <w:b/>
          <w:bCs/>
          <w:sz w:val="24"/>
          <w:szCs w:val="24"/>
          <w:u w:val="single"/>
          <w:lang w:val="en-US"/>
        </w:rPr>
        <w:t>WERE NOT PREDICATED ON AN ACTUAL DISPUTE</w:t>
      </w:r>
    </w:p>
    <w:p w14:paraId="28161E30" w14:textId="77777777" w:rsidR="009D791A" w:rsidRDefault="009D791A" w:rsidP="00920BCD">
      <w:pPr>
        <w:pStyle w:val="NoSpacing"/>
      </w:pPr>
    </w:p>
    <w:p w14:paraId="7390D819"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In the application before the court </w:t>
      </w:r>
      <w:r>
        <w:rPr>
          <w:rFonts w:ascii="Times New Roman" w:hAnsi="Times New Roman"/>
          <w:i/>
          <w:iCs/>
          <w:sz w:val="24"/>
          <w:szCs w:val="24"/>
        </w:rPr>
        <w:t>a quo</w:t>
      </w:r>
      <w:r>
        <w:rPr>
          <w:rFonts w:ascii="Times New Roman" w:hAnsi="Times New Roman"/>
          <w:sz w:val="24"/>
          <w:szCs w:val="24"/>
        </w:rPr>
        <w:t>, the applicants sought an order declaring s 314 of the Urban Councils Act as unconstitutional.  The order they sought did not relate to any particular decision that the Minister had made.  They did not plead any consequential or tangible benefit they were to obtain from such a declaration.  There was no dispute against which they cited the unconstitutionally of s 314.  In making the order it did, the court erred in failing to appreciate that the order was being made in the abstract.</w:t>
      </w:r>
    </w:p>
    <w:p w14:paraId="16BF2DEC" w14:textId="77777777" w:rsidR="009D791A" w:rsidRDefault="009D791A" w:rsidP="00336C5C">
      <w:pPr>
        <w:pStyle w:val="NoSpacing"/>
      </w:pPr>
    </w:p>
    <w:p w14:paraId="3F516D82" w14:textId="77777777" w:rsidR="009D791A" w:rsidRDefault="007B4448">
      <w:pPr>
        <w:pStyle w:val="ListParagraph"/>
        <w:numPr>
          <w:ilvl w:val="0"/>
          <w:numId w:val="14"/>
        </w:numPr>
        <w:spacing w:line="480" w:lineRule="auto"/>
        <w:jc w:val="both"/>
        <w:rPr>
          <w:rFonts w:ascii="Times New Roman" w:hAnsi="Times New Roman"/>
          <w:sz w:val="24"/>
          <w:szCs w:val="24"/>
        </w:rPr>
      </w:pPr>
      <w:r>
        <w:rPr>
          <w:rFonts w:ascii="Times New Roman" w:hAnsi="Times New Roman"/>
          <w:sz w:val="24"/>
          <w:szCs w:val="24"/>
        </w:rPr>
        <w:t xml:space="preserve">In their founding papers, the applicants complained of several instances of interference in the running of the affairs of local authorities by the Minister and the consequent lack of autonomy by such authorities.  They cited instances such as the need for governmental approval in the employment of certain council officials, the requirement that all purchases by local authorities be subjected to the government tender process, the collection of vehicle licensing fees by Zinara instead of local authorities, the need </w:t>
      </w:r>
      <w:r>
        <w:rPr>
          <w:rFonts w:ascii="Times New Roman" w:hAnsi="Times New Roman"/>
          <w:sz w:val="24"/>
          <w:szCs w:val="24"/>
        </w:rPr>
        <w:lastRenderedPageBreak/>
        <w:t xml:space="preserve">for government approval of council budgets and the suspension of a council or elected councillors and the appointment of a caretaker council (as happened in the case of </w:t>
      </w:r>
      <w:r>
        <w:rPr>
          <w:rFonts w:ascii="Times New Roman" w:hAnsi="Times New Roman"/>
          <w:i/>
          <w:iCs/>
          <w:sz w:val="24"/>
          <w:szCs w:val="24"/>
        </w:rPr>
        <w:t>Sekai Makwavarara</w:t>
      </w:r>
      <w:r>
        <w:rPr>
          <w:rFonts w:ascii="Times New Roman" w:hAnsi="Times New Roman"/>
          <w:sz w:val="24"/>
          <w:szCs w:val="24"/>
        </w:rPr>
        <w:t>). The applicants then proceeded to cite s 314 as one of the offending powers that are reposed in the respondent which allows him to interfere and direct councils to reverse, suspend or rescind council resolutions.  As an example of the misuse of the powers under s 314, the applicants then gave the example of the agreement between the City of Harare and Geogenix BV for the latter to operate the Pomona Waste Management project.  The applicants proceeded to give details of the events that unfolded pursuant to that agreement and the ultimate directive by the respondent for the City of Harare to reverse its resolution suspending the operation of the agreement.</w:t>
      </w:r>
    </w:p>
    <w:p w14:paraId="31E2E59A" w14:textId="77777777" w:rsidR="009D791A" w:rsidRDefault="009D791A" w:rsidP="00920BCD">
      <w:pPr>
        <w:pStyle w:val="NoSpacing"/>
      </w:pPr>
    </w:p>
    <w:p w14:paraId="515E4793" w14:textId="234EB3FA" w:rsidR="009D791A" w:rsidRDefault="007B4448" w:rsidP="00920BCD">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In support of the application, the second applicant stated that “the directives issued by the Minister in terms of s 314 amount to an unlawful interference with the autonomy of a local authority guaranteed in terms of Chapter 14…” The third applicant, Clever Rambanapasi, also stated that he attributed “many of the challenges that the City of Harare is facing to interference by the respondent as well as structural legal issues in the Urban Councils Act…”, whilst the fourth and fifth applicants, Ian Makone and Elvis Ruzane, averred that “Section 314 of the Urban Councils Act, has resulted in gross interference with our work as council by the Respondent.”</w:t>
      </w:r>
    </w:p>
    <w:p w14:paraId="08476F3B" w14:textId="77777777" w:rsidR="00336C5C" w:rsidRPr="00920BCD" w:rsidRDefault="00336C5C" w:rsidP="00336C5C">
      <w:pPr>
        <w:pStyle w:val="NoSpacing"/>
      </w:pPr>
    </w:p>
    <w:p w14:paraId="28ECC305"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In his opposing papers, the respondent took two points </w:t>
      </w:r>
      <w:r>
        <w:rPr>
          <w:rFonts w:ascii="Times New Roman" w:hAnsi="Times New Roman"/>
          <w:i/>
          <w:iCs/>
          <w:sz w:val="24"/>
          <w:szCs w:val="24"/>
        </w:rPr>
        <w:t>in limine</w:t>
      </w:r>
      <w:r>
        <w:rPr>
          <w:rFonts w:ascii="Times New Roman" w:hAnsi="Times New Roman"/>
          <w:sz w:val="24"/>
          <w:szCs w:val="24"/>
        </w:rPr>
        <w:t xml:space="preserve">. The first was that the first and second applicants had not demonstrated that they had the </w:t>
      </w:r>
      <w:r>
        <w:rPr>
          <w:rFonts w:ascii="Times New Roman" w:hAnsi="Times New Roman"/>
          <w:i/>
          <w:iCs/>
          <w:sz w:val="24"/>
          <w:szCs w:val="24"/>
        </w:rPr>
        <w:t xml:space="preserve">locus standi </w:t>
      </w:r>
      <w:r>
        <w:rPr>
          <w:rFonts w:ascii="Times New Roman" w:hAnsi="Times New Roman"/>
          <w:sz w:val="24"/>
          <w:szCs w:val="24"/>
        </w:rPr>
        <w:t>to institute the application.  The second was that there had been a material non-joinder of Geogenix BV and the City Of Harare, the parties to the Pomona Waste Management agreement.</w:t>
      </w:r>
    </w:p>
    <w:p w14:paraId="1E0270E2" w14:textId="77777777" w:rsidR="009D791A" w:rsidRDefault="009D791A" w:rsidP="00920BCD">
      <w:pPr>
        <w:pStyle w:val="NoSpacing"/>
      </w:pPr>
    </w:p>
    <w:p w14:paraId="5EB14E50"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In the applicants’ answering affidavit, deposed to by Ian Makone, the applicants stated as follows:</w:t>
      </w:r>
    </w:p>
    <w:p w14:paraId="53164674" w14:textId="77777777" w:rsidR="009D791A" w:rsidRDefault="007B4448">
      <w:pPr>
        <w:pStyle w:val="ListParagraph"/>
        <w:tabs>
          <w:tab w:val="left" w:pos="851"/>
        </w:tabs>
        <w:spacing w:line="240" w:lineRule="auto"/>
        <w:ind w:left="14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17. </w:t>
      </w:r>
      <w:r>
        <w:rPr>
          <w:rFonts w:ascii="Times New Roman" w:hAnsi="Times New Roman"/>
          <w:sz w:val="24"/>
          <w:szCs w:val="24"/>
        </w:rPr>
        <w:tab/>
        <w:t>It is not correct that the City of Harare and Geogenix BV ought to have been cited in the instant matter.</w:t>
      </w:r>
    </w:p>
    <w:p w14:paraId="18999F7E" w14:textId="77777777" w:rsidR="009D791A" w:rsidRDefault="007B4448">
      <w:pPr>
        <w:pStyle w:val="ListParagraph"/>
        <w:tabs>
          <w:tab w:val="left" w:pos="851"/>
        </w:tabs>
        <w:spacing w:line="240" w:lineRule="auto"/>
        <w:ind w:left="1436" w:hanging="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18.</w:t>
      </w:r>
      <w:r>
        <w:rPr>
          <w:rFonts w:ascii="Times New Roman" w:eastAsia="Times New Roman" w:hAnsi="Times New Roman" w:cs="Times New Roman"/>
          <w:sz w:val="24"/>
          <w:szCs w:val="24"/>
        </w:rPr>
        <w:tab/>
        <w:t>The instant matter is simply a prayer for a constitutional declaration that s 314 of Urban Councils Act [</w:t>
      </w:r>
      <w:r>
        <w:rPr>
          <w:rFonts w:ascii="Times New Roman" w:hAnsi="Times New Roman"/>
          <w:i/>
          <w:iCs/>
          <w:sz w:val="24"/>
          <w:szCs w:val="24"/>
        </w:rPr>
        <w:t>Chapter 29:15</w:t>
      </w:r>
      <w:r>
        <w:rPr>
          <w:rFonts w:ascii="Times New Roman" w:hAnsi="Times New Roman"/>
          <w:sz w:val="24"/>
          <w:szCs w:val="24"/>
        </w:rPr>
        <w:t>] is unconstitutional.</w:t>
      </w:r>
    </w:p>
    <w:p w14:paraId="588865F6" w14:textId="77777777" w:rsidR="009D791A" w:rsidRDefault="007B4448">
      <w:pPr>
        <w:pStyle w:val="ListParagraph"/>
        <w:tabs>
          <w:tab w:val="left" w:pos="851"/>
        </w:tabs>
        <w:spacing w:line="240" w:lineRule="auto"/>
        <w:ind w:left="1436" w:hanging="585"/>
        <w:rPr>
          <w:rFonts w:ascii="Times New Roman" w:eastAsia="Times New Roman" w:hAnsi="Times New Roman" w:cs="Times New Roman"/>
          <w:sz w:val="24"/>
          <w:szCs w:val="24"/>
        </w:rPr>
      </w:pPr>
      <w:r>
        <w:rPr>
          <w:rFonts w:ascii="Times New Roman" w:eastAsia="Times New Roman" w:hAnsi="Times New Roman" w:cs="Times New Roman"/>
          <w:sz w:val="24"/>
          <w:szCs w:val="24"/>
        </w:rPr>
        <w:tab/>
        <w:t>19.</w:t>
      </w:r>
      <w:r>
        <w:rPr>
          <w:rFonts w:ascii="Times New Roman" w:eastAsia="Times New Roman" w:hAnsi="Times New Roman" w:cs="Times New Roman"/>
          <w:sz w:val="24"/>
          <w:szCs w:val="24"/>
        </w:rPr>
        <w:tab/>
        <w:t>That is the matter between the first Respondent and the applicants.</w:t>
      </w:r>
    </w:p>
    <w:p w14:paraId="03BC6942" w14:textId="77777777" w:rsidR="009D791A" w:rsidRDefault="007B4448">
      <w:pPr>
        <w:pStyle w:val="ListParagraph"/>
        <w:tabs>
          <w:tab w:val="left" w:pos="851"/>
        </w:tabs>
        <w:spacing w:line="240" w:lineRule="auto"/>
        <w:ind w:left="143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20. </w:t>
      </w:r>
      <w:r>
        <w:rPr>
          <w:rFonts w:ascii="Times New Roman" w:eastAsia="Times New Roman" w:hAnsi="Times New Roman" w:cs="Times New Roman"/>
          <w:sz w:val="24"/>
          <w:szCs w:val="24"/>
        </w:rPr>
        <w:tab/>
        <w:t>Geogenix BV nor the City of Harare cannot defend an Act of   Parliament.</w:t>
      </w:r>
      <w:r>
        <w:rPr>
          <w:rFonts w:ascii="Times New Roman" w:hAnsi="Times New Roman"/>
          <w:sz w:val="24"/>
          <w:szCs w:val="24"/>
        </w:rPr>
        <w:t>”</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E1EC91D" w14:textId="77777777" w:rsidR="009D791A" w:rsidRDefault="009D791A" w:rsidP="00920BCD">
      <w:pPr>
        <w:pStyle w:val="NoSpacing"/>
      </w:pPr>
    </w:p>
    <w:p w14:paraId="2E1649F5"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The court </w:t>
      </w:r>
      <w:r>
        <w:rPr>
          <w:rFonts w:ascii="Times New Roman" w:hAnsi="Times New Roman"/>
          <w:i/>
          <w:iCs/>
          <w:sz w:val="24"/>
          <w:szCs w:val="24"/>
        </w:rPr>
        <w:t>a quo,</w:t>
      </w:r>
      <w:r>
        <w:rPr>
          <w:rFonts w:ascii="Times New Roman" w:hAnsi="Times New Roman"/>
          <w:sz w:val="24"/>
          <w:szCs w:val="24"/>
        </w:rPr>
        <w:t xml:space="preserve"> in its determination, also accepted that the matter before it did not involve the City of Harare or Geogenix BV. On the issue of whether or not there should have been joinder of the City of Harare and Geogenix BV, the court remarked as follows:</w:t>
      </w:r>
    </w:p>
    <w:p w14:paraId="28200F8D" w14:textId="77777777" w:rsidR="009D791A" w:rsidRDefault="007B4448">
      <w:pPr>
        <w:pStyle w:val="ListParagraph"/>
        <w:tabs>
          <w:tab w:val="left" w:pos="851"/>
        </w:tabs>
        <w:spacing w:line="240" w:lineRule="auto"/>
        <w:ind w:left="1440"/>
        <w:jc w:val="both"/>
        <w:rPr>
          <w:rFonts w:ascii="Times New Roman" w:eastAsia="Times New Roman" w:hAnsi="Times New Roman" w:cs="Times New Roman"/>
          <w:sz w:val="24"/>
          <w:szCs w:val="24"/>
        </w:rPr>
      </w:pPr>
      <w:r>
        <w:rPr>
          <w:rFonts w:ascii="Times New Roman" w:hAnsi="Times New Roman"/>
          <w:sz w:val="24"/>
          <w:szCs w:val="24"/>
        </w:rPr>
        <w:t>“…Counsel for the respondent submitted that the City of Harare and a company called Geogenix BV ought to have been joined to the proceedings as the applicants referred to a contract between the two parties.  It was argued that the two parties ought to be heard as the order sought will affect their rights.  This argument is not only devoid of merit but untenable.  This is an application challenging the constitutionality of the provisions of an act as not conforming to the dictates of the Constitution. It has nothing to do with contracts (</w:t>
      </w:r>
      <w:r>
        <w:rPr>
          <w:rFonts w:ascii="Times New Roman" w:hAnsi="Times New Roman"/>
          <w:i/>
          <w:iCs/>
          <w:sz w:val="24"/>
          <w:szCs w:val="24"/>
        </w:rPr>
        <w:t>sic</w:t>
      </w:r>
      <w:r>
        <w:rPr>
          <w:rFonts w:ascii="Times New Roman" w:hAnsi="Times New Roman"/>
          <w:sz w:val="24"/>
          <w:szCs w:val="24"/>
        </w:rPr>
        <w:t>) between the parties mentioned.  The application has everything to do with putting to the test whether the section cited is not contrary to the provisions of the cited sections of the Constitution.  This issue arises above individuals, entities or contracts.  It pertains to whether the section deserves to live or should be decimated for want of conformity.  The argument presented having no merit the court dismissed the same.”</w:t>
      </w:r>
    </w:p>
    <w:p w14:paraId="71015C00" w14:textId="77777777" w:rsidR="009D791A" w:rsidRDefault="007B4448" w:rsidP="00336C5C">
      <w:pPr>
        <w:pStyle w:val="NoSpacing"/>
        <w:rPr>
          <w:rFonts w:eastAsia="Times New Roman"/>
        </w:rPr>
      </w:pPr>
      <w:r>
        <w:t xml:space="preserve">   </w:t>
      </w:r>
    </w:p>
    <w:p w14:paraId="5C336CA7"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From the foregoing, it is quite apparent that the declaration of invalidity was not predicated upon a live dispute between the parties.  Examples were given of the instances when the Minister allegedly interfered with the operations of Councils in general.  Those instances did not, however, constitute the basis upon which the applicants had sought the declaration of invalidity.  Those instances, once they had occurred, could have formed the basis of separate constitutional applications seeking </w:t>
      </w:r>
      <w:r>
        <w:rPr>
          <w:rFonts w:ascii="Times New Roman" w:hAnsi="Times New Roman"/>
          <w:sz w:val="24"/>
          <w:szCs w:val="24"/>
        </w:rPr>
        <w:lastRenderedPageBreak/>
        <w:t>declarations of invalidity as well as consequential relief.  Indeed in the case of the Pomona Waste Management agreement, the applicants, amongst others, instituted proceedings in the High Court in Case No HC 2766/22 seeking an order setting aside the council resolution in terms of which the agreement had been adopted and approved. It goes without saying that the applicants could have , in that same suit, challenged the constitutionality of s 314 of the Act and sought, as consequential relief, the setting aside of the directive given by the Minister.  But that is not what the applicants sought.  It is clear the applicants decided to challenge the validity of s 314 of the Act merely on account of their perception that the section was not consistent with the Constitution.</w:t>
      </w:r>
    </w:p>
    <w:p w14:paraId="3BDC17DD" w14:textId="77777777" w:rsidR="009D791A" w:rsidRDefault="009D791A" w:rsidP="00920BCD">
      <w:pPr>
        <w:pStyle w:val="NoSpacing"/>
      </w:pPr>
    </w:p>
    <w:p w14:paraId="058C40EC" w14:textId="77777777" w:rsidR="009D791A" w:rsidRDefault="007B4448">
      <w:pPr>
        <w:pStyle w:val="ListParagraph"/>
        <w:numPr>
          <w:ilvl w:val="0"/>
          <w:numId w:val="17"/>
        </w:numPr>
        <w:spacing w:line="480" w:lineRule="auto"/>
        <w:jc w:val="both"/>
        <w:rPr>
          <w:rFonts w:ascii="Times New Roman" w:hAnsi="Times New Roman"/>
          <w:sz w:val="24"/>
          <w:szCs w:val="24"/>
        </w:rPr>
      </w:pPr>
      <w:r>
        <w:rPr>
          <w:rFonts w:ascii="Times New Roman" w:hAnsi="Times New Roman"/>
          <w:sz w:val="24"/>
          <w:szCs w:val="24"/>
        </w:rPr>
        <w:t xml:space="preserve">I entertain no doubt in my mind that this is not permissible and that the court </w:t>
      </w:r>
      <w:r>
        <w:rPr>
          <w:rFonts w:ascii="Times New Roman" w:hAnsi="Times New Roman"/>
          <w:i/>
          <w:iCs/>
          <w:sz w:val="24"/>
          <w:szCs w:val="24"/>
        </w:rPr>
        <w:t>a quo</w:t>
      </w:r>
      <w:r>
        <w:rPr>
          <w:rFonts w:ascii="Times New Roman" w:hAnsi="Times New Roman"/>
          <w:sz w:val="24"/>
          <w:szCs w:val="24"/>
        </w:rPr>
        <w:t xml:space="preserve"> should have declined jurisdiction to deal with a dispute arising in an abstract context.  The legal question placed before the court </w:t>
      </w:r>
      <w:r>
        <w:rPr>
          <w:rFonts w:ascii="Times New Roman" w:hAnsi="Times New Roman"/>
          <w:i/>
          <w:iCs/>
          <w:sz w:val="24"/>
          <w:szCs w:val="24"/>
        </w:rPr>
        <w:t>a quo</w:t>
      </w:r>
      <w:r>
        <w:rPr>
          <w:rFonts w:ascii="Times New Roman" w:hAnsi="Times New Roman"/>
          <w:sz w:val="24"/>
          <w:szCs w:val="24"/>
        </w:rPr>
        <w:t xml:space="preserve"> did not rest upon existing facts or rights.</w:t>
      </w:r>
    </w:p>
    <w:p w14:paraId="70A343B8" w14:textId="77777777" w:rsidR="009D791A" w:rsidRDefault="009D791A" w:rsidP="00920BCD">
      <w:pPr>
        <w:pStyle w:val="NoSpacing"/>
      </w:pPr>
    </w:p>
    <w:p w14:paraId="4269ED91" w14:textId="77777777" w:rsidR="009D791A" w:rsidRPr="00920BCD" w:rsidRDefault="007B4448">
      <w:pPr>
        <w:pStyle w:val="Body"/>
        <w:tabs>
          <w:tab w:val="left" w:pos="851"/>
        </w:tabs>
        <w:spacing w:line="480" w:lineRule="auto"/>
        <w:ind w:left="1134" w:hanging="1134"/>
        <w:jc w:val="both"/>
        <w:rPr>
          <w:rFonts w:ascii="Times New Roman" w:eastAsia="Times New Roman" w:hAnsi="Times New Roman" w:cs="Times New Roman"/>
          <w:b/>
          <w:bCs/>
          <w:sz w:val="24"/>
          <w:szCs w:val="24"/>
          <w:u w:val="single"/>
        </w:rPr>
      </w:pPr>
      <w:r w:rsidRPr="00920BCD">
        <w:rPr>
          <w:rFonts w:ascii="Times New Roman" w:hAnsi="Times New Roman"/>
          <w:b/>
          <w:bCs/>
          <w:sz w:val="24"/>
          <w:szCs w:val="24"/>
          <w:u w:val="single"/>
          <w:lang w:val="en-US"/>
        </w:rPr>
        <w:t>THE DOCTRINE OF JUSTICIABILITY</w:t>
      </w:r>
    </w:p>
    <w:p w14:paraId="74CBBA1A" w14:textId="77777777" w:rsidR="009D791A" w:rsidRDefault="007B4448">
      <w:pPr>
        <w:pStyle w:val="ListParagraph"/>
        <w:numPr>
          <w:ilvl w:val="0"/>
          <w:numId w:val="17"/>
        </w:numPr>
        <w:spacing w:line="480" w:lineRule="auto"/>
        <w:rPr>
          <w:rFonts w:ascii="Times New Roman" w:hAnsi="Times New Roman"/>
          <w:sz w:val="24"/>
          <w:szCs w:val="24"/>
        </w:rPr>
      </w:pPr>
      <w:r>
        <w:rPr>
          <w:rFonts w:ascii="Times New Roman" w:hAnsi="Times New Roman"/>
          <w:sz w:val="24"/>
          <w:szCs w:val="24"/>
        </w:rPr>
        <w:t xml:space="preserve">The applicable law falls under a body of procedural rules relating to the justiciability of constitutional matters. I Currie and J De Waal, </w:t>
      </w:r>
      <w:r>
        <w:rPr>
          <w:rFonts w:ascii="Times New Roman" w:hAnsi="Times New Roman"/>
          <w:i/>
          <w:iCs/>
          <w:sz w:val="24"/>
          <w:szCs w:val="24"/>
        </w:rPr>
        <w:t>The Bill of Rights Handbook</w:t>
      </w:r>
      <w:r>
        <w:rPr>
          <w:rFonts w:ascii="Times New Roman" w:hAnsi="Times New Roman"/>
          <w:sz w:val="24"/>
          <w:szCs w:val="24"/>
        </w:rPr>
        <w:t>, 6 Ed (2013) lay out the conceptual foundation for the principles of justiciability. At p 72 they state that:</w:t>
      </w:r>
    </w:p>
    <w:p w14:paraId="46AF5CE6" w14:textId="77777777" w:rsidR="009D791A" w:rsidRDefault="007B4448">
      <w:pPr>
        <w:pStyle w:val="Body"/>
        <w:spacing w:after="0" w:line="240" w:lineRule="auto"/>
        <w:ind w:left="1440"/>
        <w:jc w:val="both"/>
        <w:rPr>
          <w:rFonts w:ascii="Times New Roman" w:eastAsia="Times New Roman" w:hAnsi="Times New Roman" w:cs="Times New Roman"/>
          <w:sz w:val="24"/>
          <w:szCs w:val="24"/>
        </w:rPr>
      </w:pPr>
      <w:r>
        <w:rPr>
          <w:rFonts w:ascii="Times New Roman" w:hAnsi="Times New Roman"/>
          <w:sz w:val="24"/>
          <w:szCs w:val="24"/>
          <w:lang w:val="en-US"/>
        </w:rPr>
        <w:t>“There are three principal sets of rules and principles that can be grouped under the broad heading of ‘justiciability’. They are standing, which relates to the relationship between the applicant in the case and the particular relief sought, and ripeness and mootness, which relate to the timing of the application. All can be understood as elaborations of a more fundamental principle that the courts should decide only cases entailing a ‘real, earnest, and vital controversy’ between litigants and not entertain merely ‘hypothetical’ cases, or cases that are only of ‘</w:t>
      </w:r>
      <w:r>
        <w:rPr>
          <w:rFonts w:ascii="Times New Roman" w:hAnsi="Times New Roman"/>
          <w:sz w:val="24"/>
          <w:szCs w:val="24"/>
          <w:lang w:val="it-IT"/>
        </w:rPr>
        <w:t>academic</w:t>
      </w:r>
      <w:r>
        <w:rPr>
          <w:rFonts w:ascii="Times New Roman" w:hAnsi="Times New Roman"/>
          <w:sz w:val="24"/>
          <w:szCs w:val="24"/>
          <w:lang w:val="en-US"/>
        </w:rPr>
        <w:t>’ interest’</w:t>
      </w:r>
      <w:r>
        <w:rPr>
          <w:rFonts w:ascii="Times New Roman" w:hAnsi="Times New Roman"/>
          <w:sz w:val="24"/>
          <w:szCs w:val="24"/>
        </w:rPr>
        <w:t>.</w:t>
      </w:r>
    </w:p>
    <w:p w14:paraId="508BBB4C" w14:textId="77777777" w:rsidR="009D791A" w:rsidRDefault="009D791A">
      <w:pPr>
        <w:pStyle w:val="Body"/>
        <w:spacing w:after="0" w:line="240" w:lineRule="auto"/>
        <w:ind w:left="1440"/>
        <w:jc w:val="both"/>
        <w:rPr>
          <w:rFonts w:ascii="Times New Roman" w:eastAsia="Times New Roman" w:hAnsi="Times New Roman" w:cs="Times New Roman"/>
          <w:sz w:val="24"/>
          <w:szCs w:val="24"/>
        </w:rPr>
      </w:pPr>
    </w:p>
    <w:p w14:paraId="1B9D20FD" w14:textId="77777777" w:rsidR="009D791A" w:rsidRDefault="009D791A">
      <w:pPr>
        <w:pStyle w:val="Body"/>
        <w:spacing w:after="0" w:line="480" w:lineRule="auto"/>
        <w:ind w:left="1134" w:hanging="992"/>
        <w:jc w:val="both"/>
        <w:rPr>
          <w:rFonts w:ascii="Times New Roman" w:eastAsia="Times New Roman" w:hAnsi="Times New Roman" w:cs="Times New Roman"/>
          <w:b/>
          <w:bCs/>
          <w:sz w:val="24"/>
          <w:szCs w:val="24"/>
        </w:rPr>
      </w:pPr>
    </w:p>
    <w:p w14:paraId="76073D3C" w14:textId="77777777" w:rsidR="009D791A" w:rsidRDefault="007B4448">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In this jurisdiction, the doctrine of justiciability was considered, </w:t>
      </w:r>
      <w:r>
        <w:rPr>
          <w:rFonts w:ascii="Times New Roman" w:hAnsi="Times New Roman"/>
          <w:i/>
          <w:iCs/>
          <w:sz w:val="24"/>
          <w:szCs w:val="24"/>
        </w:rPr>
        <w:t xml:space="preserve">inter alia, </w:t>
      </w:r>
      <w:r>
        <w:rPr>
          <w:rFonts w:ascii="Times New Roman" w:hAnsi="Times New Roman"/>
          <w:sz w:val="24"/>
          <w:szCs w:val="24"/>
        </w:rPr>
        <w:t xml:space="preserve">in the case of </w:t>
      </w:r>
      <w:r>
        <w:rPr>
          <w:rFonts w:ascii="Times New Roman" w:hAnsi="Times New Roman"/>
          <w:b/>
          <w:bCs/>
          <w:i/>
          <w:iCs/>
          <w:sz w:val="24"/>
          <w:szCs w:val="24"/>
        </w:rPr>
        <w:t>Khupe and Anor v Parliament of Zimbabwe and Others CCZ 20/19</w:t>
      </w:r>
      <w:r>
        <w:rPr>
          <w:rFonts w:ascii="Times New Roman" w:hAnsi="Times New Roman"/>
          <w:i/>
          <w:iCs/>
          <w:sz w:val="24"/>
          <w:szCs w:val="24"/>
        </w:rPr>
        <w:t xml:space="preserve"> </w:t>
      </w:r>
      <w:r>
        <w:rPr>
          <w:rFonts w:ascii="Times New Roman" w:hAnsi="Times New Roman"/>
          <w:sz w:val="24"/>
          <w:szCs w:val="24"/>
        </w:rPr>
        <w:t>at p.7, thus:</w:t>
      </w:r>
    </w:p>
    <w:p w14:paraId="0EC510E6" w14:textId="77777777" w:rsidR="009D791A" w:rsidRDefault="007B4448">
      <w:pPr>
        <w:pStyle w:val="Body"/>
        <w:spacing w:after="0" w:line="240" w:lineRule="auto"/>
        <w:ind w:left="1440" w:firstLine="7"/>
        <w:jc w:val="both"/>
        <w:rPr>
          <w:rFonts w:ascii="Times New Roman" w:eastAsia="Times New Roman" w:hAnsi="Times New Roman" w:cs="Times New Roman"/>
          <w:sz w:val="24"/>
          <w:szCs w:val="24"/>
        </w:rPr>
      </w:pPr>
      <w:r>
        <w:rPr>
          <w:rFonts w:ascii="Times New Roman" w:hAnsi="Times New Roman"/>
          <w:sz w:val="24"/>
          <w:szCs w:val="24"/>
          <w:lang w:val="en-US"/>
        </w:rPr>
        <w:t xml:space="preserve">”Justiciability deals with the boundaries of law and adjudication. Its concern is with the question of which issues are susceptible to becoming the subject of legal norms or adjudication by a court of law. Justiciability is not a legal concept with a fixed content or one that is susceptible to precise scientific verification. Its utilisation is the result of many subtle pressures. </w:t>
      </w:r>
      <w:r>
        <w:rPr>
          <w:rFonts w:ascii="Times New Roman" w:hAnsi="Times New Roman"/>
          <w:i/>
          <w:iCs/>
          <w:sz w:val="24"/>
          <w:szCs w:val="24"/>
        </w:rPr>
        <w:t xml:space="preserve">Poe v Ullman </w:t>
      </w:r>
      <w:r>
        <w:rPr>
          <w:rFonts w:ascii="Times New Roman" w:hAnsi="Times New Roman"/>
          <w:sz w:val="24"/>
          <w:szCs w:val="24"/>
        </w:rPr>
        <w:t>367 U.S. 497 (1961) at 508.</w:t>
      </w:r>
      <w:r>
        <w:rPr>
          <w:rFonts w:ascii="Times New Roman" w:hAnsi="Times New Roman"/>
          <w:sz w:val="24"/>
          <w:szCs w:val="24"/>
          <w:lang w:val="en-US"/>
        </w:rPr>
        <w:t>”</w:t>
      </w:r>
    </w:p>
    <w:p w14:paraId="392602D3" w14:textId="77777777" w:rsidR="009D791A" w:rsidRDefault="009D791A">
      <w:pPr>
        <w:pStyle w:val="Body"/>
        <w:spacing w:after="0" w:line="240" w:lineRule="auto"/>
        <w:ind w:left="1440" w:firstLine="7"/>
        <w:jc w:val="both"/>
        <w:rPr>
          <w:rFonts w:ascii="Times New Roman" w:eastAsia="Times New Roman" w:hAnsi="Times New Roman" w:cs="Times New Roman"/>
          <w:sz w:val="24"/>
          <w:szCs w:val="24"/>
        </w:rPr>
      </w:pPr>
    </w:p>
    <w:p w14:paraId="02472622" w14:textId="77777777" w:rsidR="009D791A" w:rsidRDefault="009D791A">
      <w:pPr>
        <w:pStyle w:val="Body"/>
        <w:spacing w:after="0" w:line="240" w:lineRule="auto"/>
        <w:ind w:left="1440" w:firstLine="7"/>
        <w:jc w:val="both"/>
        <w:rPr>
          <w:rFonts w:ascii="Times New Roman" w:eastAsia="Times New Roman" w:hAnsi="Times New Roman" w:cs="Times New Roman"/>
          <w:sz w:val="24"/>
          <w:szCs w:val="24"/>
        </w:rPr>
      </w:pPr>
    </w:p>
    <w:p w14:paraId="7E8E92C8" w14:textId="77777777" w:rsidR="009D791A" w:rsidRDefault="009D791A">
      <w:pPr>
        <w:pStyle w:val="Body"/>
        <w:spacing w:after="0" w:line="240" w:lineRule="auto"/>
        <w:jc w:val="both"/>
        <w:rPr>
          <w:rFonts w:ascii="Times New Roman" w:eastAsia="Times New Roman" w:hAnsi="Times New Roman" w:cs="Times New Roman"/>
          <w:sz w:val="24"/>
          <w:szCs w:val="24"/>
        </w:rPr>
      </w:pPr>
    </w:p>
    <w:p w14:paraId="3EA1F7D9"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As noted by Currie and De Waal, </w:t>
      </w:r>
      <w:r>
        <w:rPr>
          <w:rFonts w:ascii="Times New Roman" w:hAnsi="Times New Roman"/>
          <w:i/>
          <w:iCs/>
          <w:sz w:val="24"/>
          <w:szCs w:val="24"/>
        </w:rPr>
        <w:t xml:space="preserve">op. cit., </w:t>
      </w:r>
      <w:r>
        <w:rPr>
          <w:rFonts w:ascii="Times New Roman" w:hAnsi="Times New Roman"/>
          <w:sz w:val="24"/>
          <w:szCs w:val="24"/>
        </w:rPr>
        <w:t>one of the principles of justiciability relates to ripeness. There are two main senses in which the principle of ripeness has been understood. In the first sense, the principle has been applied in situations where all the facts forming the constitutional cause of action are yet to materialise. Where this is the case, a matter will be said to be unripe for determination because a live dispute or controversy would not yet have arisen. It would, in such circumstances, be premature for a court to pass upon the constitutional dispute before it has actually arisen. This would extend to situations where there are no facts at all relating to the intended cause of action.</w:t>
      </w:r>
    </w:p>
    <w:p w14:paraId="66AE0DAE" w14:textId="77777777" w:rsidR="009D791A" w:rsidRDefault="009D791A">
      <w:pPr>
        <w:pStyle w:val="Body"/>
        <w:tabs>
          <w:tab w:val="left" w:pos="1134"/>
        </w:tabs>
        <w:spacing w:after="0" w:line="480" w:lineRule="auto"/>
        <w:ind w:left="1134" w:hanging="1134"/>
        <w:jc w:val="both"/>
        <w:rPr>
          <w:rFonts w:ascii="Times New Roman" w:eastAsia="Times New Roman" w:hAnsi="Times New Roman" w:cs="Times New Roman"/>
          <w:sz w:val="24"/>
          <w:szCs w:val="24"/>
        </w:rPr>
      </w:pPr>
    </w:p>
    <w:p w14:paraId="3E4FC1D9"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The principle of ripeness, as understood in the foregoing sense, found application in this court in the case of </w:t>
      </w:r>
      <w:r>
        <w:rPr>
          <w:rFonts w:ascii="Times New Roman" w:hAnsi="Times New Roman"/>
          <w:b/>
          <w:bCs/>
          <w:i/>
          <w:iCs/>
          <w:sz w:val="24"/>
          <w:szCs w:val="24"/>
        </w:rPr>
        <w:t>Zimbabwe Women Lawyers Association v Minister of Justice, Legal and Parliamentary Affairs and Others CCZ 13/21</w:t>
      </w:r>
      <w:r>
        <w:rPr>
          <w:rFonts w:ascii="Times New Roman" w:hAnsi="Times New Roman"/>
          <w:b/>
          <w:bCs/>
          <w:sz w:val="24"/>
          <w:szCs w:val="24"/>
        </w:rPr>
        <w:t xml:space="preserve"> </w:t>
      </w:r>
      <w:r>
        <w:rPr>
          <w:rFonts w:ascii="Times New Roman" w:hAnsi="Times New Roman"/>
          <w:sz w:val="24"/>
          <w:szCs w:val="24"/>
        </w:rPr>
        <w:t xml:space="preserve">(‘the </w:t>
      </w:r>
      <w:r>
        <w:rPr>
          <w:rFonts w:ascii="Times New Roman" w:hAnsi="Times New Roman"/>
          <w:i/>
          <w:iCs/>
          <w:sz w:val="24"/>
          <w:szCs w:val="24"/>
        </w:rPr>
        <w:t>ZWLA</w:t>
      </w:r>
      <w:r>
        <w:rPr>
          <w:rFonts w:ascii="Times New Roman" w:hAnsi="Times New Roman"/>
          <w:sz w:val="24"/>
          <w:szCs w:val="24"/>
        </w:rPr>
        <w:t xml:space="preserve"> case’). In that case, the applicant sought an order to the effect that the definition of “marriage” that was provided in s 2 of the Matrimonial Causes Act [</w:t>
      </w:r>
      <w:r>
        <w:rPr>
          <w:rFonts w:ascii="Times New Roman" w:hAnsi="Times New Roman"/>
          <w:i/>
          <w:iCs/>
          <w:sz w:val="24"/>
          <w:szCs w:val="24"/>
        </w:rPr>
        <w:t>Chapter 5:13</w:t>
      </w:r>
      <w:r>
        <w:rPr>
          <w:rFonts w:ascii="Times New Roman" w:hAnsi="Times New Roman"/>
          <w:sz w:val="24"/>
          <w:szCs w:val="24"/>
        </w:rPr>
        <w:t xml:space="preserve">] was constitutionally invalid as it discriminated against persons in unregistered customary unions. At the material time, the Minister of Justice, Legal and Parliamentary Affairs had introduced a Marriages Bill in Parliament, which among other objectives, was intended to consolidate the laws relating to marriages and to provide for the recognition and </w:t>
      </w:r>
      <w:r>
        <w:rPr>
          <w:rFonts w:ascii="Times New Roman" w:hAnsi="Times New Roman"/>
          <w:sz w:val="24"/>
          <w:szCs w:val="24"/>
        </w:rPr>
        <w:lastRenderedPageBreak/>
        <w:t>registration of customary law unions. The Court, while discussing the doctrine of ripeness, observed at pp. 6-7, paras. 15 and 16 of the cyclostyled judgment that:</w:t>
      </w:r>
    </w:p>
    <w:p w14:paraId="14CC826B" w14:textId="77777777" w:rsidR="009D791A" w:rsidRDefault="007B4448">
      <w:pPr>
        <w:pStyle w:val="Body"/>
        <w:tabs>
          <w:tab w:val="left" w:pos="1134"/>
        </w:tabs>
        <w:spacing w:after="0" w:line="240" w:lineRule="auto"/>
        <w:ind w:left="1440" w:hanging="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lang w:val="en-US"/>
        </w:rPr>
        <w:t>“The rule in essence postulates that there can be no anticipation of a constitutional issue in advance. The principle of ripeness is therefore part of the doctrine of avoidance…</w:t>
      </w:r>
    </w:p>
    <w:p w14:paraId="04B3FB85"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07C4DD16" w14:textId="77777777" w:rsidR="009D791A" w:rsidRDefault="007B4448">
      <w:pPr>
        <w:pStyle w:val="Body"/>
        <w:tabs>
          <w:tab w:val="left" w:pos="1134"/>
        </w:tabs>
        <w:spacing w:after="0" w:line="240" w:lineRule="auto"/>
        <w:ind w:left="1440" w:hanging="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i/>
          <w:iCs/>
          <w:sz w:val="24"/>
          <w:szCs w:val="24"/>
          <w:lang w:val="en-US"/>
        </w:rPr>
        <w:t xml:space="preserve">Hoxter, Administrative Law in South Africa, </w:t>
      </w:r>
      <w:r>
        <w:rPr>
          <w:rFonts w:ascii="Times New Roman" w:hAnsi="Times New Roman"/>
          <w:sz w:val="24"/>
          <w:szCs w:val="24"/>
        </w:rPr>
        <w:t>2</w:t>
      </w:r>
      <w:r>
        <w:rPr>
          <w:rFonts w:ascii="Times New Roman" w:hAnsi="Times New Roman"/>
          <w:sz w:val="24"/>
          <w:szCs w:val="24"/>
          <w:vertAlign w:val="superscript"/>
        </w:rPr>
        <w:t>nd</w:t>
      </w:r>
      <w:r>
        <w:rPr>
          <w:rFonts w:ascii="Times New Roman" w:hAnsi="Times New Roman"/>
          <w:sz w:val="24"/>
          <w:szCs w:val="24"/>
          <w:lang w:val="en-US"/>
        </w:rPr>
        <w:t xml:space="preserve"> Ed 2012 at p 585 describes the doctrine in the following terms:</w:t>
      </w:r>
    </w:p>
    <w:p w14:paraId="26623836" w14:textId="77777777" w:rsidR="009D791A" w:rsidRDefault="007B4448">
      <w:pPr>
        <w:pStyle w:val="Body"/>
        <w:tabs>
          <w:tab w:val="left" w:pos="1134"/>
        </w:tabs>
        <w:spacing w:after="0" w:line="240" w:lineRule="auto"/>
        <w:ind w:left="2127" w:hanging="1821"/>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Pr>
          <w:rFonts w:ascii="Times New Roman" w:hAnsi="Times New Roman"/>
          <w:i/>
          <w:iCs/>
          <w:sz w:val="24"/>
          <w:szCs w:val="24"/>
          <w:lang w:val="en-US"/>
        </w:rPr>
        <w:t>“</w:t>
      </w:r>
      <w:r>
        <w:rPr>
          <w:rFonts w:ascii="Times New Roman" w:hAnsi="Times New Roman"/>
          <w:sz w:val="24"/>
          <w:szCs w:val="24"/>
          <w:lang w:val="en-US"/>
        </w:rPr>
        <w:t>The idea behind the requirement of ripeness is that the complainant should not go to court before the offending decision is final, or at least ripe for adjudication. It is the opposite of the doctrine of mootness, which prevents a court from deciding an issue when it is too late. The doctrine of ripeness holds that there is no point in wasting the courts’ time with half-formed decisions whose shape may yet change, or indeed decisions that have not yet been made.”</w:t>
      </w:r>
    </w:p>
    <w:p w14:paraId="21133155" w14:textId="77777777" w:rsidR="009D791A" w:rsidRDefault="009D791A">
      <w:pPr>
        <w:pStyle w:val="Body"/>
        <w:tabs>
          <w:tab w:val="left" w:pos="1134"/>
        </w:tabs>
        <w:spacing w:after="0" w:line="240" w:lineRule="auto"/>
        <w:ind w:left="2127" w:hanging="1821"/>
        <w:jc w:val="both"/>
        <w:rPr>
          <w:rFonts w:ascii="Times New Roman" w:eastAsia="Times New Roman" w:hAnsi="Times New Roman" w:cs="Times New Roman"/>
          <w:sz w:val="24"/>
          <w:szCs w:val="24"/>
        </w:rPr>
      </w:pPr>
    </w:p>
    <w:p w14:paraId="785848D1" w14:textId="77777777" w:rsidR="009D791A" w:rsidRDefault="009D791A">
      <w:pPr>
        <w:pStyle w:val="Body"/>
        <w:tabs>
          <w:tab w:val="left" w:pos="1134"/>
        </w:tabs>
        <w:spacing w:after="0" w:line="240" w:lineRule="auto"/>
        <w:ind w:left="2127" w:hanging="1821"/>
        <w:jc w:val="both"/>
        <w:rPr>
          <w:rFonts w:ascii="Times New Roman" w:eastAsia="Times New Roman" w:hAnsi="Times New Roman" w:cs="Times New Roman"/>
          <w:sz w:val="24"/>
          <w:szCs w:val="24"/>
        </w:rPr>
      </w:pPr>
    </w:p>
    <w:p w14:paraId="6DEE69F1" w14:textId="77777777" w:rsidR="009D791A" w:rsidRDefault="009D791A">
      <w:pPr>
        <w:pStyle w:val="Body"/>
        <w:tabs>
          <w:tab w:val="left" w:pos="1134"/>
        </w:tabs>
        <w:spacing w:after="0" w:line="240" w:lineRule="auto"/>
        <w:ind w:left="306"/>
        <w:jc w:val="both"/>
        <w:rPr>
          <w:rFonts w:ascii="Times New Roman" w:eastAsia="Times New Roman" w:hAnsi="Times New Roman" w:cs="Times New Roman"/>
          <w:i/>
          <w:iCs/>
          <w:sz w:val="24"/>
          <w:szCs w:val="24"/>
        </w:rPr>
      </w:pPr>
    </w:p>
    <w:p w14:paraId="6E6331AB"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Applying the principle to the facts of the case that was before it, this Court in the </w:t>
      </w:r>
      <w:r>
        <w:rPr>
          <w:rFonts w:ascii="Times New Roman" w:hAnsi="Times New Roman"/>
          <w:i/>
          <w:iCs/>
          <w:sz w:val="24"/>
          <w:szCs w:val="24"/>
        </w:rPr>
        <w:t xml:space="preserve">ZWLA </w:t>
      </w:r>
      <w:r>
        <w:rPr>
          <w:rFonts w:ascii="Times New Roman" w:hAnsi="Times New Roman"/>
          <w:sz w:val="24"/>
          <w:szCs w:val="24"/>
        </w:rPr>
        <w:t>case went on, at para. 24 of the judgment, to conclude that:</w:t>
      </w:r>
    </w:p>
    <w:p w14:paraId="6E755558" w14:textId="77777777" w:rsidR="009D791A" w:rsidRDefault="009D791A">
      <w:pPr>
        <w:pStyle w:val="Body"/>
        <w:tabs>
          <w:tab w:val="left" w:pos="1134"/>
        </w:tabs>
        <w:spacing w:after="0" w:line="240" w:lineRule="auto"/>
        <w:ind w:left="1134" w:hanging="828"/>
        <w:jc w:val="both"/>
        <w:rPr>
          <w:rFonts w:ascii="Times New Roman" w:eastAsia="Times New Roman" w:hAnsi="Times New Roman" w:cs="Times New Roman"/>
          <w:sz w:val="24"/>
          <w:szCs w:val="24"/>
        </w:rPr>
      </w:pPr>
    </w:p>
    <w:p w14:paraId="26580449" w14:textId="77777777" w:rsidR="009D791A" w:rsidRDefault="007B4448">
      <w:pPr>
        <w:pStyle w:val="Body"/>
        <w:tabs>
          <w:tab w:val="left" w:pos="1134"/>
        </w:tabs>
        <w:spacing w:after="0" w:line="240" w:lineRule="auto"/>
        <w:ind w:left="1440" w:hanging="8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lang w:val="en-US"/>
        </w:rPr>
        <w:t>“The conclusion is inescapable that the issue raised in this application is not ready for adjudication by this Court. Until the fate of the Bill is known, it would not only be inappropriate and unwise but also premature for this Court to make a determination on the constitutionality of the definition of marriage in s 2 of the Matrimonial Causes act."</w:t>
      </w:r>
    </w:p>
    <w:p w14:paraId="19A92CFA" w14:textId="77777777" w:rsidR="009D791A" w:rsidRDefault="009D791A">
      <w:pPr>
        <w:pStyle w:val="Body"/>
        <w:tabs>
          <w:tab w:val="left" w:pos="1134"/>
        </w:tabs>
        <w:spacing w:after="0" w:line="240" w:lineRule="auto"/>
        <w:ind w:left="1440" w:hanging="828"/>
        <w:jc w:val="both"/>
        <w:rPr>
          <w:rFonts w:ascii="Times New Roman" w:eastAsia="Times New Roman" w:hAnsi="Times New Roman" w:cs="Times New Roman"/>
          <w:sz w:val="24"/>
          <w:szCs w:val="24"/>
        </w:rPr>
      </w:pPr>
    </w:p>
    <w:p w14:paraId="0A2F3F1A" w14:textId="77777777" w:rsidR="009D791A" w:rsidRDefault="009D791A">
      <w:pPr>
        <w:pStyle w:val="Body"/>
        <w:tabs>
          <w:tab w:val="left" w:pos="1134"/>
        </w:tabs>
        <w:spacing w:after="0" w:line="240" w:lineRule="auto"/>
        <w:ind w:left="1440" w:hanging="828"/>
        <w:jc w:val="both"/>
        <w:rPr>
          <w:rFonts w:ascii="Times New Roman" w:eastAsia="Times New Roman" w:hAnsi="Times New Roman" w:cs="Times New Roman"/>
          <w:sz w:val="24"/>
          <w:szCs w:val="24"/>
        </w:rPr>
      </w:pPr>
    </w:p>
    <w:p w14:paraId="51947879" w14:textId="77777777" w:rsidR="009D791A" w:rsidRDefault="009D791A">
      <w:pPr>
        <w:pStyle w:val="Body"/>
        <w:tabs>
          <w:tab w:val="left" w:pos="1134"/>
        </w:tabs>
        <w:spacing w:after="0" w:line="240" w:lineRule="auto"/>
        <w:ind w:left="1440" w:hanging="828"/>
        <w:jc w:val="both"/>
        <w:rPr>
          <w:rFonts w:ascii="Times New Roman" w:eastAsia="Times New Roman" w:hAnsi="Times New Roman" w:cs="Times New Roman"/>
          <w:sz w:val="24"/>
          <w:szCs w:val="24"/>
        </w:rPr>
      </w:pPr>
    </w:p>
    <w:p w14:paraId="47DEA45B" w14:textId="77777777" w:rsidR="009D791A" w:rsidRDefault="007B4448">
      <w:pPr>
        <w:pStyle w:val="ListParagraph"/>
        <w:numPr>
          <w:ilvl w:val="0"/>
          <w:numId w:val="14"/>
        </w:numPr>
        <w:spacing w:after="0" w:line="480" w:lineRule="auto"/>
        <w:jc w:val="both"/>
        <w:rPr>
          <w:rFonts w:ascii="Times New Roman" w:hAnsi="Times New Roman"/>
          <w:i/>
          <w:iCs/>
          <w:sz w:val="24"/>
          <w:szCs w:val="24"/>
        </w:rPr>
      </w:pPr>
      <w:r>
        <w:rPr>
          <w:rFonts w:ascii="Times New Roman" w:hAnsi="Times New Roman"/>
          <w:sz w:val="24"/>
          <w:szCs w:val="24"/>
        </w:rPr>
        <w:t xml:space="preserve">In the second sense, the principle of ripeness has been applied in situations where, although the essential facts necessary to establish a cause of action would have arisen, there are other non-constitutional and subsidiary remedies that can be relied on to resolve a dispute. Thus, in </w:t>
      </w:r>
      <w:r>
        <w:rPr>
          <w:rFonts w:ascii="Times New Roman" w:hAnsi="Times New Roman"/>
          <w:b/>
          <w:bCs/>
          <w:i/>
          <w:iCs/>
          <w:sz w:val="24"/>
          <w:szCs w:val="24"/>
        </w:rPr>
        <w:t>Chariwa &amp; Ors v Minister of Justice, Legal and Parliamentary Affairs &amp; Ors 2017 (1) ZLR 117 (CC)</w:t>
      </w:r>
      <w:r>
        <w:rPr>
          <w:rFonts w:ascii="Times New Roman" w:hAnsi="Times New Roman"/>
          <w:i/>
          <w:iCs/>
          <w:sz w:val="24"/>
          <w:szCs w:val="24"/>
        </w:rPr>
        <w:t xml:space="preserve"> at p. 123C, this </w:t>
      </w:r>
      <w:r>
        <w:rPr>
          <w:rFonts w:ascii="Times New Roman" w:hAnsi="Times New Roman"/>
          <w:i/>
          <w:iCs/>
          <w:sz w:val="24"/>
          <w:szCs w:val="24"/>
        </w:rPr>
        <w:tab/>
        <w:t>Court held that:</w:t>
      </w:r>
    </w:p>
    <w:p w14:paraId="43540E33" w14:textId="77777777" w:rsidR="009D791A" w:rsidRDefault="007B4448">
      <w:pPr>
        <w:pStyle w:val="Body"/>
        <w:tabs>
          <w:tab w:val="left" w:pos="1134"/>
        </w:tabs>
        <w:spacing w:after="0" w:line="240" w:lineRule="auto"/>
        <w:ind w:left="1440" w:hanging="1134"/>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Pr>
          <w:rFonts w:ascii="Times New Roman" w:hAnsi="Times New Roman"/>
          <w:sz w:val="24"/>
          <w:szCs w:val="24"/>
          <w:lang w:val="en-US"/>
        </w:rPr>
        <w:t>”….. in the normal run of things, courts are generally loathe to determine a constitutional issue in the face of alternative remedies.”</w:t>
      </w:r>
    </w:p>
    <w:p w14:paraId="0AB19DE3"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5B02BB65"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12DBF8CC"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1BE45B31" w14:textId="77777777" w:rsidR="009D791A" w:rsidRDefault="007B4448">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lastRenderedPageBreak/>
        <w:t xml:space="preserve">Currie and De Waal, </w:t>
      </w:r>
      <w:r>
        <w:rPr>
          <w:rFonts w:ascii="Times New Roman" w:hAnsi="Times New Roman"/>
          <w:i/>
          <w:iCs/>
          <w:sz w:val="24"/>
          <w:szCs w:val="24"/>
        </w:rPr>
        <w:t>op. cit.</w:t>
      </w:r>
      <w:r>
        <w:rPr>
          <w:rFonts w:ascii="Times New Roman" w:hAnsi="Times New Roman"/>
          <w:sz w:val="24"/>
          <w:szCs w:val="24"/>
        </w:rPr>
        <w:t xml:space="preserve"> at p.85, discuss the principle of ripeness in the following terms:</w:t>
      </w:r>
    </w:p>
    <w:p w14:paraId="228B194E" w14:textId="77777777" w:rsidR="009D791A" w:rsidRDefault="009D791A">
      <w:pPr>
        <w:pStyle w:val="Body"/>
        <w:tabs>
          <w:tab w:val="left" w:pos="1134"/>
        </w:tabs>
        <w:spacing w:after="0" w:line="240" w:lineRule="auto"/>
        <w:ind w:left="1134" w:hanging="1134"/>
        <w:jc w:val="both"/>
        <w:rPr>
          <w:rFonts w:ascii="Times New Roman" w:eastAsia="Times New Roman" w:hAnsi="Times New Roman" w:cs="Times New Roman"/>
          <w:sz w:val="24"/>
          <w:szCs w:val="24"/>
        </w:rPr>
      </w:pPr>
    </w:p>
    <w:p w14:paraId="4D568925" w14:textId="77777777" w:rsidR="009D791A" w:rsidRDefault="007B4448">
      <w:pPr>
        <w:pStyle w:val="Body"/>
        <w:tabs>
          <w:tab w:val="left" w:pos="1134"/>
        </w:tabs>
        <w:spacing w:after="0" w:line="240" w:lineRule="auto"/>
        <w:ind w:left="1134"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“In the United States, the primary rationale for the ripeness doctrine has been said to be ‘to prevent the courts, through avoidance of premature adjudication, from entangling themselves in abstract disagreements.’ The powers granted to the judiciary by the Constitution must be used to decide real and not hypothetical disputes and, therefore, before a court is willing to provide constitutional relief it has to be stablished that the applicant faces an actual or imminent harm to a right.</w:t>
      </w:r>
    </w:p>
    <w:p w14:paraId="0BD8390B" w14:textId="77777777" w:rsidR="009D791A" w:rsidRDefault="009D791A">
      <w:pPr>
        <w:pStyle w:val="Body"/>
        <w:tabs>
          <w:tab w:val="left" w:pos="1134"/>
        </w:tabs>
        <w:spacing w:after="0" w:line="240" w:lineRule="auto"/>
        <w:ind w:left="1134" w:hanging="1134"/>
        <w:jc w:val="both"/>
        <w:rPr>
          <w:rFonts w:ascii="Times New Roman" w:eastAsia="Times New Roman" w:hAnsi="Times New Roman" w:cs="Times New Roman"/>
          <w:sz w:val="24"/>
          <w:szCs w:val="24"/>
        </w:rPr>
      </w:pPr>
    </w:p>
    <w:p w14:paraId="0111245B" w14:textId="77777777" w:rsidR="009D791A" w:rsidRDefault="007B4448">
      <w:pPr>
        <w:pStyle w:val="Body"/>
        <w:tabs>
          <w:tab w:val="left" w:pos="1134"/>
        </w:tabs>
        <w:spacing w:after="0" w:line="240" w:lineRule="auto"/>
        <w:ind w:left="1134" w:hanging="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The doctrine forms part of South African constitutional law. According to ACKERMANN J, ripeness is a justiciability doctrine stemming from the principle of avoidance of constitutional issues.</w:t>
      </w:r>
    </w:p>
    <w:p w14:paraId="09AC63DF" w14:textId="77777777" w:rsidR="009D791A" w:rsidRDefault="009D791A">
      <w:pPr>
        <w:pStyle w:val="Body"/>
        <w:tabs>
          <w:tab w:val="left" w:pos="1134"/>
        </w:tabs>
        <w:spacing w:after="0" w:line="240" w:lineRule="auto"/>
        <w:ind w:left="1134" w:hanging="1134"/>
        <w:jc w:val="both"/>
        <w:rPr>
          <w:rFonts w:ascii="Times New Roman" w:eastAsia="Times New Roman" w:hAnsi="Times New Roman" w:cs="Times New Roman"/>
          <w:sz w:val="24"/>
          <w:szCs w:val="24"/>
        </w:rPr>
      </w:pPr>
    </w:p>
    <w:p w14:paraId="358006F4" w14:textId="77777777" w:rsidR="009D791A" w:rsidRDefault="007B4448">
      <w:pPr>
        <w:pStyle w:val="Body"/>
        <w:tabs>
          <w:tab w:val="left" w:pos="1134"/>
        </w:tabs>
        <w:spacing w:after="0" w:line="240" w:lineRule="auto"/>
        <w:ind w:left="1134" w:hanging="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While the concept of ripeness is not precisely defined, it embraces a general principle that where it is possible to decide any case, civil or criminal, without reaching a constitutional issue that is the course which should be followed.</w:t>
      </w:r>
    </w:p>
    <w:p w14:paraId="0B9792AD"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50E2B257" w14:textId="77777777" w:rsidR="009D791A" w:rsidRDefault="007B4448">
      <w:pPr>
        <w:pStyle w:val="Body"/>
        <w:tabs>
          <w:tab w:val="left" w:pos="1134"/>
        </w:tabs>
        <w:spacing w:after="0" w:line="240" w:lineRule="auto"/>
        <w:ind w:left="1134" w:hanging="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Ripeness entails consideration of the timing of a constitutional challenge. The fitness of the constitutional issue in a case for judicial decision must be outweighed alongside the hardship to the parties of withholding the court</w:t>
      </w:r>
      <w:r>
        <w:rPr>
          <w:rFonts w:ascii="Times New Roman" w:hAnsi="Times New Roman"/>
          <w:sz w:val="24"/>
          <w:szCs w:val="24"/>
          <w:lang w:val="en-US"/>
        </w:rPr>
        <w:t>’s consideration. When a constitutional issue can be dealt with more conveniently at a later stage and the applicant will get no tangible advantage from an earlier ruling, the doctrine of ripeness requires the applicant to wait until the court can go ground its decision in concrete relief.”</w:t>
      </w:r>
    </w:p>
    <w:p w14:paraId="23E095FD" w14:textId="77777777" w:rsidR="009D791A" w:rsidRDefault="009D791A">
      <w:pPr>
        <w:pStyle w:val="Body"/>
        <w:tabs>
          <w:tab w:val="left" w:pos="1134"/>
        </w:tabs>
        <w:spacing w:after="0" w:line="240" w:lineRule="auto"/>
        <w:ind w:left="1985" w:hanging="959"/>
        <w:jc w:val="both"/>
        <w:rPr>
          <w:rFonts w:ascii="Times New Roman" w:eastAsia="Times New Roman" w:hAnsi="Times New Roman" w:cs="Times New Roman"/>
          <w:sz w:val="24"/>
          <w:szCs w:val="24"/>
        </w:rPr>
      </w:pPr>
    </w:p>
    <w:p w14:paraId="79E6D157" w14:textId="77777777" w:rsidR="009D791A" w:rsidRDefault="009D791A">
      <w:pPr>
        <w:pStyle w:val="Body"/>
        <w:tabs>
          <w:tab w:val="left" w:pos="1134"/>
        </w:tabs>
        <w:spacing w:after="0" w:line="240" w:lineRule="auto"/>
        <w:ind w:left="1985" w:hanging="959"/>
        <w:jc w:val="both"/>
        <w:rPr>
          <w:rFonts w:ascii="Times New Roman" w:eastAsia="Times New Roman" w:hAnsi="Times New Roman" w:cs="Times New Roman"/>
          <w:sz w:val="24"/>
          <w:szCs w:val="24"/>
        </w:rPr>
      </w:pPr>
    </w:p>
    <w:p w14:paraId="26F9ECEB"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5D02C604"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It is also worthwhile to make reference to the decision in </w:t>
      </w:r>
      <w:r>
        <w:rPr>
          <w:rFonts w:ascii="Times New Roman" w:hAnsi="Times New Roman"/>
          <w:i/>
          <w:iCs/>
          <w:sz w:val="24"/>
          <w:szCs w:val="24"/>
        </w:rPr>
        <w:t xml:space="preserve">Zimbabwe School Examination Council v Mukomeka and Anor </w:t>
      </w:r>
      <w:r>
        <w:rPr>
          <w:rFonts w:ascii="Times New Roman" w:hAnsi="Times New Roman"/>
          <w:sz w:val="24"/>
          <w:szCs w:val="24"/>
        </w:rPr>
        <w:t>S 10/20 at p.6, in which the Supreme Court of Zimbabwe passed upon the doctrine of justiciability. The Court remarked thus:</w:t>
      </w:r>
    </w:p>
    <w:p w14:paraId="4E736EB4"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3D6AD4C5" w14:textId="77777777" w:rsidR="009D791A" w:rsidRDefault="007B4448">
      <w:pPr>
        <w:pStyle w:val="Body"/>
        <w:tabs>
          <w:tab w:val="left" w:pos="1134"/>
        </w:tabs>
        <w:spacing w:after="0" w:line="240" w:lineRule="auto"/>
        <w:ind w:left="1134" w:hanging="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 xml:space="preserve">“With specific reference to justiciability, the same court, in </w:t>
      </w:r>
      <w:r>
        <w:rPr>
          <w:rFonts w:ascii="Times New Roman" w:hAnsi="Times New Roman"/>
          <w:i/>
          <w:iCs/>
          <w:sz w:val="24"/>
          <w:szCs w:val="24"/>
        </w:rPr>
        <w:t xml:space="preserve">Flast v Cohen </w:t>
      </w:r>
      <w:r>
        <w:rPr>
          <w:rFonts w:ascii="Times New Roman" w:hAnsi="Times New Roman"/>
          <w:sz w:val="24"/>
          <w:szCs w:val="24"/>
          <w:lang w:val="en-US"/>
        </w:rPr>
        <w:t xml:space="preserve">392 US 83 (1968) at 95, opined that: </w:t>
      </w:r>
    </w:p>
    <w:p w14:paraId="46715A30" w14:textId="77777777" w:rsidR="009D791A" w:rsidRDefault="007B4448">
      <w:pPr>
        <w:pStyle w:val="Body"/>
        <w:tabs>
          <w:tab w:val="left" w:pos="1134"/>
        </w:tabs>
        <w:spacing w:after="0" w:line="240" w:lineRule="auto"/>
        <w:ind w:left="1134" w:firstLine="67"/>
        <w:jc w:val="both"/>
        <w:rPr>
          <w:rFonts w:ascii="Times New Roman" w:eastAsia="Times New Roman" w:hAnsi="Times New Roman" w:cs="Times New Roman"/>
          <w:sz w:val="24"/>
          <w:szCs w:val="24"/>
        </w:rPr>
      </w:pPr>
      <w:r>
        <w:rPr>
          <w:rFonts w:ascii="Times New Roman" w:hAnsi="Times New Roman"/>
          <w:sz w:val="24"/>
          <w:szCs w:val="24"/>
          <w:lang w:val="en-US"/>
        </w:rPr>
        <w:t xml:space="preserve">‘Justiciability is the term of art employed to give expression to this dual limitation placed upon federal courts by the ‘case and controversy’ doctrine. Justiciability is itself a concept of uncertain meaning and scope. Its reach is illustrated by various grounds upon which questions sought to be adjudicated in federal courts have been held not to be justiciable. Thus, no justiciable controversy is presented when </w:t>
      </w:r>
      <w:r>
        <w:rPr>
          <w:rFonts w:ascii="Times New Roman" w:hAnsi="Times New Roman"/>
          <w:sz w:val="24"/>
          <w:szCs w:val="24"/>
          <w:u w:val="single"/>
          <w:lang w:val="en-US"/>
        </w:rPr>
        <w:t>the parties seek adjudication of only a political question, when the parties are asking for an advisory</w:t>
      </w:r>
      <w:r>
        <w:rPr>
          <w:rFonts w:ascii="Times New Roman" w:hAnsi="Times New Roman"/>
          <w:sz w:val="24"/>
          <w:szCs w:val="24"/>
        </w:rPr>
        <w:t xml:space="preserve"> </w:t>
      </w:r>
      <w:r>
        <w:rPr>
          <w:rFonts w:ascii="Times New Roman" w:hAnsi="Times New Roman"/>
          <w:sz w:val="24"/>
          <w:szCs w:val="24"/>
          <w:u w:val="single"/>
          <w:lang w:val="en-US"/>
        </w:rPr>
        <w:t>opinion</w:t>
      </w:r>
      <w:r>
        <w:rPr>
          <w:rFonts w:ascii="Times New Roman" w:hAnsi="Times New Roman"/>
          <w:sz w:val="24"/>
          <w:szCs w:val="24"/>
          <w:lang w:val="en-US"/>
        </w:rPr>
        <w:t>, when the question sought to be adjudicated has been mooted by subsequent developments, and when there is no standing to maintain the action.’” (Underlining for emphasis)</w:t>
      </w:r>
    </w:p>
    <w:p w14:paraId="059DCE5D" w14:textId="77777777" w:rsidR="009D791A" w:rsidRDefault="009D791A">
      <w:pPr>
        <w:pStyle w:val="Body"/>
        <w:tabs>
          <w:tab w:val="left" w:pos="1134"/>
        </w:tabs>
        <w:spacing w:after="0" w:line="240" w:lineRule="auto"/>
        <w:ind w:left="1134" w:firstLine="67"/>
        <w:jc w:val="both"/>
        <w:rPr>
          <w:rFonts w:ascii="Times New Roman" w:eastAsia="Times New Roman" w:hAnsi="Times New Roman" w:cs="Times New Roman"/>
          <w:sz w:val="24"/>
          <w:szCs w:val="24"/>
        </w:rPr>
      </w:pPr>
    </w:p>
    <w:p w14:paraId="120280FB" w14:textId="77777777" w:rsidR="009D791A" w:rsidRDefault="009D791A">
      <w:pPr>
        <w:pStyle w:val="Body"/>
        <w:tabs>
          <w:tab w:val="left" w:pos="1134"/>
        </w:tabs>
        <w:spacing w:after="0" w:line="240" w:lineRule="auto"/>
        <w:ind w:left="1134" w:firstLine="67"/>
        <w:jc w:val="both"/>
        <w:rPr>
          <w:rFonts w:ascii="Times New Roman" w:eastAsia="Times New Roman" w:hAnsi="Times New Roman" w:cs="Times New Roman"/>
          <w:sz w:val="24"/>
          <w:szCs w:val="24"/>
        </w:rPr>
      </w:pPr>
    </w:p>
    <w:p w14:paraId="051AE3B2" w14:textId="77777777" w:rsidR="009D791A" w:rsidRDefault="009D791A">
      <w:pPr>
        <w:pStyle w:val="Body"/>
        <w:tabs>
          <w:tab w:val="left" w:pos="1134"/>
        </w:tabs>
        <w:spacing w:after="0" w:line="240" w:lineRule="auto"/>
        <w:ind w:left="2552" w:hanging="1351"/>
        <w:jc w:val="both"/>
        <w:rPr>
          <w:rFonts w:ascii="Times New Roman" w:eastAsia="Times New Roman" w:hAnsi="Times New Roman" w:cs="Times New Roman"/>
          <w:sz w:val="24"/>
          <w:szCs w:val="24"/>
        </w:rPr>
      </w:pPr>
    </w:p>
    <w:p w14:paraId="739DD437" w14:textId="77777777" w:rsidR="009D791A" w:rsidRDefault="007B4448">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In the same connection, in </w:t>
      </w:r>
      <w:r>
        <w:rPr>
          <w:rFonts w:ascii="Times New Roman" w:hAnsi="Times New Roman"/>
          <w:i/>
          <w:iCs/>
          <w:sz w:val="24"/>
          <w:szCs w:val="24"/>
        </w:rPr>
        <w:t>Liverpool</w:t>
      </w:r>
      <w:r>
        <w:rPr>
          <w:rFonts w:ascii="Times New Roman" w:hAnsi="Times New Roman"/>
          <w:sz w:val="24"/>
          <w:szCs w:val="24"/>
        </w:rPr>
        <w:t xml:space="preserve">, </w:t>
      </w:r>
      <w:r>
        <w:rPr>
          <w:rFonts w:ascii="Times New Roman" w:hAnsi="Times New Roman"/>
          <w:i/>
          <w:iCs/>
          <w:sz w:val="24"/>
          <w:szCs w:val="24"/>
        </w:rPr>
        <w:t>New York and Philadelphia Steamship Co v Commissioners of Emigration</w:t>
      </w:r>
      <w:r>
        <w:rPr>
          <w:rFonts w:ascii="Times New Roman" w:hAnsi="Times New Roman"/>
          <w:sz w:val="24"/>
          <w:szCs w:val="24"/>
        </w:rPr>
        <w:t xml:space="preserve"> 113 U.S. 33 (1885) the Supreme Court of the United States of America held, at p.39, that the Court:</w:t>
      </w:r>
    </w:p>
    <w:p w14:paraId="08E336CC" w14:textId="77777777" w:rsidR="009D791A" w:rsidRDefault="007B4448">
      <w:pPr>
        <w:pStyle w:val="Body"/>
        <w:tabs>
          <w:tab w:val="left" w:pos="1134"/>
        </w:tabs>
        <w:spacing w:after="0" w:line="240" w:lineRule="auto"/>
        <w:ind w:left="1134" w:hanging="8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 xml:space="preserve">“… has no jurisdiction to pronounce any statute, either of a State or of the United States, void because [it is] </w:t>
      </w:r>
      <w:r>
        <w:rPr>
          <w:rFonts w:ascii="Times New Roman" w:hAnsi="Times New Roman"/>
          <w:sz w:val="24"/>
          <w:szCs w:val="24"/>
          <w:u w:val="single"/>
          <w:lang w:val="en-US"/>
        </w:rPr>
        <w:t>irreconcilable with the Constitution except as it is called upon to adjudge the legal rights of litigants in actual controversies</w:t>
      </w:r>
      <w:r>
        <w:rPr>
          <w:rFonts w:ascii="Times New Roman" w:hAnsi="Times New Roman"/>
          <w:sz w:val="24"/>
          <w:szCs w:val="24"/>
          <w:lang w:val="en-US"/>
        </w:rPr>
        <w:t>. In the exercise of that jurisdiction, it is bound by two rules, to which it has rigidly adhered: one, never to anticipate a question of constitutional law in advance of the necessity of deciding it; the other, never to formulate a rule of constitutional law broader than is required by the precise facts to which it is to be applied.’” (Emphasis added)</w:t>
      </w:r>
    </w:p>
    <w:p w14:paraId="0FB9EA7B" w14:textId="77777777" w:rsidR="009D791A" w:rsidRDefault="009D791A">
      <w:pPr>
        <w:pStyle w:val="Body"/>
        <w:tabs>
          <w:tab w:val="left" w:pos="1418"/>
        </w:tabs>
        <w:spacing w:after="0" w:line="240" w:lineRule="auto"/>
        <w:ind w:left="1418" w:hanging="1112"/>
        <w:jc w:val="both"/>
        <w:rPr>
          <w:rFonts w:ascii="Times New Roman" w:eastAsia="Times New Roman" w:hAnsi="Times New Roman" w:cs="Times New Roman"/>
          <w:sz w:val="24"/>
          <w:szCs w:val="24"/>
        </w:rPr>
      </w:pPr>
    </w:p>
    <w:p w14:paraId="6A653744" w14:textId="77777777" w:rsidR="009D791A" w:rsidRDefault="009D791A" w:rsidP="00920BCD">
      <w:pPr>
        <w:pStyle w:val="NoSpacing"/>
      </w:pPr>
    </w:p>
    <w:p w14:paraId="48060997" w14:textId="77777777" w:rsidR="009D791A" w:rsidRDefault="009D791A">
      <w:pPr>
        <w:pStyle w:val="Body"/>
        <w:tabs>
          <w:tab w:val="left" w:pos="1418"/>
        </w:tabs>
        <w:spacing w:after="0" w:line="240" w:lineRule="auto"/>
        <w:ind w:left="1418" w:hanging="1112"/>
        <w:jc w:val="both"/>
        <w:rPr>
          <w:rFonts w:ascii="Times New Roman" w:eastAsia="Times New Roman" w:hAnsi="Times New Roman" w:cs="Times New Roman"/>
          <w:sz w:val="24"/>
          <w:szCs w:val="24"/>
        </w:rPr>
      </w:pPr>
    </w:p>
    <w:p w14:paraId="2AAAB030"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The above principle must be tied together with the law governing the determination of claims for ordinary declaratory orders. In the case of </w:t>
      </w:r>
      <w:r>
        <w:rPr>
          <w:rFonts w:ascii="Times New Roman" w:hAnsi="Times New Roman"/>
          <w:b/>
          <w:bCs/>
          <w:i/>
          <w:iCs/>
          <w:sz w:val="24"/>
          <w:szCs w:val="24"/>
        </w:rPr>
        <w:t xml:space="preserve">Munn Publishing (Pvt) Ltd v Zimbabwe Broadcasting Corporation </w:t>
      </w:r>
      <w:r>
        <w:rPr>
          <w:rFonts w:ascii="Times New Roman" w:hAnsi="Times New Roman"/>
          <w:b/>
          <w:bCs/>
          <w:sz w:val="24"/>
          <w:szCs w:val="24"/>
        </w:rPr>
        <w:t>1994 (1) ZLR 337 (S)</w:t>
      </w:r>
      <w:r>
        <w:rPr>
          <w:rFonts w:ascii="Times New Roman" w:hAnsi="Times New Roman"/>
          <w:sz w:val="24"/>
          <w:szCs w:val="24"/>
        </w:rPr>
        <w:t xml:space="preserve"> at p.336, the Supreme Court of Zimbabwe stated that:</w:t>
      </w:r>
    </w:p>
    <w:p w14:paraId="7135DC1B" w14:textId="77777777" w:rsidR="009D791A" w:rsidRDefault="009D791A">
      <w:pPr>
        <w:pStyle w:val="Body"/>
        <w:tabs>
          <w:tab w:val="left" w:pos="1134"/>
        </w:tabs>
        <w:spacing w:after="0" w:line="240" w:lineRule="auto"/>
        <w:ind w:left="1134" w:hanging="1134"/>
        <w:jc w:val="both"/>
        <w:rPr>
          <w:rFonts w:ascii="Times New Roman" w:eastAsia="Times New Roman" w:hAnsi="Times New Roman" w:cs="Times New Roman"/>
          <w:sz w:val="24"/>
          <w:szCs w:val="24"/>
        </w:rPr>
      </w:pPr>
    </w:p>
    <w:p w14:paraId="3A49DA44" w14:textId="77777777" w:rsidR="009D791A" w:rsidRDefault="007B4448">
      <w:pPr>
        <w:pStyle w:val="Body"/>
        <w:tabs>
          <w:tab w:val="left" w:pos="1134"/>
        </w:tabs>
        <w:spacing w:after="0" w:line="240" w:lineRule="auto"/>
        <w:ind w:left="1134" w:hanging="8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 xml:space="preserve">“The condition precedent to the grant of a declaratory order is that the applicant must be an interested person, in the sense of having a direct and substantial interest in the subject matter of the suit which could be prejudicially affected by the judgment of the court. See </w:t>
      </w:r>
      <w:r>
        <w:rPr>
          <w:rFonts w:ascii="Times New Roman" w:hAnsi="Times New Roman"/>
          <w:i/>
          <w:iCs/>
          <w:sz w:val="24"/>
          <w:szCs w:val="24"/>
          <w:lang w:val="en-US"/>
        </w:rPr>
        <w:t xml:space="preserve">United Watch &amp; Diamond Co (Pty) Ltd &amp; Ors v Disa Hotels Ltd &amp; Anor </w:t>
      </w:r>
      <w:r>
        <w:rPr>
          <w:rFonts w:ascii="Times New Roman" w:hAnsi="Times New Roman"/>
          <w:sz w:val="24"/>
          <w:szCs w:val="24"/>
          <w:lang w:val="it-IT"/>
        </w:rPr>
        <w:t xml:space="preserve">1972 (4) SA 409 (C)at 415 in fine; </w:t>
      </w:r>
      <w:r>
        <w:rPr>
          <w:rFonts w:ascii="Times New Roman" w:hAnsi="Times New Roman"/>
          <w:i/>
          <w:iCs/>
          <w:sz w:val="24"/>
          <w:szCs w:val="24"/>
          <w:lang w:val="en-US"/>
        </w:rPr>
        <w:t>Milani &amp; Anor v South African Medical &amp; Dental Council &amp; Anor 1990</w:t>
      </w:r>
      <w:r>
        <w:rPr>
          <w:rFonts w:ascii="Times New Roman" w:hAnsi="Times New Roman"/>
          <w:sz w:val="24"/>
          <w:szCs w:val="24"/>
          <w:lang w:val="en-US"/>
        </w:rPr>
        <w:t xml:space="preserve"> (1) SA 899 (T) at 902G-H. The interest must relate to an existing, future or contingent right. </w:t>
      </w:r>
      <w:r>
        <w:rPr>
          <w:rFonts w:ascii="Times New Roman" w:hAnsi="Times New Roman"/>
          <w:sz w:val="24"/>
          <w:szCs w:val="24"/>
          <w:u w:val="single"/>
          <w:lang w:val="en-US"/>
        </w:rPr>
        <w:t>The court will not decide abstract, academic or hypothetical questions unrelated to such interest.</w:t>
      </w:r>
      <w:r>
        <w:rPr>
          <w:rFonts w:ascii="Times New Roman" w:hAnsi="Times New Roman"/>
          <w:sz w:val="24"/>
          <w:szCs w:val="24"/>
          <w:lang w:val="en-US"/>
        </w:rPr>
        <w:t>” [Emphasis added]</w:t>
      </w:r>
    </w:p>
    <w:p w14:paraId="3E473041"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4C130761" w14:textId="77777777" w:rsidR="009D791A" w:rsidRDefault="009D791A" w:rsidP="00920BCD">
      <w:pPr>
        <w:pStyle w:val="NoSpacing"/>
      </w:pPr>
    </w:p>
    <w:p w14:paraId="110EDEF2" w14:textId="77777777" w:rsidR="009D791A" w:rsidRDefault="009D791A">
      <w:pPr>
        <w:pStyle w:val="Body"/>
        <w:tabs>
          <w:tab w:val="left" w:pos="1134"/>
        </w:tabs>
        <w:spacing w:after="0" w:line="240" w:lineRule="auto"/>
        <w:ind w:left="1440" w:hanging="1134"/>
        <w:jc w:val="both"/>
        <w:rPr>
          <w:rFonts w:ascii="Times New Roman" w:eastAsia="Times New Roman" w:hAnsi="Times New Roman" w:cs="Times New Roman"/>
          <w:sz w:val="24"/>
          <w:szCs w:val="24"/>
        </w:rPr>
      </w:pPr>
    </w:p>
    <w:p w14:paraId="028BA111"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NDOU J in, </w:t>
      </w:r>
      <w:r>
        <w:rPr>
          <w:rFonts w:ascii="Times New Roman" w:hAnsi="Times New Roman"/>
          <w:b/>
          <w:bCs/>
          <w:i/>
          <w:iCs/>
          <w:sz w:val="24"/>
          <w:szCs w:val="24"/>
        </w:rPr>
        <w:t xml:space="preserve">Mpukuta v Motor Insurance Pool and Others </w:t>
      </w:r>
      <w:r>
        <w:rPr>
          <w:rFonts w:ascii="Times New Roman" w:hAnsi="Times New Roman"/>
          <w:b/>
          <w:bCs/>
          <w:sz w:val="24"/>
          <w:szCs w:val="24"/>
        </w:rPr>
        <w:t xml:space="preserve">HB 25/12 </w:t>
      </w:r>
      <w:r>
        <w:rPr>
          <w:rFonts w:ascii="Times New Roman" w:hAnsi="Times New Roman"/>
          <w:sz w:val="24"/>
          <w:szCs w:val="24"/>
        </w:rPr>
        <w:t xml:space="preserve">at 3, held that “a matter that does not present a live controversy having practical consequences is not justiciable.” Similarly, in </w:t>
      </w:r>
      <w:r>
        <w:rPr>
          <w:rFonts w:ascii="Times New Roman" w:hAnsi="Times New Roman"/>
          <w:b/>
          <w:bCs/>
          <w:i/>
          <w:iCs/>
          <w:sz w:val="24"/>
          <w:szCs w:val="24"/>
        </w:rPr>
        <w:t xml:space="preserve">Dengezi v Nyamaruru </w:t>
      </w:r>
      <w:r>
        <w:rPr>
          <w:rFonts w:ascii="Times New Roman" w:hAnsi="Times New Roman"/>
          <w:b/>
          <w:bCs/>
          <w:sz w:val="24"/>
          <w:szCs w:val="24"/>
        </w:rPr>
        <w:t>HH 693/22</w:t>
      </w:r>
      <w:r>
        <w:rPr>
          <w:rFonts w:ascii="Times New Roman" w:hAnsi="Times New Roman"/>
          <w:sz w:val="24"/>
          <w:szCs w:val="24"/>
        </w:rPr>
        <w:t xml:space="preserve"> at p.6, para.16, the High Court held that “Prospective or past disputes which no longer have any bearing on the parties or which have not yet become justiciable have no place on the roll of the court.”</w:t>
      </w:r>
    </w:p>
    <w:p w14:paraId="41AEB0AA" w14:textId="77777777" w:rsidR="009D791A" w:rsidRDefault="009D791A" w:rsidP="00920BCD">
      <w:pPr>
        <w:pStyle w:val="NoSpacing"/>
      </w:pPr>
    </w:p>
    <w:p w14:paraId="65BC3908" w14:textId="77777777" w:rsidR="009D791A" w:rsidRDefault="007B4448">
      <w:pPr>
        <w:pStyle w:val="ListParagraph"/>
        <w:numPr>
          <w:ilvl w:val="0"/>
          <w:numId w:val="19"/>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In this matter, the instances of abuse of s 314 of the Act cited by the applicants have no real connection with the case that was before the court </w:t>
      </w:r>
      <w:r>
        <w:rPr>
          <w:rFonts w:ascii="Times New Roman" w:hAnsi="Times New Roman"/>
          <w:i/>
          <w:iCs/>
          <w:sz w:val="24"/>
          <w:szCs w:val="24"/>
        </w:rPr>
        <w:t xml:space="preserve">a quo </w:t>
      </w:r>
      <w:r>
        <w:rPr>
          <w:rFonts w:ascii="Times New Roman" w:hAnsi="Times New Roman"/>
          <w:sz w:val="24"/>
          <w:szCs w:val="24"/>
        </w:rPr>
        <w:t xml:space="preserve">as pleaded. Before the court </w:t>
      </w:r>
      <w:r>
        <w:rPr>
          <w:rFonts w:ascii="Times New Roman" w:hAnsi="Times New Roman"/>
          <w:i/>
          <w:iCs/>
          <w:sz w:val="24"/>
          <w:szCs w:val="24"/>
        </w:rPr>
        <w:t>a quo</w:t>
      </w:r>
      <w:r>
        <w:rPr>
          <w:rFonts w:ascii="Times New Roman" w:hAnsi="Times New Roman"/>
          <w:sz w:val="24"/>
          <w:szCs w:val="24"/>
        </w:rPr>
        <w:t xml:space="preserve">, the applicants’ sought a </w:t>
      </w:r>
      <w:r>
        <w:rPr>
          <w:rFonts w:ascii="Times New Roman" w:hAnsi="Times New Roman"/>
          <w:i/>
          <w:iCs/>
          <w:sz w:val="24"/>
          <w:szCs w:val="24"/>
        </w:rPr>
        <w:t>declaratur</w:t>
      </w:r>
      <w:r>
        <w:rPr>
          <w:rFonts w:ascii="Times New Roman" w:hAnsi="Times New Roman"/>
          <w:sz w:val="24"/>
          <w:szCs w:val="24"/>
        </w:rPr>
        <w:t xml:space="preserve"> that s 314 of the Urban Councils Act is unconstitutional. That is the only relief they sought. The applicants did not plead a tangible benefit that they were to obtain from the granting of the order they sought. There was no live controversy that stood to be resolved by the order issued by the High Court. There was no background dispute against which they cited the unconstitutionality of the impugned provision. Their application was purely academic and abstract. The applicants appeared to have simply anticipated a dispute relating to the provisions of s 314 of the Act. Regrettably, there was no attempt by the High Court to consider the propriety of the timing of the application.</w:t>
      </w:r>
    </w:p>
    <w:p w14:paraId="00E4DF7F" w14:textId="77777777" w:rsidR="009D791A" w:rsidRDefault="009D791A">
      <w:pPr>
        <w:pStyle w:val="Body"/>
        <w:tabs>
          <w:tab w:val="left" w:pos="1134"/>
        </w:tabs>
        <w:spacing w:after="0" w:line="480" w:lineRule="auto"/>
        <w:ind w:left="1134" w:hanging="1134"/>
        <w:jc w:val="both"/>
        <w:rPr>
          <w:rFonts w:ascii="Times New Roman" w:eastAsia="Times New Roman" w:hAnsi="Times New Roman" w:cs="Times New Roman"/>
          <w:sz w:val="24"/>
          <w:szCs w:val="24"/>
        </w:rPr>
      </w:pPr>
    </w:p>
    <w:p w14:paraId="675EBAB7"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It can, therefore, be justifiably concluded that the High Court decided in the abstract a controversy that was not yet justiciable.</w:t>
      </w:r>
    </w:p>
    <w:p w14:paraId="382DE56F" w14:textId="77777777" w:rsidR="009D791A" w:rsidRDefault="009D791A">
      <w:pPr>
        <w:pStyle w:val="Body"/>
        <w:tabs>
          <w:tab w:val="left" w:pos="1134"/>
        </w:tabs>
        <w:spacing w:after="0" w:line="480" w:lineRule="auto"/>
        <w:ind w:left="1134" w:hanging="1134"/>
        <w:jc w:val="both"/>
        <w:rPr>
          <w:rFonts w:ascii="Times New Roman" w:eastAsia="Times New Roman" w:hAnsi="Times New Roman" w:cs="Times New Roman"/>
          <w:sz w:val="24"/>
          <w:szCs w:val="24"/>
        </w:rPr>
      </w:pPr>
    </w:p>
    <w:p w14:paraId="6903D4B7" w14:textId="77777777" w:rsidR="00920BCD" w:rsidRDefault="00920BCD">
      <w:pPr>
        <w:pStyle w:val="Body"/>
        <w:tabs>
          <w:tab w:val="left" w:pos="1134"/>
        </w:tabs>
        <w:spacing w:after="0" w:line="480" w:lineRule="auto"/>
        <w:ind w:left="1134" w:hanging="1134"/>
        <w:jc w:val="both"/>
        <w:rPr>
          <w:rFonts w:ascii="Times New Roman" w:eastAsia="Times New Roman" w:hAnsi="Times New Roman" w:cs="Times New Roman"/>
          <w:sz w:val="24"/>
          <w:szCs w:val="24"/>
        </w:rPr>
      </w:pPr>
    </w:p>
    <w:p w14:paraId="53C7A84B" w14:textId="77777777" w:rsidR="009D791A" w:rsidRPr="00920BCD" w:rsidRDefault="007B4448">
      <w:pPr>
        <w:pStyle w:val="Body"/>
        <w:tabs>
          <w:tab w:val="left" w:pos="1134"/>
        </w:tabs>
        <w:spacing w:after="0" w:line="480" w:lineRule="auto"/>
        <w:ind w:left="1134" w:hanging="1134"/>
        <w:jc w:val="both"/>
        <w:rPr>
          <w:rFonts w:ascii="Times New Roman" w:eastAsia="Times New Roman" w:hAnsi="Times New Roman" w:cs="Times New Roman"/>
          <w:b/>
          <w:bCs/>
          <w:i/>
          <w:iCs/>
          <w:sz w:val="24"/>
          <w:szCs w:val="24"/>
          <w:u w:val="single"/>
        </w:rPr>
      </w:pPr>
      <w:r w:rsidRPr="00920BCD">
        <w:rPr>
          <w:rFonts w:ascii="Times New Roman" w:hAnsi="Times New Roman"/>
          <w:b/>
          <w:bCs/>
          <w:i/>
          <w:iCs/>
          <w:sz w:val="24"/>
          <w:szCs w:val="24"/>
          <w:u w:val="single"/>
          <w:lang w:val="es-ES_tradnl"/>
        </w:rPr>
        <w:t>LOCUS STANDI</w:t>
      </w:r>
    </w:p>
    <w:p w14:paraId="2D901E56"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Related to the foregoing is the question of </w:t>
      </w:r>
      <w:r>
        <w:rPr>
          <w:rFonts w:ascii="Times New Roman" w:hAnsi="Times New Roman"/>
          <w:i/>
          <w:iCs/>
          <w:sz w:val="24"/>
          <w:szCs w:val="24"/>
        </w:rPr>
        <w:t xml:space="preserve">locus standi. </w:t>
      </w:r>
      <w:r>
        <w:rPr>
          <w:rFonts w:ascii="Times New Roman" w:hAnsi="Times New Roman"/>
          <w:sz w:val="24"/>
          <w:szCs w:val="24"/>
        </w:rPr>
        <w:t xml:space="preserve">The absence of a live controversy between the parties undermines the applicants’ standing to claim the relief they sought. </w:t>
      </w:r>
      <w:r>
        <w:rPr>
          <w:rFonts w:ascii="Times New Roman" w:hAnsi="Times New Roman"/>
          <w:i/>
          <w:iCs/>
          <w:sz w:val="24"/>
          <w:szCs w:val="24"/>
        </w:rPr>
        <w:t xml:space="preserve">Locus standi </w:t>
      </w:r>
      <w:r>
        <w:rPr>
          <w:rFonts w:ascii="Times New Roman" w:hAnsi="Times New Roman"/>
          <w:sz w:val="24"/>
          <w:szCs w:val="24"/>
        </w:rPr>
        <w:t xml:space="preserve">depends on the existence of a direct and substantial interest in the subject matter of litigation. Logically, if the subject matter of the litigation is hypothetical and academic and does not present a live controversy for determination by a court, a litigant will not be able to demonstrate a direct and substantial interest in the matter. This is because a direct and substantial interest is a legal phenomenon whose characteristics are defined by the law. In other words, a litigant cannot assert </w:t>
      </w:r>
      <w:r>
        <w:rPr>
          <w:rFonts w:ascii="Times New Roman" w:hAnsi="Times New Roman"/>
          <w:i/>
          <w:iCs/>
          <w:sz w:val="24"/>
          <w:szCs w:val="24"/>
        </w:rPr>
        <w:t xml:space="preserve">locus </w:t>
      </w:r>
      <w:r>
        <w:rPr>
          <w:rFonts w:ascii="Times New Roman" w:hAnsi="Times New Roman"/>
          <w:i/>
          <w:iCs/>
          <w:sz w:val="24"/>
          <w:szCs w:val="24"/>
        </w:rPr>
        <w:lastRenderedPageBreak/>
        <w:t>standi</w:t>
      </w:r>
      <w:r>
        <w:rPr>
          <w:rFonts w:ascii="Times New Roman" w:hAnsi="Times New Roman"/>
          <w:sz w:val="24"/>
          <w:szCs w:val="24"/>
        </w:rPr>
        <w:t xml:space="preserve"> by simply claiming to have a direct and substantial interest in the matter. Several decisions of the courts in this jurisdiction have passed upon what amounts to a direct and substantial interest.</w:t>
      </w:r>
    </w:p>
    <w:p w14:paraId="0CE8A1F6" w14:textId="77777777" w:rsidR="009D791A" w:rsidRDefault="009D791A">
      <w:pPr>
        <w:pStyle w:val="Body"/>
        <w:tabs>
          <w:tab w:val="left" w:pos="1134"/>
        </w:tabs>
        <w:spacing w:after="0" w:line="480" w:lineRule="auto"/>
        <w:ind w:left="1134" w:hanging="1134"/>
        <w:jc w:val="both"/>
        <w:rPr>
          <w:rFonts w:ascii="Times New Roman" w:eastAsia="Times New Roman" w:hAnsi="Times New Roman" w:cs="Times New Roman"/>
          <w:sz w:val="24"/>
          <w:szCs w:val="24"/>
        </w:rPr>
      </w:pPr>
    </w:p>
    <w:p w14:paraId="539A103D"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In </w:t>
      </w:r>
      <w:r>
        <w:rPr>
          <w:rFonts w:ascii="Times New Roman" w:hAnsi="Times New Roman"/>
          <w:b/>
          <w:bCs/>
          <w:i/>
          <w:iCs/>
          <w:sz w:val="24"/>
          <w:szCs w:val="24"/>
        </w:rPr>
        <w:t>Mupungu v Minister of Justice, Legal and Parliamentary Affairs and Others CCZ 7/22</w:t>
      </w:r>
      <w:r>
        <w:rPr>
          <w:rFonts w:ascii="Times New Roman" w:hAnsi="Times New Roman"/>
          <w:i/>
          <w:iCs/>
          <w:sz w:val="24"/>
          <w:szCs w:val="24"/>
        </w:rPr>
        <w:t xml:space="preserve"> </w:t>
      </w:r>
      <w:r>
        <w:rPr>
          <w:rFonts w:ascii="Times New Roman" w:hAnsi="Times New Roman"/>
          <w:sz w:val="24"/>
          <w:szCs w:val="24"/>
        </w:rPr>
        <w:t>at 22, the following observations were made:</w:t>
      </w:r>
    </w:p>
    <w:p w14:paraId="586DE500" w14:textId="77777777" w:rsidR="009D791A" w:rsidRDefault="007B4448">
      <w:pPr>
        <w:pStyle w:val="Body"/>
        <w:tabs>
          <w:tab w:val="left" w:pos="1134"/>
        </w:tabs>
        <w:spacing w:after="0" w:line="240" w:lineRule="auto"/>
        <w:ind w:left="1440"/>
        <w:jc w:val="both"/>
        <w:rPr>
          <w:rFonts w:ascii="Times New Roman" w:eastAsia="Times New Roman" w:hAnsi="Times New Roman" w:cs="Times New Roman"/>
          <w:sz w:val="24"/>
          <w:szCs w:val="24"/>
        </w:rPr>
      </w:pPr>
      <w:r>
        <w:rPr>
          <w:rFonts w:ascii="Times New Roman" w:hAnsi="Times New Roman"/>
          <w:sz w:val="24"/>
          <w:szCs w:val="24"/>
          <w:lang w:val="en-US"/>
        </w:rPr>
        <w:t xml:space="preserve">“Under the common law, legal standing in civil suits is ordinarily confined to persons who can demonstrate a direct or substantial interest in the matter. See </w:t>
      </w:r>
      <w:r>
        <w:rPr>
          <w:rFonts w:ascii="Times New Roman" w:hAnsi="Times New Roman"/>
          <w:i/>
          <w:iCs/>
          <w:sz w:val="24"/>
          <w:szCs w:val="24"/>
          <w:lang w:val="en-US"/>
        </w:rPr>
        <w:t xml:space="preserve">Zimbabwe Teachers Association &amp; Ors v Minister of Education </w:t>
      </w:r>
      <w:r>
        <w:rPr>
          <w:rFonts w:ascii="Times New Roman" w:hAnsi="Times New Roman"/>
          <w:sz w:val="24"/>
          <w:szCs w:val="24"/>
          <w:lang w:val="en-US"/>
        </w:rPr>
        <w:t xml:space="preserve">1990 (2) ZLR 48(HC), at 52F-53B. However, it is now well established that the test for </w:t>
      </w:r>
      <w:r>
        <w:rPr>
          <w:rFonts w:ascii="Times New Roman" w:hAnsi="Times New Roman"/>
          <w:i/>
          <w:iCs/>
          <w:sz w:val="24"/>
          <w:szCs w:val="24"/>
          <w:lang w:val="en-US"/>
        </w:rPr>
        <w:t>locus standi</w:t>
      </w:r>
      <w:r>
        <w:rPr>
          <w:rFonts w:ascii="Times New Roman" w:hAnsi="Times New Roman"/>
          <w:sz w:val="24"/>
          <w:szCs w:val="24"/>
          <w:lang w:val="en-US"/>
        </w:rPr>
        <w:t xml:space="preserve"> in constitutional cases is not as restrictive but significantly wider. This approach was aptly articulated in </w:t>
      </w:r>
      <w:r>
        <w:rPr>
          <w:rFonts w:ascii="Times New Roman" w:hAnsi="Times New Roman"/>
          <w:i/>
          <w:iCs/>
          <w:sz w:val="24"/>
          <w:szCs w:val="24"/>
          <w:lang w:val="en-US"/>
        </w:rPr>
        <w:t xml:space="preserve">Ferreira v Levin N.O. &amp; Others </w:t>
      </w:r>
      <w:r>
        <w:rPr>
          <w:rFonts w:ascii="Times New Roman" w:hAnsi="Times New Roman"/>
          <w:sz w:val="24"/>
          <w:szCs w:val="24"/>
        </w:rPr>
        <w:t>1996 (1) SA (CC), at 1082 G-H:</w:t>
      </w:r>
    </w:p>
    <w:p w14:paraId="0AF71FF9" w14:textId="77777777" w:rsidR="009D791A" w:rsidRDefault="009D791A">
      <w:pPr>
        <w:pStyle w:val="Body"/>
        <w:tabs>
          <w:tab w:val="left" w:pos="1134"/>
        </w:tabs>
        <w:spacing w:after="0" w:line="240" w:lineRule="auto"/>
        <w:ind w:left="1440"/>
        <w:jc w:val="both"/>
        <w:rPr>
          <w:rFonts w:ascii="Times New Roman" w:eastAsia="Times New Roman" w:hAnsi="Times New Roman" w:cs="Times New Roman"/>
          <w:sz w:val="24"/>
          <w:szCs w:val="24"/>
        </w:rPr>
      </w:pPr>
    </w:p>
    <w:p w14:paraId="4592474F" w14:textId="77777777" w:rsidR="009D791A" w:rsidRDefault="007B4448">
      <w:pPr>
        <w:pStyle w:val="Body"/>
        <w:tabs>
          <w:tab w:val="left" w:pos="1134"/>
        </w:tabs>
        <w:spacing w:after="0" w:line="240" w:lineRule="auto"/>
        <w:ind w:left="1985"/>
        <w:jc w:val="both"/>
        <w:rPr>
          <w:rFonts w:ascii="Times New Roman" w:eastAsia="Times New Roman" w:hAnsi="Times New Roman" w:cs="Times New Roman"/>
          <w:sz w:val="24"/>
          <w:szCs w:val="24"/>
        </w:rPr>
      </w:pPr>
      <w:r>
        <w:rPr>
          <w:rFonts w:ascii="Times New Roman" w:hAnsi="Times New Roman"/>
          <w:sz w:val="24"/>
          <w:szCs w:val="24"/>
          <w:lang w:val="en-US"/>
        </w:rPr>
        <w:t xml:space="preserve">“…I can see no good reason for adopting a narrow approach to the issue of standing in constitutional cases. On the contrary, it is my view that we should rather adopt a broad approach to standing. This would be consistent with the mandate given to this court to uphold the Constitution and would serve to ensure that constitutional rights enjoy the full measure of the protection to which they are entitled.’ </w:t>
      </w:r>
    </w:p>
    <w:p w14:paraId="17C66FDA" w14:textId="77777777" w:rsidR="009D791A" w:rsidRDefault="009D791A">
      <w:pPr>
        <w:pStyle w:val="Body"/>
        <w:tabs>
          <w:tab w:val="left" w:pos="1134"/>
        </w:tabs>
        <w:spacing w:after="0" w:line="240" w:lineRule="auto"/>
        <w:jc w:val="both"/>
        <w:rPr>
          <w:rFonts w:ascii="Times New Roman" w:eastAsia="Times New Roman" w:hAnsi="Times New Roman" w:cs="Times New Roman"/>
          <w:sz w:val="24"/>
          <w:szCs w:val="24"/>
        </w:rPr>
      </w:pPr>
    </w:p>
    <w:p w14:paraId="32BDC2FB" w14:textId="77777777" w:rsidR="009D791A" w:rsidRDefault="007B4448">
      <w:pPr>
        <w:pStyle w:val="Body"/>
        <w:tabs>
          <w:tab w:val="left" w:pos="1440"/>
        </w:tabs>
        <w:spacing w:after="0" w:line="240" w:lineRule="auto"/>
        <w:ind w:left="1440"/>
        <w:jc w:val="both"/>
        <w:rPr>
          <w:rFonts w:ascii="Times New Roman" w:eastAsia="Times New Roman" w:hAnsi="Times New Roman" w:cs="Times New Roman"/>
          <w:sz w:val="24"/>
          <w:szCs w:val="24"/>
        </w:rPr>
      </w:pPr>
      <w:r>
        <w:rPr>
          <w:rFonts w:ascii="Times New Roman" w:hAnsi="Times New Roman"/>
          <w:sz w:val="24"/>
          <w:szCs w:val="24"/>
          <w:lang w:val="en-US"/>
        </w:rPr>
        <w:t xml:space="preserve">The broad approach to </w:t>
      </w:r>
      <w:r>
        <w:rPr>
          <w:rFonts w:ascii="Times New Roman" w:hAnsi="Times New Roman"/>
          <w:i/>
          <w:iCs/>
          <w:sz w:val="24"/>
          <w:szCs w:val="24"/>
          <w:lang w:val="en-US"/>
        </w:rPr>
        <w:t>locus standi</w:t>
      </w:r>
      <w:r>
        <w:rPr>
          <w:rFonts w:ascii="Times New Roman" w:hAnsi="Times New Roman"/>
          <w:sz w:val="24"/>
          <w:szCs w:val="24"/>
          <w:lang w:val="en-US"/>
        </w:rPr>
        <w:t xml:space="preserve"> in constitutional cases was also affirmed by this Court in </w:t>
      </w:r>
      <w:r>
        <w:rPr>
          <w:rFonts w:ascii="Times New Roman" w:hAnsi="Times New Roman"/>
          <w:i/>
          <w:iCs/>
          <w:sz w:val="24"/>
          <w:szCs w:val="24"/>
          <w:lang w:val="it-IT"/>
        </w:rPr>
        <w:t xml:space="preserve">Mawarire v Mugabe N.O. &amp; Ors </w:t>
      </w:r>
      <w:r>
        <w:rPr>
          <w:rFonts w:ascii="Times New Roman" w:hAnsi="Times New Roman"/>
          <w:sz w:val="24"/>
          <w:szCs w:val="24"/>
          <w:lang w:val="en-US"/>
        </w:rPr>
        <w:t>2013 (1) ZLR 469 (CC), where the applicant’s standing was endorsed on the basis that he had invoked the jurisdiction of the Court on a matter of public importance.”</w:t>
      </w:r>
    </w:p>
    <w:p w14:paraId="25CE95AA" w14:textId="77777777" w:rsidR="009D791A" w:rsidRDefault="009D791A">
      <w:pPr>
        <w:pStyle w:val="Body"/>
        <w:tabs>
          <w:tab w:val="left" w:pos="1134"/>
        </w:tabs>
        <w:spacing w:after="0" w:line="240" w:lineRule="auto"/>
        <w:ind w:left="1134"/>
        <w:jc w:val="both"/>
        <w:rPr>
          <w:rFonts w:ascii="Times New Roman" w:eastAsia="Times New Roman" w:hAnsi="Times New Roman" w:cs="Times New Roman"/>
          <w:sz w:val="24"/>
          <w:szCs w:val="24"/>
        </w:rPr>
      </w:pPr>
    </w:p>
    <w:p w14:paraId="015072CD" w14:textId="77777777" w:rsidR="009D791A" w:rsidRDefault="009D791A">
      <w:pPr>
        <w:pStyle w:val="Body"/>
        <w:tabs>
          <w:tab w:val="left" w:pos="1134"/>
        </w:tabs>
        <w:spacing w:after="0" w:line="240" w:lineRule="auto"/>
        <w:jc w:val="both"/>
        <w:rPr>
          <w:rFonts w:ascii="Times New Roman" w:eastAsia="Times New Roman" w:hAnsi="Times New Roman" w:cs="Times New Roman"/>
          <w:sz w:val="24"/>
          <w:szCs w:val="24"/>
        </w:rPr>
      </w:pPr>
    </w:p>
    <w:p w14:paraId="0650E65D" w14:textId="77777777"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In my view, the above considerations cannot be understood to mean that a litigant does not need to show a direct and substantial interest in constitutional matters. All it means is that the test is applied less restrictively. In the case of </w:t>
      </w:r>
      <w:r>
        <w:rPr>
          <w:rFonts w:ascii="Times New Roman" w:hAnsi="Times New Roman"/>
          <w:b/>
          <w:bCs/>
          <w:i/>
          <w:iCs/>
          <w:sz w:val="24"/>
          <w:szCs w:val="24"/>
        </w:rPr>
        <w:t xml:space="preserve">Zimbabwe Teachers Association &amp; Ors v Minister of Education and Culture </w:t>
      </w:r>
      <w:r>
        <w:rPr>
          <w:rFonts w:ascii="Times New Roman" w:hAnsi="Times New Roman"/>
          <w:b/>
          <w:bCs/>
          <w:sz w:val="24"/>
          <w:szCs w:val="24"/>
        </w:rPr>
        <w:t>1990 (2) ZLR 48 (HC),</w:t>
      </w:r>
      <w:r>
        <w:rPr>
          <w:rFonts w:ascii="Times New Roman" w:hAnsi="Times New Roman"/>
          <w:sz w:val="24"/>
          <w:szCs w:val="24"/>
        </w:rPr>
        <w:t xml:space="preserve"> at pages 52-53B, EBRAHIM J (as he then was) on the accepted considerations with regards to the question of </w:t>
      </w:r>
      <w:r>
        <w:rPr>
          <w:rFonts w:ascii="Times New Roman" w:hAnsi="Times New Roman"/>
          <w:i/>
          <w:iCs/>
          <w:sz w:val="24"/>
          <w:szCs w:val="24"/>
        </w:rPr>
        <w:t xml:space="preserve">locus standi </w:t>
      </w:r>
      <w:r>
        <w:rPr>
          <w:rFonts w:ascii="Times New Roman" w:hAnsi="Times New Roman"/>
          <w:sz w:val="24"/>
          <w:szCs w:val="24"/>
        </w:rPr>
        <w:t xml:space="preserve">stated as follows: </w:t>
      </w:r>
    </w:p>
    <w:p w14:paraId="68A220A0" w14:textId="77777777" w:rsidR="009D791A" w:rsidRDefault="009D791A">
      <w:pPr>
        <w:pStyle w:val="Body"/>
        <w:tabs>
          <w:tab w:val="left" w:pos="1134"/>
        </w:tabs>
        <w:spacing w:after="0" w:line="240" w:lineRule="auto"/>
        <w:jc w:val="both"/>
        <w:rPr>
          <w:rFonts w:ascii="Times New Roman" w:eastAsia="Times New Roman" w:hAnsi="Times New Roman" w:cs="Times New Roman"/>
          <w:sz w:val="24"/>
          <w:szCs w:val="24"/>
        </w:rPr>
      </w:pPr>
    </w:p>
    <w:p w14:paraId="2ECA9138" w14:textId="77777777" w:rsidR="009D791A" w:rsidRDefault="007B4448">
      <w:pPr>
        <w:pStyle w:val="Body"/>
        <w:tabs>
          <w:tab w:val="left" w:pos="1134"/>
        </w:tabs>
        <w:spacing w:after="0" w:line="240" w:lineRule="auto"/>
        <w:ind w:left="1440"/>
        <w:jc w:val="both"/>
        <w:rPr>
          <w:rFonts w:ascii="Times New Roman" w:eastAsia="Times New Roman" w:hAnsi="Times New Roman" w:cs="Times New Roman"/>
          <w:sz w:val="24"/>
          <w:szCs w:val="24"/>
        </w:rPr>
      </w:pPr>
      <w:r>
        <w:rPr>
          <w:rFonts w:ascii="Times New Roman" w:hAnsi="Times New Roman"/>
          <w:sz w:val="24"/>
          <w:szCs w:val="24"/>
          <w:lang w:val="en-US"/>
        </w:rPr>
        <w:t xml:space="preserve">“It is well settled that, in order to justify its participation in a suit such as the present, a party such as second applicant </w:t>
      </w:r>
      <w:r>
        <w:rPr>
          <w:rFonts w:ascii="Times New Roman" w:hAnsi="Times New Roman"/>
          <w:sz w:val="24"/>
          <w:szCs w:val="24"/>
          <w:u w:val="single"/>
          <w:lang w:val="en-US"/>
        </w:rPr>
        <w:t>has to show that it has direct and substantial interest in the subject-matter and outcome of the application</w:t>
      </w:r>
      <w:r>
        <w:rPr>
          <w:rFonts w:ascii="Times New Roman" w:hAnsi="Times New Roman"/>
          <w:sz w:val="24"/>
          <w:szCs w:val="24"/>
          <w:lang w:val="en-US"/>
        </w:rPr>
        <w:t>. In regard to the concept of such a “direct and substantial interest”</w:t>
      </w:r>
      <w:r>
        <w:rPr>
          <w:rFonts w:ascii="Times New Roman" w:hAnsi="Times New Roman"/>
          <w:sz w:val="24"/>
          <w:szCs w:val="24"/>
          <w:lang w:val="de-DE"/>
        </w:rPr>
        <w:t xml:space="preserve">, CORBETT J in </w:t>
      </w:r>
      <w:r>
        <w:rPr>
          <w:rFonts w:ascii="Times New Roman" w:hAnsi="Times New Roman"/>
          <w:i/>
          <w:iCs/>
          <w:sz w:val="24"/>
          <w:szCs w:val="24"/>
          <w:lang w:val="en-US"/>
        </w:rPr>
        <w:lastRenderedPageBreak/>
        <w:t xml:space="preserve">United Watch Diamond Co (Pty) Ltd and Others v Disa Hotels Ltd and Another </w:t>
      </w:r>
      <w:r>
        <w:rPr>
          <w:rFonts w:ascii="Times New Roman" w:hAnsi="Times New Roman"/>
          <w:sz w:val="24"/>
          <w:szCs w:val="24"/>
          <w:lang w:val="en-US"/>
        </w:rPr>
        <w:t xml:space="preserve">1972 (4) SA 409 (C) quoted with approval the view expressed in </w:t>
      </w:r>
      <w:r>
        <w:rPr>
          <w:rFonts w:ascii="Times New Roman" w:hAnsi="Times New Roman"/>
          <w:i/>
          <w:iCs/>
          <w:sz w:val="24"/>
          <w:szCs w:val="24"/>
          <w:lang w:val="nl-NL"/>
        </w:rPr>
        <w:t xml:space="preserve">Henri Viljoen (Pty) Ltd v Awerbuch Brothers </w:t>
      </w:r>
      <w:r>
        <w:rPr>
          <w:rFonts w:ascii="Times New Roman" w:hAnsi="Times New Roman"/>
          <w:sz w:val="24"/>
          <w:szCs w:val="24"/>
          <w:lang w:val="en-US"/>
        </w:rPr>
        <w:t xml:space="preserve">1953 (2) SA 151 (O) that it connoted-‘… </w:t>
      </w:r>
      <w:r>
        <w:rPr>
          <w:rFonts w:ascii="Times New Roman" w:hAnsi="Times New Roman"/>
          <w:sz w:val="24"/>
          <w:szCs w:val="24"/>
          <w:u w:val="single"/>
          <w:lang w:val="en-US"/>
        </w:rPr>
        <w:t>an interest in the right which is the subject-matter of the litigation and … not thereby a financial interest which is only an indirect interest in such litigation</w:t>
      </w:r>
      <w:r>
        <w:rPr>
          <w:rFonts w:ascii="Times New Roman" w:hAnsi="Times New Roman"/>
          <w:sz w:val="24"/>
          <w:szCs w:val="24"/>
          <w:lang w:val="en-US"/>
        </w:rPr>
        <w:t xml:space="preserve">’ and then went on to say (at 415H): “This view of what constitutes a direct and substantial interest has been referred to and adopted in a number of subsequent decisions, including two (sic) in this Division … and it is generally accepted that </w:t>
      </w:r>
      <w:r>
        <w:rPr>
          <w:rFonts w:ascii="Times New Roman" w:hAnsi="Times New Roman"/>
          <w:sz w:val="24"/>
          <w:szCs w:val="24"/>
          <w:u w:val="single"/>
          <w:lang w:val="en-US"/>
        </w:rPr>
        <w:t>what is required is a legal interest in the subject-matter of the action which could be prejudicially affected by the judgment of the Court</w:t>
      </w:r>
      <w:r>
        <w:rPr>
          <w:rFonts w:ascii="Times New Roman" w:hAnsi="Times New Roman"/>
          <w:sz w:val="24"/>
          <w:szCs w:val="24"/>
          <w:lang w:val="en-US"/>
        </w:rPr>
        <w:t xml:space="preserve"> (See </w:t>
      </w:r>
      <w:r>
        <w:rPr>
          <w:rFonts w:ascii="Times New Roman" w:hAnsi="Times New Roman"/>
          <w:i/>
          <w:iCs/>
          <w:sz w:val="24"/>
          <w:szCs w:val="24"/>
          <w:lang w:val="nl-NL"/>
        </w:rPr>
        <w:t>Henri Viljoen</w:t>
      </w:r>
      <w:r>
        <w:rPr>
          <w:rFonts w:ascii="Times New Roman" w:hAnsi="Times New Roman"/>
          <w:i/>
          <w:iCs/>
          <w:sz w:val="24"/>
          <w:szCs w:val="24"/>
          <w:lang w:val="en-US"/>
        </w:rPr>
        <w:t>’</w:t>
      </w:r>
      <w:r>
        <w:rPr>
          <w:rFonts w:ascii="Times New Roman" w:hAnsi="Times New Roman"/>
          <w:i/>
          <w:iCs/>
          <w:sz w:val="24"/>
          <w:szCs w:val="24"/>
        </w:rPr>
        <w:t xml:space="preserve">s </w:t>
      </w:r>
      <w:r>
        <w:rPr>
          <w:rFonts w:ascii="Times New Roman" w:hAnsi="Times New Roman"/>
          <w:sz w:val="24"/>
          <w:szCs w:val="24"/>
          <w:lang w:val="en-US"/>
        </w:rPr>
        <w:t xml:space="preserve">case </w:t>
      </w:r>
      <w:r>
        <w:rPr>
          <w:rFonts w:ascii="Times New Roman" w:hAnsi="Times New Roman"/>
          <w:i/>
          <w:iCs/>
          <w:sz w:val="24"/>
          <w:szCs w:val="24"/>
        </w:rPr>
        <w:t xml:space="preserve">supra </w:t>
      </w:r>
      <w:r>
        <w:rPr>
          <w:rFonts w:ascii="Times New Roman" w:hAnsi="Times New Roman"/>
          <w:sz w:val="24"/>
          <w:szCs w:val="24"/>
          <w:lang w:val="en-US"/>
        </w:rPr>
        <w:t xml:space="preserve">at 167). This requirement of a legal interest as opposed to a financial or commercial interest also received judicial endorsement in </w:t>
      </w:r>
      <w:r>
        <w:rPr>
          <w:rFonts w:ascii="Times New Roman" w:hAnsi="Times New Roman"/>
          <w:i/>
          <w:iCs/>
          <w:sz w:val="24"/>
          <w:szCs w:val="24"/>
          <w:lang w:val="de-DE"/>
        </w:rPr>
        <w:t xml:space="preserve">Anderson v Gordik Organisation </w:t>
      </w:r>
      <w:r>
        <w:rPr>
          <w:rFonts w:ascii="Times New Roman" w:hAnsi="Times New Roman"/>
          <w:sz w:val="24"/>
          <w:szCs w:val="24"/>
        </w:rPr>
        <w:t>1962 (2) SA 68 (D) at 72B-E.</w:t>
      </w:r>
      <w:r>
        <w:rPr>
          <w:rFonts w:ascii="Times New Roman" w:hAnsi="Times New Roman"/>
          <w:sz w:val="24"/>
          <w:szCs w:val="24"/>
          <w:lang w:val="en-US"/>
        </w:rPr>
        <w:t>” [Emphasis added]</w:t>
      </w:r>
    </w:p>
    <w:p w14:paraId="2C31EBEF" w14:textId="77777777" w:rsidR="009D791A" w:rsidRDefault="009D791A">
      <w:pPr>
        <w:pStyle w:val="Body"/>
        <w:tabs>
          <w:tab w:val="left" w:pos="1134"/>
        </w:tabs>
        <w:spacing w:after="0" w:line="240" w:lineRule="auto"/>
        <w:ind w:left="1440"/>
        <w:jc w:val="both"/>
        <w:rPr>
          <w:rFonts w:ascii="Times New Roman" w:eastAsia="Times New Roman" w:hAnsi="Times New Roman" w:cs="Times New Roman"/>
          <w:sz w:val="24"/>
          <w:szCs w:val="24"/>
        </w:rPr>
      </w:pPr>
    </w:p>
    <w:p w14:paraId="1234FA75" w14:textId="77777777" w:rsidR="009D791A" w:rsidRDefault="009D791A">
      <w:pPr>
        <w:pStyle w:val="Body"/>
        <w:tabs>
          <w:tab w:val="left" w:pos="1134"/>
        </w:tabs>
        <w:spacing w:after="0" w:line="240" w:lineRule="auto"/>
        <w:ind w:left="1440"/>
        <w:jc w:val="both"/>
        <w:rPr>
          <w:rFonts w:ascii="Times New Roman" w:eastAsia="Times New Roman" w:hAnsi="Times New Roman" w:cs="Times New Roman"/>
          <w:sz w:val="24"/>
          <w:szCs w:val="24"/>
        </w:rPr>
      </w:pPr>
    </w:p>
    <w:p w14:paraId="15790AB0" w14:textId="77777777" w:rsidR="009D791A" w:rsidRDefault="009D791A">
      <w:pPr>
        <w:pStyle w:val="Body"/>
        <w:tabs>
          <w:tab w:val="left" w:pos="1134"/>
        </w:tabs>
        <w:spacing w:after="0" w:line="240" w:lineRule="auto"/>
        <w:jc w:val="both"/>
        <w:rPr>
          <w:rFonts w:ascii="Times New Roman" w:eastAsia="Times New Roman" w:hAnsi="Times New Roman" w:cs="Times New Roman"/>
          <w:sz w:val="24"/>
          <w:szCs w:val="24"/>
        </w:rPr>
      </w:pPr>
    </w:p>
    <w:p w14:paraId="5F9BAD8B" w14:textId="3CADF326" w:rsidR="009D791A" w:rsidRDefault="007B4448">
      <w:pPr>
        <w:pStyle w:val="ListParagraph"/>
        <w:numPr>
          <w:ilvl w:val="0"/>
          <w:numId w:val="14"/>
        </w:numPr>
        <w:spacing w:after="0" w:line="480" w:lineRule="auto"/>
        <w:jc w:val="both"/>
        <w:rPr>
          <w:rFonts w:ascii="Times New Roman" w:hAnsi="Times New Roman"/>
          <w:sz w:val="24"/>
          <w:szCs w:val="24"/>
        </w:rPr>
      </w:pPr>
      <w:r>
        <w:rPr>
          <w:rFonts w:ascii="Times New Roman" w:hAnsi="Times New Roman"/>
          <w:sz w:val="24"/>
          <w:szCs w:val="24"/>
        </w:rPr>
        <w:t xml:space="preserve">It seems to me that the only difference that the requirement regarding standing in constitutional matters would have on the test of a direct and substantial interest is that the standard for establishing such an interest is wider. Although the ordinary rules of standing are, by constitutional design, deliberately relaxed in litigation brought under s 85 of the Constitution, the same </w:t>
      </w:r>
      <w:r w:rsidR="009412A9">
        <w:rPr>
          <w:rFonts w:ascii="Times New Roman" w:hAnsi="Times New Roman"/>
          <w:sz w:val="24"/>
          <w:szCs w:val="24"/>
        </w:rPr>
        <w:t>is not always the case in</w:t>
      </w:r>
      <w:r>
        <w:rPr>
          <w:rFonts w:ascii="Times New Roman" w:hAnsi="Times New Roman"/>
          <w:sz w:val="24"/>
          <w:szCs w:val="24"/>
        </w:rPr>
        <w:t xml:space="preserve"> matters brought in terms of other provisions of the Constitution.</w:t>
      </w:r>
    </w:p>
    <w:p w14:paraId="725DA2C2" w14:textId="77777777" w:rsidR="009D791A" w:rsidRDefault="009D791A">
      <w:pPr>
        <w:pStyle w:val="Body"/>
        <w:tabs>
          <w:tab w:val="left" w:pos="1134"/>
        </w:tabs>
        <w:spacing w:after="0" w:line="480" w:lineRule="auto"/>
        <w:ind w:left="1134" w:hanging="1134"/>
        <w:jc w:val="both"/>
        <w:rPr>
          <w:rFonts w:ascii="Times New Roman" w:eastAsia="Times New Roman" w:hAnsi="Times New Roman" w:cs="Times New Roman"/>
          <w:sz w:val="24"/>
          <w:szCs w:val="24"/>
        </w:rPr>
      </w:pPr>
    </w:p>
    <w:p w14:paraId="0D39D096" w14:textId="07D1B3BA" w:rsidR="009D791A" w:rsidRDefault="007B4448">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t xml:space="preserve">For the record, it should be stressed that the Constitution has provided different gradations of </w:t>
      </w:r>
      <w:r>
        <w:rPr>
          <w:rFonts w:ascii="Times New Roman" w:hAnsi="Times New Roman"/>
          <w:i/>
          <w:iCs/>
          <w:sz w:val="24"/>
          <w:szCs w:val="24"/>
        </w:rPr>
        <w:t>locus standi</w:t>
      </w:r>
      <w:r>
        <w:rPr>
          <w:rFonts w:ascii="Times New Roman" w:hAnsi="Times New Roman"/>
          <w:sz w:val="24"/>
          <w:szCs w:val="24"/>
        </w:rPr>
        <w:t xml:space="preserve">, the nuances of which may </w:t>
      </w:r>
      <w:r w:rsidR="00AB0B20">
        <w:rPr>
          <w:rFonts w:ascii="Times New Roman" w:hAnsi="Times New Roman"/>
          <w:sz w:val="24"/>
          <w:szCs w:val="24"/>
        </w:rPr>
        <w:t>vary</w:t>
      </w:r>
      <w:r>
        <w:rPr>
          <w:rFonts w:ascii="Times New Roman" w:hAnsi="Times New Roman"/>
          <w:sz w:val="24"/>
          <w:szCs w:val="24"/>
        </w:rPr>
        <w:t xml:space="preserve"> from case to case. Some are wide whilst others are restricted. For example, under s 85 (1) of the Constitution, any person would have standing to approach a court in their own interests or on behalf of another alleging a violation of a fundamental right. A person may also act on behalf of a member of a group of persons or in the public interest. An association may also act in the interests of its members. That section, in clear terms, stipulates the requisite standing of any person intending to enforce a fundamental right. Then there are applications to challenge the election of a person as President or Vice President. Some interest on the part of an applicant in the election of the President or Vice President </w:t>
      </w:r>
      <w:r>
        <w:rPr>
          <w:rFonts w:ascii="Times New Roman" w:hAnsi="Times New Roman"/>
          <w:sz w:val="24"/>
          <w:szCs w:val="24"/>
        </w:rPr>
        <w:lastRenderedPageBreak/>
        <w:t>would need to be demonstrated. A resident of Lusaka, Zambia who is also a Zambian citizen is unlikely to show such standing. Then para 8 of the Fifth Schedule gives standing to a Vice President or Minister to apply for a declaration that a provision of a Bill resolved by Parliament to be unconstitutional would, if enacted, in fact be in accordance with the Constitution. Para 9 (2) of the Fifth Schedule then also provides standing to an enacting authority to apply for a declaration that a statutory instrument is in accordance with the Constitution whilst an application for the review of a decision by President to dissolve Parliament in terms of s 143 of the Constitution may be made by a member of Parliament and not anyone else. In terms of s 175 (3), any person with a sufficient interest, and not just any person, may appeal or apply to the Court to confirm or vary an order concerning constitutional invalidity.</w:t>
      </w:r>
    </w:p>
    <w:p w14:paraId="7E03B160" w14:textId="77777777" w:rsidR="009D791A" w:rsidRDefault="009D791A">
      <w:pPr>
        <w:pStyle w:val="Body"/>
        <w:spacing w:after="0" w:line="480" w:lineRule="auto"/>
        <w:ind w:left="1134" w:hanging="1134"/>
        <w:jc w:val="both"/>
        <w:rPr>
          <w:rFonts w:ascii="Times New Roman" w:eastAsia="Times New Roman" w:hAnsi="Times New Roman" w:cs="Times New Roman"/>
          <w:sz w:val="24"/>
          <w:szCs w:val="24"/>
        </w:rPr>
      </w:pPr>
    </w:p>
    <w:p w14:paraId="6EB8BA7D" w14:textId="15A83713" w:rsidR="009D791A" w:rsidRDefault="007B4448">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t xml:space="preserve">Applications for constitutional relief do not, therefore, require the same standing in all cases. </w:t>
      </w:r>
      <w:r w:rsidR="00AB0B20">
        <w:rPr>
          <w:rFonts w:ascii="Times New Roman" w:hAnsi="Times New Roman"/>
          <w:sz w:val="24"/>
          <w:szCs w:val="24"/>
        </w:rPr>
        <w:t>As stated, the</w:t>
      </w:r>
      <w:r>
        <w:rPr>
          <w:rFonts w:ascii="Times New Roman" w:hAnsi="Times New Roman"/>
          <w:sz w:val="24"/>
          <w:szCs w:val="24"/>
        </w:rPr>
        <w:t xml:space="preserve"> standing is wide in some instances whilst it is restricted in others. It therefore depends on the subject matter of the application. What is clear however is that an applicant in a constitutional matter must show some legal interest in the matter. </w:t>
      </w:r>
    </w:p>
    <w:p w14:paraId="3FD74F1D" w14:textId="77777777" w:rsidR="009D791A" w:rsidRDefault="009D791A">
      <w:pPr>
        <w:pStyle w:val="Body"/>
        <w:tabs>
          <w:tab w:val="left" w:pos="1134"/>
        </w:tabs>
        <w:spacing w:after="0" w:line="240" w:lineRule="auto"/>
        <w:jc w:val="both"/>
        <w:rPr>
          <w:rFonts w:ascii="Times New Roman" w:eastAsia="Times New Roman" w:hAnsi="Times New Roman" w:cs="Times New Roman"/>
          <w:sz w:val="24"/>
          <w:szCs w:val="24"/>
        </w:rPr>
      </w:pPr>
    </w:p>
    <w:p w14:paraId="4202CF32" w14:textId="77777777" w:rsidR="009D791A" w:rsidRDefault="009D791A">
      <w:pPr>
        <w:pStyle w:val="Body"/>
        <w:tabs>
          <w:tab w:val="left" w:pos="1134"/>
        </w:tabs>
        <w:spacing w:after="0" w:line="240" w:lineRule="auto"/>
        <w:ind w:left="1134" w:hanging="1134"/>
        <w:jc w:val="both"/>
        <w:rPr>
          <w:rFonts w:ascii="Times New Roman" w:eastAsia="Times New Roman" w:hAnsi="Times New Roman" w:cs="Times New Roman"/>
          <w:sz w:val="24"/>
          <w:szCs w:val="24"/>
        </w:rPr>
      </w:pPr>
    </w:p>
    <w:p w14:paraId="00D38BD5" w14:textId="5FA9E820" w:rsidR="009D791A" w:rsidRDefault="007B4448">
      <w:pPr>
        <w:pStyle w:val="ListParagraph"/>
        <w:numPr>
          <w:ilvl w:val="0"/>
          <w:numId w:val="20"/>
        </w:numPr>
        <w:spacing w:after="0" w:line="480" w:lineRule="auto"/>
        <w:jc w:val="both"/>
        <w:rPr>
          <w:rFonts w:ascii="Times New Roman" w:hAnsi="Times New Roman"/>
          <w:sz w:val="24"/>
          <w:szCs w:val="24"/>
        </w:rPr>
      </w:pPr>
      <w:r>
        <w:rPr>
          <w:rFonts w:ascii="Times New Roman" w:hAnsi="Times New Roman"/>
          <w:sz w:val="24"/>
          <w:szCs w:val="24"/>
        </w:rPr>
        <w:t xml:space="preserve">Therefore it is not sufficient for an applicant, in a matter such as the present, to simply aver that he or she or it is interested in a particular area of the law or in a particular subject matter in order to show that he/she/it has </w:t>
      </w:r>
      <w:r>
        <w:rPr>
          <w:rFonts w:ascii="Times New Roman" w:hAnsi="Times New Roman"/>
          <w:i/>
          <w:iCs/>
          <w:sz w:val="24"/>
          <w:szCs w:val="24"/>
        </w:rPr>
        <w:t>locus standi</w:t>
      </w:r>
      <w:r>
        <w:rPr>
          <w:rFonts w:ascii="Times New Roman" w:hAnsi="Times New Roman"/>
          <w:sz w:val="24"/>
          <w:szCs w:val="24"/>
        </w:rPr>
        <w:t>. The only way that a litigant</w:t>
      </w:r>
      <w:r w:rsidR="009F6AE3">
        <w:rPr>
          <w:rFonts w:ascii="Times New Roman" w:hAnsi="Times New Roman"/>
          <w:sz w:val="24"/>
          <w:szCs w:val="24"/>
        </w:rPr>
        <w:t>, such as each of the applicants in this case,</w:t>
      </w:r>
      <w:r>
        <w:rPr>
          <w:rFonts w:ascii="Times New Roman" w:hAnsi="Times New Roman"/>
          <w:sz w:val="24"/>
          <w:szCs w:val="24"/>
        </w:rPr>
        <w:t xml:space="preserve"> may demonstrate that he or she or it has </w:t>
      </w:r>
      <w:r>
        <w:rPr>
          <w:rFonts w:ascii="Times New Roman" w:hAnsi="Times New Roman"/>
          <w:i/>
          <w:iCs/>
          <w:sz w:val="24"/>
          <w:szCs w:val="24"/>
        </w:rPr>
        <w:t>locus standi</w:t>
      </w:r>
      <w:r>
        <w:rPr>
          <w:rFonts w:ascii="Times New Roman" w:hAnsi="Times New Roman"/>
          <w:sz w:val="24"/>
          <w:szCs w:val="24"/>
        </w:rPr>
        <w:t xml:space="preserve"> is by referring to a cause of action in which his or her </w:t>
      </w:r>
      <w:r w:rsidR="009F6AE3">
        <w:rPr>
          <w:rFonts w:ascii="Times New Roman" w:hAnsi="Times New Roman"/>
          <w:sz w:val="24"/>
          <w:szCs w:val="24"/>
        </w:rPr>
        <w:t>legal interest</w:t>
      </w:r>
      <w:r>
        <w:rPr>
          <w:rFonts w:ascii="Times New Roman" w:hAnsi="Times New Roman"/>
          <w:sz w:val="24"/>
          <w:szCs w:val="24"/>
        </w:rPr>
        <w:t xml:space="preserve"> in the subject matter of litigation may be discerned.</w:t>
      </w:r>
    </w:p>
    <w:p w14:paraId="4EA8159D" w14:textId="77777777" w:rsidR="009D791A" w:rsidRDefault="009D791A">
      <w:pPr>
        <w:pStyle w:val="Body"/>
        <w:tabs>
          <w:tab w:val="left" w:pos="1134"/>
          <w:tab w:val="left" w:pos="1418"/>
          <w:tab w:val="left" w:pos="1701"/>
        </w:tabs>
        <w:spacing w:after="0" w:line="480" w:lineRule="auto"/>
        <w:ind w:left="1134" w:hanging="1134"/>
        <w:jc w:val="both"/>
        <w:rPr>
          <w:rFonts w:ascii="Times New Roman" w:eastAsia="Times New Roman" w:hAnsi="Times New Roman" w:cs="Times New Roman"/>
          <w:sz w:val="24"/>
          <w:szCs w:val="24"/>
        </w:rPr>
      </w:pPr>
    </w:p>
    <w:p w14:paraId="2151FA76" w14:textId="77777777" w:rsidR="009D791A" w:rsidRDefault="007B4448">
      <w:pPr>
        <w:pStyle w:val="ListParagraph"/>
        <w:numPr>
          <w:ilvl w:val="0"/>
          <w:numId w:val="20"/>
        </w:numPr>
        <w:spacing w:after="0" w:line="480" w:lineRule="auto"/>
        <w:jc w:val="both"/>
        <w:rPr>
          <w:rFonts w:ascii="Times New Roman" w:hAnsi="Times New Roman"/>
          <w:sz w:val="24"/>
          <w:szCs w:val="24"/>
        </w:rPr>
      </w:pPr>
      <w:r>
        <w:rPr>
          <w:rFonts w:ascii="Times New Roman" w:hAnsi="Times New Roman"/>
          <w:sz w:val="24"/>
          <w:szCs w:val="24"/>
        </w:rPr>
        <w:lastRenderedPageBreak/>
        <w:t xml:space="preserve">It follows from this that if there is no cognisable cause of action, it would be impossible for a litigant to demonstrate a direct and substantial interest in a matter. The point was made by the Supreme Court of Zimbabwe in </w:t>
      </w:r>
      <w:r>
        <w:rPr>
          <w:rFonts w:ascii="Times New Roman" w:hAnsi="Times New Roman"/>
          <w:i/>
          <w:iCs/>
          <w:sz w:val="24"/>
          <w:szCs w:val="24"/>
        </w:rPr>
        <w:t xml:space="preserve">Allied Bank Ltd v Dengu &amp; Anor </w:t>
      </w:r>
      <w:r>
        <w:rPr>
          <w:rFonts w:ascii="Times New Roman" w:hAnsi="Times New Roman"/>
          <w:sz w:val="24"/>
          <w:szCs w:val="24"/>
        </w:rPr>
        <w:t>2016 (2) ZLR 373 (S) at 376G-H, per MALABA CJ, that:</w:t>
      </w:r>
    </w:p>
    <w:p w14:paraId="61023850" w14:textId="77777777" w:rsidR="009D791A" w:rsidRDefault="007B4448">
      <w:pPr>
        <w:pStyle w:val="Body"/>
        <w:tabs>
          <w:tab w:val="left" w:pos="1134"/>
          <w:tab w:val="left" w:pos="1418"/>
          <w:tab w:val="left" w:pos="1701"/>
        </w:tabs>
        <w:spacing w:after="0" w:line="240" w:lineRule="auto"/>
        <w:ind w:left="1418" w:hanging="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lang w:val="en-US"/>
        </w:rPr>
        <w:t xml:space="preserve">“The principle of </w:t>
      </w:r>
      <w:r>
        <w:rPr>
          <w:rFonts w:ascii="Times New Roman" w:hAnsi="Times New Roman"/>
          <w:i/>
          <w:iCs/>
          <w:sz w:val="24"/>
          <w:szCs w:val="24"/>
          <w:lang w:val="en-US"/>
        </w:rPr>
        <w:t>locus standi</w:t>
      </w:r>
      <w:r>
        <w:rPr>
          <w:rFonts w:ascii="Times New Roman" w:hAnsi="Times New Roman"/>
          <w:sz w:val="24"/>
          <w:szCs w:val="24"/>
          <w:lang w:val="en-US"/>
        </w:rPr>
        <w:t xml:space="preserve"> is concerned with the relationship between the cause of action and the relief sought. Once a party establishes that there is a cause of action and that he is entitled to the relief sought, he or she has </w:t>
      </w:r>
      <w:r>
        <w:rPr>
          <w:rFonts w:ascii="Times New Roman" w:hAnsi="Times New Roman"/>
          <w:i/>
          <w:iCs/>
          <w:sz w:val="24"/>
          <w:szCs w:val="24"/>
          <w:lang w:val="it-IT"/>
        </w:rPr>
        <w:t>locus standi.</w:t>
      </w:r>
      <w:r>
        <w:rPr>
          <w:rFonts w:ascii="Times New Roman" w:hAnsi="Times New Roman"/>
          <w:sz w:val="24"/>
          <w:szCs w:val="24"/>
          <w:lang w:val="en-US"/>
        </w:rPr>
        <w:t xml:space="preserve">  The plaintiff or applicant only has to show that he or she has a direct and substantial interest in the right which is the subject matter of the cause of action.”</w:t>
      </w:r>
    </w:p>
    <w:p w14:paraId="2D373ECA" w14:textId="77777777" w:rsidR="009D791A" w:rsidRDefault="009D791A">
      <w:pPr>
        <w:pStyle w:val="Body"/>
        <w:tabs>
          <w:tab w:val="left" w:pos="1134"/>
          <w:tab w:val="left" w:pos="1418"/>
          <w:tab w:val="left" w:pos="1701"/>
        </w:tabs>
        <w:spacing w:after="0" w:line="240" w:lineRule="auto"/>
        <w:ind w:left="1418" w:hanging="1134"/>
        <w:jc w:val="both"/>
        <w:rPr>
          <w:rFonts w:ascii="Times New Roman" w:eastAsia="Times New Roman" w:hAnsi="Times New Roman" w:cs="Times New Roman"/>
          <w:sz w:val="24"/>
          <w:szCs w:val="24"/>
        </w:rPr>
      </w:pPr>
    </w:p>
    <w:p w14:paraId="3B708A2C" w14:textId="77777777" w:rsidR="009D791A" w:rsidRDefault="009D791A">
      <w:pPr>
        <w:pStyle w:val="Body"/>
        <w:tabs>
          <w:tab w:val="left" w:pos="1134"/>
          <w:tab w:val="left" w:pos="1418"/>
          <w:tab w:val="left" w:pos="1701"/>
        </w:tabs>
        <w:spacing w:after="0" w:line="240" w:lineRule="auto"/>
        <w:ind w:left="1418" w:hanging="1134"/>
        <w:jc w:val="both"/>
        <w:rPr>
          <w:rFonts w:ascii="Times New Roman" w:eastAsia="Times New Roman" w:hAnsi="Times New Roman" w:cs="Times New Roman"/>
          <w:sz w:val="24"/>
          <w:szCs w:val="24"/>
        </w:rPr>
      </w:pPr>
    </w:p>
    <w:p w14:paraId="67719C10"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 xml:space="preserve">In the matter under consideration, the grounds upon which the applicants claimed </w:t>
      </w:r>
      <w:r>
        <w:rPr>
          <w:rFonts w:ascii="Times New Roman" w:hAnsi="Times New Roman"/>
          <w:i/>
          <w:iCs/>
          <w:sz w:val="24"/>
          <w:szCs w:val="24"/>
        </w:rPr>
        <w:t>locus standi</w:t>
      </w:r>
      <w:r>
        <w:rPr>
          <w:rFonts w:ascii="Times New Roman" w:hAnsi="Times New Roman"/>
          <w:sz w:val="24"/>
          <w:szCs w:val="24"/>
        </w:rPr>
        <w:t xml:space="preserve"> did not relate to an existing, future or contingent right. The determination by the High Court was thus made in circumstances where an abstract question that was unrelated to any legal interest had been raised. No </w:t>
      </w:r>
      <w:r>
        <w:rPr>
          <w:rFonts w:ascii="Times New Roman" w:hAnsi="Times New Roman"/>
          <w:i/>
          <w:iCs/>
          <w:sz w:val="24"/>
          <w:szCs w:val="24"/>
        </w:rPr>
        <w:t>locus standi</w:t>
      </w:r>
      <w:r>
        <w:rPr>
          <w:rFonts w:ascii="Times New Roman" w:hAnsi="Times New Roman"/>
          <w:sz w:val="24"/>
          <w:szCs w:val="24"/>
        </w:rPr>
        <w:t xml:space="preserve"> was established.</w:t>
      </w:r>
    </w:p>
    <w:p w14:paraId="0C7D091A" w14:textId="77777777" w:rsidR="009D791A" w:rsidRDefault="009D791A">
      <w:pPr>
        <w:pStyle w:val="Body"/>
        <w:tabs>
          <w:tab w:val="left" w:pos="1134"/>
          <w:tab w:val="left" w:pos="1418"/>
          <w:tab w:val="left" w:pos="1701"/>
        </w:tabs>
        <w:spacing w:after="0" w:line="240" w:lineRule="auto"/>
        <w:ind w:left="1418" w:hanging="1134"/>
        <w:jc w:val="both"/>
        <w:rPr>
          <w:rFonts w:ascii="Times New Roman" w:eastAsia="Times New Roman" w:hAnsi="Times New Roman" w:cs="Times New Roman"/>
          <w:sz w:val="24"/>
          <w:szCs w:val="24"/>
        </w:rPr>
      </w:pPr>
    </w:p>
    <w:p w14:paraId="33D2E484" w14:textId="77777777" w:rsidR="009D791A" w:rsidRDefault="009D791A">
      <w:pPr>
        <w:pStyle w:val="Body"/>
        <w:tabs>
          <w:tab w:val="left" w:pos="1134"/>
          <w:tab w:val="left" w:pos="1418"/>
          <w:tab w:val="left" w:pos="1701"/>
        </w:tabs>
        <w:spacing w:after="0" w:line="240" w:lineRule="auto"/>
        <w:ind w:left="1418" w:hanging="1134"/>
        <w:jc w:val="both"/>
        <w:rPr>
          <w:rFonts w:ascii="Times New Roman" w:eastAsia="Times New Roman" w:hAnsi="Times New Roman" w:cs="Times New Roman"/>
          <w:sz w:val="24"/>
          <w:szCs w:val="24"/>
        </w:rPr>
      </w:pPr>
    </w:p>
    <w:p w14:paraId="4B846D8C" w14:textId="4C3C793D" w:rsidR="009D791A" w:rsidRDefault="007B4448" w:rsidP="004C0120">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In light of the above, there was therefore no ripe matter before the court for determination. The matter was therefore not justiciable.</w:t>
      </w:r>
    </w:p>
    <w:p w14:paraId="09441394" w14:textId="77777777" w:rsidR="00336C5C" w:rsidRPr="004C0120" w:rsidRDefault="00336C5C" w:rsidP="00336C5C">
      <w:pPr>
        <w:pStyle w:val="ListParagraph"/>
        <w:tabs>
          <w:tab w:val="left" w:pos="1134"/>
          <w:tab w:val="left" w:pos="1701"/>
        </w:tabs>
        <w:spacing w:after="0" w:line="480" w:lineRule="auto"/>
        <w:jc w:val="both"/>
        <w:rPr>
          <w:rFonts w:ascii="Times New Roman" w:hAnsi="Times New Roman"/>
          <w:sz w:val="24"/>
          <w:szCs w:val="24"/>
        </w:rPr>
      </w:pPr>
    </w:p>
    <w:p w14:paraId="326B830E"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Finally, reference should be made to the provisions of s 69 of the Constitution providing a right to a fair hearing. The provision reads:</w:t>
      </w:r>
    </w:p>
    <w:p w14:paraId="618F78D7" w14:textId="77777777" w:rsidR="009D791A" w:rsidRDefault="007B4448">
      <w:pPr>
        <w:pStyle w:val="Body"/>
        <w:tabs>
          <w:tab w:val="left" w:pos="1134"/>
        </w:tabs>
        <w:spacing w:after="0" w:line="240" w:lineRule="auto"/>
        <w:ind w:left="1134" w:hanging="85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hAnsi="Times New Roman"/>
          <w:sz w:val="24"/>
          <w:szCs w:val="24"/>
          <w:lang w:val="en-US"/>
        </w:rPr>
        <w:t>“</w:t>
      </w:r>
      <w:r>
        <w:rPr>
          <w:rFonts w:ascii="Times New Roman" w:hAnsi="Times New Roman"/>
          <w:b/>
          <w:bCs/>
          <w:sz w:val="24"/>
          <w:szCs w:val="24"/>
          <w:lang w:val="en-US"/>
        </w:rPr>
        <w:t>69 Right to a fair hearing</w:t>
      </w:r>
    </w:p>
    <w:p w14:paraId="581BB841" w14:textId="77777777" w:rsidR="009D791A" w:rsidRDefault="007B4448">
      <w:pPr>
        <w:pStyle w:val="ListParagraph"/>
        <w:numPr>
          <w:ilvl w:val="0"/>
          <w:numId w:val="23"/>
        </w:numPr>
        <w:spacing w:after="0" w:line="240" w:lineRule="auto"/>
        <w:jc w:val="both"/>
        <w:rPr>
          <w:rFonts w:ascii="Times New Roman" w:hAnsi="Times New Roman"/>
          <w:sz w:val="24"/>
          <w:szCs w:val="24"/>
        </w:rPr>
      </w:pPr>
      <w:r>
        <w:rPr>
          <w:rFonts w:ascii="Times New Roman" w:hAnsi="Times New Roman"/>
          <w:sz w:val="24"/>
          <w:szCs w:val="24"/>
        </w:rPr>
        <w:t>……(n/a)</w:t>
      </w:r>
    </w:p>
    <w:p w14:paraId="3A7881E3" w14:textId="77777777" w:rsidR="009D791A" w:rsidRDefault="007B4448">
      <w:pPr>
        <w:pStyle w:val="ListParagraph"/>
        <w:numPr>
          <w:ilvl w:val="0"/>
          <w:numId w:val="24"/>
        </w:numPr>
        <w:spacing w:after="0" w:line="240" w:lineRule="auto"/>
        <w:jc w:val="both"/>
        <w:rPr>
          <w:rFonts w:ascii="Times New Roman" w:hAnsi="Times New Roman"/>
          <w:sz w:val="24"/>
          <w:szCs w:val="24"/>
        </w:rPr>
      </w:pPr>
      <w:r>
        <w:rPr>
          <w:rFonts w:ascii="Times New Roman" w:hAnsi="Times New Roman"/>
          <w:sz w:val="24"/>
          <w:szCs w:val="24"/>
          <w:u w:val="single"/>
        </w:rPr>
        <w:t>In the determination of civil rights and obligations,</w:t>
      </w:r>
      <w:r>
        <w:rPr>
          <w:rFonts w:ascii="Times New Roman" w:hAnsi="Times New Roman"/>
          <w:sz w:val="24"/>
          <w:szCs w:val="24"/>
        </w:rPr>
        <w:t xml:space="preserve"> every person has a right to a fair, speedy and public hearing within a reasonable time before an independent and impartial court, tribunal or other forum established by law.</w:t>
      </w:r>
    </w:p>
    <w:p w14:paraId="3C1BA700" w14:textId="77777777" w:rsidR="009D791A" w:rsidRDefault="007B4448">
      <w:pPr>
        <w:pStyle w:val="ListParagraph"/>
        <w:numPr>
          <w:ilvl w:val="0"/>
          <w:numId w:val="25"/>
        </w:numPr>
        <w:spacing w:after="0" w:line="240" w:lineRule="auto"/>
        <w:jc w:val="both"/>
        <w:rPr>
          <w:rFonts w:ascii="Times New Roman" w:hAnsi="Times New Roman"/>
          <w:sz w:val="24"/>
          <w:szCs w:val="24"/>
        </w:rPr>
      </w:pPr>
      <w:r>
        <w:rPr>
          <w:rFonts w:ascii="Times New Roman" w:hAnsi="Times New Roman"/>
          <w:sz w:val="24"/>
          <w:szCs w:val="24"/>
        </w:rPr>
        <w:t xml:space="preserve">Every person has the right of access to the courts, or to some other </w:t>
      </w:r>
    </w:p>
    <w:p w14:paraId="0BE2740F" w14:textId="77777777" w:rsidR="009D791A" w:rsidRDefault="007B4448">
      <w:pPr>
        <w:pStyle w:val="ListParagraph"/>
        <w:tabs>
          <w:tab w:val="left" w:pos="1134"/>
          <w:tab w:val="left" w:pos="1701"/>
        </w:tabs>
        <w:spacing w:after="0" w:line="240" w:lineRule="auto"/>
        <w:ind w:left="1134"/>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 xml:space="preserve">tribunal or forum established by law </w:t>
      </w:r>
      <w:r>
        <w:rPr>
          <w:rFonts w:ascii="Times New Roman" w:hAnsi="Times New Roman"/>
          <w:sz w:val="24"/>
          <w:szCs w:val="24"/>
          <w:u w:val="single"/>
        </w:rPr>
        <w:t>for the resolution of any dispute.</w:t>
      </w:r>
    </w:p>
    <w:p w14:paraId="098B1AC0" w14:textId="77777777" w:rsidR="009D791A" w:rsidRDefault="007B4448">
      <w:pPr>
        <w:pStyle w:val="ListParagraph"/>
        <w:numPr>
          <w:ilvl w:val="0"/>
          <w:numId w:val="25"/>
        </w:numPr>
        <w:spacing w:after="0" w:line="240" w:lineRule="auto"/>
        <w:jc w:val="both"/>
        <w:rPr>
          <w:rFonts w:ascii="Times New Roman" w:hAnsi="Times New Roman"/>
          <w:sz w:val="24"/>
          <w:szCs w:val="24"/>
        </w:rPr>
      </w:pPr>
      <w:r>
        <w:rPr>
          <w:rFonts w:ascii="Times New Roman" w:hAnsi="Times New Roman"/>
          <w:sz w:val="24"/>
          <w:szCs w:val="24"/>
        </w:rPr>
        <w:t>…..(n/a)” [Emphasis added]</w:t>
      </w:r>
    </w:p>
    <w:p w14:paraId="388DED2D" w14:textId="77777777" w:rsidR="009D791A" w:rsidRDefault="009D791A">
      <w:pPr>
        <w:pStyle w:val="ListParagraph"/>
        <w:tabs>
          <w:tab w:val="left" w:pos="1134"/>
          <w:tab w:val="left" w:pos="1701"/>
        </w:tabs>
        <w:spacing w:after="0" w:line="240" w:lineRule="auto"/>
        <w:ind w:left="2414"/>
        <w:jc w:val="both"/>
        <w:rPr>
          <w:rFonts w:ascii="Times New Roman" w:eastAsia="Times New Roman" w:hAnsi="Times New Roman" w:cs="Times New Roman"/>
          <w:sz w:val="24"/>
          <w:szCs w:val="24"/>
        </w:rPr>
      </w:pPr>
    </w:p>
    <w:p w14:paraId="37D09E61" w14:textId="77777777" w:rsidR="009D791A" w:rsidRDefault="009D791A">
      <w:pPr>
        <w:pStyle w:val="Body"/>
        <w:tabs>
          <w:tab w:val="left" w:pos="1134"/>
          <w:tab w:val="left" w:pos="1701"/>
        </w:tabs>
        <w:spacing w:after="0" w:line="240" w:lineRule="auto"/>
        <w:jc w:val="both"/>
        <w:rPr>
          <w:rFonts w:ascii="Times New Roman" w:eastAsia="Times New Roman" w:hAnsi="Times New Roman" w:cs="Times New Roman"/>
          <w:sz w:val="24"/>
          <w:szCs w:val="24"/>
        </w:rPr>
      </w:pPr>
    </w:p>
    <w:p w14:paraId="5958D092" w14:textId="77777777" w:rsidR="009D791A" w:rsidRDefault="009D791A">
      <w:pPr>
        <w:pStyle w:val="Body"/>
        <w:tabs>
          <w:tab w:val="left" w:pos="1134"/>
          <w:tab w:val="left" w:pos="1701"/>
        </w:tabs>
        <w:spacing w:after="0" w:line="240" w:lineRule="auto"/>
        <w:jc w:val="both"/>
        <w:rPr>
          <w:rFonts w:ascii="Times New Roman" w:eastAsia="Times New Roman" w:hAnsi="Times New Roman" w:cs="Times New Roman"/>
          <w:sz w:val="24"/>
          <w:szCs w:val="24"/>
        </w:rPr>
      </w:pPr>
    </w:p>
    <w:p w14:paraId="3F464901" w14:textId="77777777" w:rsidR="009D791A" w:rsidRDefault="007B4448">
      <w:pPr>
        <w:pStyle w:val="ListParagraph"/>
        <w:numPr>
          <w:ilvl w:val="0"/>
          <w:numId w:val="26"/>
        </w:numPr>
        <w:spacing w:after="0" w:line="480" w:lineRule="auto"/>
        <w:jc w:val="both"/>
        <w:rPr>
          <w:rFonts w:ascii="Times New Roman" w:hAnsi="Times New Roman"/>
          <w:sz w:val="24"/>
          <w:szCs w:val="24"/>
        </w:rPr>
      </w:pPr>
      <w:r>
        <w:rPr>
          <w:rFonts w:ascii="Times New Roman" w:hAnsi="Times New Roman"/>
          <w:sz w:val="24"/>
          <w:szCs w:val="24"/>
        </w:rPr>
        <w:t xml:space="preserve">The underlined portions of the above provision refer to “the determination of civil rights and obligations” as well as the right to access the court “for the resolution of any </w:t>
      </w:r>
      <w:r>
        <w:rPr>
          <w:rFonts w:ascii="Times New Roman" w:hAnsi="Times New Roman"/>
          <w:sz w:val="24"/>
          <w:szCs w:val="24"/>
        </w:rPr>
        <w:lastRenderedPageBreak/>
        <w:t>dispute”. One can conclude that, even from the perspective of the Declaration of Rights, the object of adjudication is to resolve disputes and to determine civil rights and obligations. On the strength of the wording of s 69 of the Constitution, one can go further to say that there seems to be no constitutional preclusion to a court declining jurisdiction on the basis that a constitutional matter is not yet justiciable.</w:t>
      </w:r>
    </w:p>
    <w:p w14:paraId="066B8EA6"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674C1D44"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In my view, it is not in the public interest for constitutional matters to be determined in the absence of justiciable issues. First, determining matters in the absence of concrete disputes would lead to the waste of judicial resources. Second, it may result in chaos and disorder as litigants may challenge the constitutionality of every piece of legislation in the absence of any live disputes. Therefore, there seems to be good policy grounds for precluding the determination of abstract constitutional questions until a live controversy relating to those questions has risen.</w:t>
      </w:r>
    </w:p>
    <w:p w14:paraId="6E0BA4EC"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4FC2EF2A"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Put another way, in abstract or hypothetical terms, virtually any subsidiary law may be argued before a court to be unconstitutional. In the absence of a material and identifiable cause of action, the determination by a court of the constitutionality of legislation in these circumstances would set a dangerous precedent. It goes without saying that the background facts of a case add colour to the dispute and exemplify the constitutionality or otherwise of a matter or of impugned conduct.</w:t>
      </w:r>
    </w:p>
    <w:p w14:paraId="045DFACC"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246B241A" w14:textId="77777777" w:rsidR="009D791A" w:rsidRPr="004C0120" w:rsidRDefault="007B4448">
      <w:pPr>
        <w:pStyle w:val="Body"/>
        <w:tabs>
          <w:tab w:val="left" w:pos="1134"/>
          <w:tab w:val="left" w:pos="1701"/>
        </w:tabs>
        <w:spacing w:after="0" w:line="480" w:lineRule="auto"/>
        <w:ind w:left="1134" w:hanging="1134"/>
        <w:jc w:val="both"/>
        <w:rPr>
          <w:rFonts w:ascii="Times New Roman" w:eastAsia="Times New Roman" w:hAnsi="Times New Roman" w:cs="Times New Roman"/>
          <w:b/>
          <w:bCs/>
          <w:sz w:val="24"/>
          <w:szCs w:val="24"/>
          <w:u w:val="single"/>
        </w:rPr>
      </w:pPr>
      <w:r w:rsidRPr="004C0120">
        <w:rPr>
          <w:rFonts w:ascii="Times New Roman" w:hAnsi="Times New Roman"/>
          <w:b/>
          <w:bCs/>
          <w:sz w:val="24"/>
          <w:szCs w:val="24"/>
          <w:u w:val="single"/>
          <w:lang w:val="en-US"/>
        </w:rPr>
        <w:t>THE CONSTITUTIONAL VALIDITY OF S 314</w:t>
      </w:r>
    </w:p>
    <w:p w14:paraId="3D54B191"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 xml:space="preserve">The gravamen of the complaint by the applicants was that s 314 is unconstitutional because it gives the Minister the power to singularly and without reference to anyone else, interfere in the operations of local authorities. The further argument was that local </w:t>
      </w:r>
      <w:r>
        <w:rPr>
          <w:rFonts w:ascii="Times New Roman" w:hAnsi="Times New Roman"/>
          <w:sz w:val="24"/>
          <w:szCs w:val="24"/>
        </w:rPr>
        <w:lastRenderedPageBreak/>
        <w:t>authorities are now autonomous. On the face of it, the argument might appear correct and persuasive. On a careful analysis of the law as a whole, however, it appears to me that the respondent does not, in fact, have unbounded powers to interfere with the operations of local authorities.</w:t>
      </w:r>
    </w:p>
    <w:p w14:paraId="752CE363"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561C3364"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I am inclined to agree with MAKARAU JCC that Zimbabwe remains a unitary state and that the discretion to determine when it is appropriate to devolve power and responsibilities to local authorities and the power to determine whether each local authority can carry out such responsibility can only be the responsibility of central government. I further agree with her that, to ensure that the core values of devolution are always upheld, the Minister of Local Government, on behalf of central government, must retain some residual oversight powers to step in when necessary, particularly where the decision of a local authority threatens national unity or is otherwise not in the interests of the residents of the local authority area.</w:t>
      </w:r>
    </w:p>
    <w:p w14:paraId="12EC68DC"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127F781F"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 xml:space="preserve">I further agree with MAKARAU JCC that the power granted to the Minister is not exercisable at whim. The law expects that whatever decision he makes must be rational, rooted in legality and that reasons therefore must be provided. Any decision he makes can be subjected to a challenge under the common law and, more importantly, the Administrative Justice Act. I note that the court </w:t>
      </w:r>
      <w:r>
        <w:rPr>
          <w:rFonts w:ascii="Times New Roman" w:hAnsi="Times New Roman"/>
          <w:i/>
          <w:iCs/>
          <w:sz w:val="24"/>
          <w:szCs w:val="24"/>
        </w:rPr>
        <w:t>a quo</w:t>
      </w:r>
      <w:r>
        <w:rPr>
          <w:rFonts w:ascii="Times New Roman" w:hAnsi="Times New Roman"/>
          <w:sz w:val="24"/>
          <w:szCs w:val="24"/>
        </w:rPr>
        <w:t xml:space="preserve"> at no stage referred to the Administrative Justice Act and its effect on any possible decisions made by the Minister in terms of s 314. The suggestion that the Minister exercises untrammelled powers that are not subject to any checks and balances is, in the circumstances, therefore not correct.</w:t>
      </w:r>
    </w:p>
    <w:p w14:paraId="3F2FF994"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2E868513" w14:textId="00F2319F" w:rsidR="009D791A" w:rsidRPr="004C0120" w:rsidRDefault="007B4448" w:rsidP="004C0120">
      <w:pPr>
        <w:pStyle w:val="Body"/>
        <w:tabs>
          <w:tab w:val="left" w:pos="1701"/>
        </w:tabs>
        <w:spacing w:after="0" w:line="480" w:lineRule="auto"/>
        <w:rPr>
          <w:rFonts w:ascii="Times New Roman" w:eastAsia="Times New Roman" w:hAnsi="Times New Roman" w:cs="Times New Roman"/>
          <w:b/>
          <w:bCs/>
          <w:sz w:val="24"/>
          <w:szCs w:val="24"/>
          <w:u w:val="single"/>
        </w:rPr>
      </w:pPr>
      <w:r w:rsidRPr="004C0120">
        <w:rPr>
          <w:rFonts w:ascii="Times New Roman" w:hAnsi="Times New Roman"/>
          <w:b/>
          <w:bCs/>
          <w:sz w:val="24"/>
          <w:szCs w:val="24"/>
          <w:u w:val="single"/>
          <w:lang w:val="en-US"/>
        </w:rPr>
        <w:lastRenderedPageBreak/>
        <w:t>THE FAILURE TO LIMIT THE RETROSPECTIVE APPLICATION OF</w:t>
      </w:r>
      <w:r w:rsidR="004C0120">
        <w:rPr>
          <w:rFonts w:ascii="Times New Roman" w:hAnsi="Times New Roman"/>
          <w:b/>
          <w:bCs/>
          <w:sz w:val="24"/>
          <w:szCs w:val="24"/>
          <w:u w:val="single"/>
          <w:lang w:val="en-US"/>
        </w:rPr>
        <w:t xml:space="preserve">   </w:t>
      </w:r>
      <w:r w:rsidRPr="004C0120">
        <w:rPr>
          <w:rFonts w:ascii="Times New Roman" w:hAnsi="Times New Roman"/>
          <w:b/>
          <w:bCs/>
          <w:sz w:val="24"/>
          <w:szCs w:val="24"/>
          <w:u w:val="single"/>
          <w:lang w:val="en-US"/>
        </w:rPr>
        <w:t xml:space="preserve"> INVALIDITY </w:t>
      </w:r>
      <w:r w:rsidR="004C0120">
        <w:rPr>
          <w:rFonts w:ascii="Times New Roman" w:hAnsi="Times New Roman"/>
          <w:b/>
          <w:bCs/>
          <w:sz w:val="24"/>
          <w:szCs w:val="24"/>
          <w:u w:val="single"/>
          <w:lang w:val="en-US"/>
        </w:rPr>
        <w:t xml:space="preserve"> </w:t>
      </w:r>
    </w:p>
    <w:p w14:paraId="79ABE95D"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 xml:space="preserve">Having found s 314 to have been inconsistent with the Constitution and declared it invalid, the court </w:t>
      </w:r>
      <w:r>
        <w:rPr>
          <w:rFonts w:ascii="Times New Roman" w:hAnsi="Times New Roman"/>
          <w:i/>
          <w:iCs/>
          <w:sz w:val="24"/>
          <w:szCs w:val="24"/>
        </w:rPr>
        <w:t>a quo</w:t>
      </w:r>
      <w:r>
        <w:rPr>
          <w:rFonts w:ascii="Times New Roman" w:hAnsi="Times New Roman"/>
          <w:sz w:val="24"/>
          <w:szCs w:val="24"/>
        </w:rPr>
        <w:t xml:space="preserve"> should have, in light of the doctrine of objective constitutional invalidity, done two things. First, the court should have, in terms of s 175 (6), ordered that the declaration would not have any retrospective effort. Secondly, the court should have suspended the order of invalidity for a given period of time to give the Minister the opportunity to regularise the invalidity and obviate the possibility of a </w:t>
      </w:r>
      <w:r>
        <w:rPr>
          <w:rFonts w:ascii="Times New Roman" w:hAnsi="Times New Roman"/>
          <w:i/>
          <w:iCs/>
          <w:sz w:val="24"/>
          <w:szCs w:val="24"/>
        </w:rPr>
        <w:t>lacuna</w:t>
      </w:r>
      <w:r>
        <w:rPr>
          <w:rFonts w:ascii="Times New Roman" w:hAnsi="Times New Roman"/>
          <w:sz w:val="24"/>
          <w:szCs w:val="24"/>
        </w:rPr>
        <w:t xml:space="preserve"> occurring in the law. Attention is drawn in this regard to the recent decision of this court in </w:t>
      </w:r>
      <w:r>
        <w:rPr>
          <w:rFonts w:ascii="Times New Roman" w:hAnsi="Times New Roman"/>
          <w:i/>
          <w:iCs/>
          <w:sz w:val="24"/>
          <w:szCs w:val="24"/>
        </w:rPr>
        <w:t>Innocent Tinashe Gonese v Minister of Finance &amp; Economic Development, supra,</w:t>
      </w:r>
      <w:r>
        <w:rPr>
          <w:rFonts w:ascii="Times New Roman" w:hAnsi="Times New Roman"/>
          <w:sz w:val="24"/>
          <w:szCs w:val="24"/>
        </w:rPr>
        <w:t xml:space="preserve"> particularly at paras 64-67.</w:t>
      </w:r>
    </w:p>
    <w:p w14:paraId="53248F38"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3C9729B1" w14:textId="77777777" w:rsidR="009D791A" w:rsidRDefault="007B4448">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 xml:space="preserve">However, in view of the conclusion I have reached that the declaration of invalidity cannot be confirmed, the above observation falls away. It was however one worth mentioning for the benefit of the judge </w:t>
      </w:r>
      <w:r>
        <w:rPr>
          <w:rFonts w:ascii="Times New Roman" w:hAnsi="Times New Roman"/>
          <w:i/>
          <w:iCs/>
          <w:sz w:val="24"/>
          <w:szCs w:val="24"/>
        </w:rPr>
        <w:t>a quo</w:t>
      </w:r>
      <w:r>
        <w:rPr>
          <w:rFonts w:ascii="Times New Roman" w:hAnsi="Times New Roman"/>
          <w:sz w:val="24"/>
          <w:szCs w:val="24"/>
        </w:rPr>
        <w:t xml:space="preserve"> and other judges who may, in the future, make such declarations of invalidity.</w:t>
      </w:r>
    </w:p>
    <w:p w14:paraId="0E2736AF" w14:textId="77777777" w:rsidR="009D791A" w:rsidRDefault="009D791A">
      <w:pPr>
        <w:pStyle w:val="ListParagraph"/>
        <w:rPr>
          <w:rFonts w:ascii="Times New Roman" w:eastAsia="Times New Roman" w:hAnsi="Times New Roman" w:cs="Times New Roman"/>
          <w:sz w:val="24"/>
          <w:szCs w:val="24"/>
        </w:rPr>
      </w:pPr>
    </w:p>
    <w:p w14:paraId="116980B7" w14:textId="77777777" w:rsidR="009D791A" w:rsidRPr="00336C5C" w:rsidRDefault="007B4448">
      <w:pPr>
        <w:pStyle w:val="Body"/>
        <w:tabs>
          <w:tab w:val="left" w:pos="1134"/>
          <w:tab w:val="left" w:pos="1701"/>
        </w:tabs>
        <w:spacing w:after="0" w:line="480" w:lineRule="auto"/>
        <w:jc w:val="both"/>
        <w:rPr>
          <w:rFonts w:ascii="Times New Roman" w:eastAsia="Times New Roman" w:hAnsi="Times New Roman" w:cs="Times New Roman"/>
          <w:b/>
          <w:bCs/>
          <w:sz w:val="24"/>
          <w:szCs w:val="24"/>
          <w:u w:val="single"/>
        </w:rPr>
      </w:pPr>
      <w:r w:rsidRPr="00336C5C">
        <w:rPr>
          <w:rFonts w:ascii="Times New Roman" w:hAnsi="Times New Roman"/>
          <w:b/>
          <w:bCs/>
          <w:sz w:val="24"/>
          <w:szCs w:val="24"/>
          <w:u w:val="single"/>
        </w:rPr>
        <w:t>CONCLUSION</w:t>
      </w:r>
    </w:p>
    <w:p w14:paraId="177B953F" w14:textId="77777777" w:rsidR="009D791A" w:rsidRDefault="009D791A">
      <w:pPr>
        <w:pStyle w:val="Body"/>
        <w:tabs>
          <w:tab w:val="left" w:pos="1134"/>
          <w:tab w:val="left" w:pos="1701"/>
        </w:tabs>
        <w:spacing w:after="0" w:line="480" w:lineRule="auto"/>
        <w:ind w:left="1134" w:hanging="1134"/>
        <w:jc w:val="both"/>
        <w:rPr>
          <w:rFonts w:ascii="Times New Roman" w:eastAsia="Times New Roman" w:hAnsi="Times New Roman" w:cs="Times New Roman"/>
          <w:sz w:val="24"/>
          <w:szCs w:val="24"/>
        </w:rPr>
      </w:pPr>
    </w:p>
    <w:p w14:paraId="7B193E2B" w14:textId="77777777" w:rsidR="009D791A" w:rsidRDefault="007B4448">
      <w:pPr>
        <w:pStyle w:val="ListParagraph"/>
        <w:numPr>
          <w:ilvl w:val="0"/>
          <w:numId w:val="21"/>
        </w:numPr>
        <w:spacing w:after="0" w:line="480" w:lineRule="auto"/>
        <w:jc w:val="both"/>
        <w:rPr>
          <w:rFonts w:ascii="Times New Roman" w:hAnsi="Times New Roman"/>
          <w:b/>
          <w:bCs/>
          <w:sz w:val="24"/>
          <w:szCs w:val="24"/>
        </w:rPr>
      </w:pPr>
      <w:r>
        <w:rPr>
          <w:rFonts w:ascii="Times New Roman" w:hAnsi="Times New Roman"/>
          <w:sz w:val="24"/>
          <w:szCs w:val="24"/>
        </w:rPr>
        <w:t>By way of conclusion and for the above reasons, I agree that the declaration of invalidity cannot be confirmed and that it should, consequently, be set aside with no order as to costs.</w:t>
      </w:r>
    </w:p>
    <w:p w14:paraId="1272DEE0" w14:textId="77777777" w:rsidR="009D791A" w:rsidRDefault="007B4448">
      <w:pPr>
        <w:pStyle w:val="ListParagraph"/>
        <w:numPr>
          <w:ilvl w:val="0"/>
          <w:numId w:val="21"/>
        </w:numPr>
        <w:spacing w:after="0" w:line="480" w:lineRule="auto"/>
        <w:jc w:val="both"/>
        <w:rPr>
          <w:rFonts w:ascii="Times New Roman" w:hAnsi="Times New Roman"/>
          <w:b/>
          <w:bCs/>
          <w:sz w:val="24"/>
          <w:szCs w:val="24"/>
        </w:rPr>
      </w:pPr>
      <w:r>
        <w:rPr>
          <w:rFonts w:ascii="Times New Roman" w:hAnsi="Times New Roman"/>
          <w:sz w:val="24"/>
          <w:szCs w:val="24"/>
        </w:rPr>
        <w:t>I would so order.</w:t>
      </w:r>
      <w:r>
        <w:rPr>
          <w:rFonts w:ascii="Times New Roman" w:hAnsi="Times New Roman"/>
          <w:sz w:val="24"/>
          <w:szCs w:val="24"/>
        </w:rPr>
        <w:tab/>
        <w:t xml:space="preserve"> </w:t>
      </w:r>
    </w:p>
    <w:p w14:paraId="5BDCF68A" w14:textId="77777777" w:rsidR="009D791A" w:rsidRDefault="009D791A">
      <w:pPr>
        <w:pStyle w:val="Default"/>
        <w:spacing w:line="480" w:lineRule="auto"/>
        <w:jc w:val="both"/>
        <w:rPr>
          <w:rFonts w:ascii="Times New Roman" w:eastAsia="Times New Roman" w:hAnsi="Times New Roman" w:cs="Times New Roman"/>
        </w:rPr>
      </w:pPr>
    </w:p>
    <w:p w14:paraId="46EAEAB1" w14:textId="77777777" w:rsidR="009D791A" w:rsidRDefault="009D791A">
      <w:pPr>
        <w:pStyle w:val="Default"/>
        <w:spacing w:line="480" w:lineRule="auto"/>
        <w:jc w:val="both"/>
        <w:rPr>
          <w:rFonts w:ascii="Times New Roman" w:eastAsia="Times New Roman" w:hAnsi="Times New Roman" w:cs="Times New Roman"/>
        </w:rPr>
      </w:pPr>
    </w:p>
    <w:p w14:paraId="3D3A6AFB" w14:textId="77777777" w:rsidR="009D791A" w:rsidRDefault="007B4448">
      <w:pPr>
        <w:pStyle w:val="Default"/>
        <w:spacing w:line="480" w:lineRule="auto"/>
        <w:jc w:val="both"/>
        <w:rPr>
          <w:rFonts w:ascii="Times New Roman" w:eastAsia="Times New Roman" w:hAnsi="Times New Roman" w:cs="Times New Roman"/>
        </w:rPr>
      </w:pPr>
      <w:r>
        <w:rPr>
          <w:rFonts w:ascii="Times New Roman" w:hAnsi="Times New Roman"/>
          <w:b/>
          <w:bCs/>
        </w:rPr>
        <w:lastRenderedPageBreak/>
        <w:t>PATEL JCC:</w:t>
      </w:r>
    </w:p>
    <w:p w14:paraId="0527017E" w14:textId="59DE217A" w:rsidR="009D791A" w:rsidRPr="00336C5C" w:rsidRDefault="00336C5C">
      <w:pPr>
        <w:pStyle w:val="Default"/>
        <w:spacing w:line="480" w:lineRule="auto"/>
        <w:jc w:val="both"/>
        <w:rPr>
          <w:rFonts w:ascii="Times New Roman" w:eastAsia="Times New Roman" w:hAnsi="Times New Roman" w:cs="Times New Roman"/>
          <w:u w:val="single"/>
        </w:rPr>
      </w:pPr>
      <w:r w:rsidRPr="00336C5C">
        <w:rPr>
          <w:rFonts w:ascii="Times New Roman" w:hAnsi="Times New Roman"/>
          <w:b/>
          <w:bCs/>
          <w:u w:val="single"/>
        </w:rPr>
        <w:t>PRELIMINARY ISSUES</w:t>
      </w:r>
    </w:p>
    <w:p w14:paraId="4470FE3D" w14:textId="357E8F84"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I have read the lead judgment of my learned sister </w:t>
      </w:r>
      <w:r w:rsidR="002564B8">
        <w:rPr>
          <w:rFonts w:ascii="Times New Roman" w:hAnsi="Times New Roman"/>
        </w:rPr>
        <w:t>MAKARAU</w:t>
      </w:r>
      <w:r>
        <w:rPr>
          <w:rFonts w:ascii="Times New Roman" w:hAnsi="Times New Roman"/>
        </w:rPr>
        <w:t xml:space="preserve"> JCC and fully agree with her conclusions on the legal standing of the applicants and their cause of action before the High Court, justifying its assumption of jurisdiction in the constitutional matter before it. To summarise, the applicants have established the requisite </w:t>
      </w:r>
      <w:r>
        <w:rPr>
          <w:rFonts w:ascii="Times New Roman" w:hAnsi="Times New Roman"/>
          <w:i/>
          <w:iCs/>
        </w:rPr>
        <w:t>locus standi</w:t>
      </w:r>
      <w:r>
        <w:rPr>
          <w:rFonts w:ascii="Times New Roman" w:hAnsi="Times New Roman"/>
        </w:rPr>
        <w:t xml:space="preserve"> by dint of having raised a matter of public importance and having been motivated by a desire to protect the Constitution and assert its supremacy. Their cause of action, in turn, is embedded in s 2 of the Constitution which expressly declares that any law, custom, practice or conduct that is inconsistent with the Constitution is invalid to the extent of such inconsistency. Their </w:t>
      </w:r>
      <w:r>
        <w:rPr>
          <w:rFonts w:ascii="Times New Roman" w:hAnsi="Times New Roman"/>
          <w:i/>
          <w:iCs/>
        </w:rPr>
        <w:t>causa</w:t>
      </w:r>
      <w:r>
        <w:rPr>
          <w:rFonts w:ascii="Times New Roman" w:hAnsi="Times New Roman"/>
        </w:rPr>
        <w:t xml:space="preserve"> is further buttressed by the broad principle of legality, to wit, that every law, conduct or practice regulating the exercise of public power must be grounded not only in the authority to exercise that power but also in the legitimacy to do so. As regards the jurisdiction of the High Court to entertain the matter, s 171 (1) (c) of the Constitution makes it abundantly clear that the High Court may decide constitutional matters save those that are assigned to the exclusive jurisdiction of the Constitutional Court.</w:t>
      </w:r>
    </w:p>
    <w:p w14:paraId="3DD63E3B" w14:textId="77777777" w:rsidR="009D791A" w:rsidRDefault="009D791A">
      <w:pPr>
        <w:pStyle w:val="Default"/>
        <w:spacing w:line="480" w:lineRule="auto"/>
        <w:jc w:val="both"/>
        <w:rPr>
          <w:rFonts w:ascii="Times New Roman" w:eastAsia="Times New Roman" w:hAnsi="Times New Roman" w:cs="Times New Roman"/>
        </w:rPr>
      </w:pPr>
    </w:p>
    <w:p w14:paraId="5F1E2FA1"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I would make the following additional remarks in support of the position adopted by her Ladyship. The first concerns the procedural route to be taken to invoke the constitutional jurisdiction of the High Court. This arises through s 171 (1) (c) of the Constitution, as read with r 107 of the High Court Rules, 2021, which prescribes the procedure to be followed by a party who intends to raise a constitutional issue before that court. The second relates to the overarching stature of s 2 of the Constitution. In this regard, I take the view that the supremacy of the Constitution, coupled with the </w:t>
      </w:r>
      <w:r>
        <w:rPr>
          <w:rFonts w:ascii="Times New Roman" w:hAnsi="Times New Roman"/>
        </w:rPr>
        <w:lastRenderedPageBreak/>
        <w:t xml:space="preserve">principle of legality, endows every concerned citizen with the requisite </w:t>
      </w:r>
      <w:r>
        <w:rPr>
          <w:rFonts w:ascii="Times New Roman" w:hAnsi="Times New Roman"/>
          <w:i/>
          <w:iCs/>
        </w:rPr>
        <w:t>locus standi</w:t>
      </w:r>
      <w:r>
        <w:rPr>
          <w:rFonts w:ascii="Times New Roman" w:hAnsi="Times New Roman"/>
        </w:rPr>
        <w:t xml:space="preserve"> and </w:t>
      </w:r>
      <w:r>
        <w:rPr>
          <w:rFonts w:ascii="Times New Roman" w:hAnsi="Times New Roman"/>
          <w:i/>
          <w:iCs/>
        </w:rPr>
        <w:t>causa actionis</w:t>
      </w:r>
      <w:r>
        <w:rPr>
          <w:rFonts w:ascii="Times New Roman" w:hAnsi="Times New Roman"/>
        </w:rPr>
        <w:t>, and the High Court with the correlative jurisdiction, to enforce the strictures of that section and thereby vindicate the Constitution. Any contrary position would operate to render the section otiose or nugatory and virtually moribund. It is a key provision that serves to undergird the entire structure and enforceability of the Constitution itself.</w:t>
      </w:r>
    </w:p>
    <w:p w14:paraId="2416174B" w14:textId="77777777" w:rsidR="009D791A" w:rsidRDefault="009D791A">
      <w:pPr>
        <w:pStyle w:val="Default"/>
        <w:spacing w:line="480" w:lineRule="auto"/>
        <w:jc w:val="both"/>
        <w:rPr>
          <w:rFonts w:ascii="Times New Roman" w:eastAsia="Times New Roman" w:hAnsi="Times New Roman" w:cs="Times New Roman"/>
        </w:rPr>
      </w:pPr>
    </w:p>
    <w:p w14:paraId="7E886FFC"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Lastly, as a preliminary matter, I should address the reservations raised in his separate opinion by my learned brother GARWE JCC, concerning the apparently abstract nature of the dispute placed before the High Court. I am inclined to agree that, as a general rule, the courts should eschew pronouncements on matters that are entirely abstract or academic. However, my assessment of the instant case is that it raises a constitutional question of paramount public and national importance. I therefore take the view that this question, notwithstanding its ostensibly abstract character, warrants a definitive determination of the constitutionality of s 314 of the Urban Councils Act vis-à-vis the principles enshrined in Chapter 14 of the Constitution. It is clearly in the interests of justice that this Court should adjudicate the merits of the matter.</w:t>
      </w:r>
    </w:p>
    <w:p w14:paraId="533D0B49" w14:textId="77777777" w:rsidR="009D791A" w:rsidRDefault="009D791A">
      <w:pPr>
        <w:pStyle w:val="Default"/>
        <w:spacing w:line="480" w:lineRule="auto"/>
        <w:jc w:val="both"/>
        <w:rPr>
          <w:rFonts w:ascii="Times New Roman" w:eastAsia="Times New Roman" w:hAnsi="Times New Roman" w:cs="Times New Roman"/>
        </w:rPr>
      </w:pPr>
    </w:p>
    <w:p w14:paraId="67E6C95B" w14:textId="45692912" w:rsidR="009D791A" w:rsidRPr="00336C5C" w:rsidRDefault="00336C5C">
      <w:pPr>
        <w:pStyle w:val="Default"/>
        <w:spacing w:line="480" w:lineRule="auto"/>
        <w:jc w:val="both"/>
        <w:rPr>
          <w:rFonts w:ascii="Times New Roman" w:eastAsia="Times New Roman" w:hAnsi="Times New Roman" w:cs="Times New Roman"/>
          <w:u w:val="single"/>
        </w:rPr>
      </w:pPr>
      <w:r w:rsidRPr="00336C5C">
        <w:rPr>
          <w:rFonts w:ascii="Times New Roman" w:hAnsi="Times New Roman"/>
          <w:b/>
          <w:bCs/>
          <w:u w:val="single"/>
        </w:rPr>
        <w:t>PRINCIPAL FINDINGS OF THE LEAD JUDGMENT</w:t>
      </w:r>
    </w:p>
    <w:p w14:paraId="1BC7A019"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Having made the foregoing preliminary observations, I now turn to consider the merits of the matter. It is here that I must respectfully differ and disagree with her Ladyship’s disposition of this case. The principal features of her judgment, as I understand them, are as follows:</w:t>
      </w:r>
    </w:p>
    <w:p w14:paraId="5455921B" w14:textId="77777777" w:rsidR="009D791A" w:rsidRDefault="007B4448">
      <w:pPr>
        <w:pStyle w:val="Default"/>
        <w:numPr>
          <w:ilvl w:val="0"/>
          <w:numId w:val="28"/>
        </w:numPr>
        <w:spacing w:line="480" w:lineRule="auto"/>
        <w:jc w:val="both"/>
        <w:rPr>
          <w:rFonts w:ascii="Times New Roman" w:hAnsi="Times New Roman"/>
        </w:rPr>
      </w:pPr>
      <w:r>
        <w:rPr>
          <w:rFonts w:ascii="Times New Roman" w:hAnsi="Times New Roman"/>
        </w:rPr>
        <w:lastRenderedPageBreak/>
        <w:t>In order to secure the core values of devolution, the Minister responsible for local government, on behalf of central government, must retain residual oversight powers to step in when necessary.</w:t>
      </w:r>
    </w:p>
    <w:p w14:paraId="71D30A65" w14:textId="77777777" w:rsidR="009D791A" w:rsidRDefault="007B4448">
      <w:pPr>
        <w:pStyle w:val="Default"/>
        <w:numPr>
          <w:ilvl w:val="0"/>
          <w:numId w:val="28"/>
        </w:numPr>
        <w:spacing w:line="480" w:lineRule="auto"/>
        <w:jc w:val="both"/>
        <w:rPr>
          <w:rFonts w:ascii="Times New Roman" w:hAnsi="Times New Roman"/>
        </w:rPr>
      </w:pPr>
      <w:r>
        <w:rPr>
          <w:rFonts w:ascii="Times New Roman" w:hAnsi="Times New Roman"/>
        </w:rPr>
        <w:t>For that purpose, the provisions of s 314 of the Urban Councils Act are necessary and must be construed in consonance with the presumption of constitutionality.</w:t>
      </w:r>
    </w:p>
    <w:p w14:paraId="4842B6CF" w14:textId="77777777" w:rsidR="009D791A" w:rsidRDefault="007B4448">
      <w:pPr>
        <w:pStyle w:val="Default"/>
        <w:numPr>
          <w:ilvl w:val="0"/>
          <w:numId w:val="28"/>
        </w:numPr>
        <w:spacing w:line="480" w:lineRule="auto"/>
        <w:jc w:val="both"/>
        <w:rPr>
          <w:rFonts w:ascii="Times New Roman" w:hAnsi="Times New Roman"/>
        </w:rPr>
      </w:pPr>
      <w:r>
        <w:rPr>
          <w:rFonts w:ascii="Times New Roman" w:hAnsi="Times New Roman"/>
        </w:rPr>
        <w:t>On the foregoing premises, the power granted to the Minister in s 314 of the Act is constitutional.</w:t>
      </w:r>
    </w:p>
    <w:p w14:paraId="426BEF40" w14:textId="77777777" w:rsidR="009D791A" w:rsidRDefault="007B4448">
      <w:pPr>
        <w:pStyle w:val="Default"/>
        <w:numPr>
          <w:ilvl w:val="0"/>
          <w:numId w:val="28"/>
        </w:numPr>
        <w:spacing w:line="480" w:lineRule="auto"/>
        <w:jc w:val="both"/>
        <w:rPr>
          <w:rFonts w:ascii="Times New Roman" w:hAnsi="Times New Roman"/>
        </w:rPr>
      </w:pPr>
      <w:r>
        <w:rPr>
          <w:rFonts w:ascii="Times New Roman" w:hAnsi="Times New Roman"/>
        </w:rPr>
        <w:t>In the exercise of that power, the Minister must act rationally and give reasons for his or her decision, which is always subject to judicial control under the Administrative Justice Act.</w:t>
      </w:r>
    </w:p>
    <w:p w14:paraId="41C6521A" w14:textId="77777777" w:rsidR="009D791A" w:rsidRDefault="007B4448">
      <w:pPr>
        <w:pStyle w:val="Default"/>
        <w:numPr>
          <w:ilvl w:val="0"/>
          <w:numId w:val="28"/>
        </w:numPr>
        <w:spacing w:line="480" w:lineRule="auto"/>
        <w:jc w:val="both"/>
        <w:rPr>
          <w:rFonts w:ascii="Times New Roman" w:hAnsi="Times New Roman"/>
        </w:rPr>
      </w:pPr>
      <w:r>
        <w:rPr>
          <w:rFonts w:ascii="Times New Roman" w:hAnsi="Times New Roman"/>
        </w:rPr>
        <w:t>The devolution of power envisaged in the Constitution is to leave local authorities to manage and govern their own affairs, subject to the Minister’s reversing, suspending or rescinding those decisions that are demonstrably not in the local, public or national interest.</w:t>
      </w:r>
    </w:p>
    <w:p w14:paraId="70487FD7" w14:textId="77777777" w:rsidR="009D791A" w:rsidRDefault="007B4448">
      <w:pPr>
        <w:pStyle w:val="Default"/>
        <w:numPr>
          <w:ilvl w:val="0"/>
          <w:numId w:val="28"/>
        </w:numPr>
        <w:spacing w:line="480" w:lineRule="auto"/>
        <w:jc w:val="both"/>
        <w:rPr>
          <w:rFonts w:ascii="Times New Roman" w:hAnsi="Times New Roman"/>
        </w:rPr>
      </w:pPr>
      <w:r>
        <w:rPr>
          <w:rFonts w:ascii="Times New Roman" w:hAnsi="Times New Roman"/>
        </w:rPr>
        <w:t>The decisions and conduct of the Minister being subject at common law to judicial review, the impugned s 314 is thereby saved from being unconstitutional.</w:t>
      </w:r>
    </w:p>
    <w:p w14:paraId="285D577D" w14:textId="77777777" w:rsidR="009D791A" w:rsidRDefault="009D791A">
      <w:pPr>
        <w:pStyle w:val="Default"/>
        <w:spacing w:line="480" w:lineRule="auto"/>
        <w:jc w:val="both"/>
        <w:rPr>
          <w:rFonts w:ascii="Times New Roman" w:eastAsia="Times New Roman" w:hAnsi="Times New Roman" w:cs="Times New Roman"/>
        </w:rPr>
      </w:pPr>
    </w:p>
    <w:p w14:paraId="1FF21DF8" w14:textId="6BCB294A" w:rsidR="009D791A" w:rsidRPr="00C34ED9" w:rsidRDefault="00C34ED9">
      <w:pPr>
        <w:pStyle w:val="Default"/>
        <w:spacing w:line="480" w:lineRule="auto"/>
        <w:jc w:val="both"/>
        <w:rPr>
          <w:rFonts w:ascii="Times New Roman" w:eastAsia="Times New Roman" w:hAnsi="Times New Roman" w:cs="Times New Roman"/>
          <w:u w:val="single"/>
        </w:rPr>
      </w:pPr>
      <w:r w:rsidRPr="00C34ED9">
        <w:rPr>
          <w:rFonts w:ascii="Times New Roman" w:hAnsi="Times New Roman"/>
          <w:b/>
          <w:bCs/>
          <w:u w:val="single"/>
        </w:rPr>
        <w:t>DEVOLUTION UNDER THE CONSTITUTION</w:t>
      </w:r>
    </w:p>
    <w:p w14:paraId="2674787B" w14:textId="77777777" w:rsidR="009D791A" w:rsidRDefault="007B4448">
      <w:pPr>
        <w:pStyle w:val="Default"/>
        <w:numPr>
          <w:ilvl w:val="0"/>
          <w:numId w:val="29"/>
        </w:numPr>
        <w:spacing w:line="480" w:lineRule="auto"/>
        <w:jc w:val="both"/>
        <w:rPr>
          <w:rFonts w:ascii="Times New Roman" w:hAnsi="Times New Roman"/>
        </w:rPr>
      </w:pPr>
      <w:r>
        <w:rPr>
          <w:rFonts w:ascii="Times New Roman" w:hAnsi="Times New Roman"/>
        </w:rPr>
        <w:t xml:space="preserve">It is necessary at this stage to revisit the provisions relied upon by the applicants, </w:t>
      </w:r>
      <w:r>
        <w:rPr>
          <w:rFonts w:ascii="Times New Roman" w:hAnsi="Times New Roman"/>
          <w:i/>
          <w:iCs/>
        </w:rPr>
        <w:t>viz.</w:t>
      </w:r>
      <w:r>
        <w:rPr>
          <w:rFonts w:ascii="Times New Roman" w:hAnsi="Times New Roman"/>
        </w:rPr>
        <w:t xml:space="preserve"> Chapter 14 of the Constitution in general and ss 264, 265 and 274 in particular. The Preamble to Chapter 14 articulates the broad principle that there must be devolution of power and responsibilities to lower tiers of government in Zimbabwe. Section 264 (1) elaborates the principle that governmental powers and responsibilities, must be devolved, where appropriate, to councils and local authorities which are competent to carry out those responsibilities efficiently and effectively. The specific objectives of </w:t>
      </w:r>
      <w:r>
        <w:rPr>
          <w:rFonts w:ascii="Times New Roman" w:hAnsi="Times New Roman"/>
        </w:rPr>
        <w:lastRenderedPageBreak/>
        <w:t>devolution are spelt out in s 264 (2). These are, amongst other things, to give “powers of local governance to the people in making decisions affecting them”, to promote “democratic and effective government”, to recognise “the right of communities to manage their own affairs and to further their development”, to ensure the equitable sharing of local and national resources, and to transfer resources in order to establish a sound financial base for each council and local authority.</w:t>
      </w:r>
    </w:p>
    <w:p w14:paraId="5D3EC1CD" w14:textId="77777777" w:rsidR="009D791A" w:rsidRDefault="009D791A">
      <w:pPr>
        <w:pStyle w:val="Default"/>
        <w:spacing w:line="480" w:lineRule="auto"/>
        <w:jc w:val="both"/>
        <w:rPr>
          <w:rFonts w:ascii="Times New Roman" w:eastAsia="Times New Roman" w:hAnsi="Times New Roman" w:cs="Times New Roman"/>
        </w:rPr>
      </w:pPr>
    </w:p>
    <w:p w14:paraId="4B9DBB60"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Section 265 (1) delineates the general principles of provincial, metropolitan and local government. Councils and local authorities are enjoined, within their respective spheres, to ensure good governance, to exercise their functions in a manner that does not encroach on the functional integrity of another tier of government, to co-operate with one another, and to secure the public welfare. Section 265 (3) stipulates that an Act of Parliament must provide “appropriate mechanisms and procedures” to facilitate co-ordination between central government, provincial and metropolitan councils and local authorities.</w:t>
      </w:r>
    </w:p>
    <w:p w14:paraId="7D2A2CE9" w14:textId="77777777" w:rsidR="009D791A" w:rsidRDefault="009D791A">
      <w:pPr>
        <w:pStyle w:val="Default"/>
        <w:spacing w:line="480" w:lineRule="auto"/>
        <w:jc w:val="both"/>
        <w:rPr>
          <w:rFonts w:ascii="Times New Roman" w:eastAsia="Times New Roman" w:hAnsi="Times New Roman" w:cs="Times New Roman"/>
        </w:rPr>
      </w:pPr>
    </w:p>
    <w:p w14:paraId="532698F5" w14:textId="6E6B3A1A" w:rsidR="009D791A" w:rsidRPr="00C34ED9" w:rsidRDefault="007B4448" w:rsidP="00C34ED9">
      <w:pPr>
        <w:pStyle w:val="Default"/>
        <w:numPr>
          <w:ilvl w:val="0"/>
          <w:numId w:val="2"/>
        </w:numPr>
        <w:spacing w:line="480" w:lineRule="auto"/>
        <w:jc w:val="both"/>
        <w:rPr>
          <w:rFonts w:ascii="Times New Roman" w:hAnsi="Times New Roman"/>
        </w:rPr>
      </w:pPr>
      <w:r>
        <w:rPr>
          <w:rFonts w:ascii="Times New Roman" w:hAnsi="Times New Roman"/>
        </w:rPr>
        <w:t>Last but not least, there is s 274 of the Constitution which addresses the role and structure of urban local authorities. Section 274 (1) recognises that these authorities exist “to represent and manage the affairs of people in urban areas” throughout Zimbabwe. Section 274 (2) states that urban local authorities are managed by councils composed of councillors elected by registered voters and presided over by elected mayors. The remainder of s 274 deals with different classes of local authorities, the qualifications and procedures for election to council office and the conferment of executive powers on mayors elected directly by registered voters in the urban areas concerned.</w:t>
      </w:r>
    </w:p>
    <w:p w14:paraId="0AC6D12A"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lastRenderedPageBreak/>
        <w:t xml:space="preserve">Mr </w:t>
      </w:r>
      <w:r>
        <w:rPr>
          <w:rFonts w:ascii="Times New Roman" w:hAnsi="Times New Roman"/>
          <w:i/>
          <w:iCs/>
        </w:rPr>
        <w:t>Madhuku</w:t>
      </w:r>
      <w:r>
        <w:rPr>
          <w:rFonts w:ascii="Times New Roman" w:hAnsi="Times New Roman"/>
        </w:rPr>
        <w:t>, for the applicants, reiterates the point that devolution is intended to grant urban councils the power to determine their own affairs. In that regard, the responsible Minister must conform with the principle of legality. He or she cannot determine what is in the public or national interest contrary to the concept of devolution. The Minister’s power under s 314 of the Urban Councils Act undermines that concept.</w:t>
      </w:r>
    </w:p>
    <w:p w14:paraId="0852E9CA" w14:textId="77777777" w:rsidR="009D791A" w:rsidRDefault="009D791A">
      <w:pPr>
        <w:pStyle w:val="Default"/>
        <w:spacing w:line="480" w:lineRule="auto"/>
        <w:jc w:val="both"/>
        <w:rPr>
          <w:rFonts w:ascii="Times New Roman" w:eastAsia="Times New Roman" w:hAnsi="Times New Roman" w:cs="Times New Roman"/>
        </w:rPr>
      </w:pPr>
    </w:p>
    <w:p w14:paraId="6FDFA054"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Mr </w:t>
      </w:r>
      <w:r>
        <w:rPr>
          <w:rFonts w:ascii="Times New Roman" w:hAnsi="Times New Roman"/>
          <w:i/>
          <w:iCs/>
        </w:rPr>
        <w:t>Uriri</w:t>
      </w:r>
      <w:r>
        <w:rPr>
          <w:rFonts w:ascii="Times New Roman" w:hAnsi="Times New Roman"/>
        </w:rPr>
        <w:t>, for the respondent, submits that councils and local authorities assume and exercise their powers as delegates of central government. Zimbabwe is a unitary State and, within that framework, s 264 of the Constitution provides for devolution where appropriate, while s 265 empowers councils and local authorities within their respective spheres of governance.</w:t>
      </w:r>
    </w:p>
    <w:p w14:paraId="7116AE53" w14:textId="77777777" w:rsidR="009D791A" w:rsidRDefault="009D791A">
      <w:pPr>
        <w:pStyle w:val="Default"/>
        <w:spacing w:line="480" w:lineRule="auto"/>
        <w:jc w:val="both"/>
        <w:rPr>
          <w:rFonts w:ascii="Times New Roman" w:eastAsia="Times New Roman" w:hAnsi="Times New Roman" w:cs="Times New Roman"/>
        </w:rPr>
      </w:pPr>
    </w:p>
    <w:p w14:paraId="0E2A9114"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The provisions of ss 264, 265 and 274 of the Constitution are critical to addressing the question at hand: How should powers and responsibilities in a unitary State be devolved to lower tiers of government and, in particular, to urban councils? The provisions that I have cited derive their authority and inspiration from the principles enshrined in the Preamble to Chapter 14 of the Constitution. These are: the preservation of national unity and the prevention of disunity and secessionism; the democratic participation in government by all citizens and communities; the equitable allocation of national resources; and the participation of local communities in the determination of national priorities within their areas.</w:t>
      </w:r>
    </w:p>
    <w:p w14:paraId="120C6789" w14:textId="77777777" w:rsidR="009D791A" w:rsidRDefault="009D791A">
      <w:pPr>
        <w:pStyle w:val="Default"/>
        <w:spacing w:line="480" w:lineRule="auto"/>
        <w:ind w:firstLine="720"/>
        <w:jc w:val="both"/>
        <w:rPr>
          <w:rFonts w:ascii="Times New Roman" w:eastAsia="Times New Roman" w:hAnsi="Times New Roman" w:cs="Times New Roman"/>
        </w:rPr>
      </w:pPr>
    </w:p>
    <w:p w14:paraId="00ECC040" w14:textId="1A658D7E"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My reading of these principles and their exposition in ss 264, 265 and 274 is that they contemplate a balanced relationship between central government on the one hand and the lower tiers of government on the other. Admittedly, this relationship does allow, in </w:t>
      </w:r>
      <w:r>
        <w:rPr>
          <w:rFonts w:ascii="Times New Roman" w:hAnsi="Times New Roman"/>
        </w:rPr>
        <w:lastRenderedPageBreak/>
        <w:t>the interests of preserving national unity, for the centralised supervision of the conduct and activities of local government so as to ensure efficient and effective administration throughout the land. However, this supervision is conceived as being benign, supportive and permissive rather than authoritarian and oppressive. What it does not envisage, in my view, is the paternalistic exercise of central oversight such that it becomes overbearing and destructive of the crucial principles of democratic participation in government by all citizens and their participation in the determination of development priorities within their areas. That form of supervision and control negates the possibility of any balanced relationship between central government and local institutions. It entails a top-to-bottom as opposed to a centrally dispersed relationship that enables local tiers of governmen</w:t>
      </w:r>
      <w:r w:rsidR="00057A01">
        <w:rPr>
          <w:rFonts w:ascii="Times New Roman" w:hAnsi="Times New Roman"/>
        </w:rPr>
        <w:t>t to contribute to the commo</w:t>
      </w:r>
      <w:r>
        <w:rPr>
          <w:rFonts w:ascii="Times New Roman" w:hAnsi="Times New Roman"/>
        </w:rPr>
        <w:t>n</w:t>
      </w:r>
      <w:r w:rsidR="00057A01">
        <w:rPr>
          <w:rFonts w:ascii="Times New Roman" w:hAnsi="Times New Roman"/>
        </w:rPr>
        <w:t xml:space="preserve"> good</w:t>
      </w:r>
      <w:r>
        <w:rPr>
          <w:rFonts w:ascii="Times New Roman" w:hAnsi="Times New Roman"/>
        </w:rPr>
        <w:t xml:space="preserve"> the national interest.</w:t>
      </w:r>
    </w:p>
    <w:p w14:paraId="159803AF" w14:textId="77777777" w:rsidR="009D791A" w:rsidRDefault="009D791A">
      <w:pPr>
        <w:pStyle w:val="Default"/>
        <w:spacing w:line="480" w:lineRule="auto"/>
        <w:jc w:val="both"/>
        <w:rPr>
          <w:rFonts w:ascii="Times New Roman" w:eastAsia="Times New Roman" w:hAnsi="Times New Roman" w:cs="Times New Roman"/>
        </w:rPr>
      </w:pPr>
    </w:p>
    <w:p w14:paraId="03D21F67" w14:textId="55DFD44E" w:rsidR="009D791A" w:rsidRPr="00B65AE6" w:rsidRDefault="00B65AE6">
      <w:pPr>
        <w:pStyle w:val="Default"/>
        <w:spacing w:line="480" w:lineRule="auto"/>
        <w:jc w:val="both"/>
        <w:rPr>
          <w:rFonts w:ascii="Times New Roman" w:eastAsia="Times New Roman" w:hAnsi="Times New Roman" w:cs="Times New Roman"/>
          <w:u w:val="single"/>
        </w:rPr>
      </w:pPr>
      <w:r w:rsidRPr="00B65AE6">
        <w:rPr>
          <w:rFonts w:ascii="Times New Roman" w:hAnsi="Times New Roman"/>
          <w:b/>
          <w:bCs/>
          <w:u w:val="single"/>
        </w:rPr>
        <w:t>SECTION 314 OF THE URBAN COUNCILS ACT</w:t>
      </w:r>
    </w:p>
    <w:p w14:paraId="2F0B74B2"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Mr </w:t>
      </w:r>
      <w:r>
        <w:rPr>
          <w:rFonts w:ascii="Times New Roman" w:hAnsi="Times New Roman"/>
          <w:i/>
          <w:iCs/>
        </w:rPr>
        <w:t>Madhuku</w:t>
      </w:r>
      <w:r>
        <w:rPr>
          <w:rFonts w:ascii="Times New Roman" w:hAnsi="Times New Roman"/>
        </w:rPr>
        <w:t xml:space="preserve"> submits that s 314 of the Act predates the current Constitution and is out of line therewith. It enables the Minister to determine what is in the national or public interest and to order local authorities to do what he or she wants. The Minister should not be allowed to direct the daily running of local authorities and should not be involved at all in attempting to enforce public authority. How and to what extent central government should be involved in the running of local affairs are questions for further policy debate.</w:t>
      </w:r>
    </w:p>
    <w:p w14:paraId="65888A52" w14:textId="77777777" w:rsidR="009D791A" w:rsidRDefault="009D791A">
      <w:pPr>
        <w:pStyle w:val="Default"/>
        <w:spacing w:line="480" w:lineRule="auto"/>
        <w:jc w:val="both"/>
        <w:rPr>
          <w:rFonts w:ascii="Times New Roman" w:eastAsia="Times New Roman" w:hAnsi="Times New Roman" w:cs="Times New Roman"/>
        </w:rPr>
      </w:pPr>
    </w:p>
    <w:p w14:paraId="422F5015"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Mr </w:t>
      </w:r>
      <w:r>
        <w:rPr>
          <w:rFonts w:ascii="Times New Roman" w:hAnsi="Times New Roman"/>
          <w:i/>
          <w:iCs/>
        </w:rPr>
        <w:t>Uriri</w:t>
      </w:r>
      <w:r>
        <w:rPr>
          <w:rFonts w:ascii="Times New Roman" w:hAnsi="Times New Roman"/>
        </w:rPr>
        <w:t xml:space="preserve"> counters that s 314 of the Act only empowers the</w:t>
      </w:r>
      <w:r>
        <w:rPr>
          <w:rFonts w:ascii="Times New Roman" w:hAnsi="Times New Roman"/>
          <w:i/>
          <w:iCs/>
        </w:rPr>
        <w:t xml:space="preserve"> </w:t>
      </w:r>
      <w:r>
        <w:rPr>
          <w:rFonts w:ascii="Times New Roman" w:hAnsi="Times New Roman"/>
        </w:rPr>
        <w:t xml:space="preserve">Minister to invoke its provisions where and when necessary. He or she is guided by the principle of legality and the resultant decision must be rational, procedural and lawful. Section 314 does not </w:t>
      </w:r>
      <w:r>
        <w:rPr>
          <w:rFonts w:ascii="Times New Roman" w:hAnsi="Times New Roman"/>
        </w:rPr>
        <w:lastRenderedPageBreak/>
        <w:t>take away local governance. In this respect, the application lacks specificity as to which particular provisions of ss 264 and 265 of the Constitution are violated by s 314 of the Act.</w:t>
      </w:r>
    </w:p>
    <w:p w14:paraId="2C200128" w14:textId="77777777" w:rsidR="009D791A" w:rsidRDefault="009D791A">
      <w:pPr>
        <w:pStyle w:val="Default"/>
        <w:spacing w:line="480" w:lineRule="auto"/>
        <w:jc w:val="both"/>
        <w:rPr>
          <w:rFonts w:ascii="Times New Roman" w:eastAsia="Times New Roman" w:hAnsi="Times New Roman" w:cs="Times New Roman"/>
        </w:rPr>
      </w:pPr>
    </w:p>
    <w:p w14:paraId="62D938F7"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The critical components of s 314 are as follows: (i) The Minister may form the view that a resolution, decision or action of an urban council is not in the interests of its inhabitants or is not in the national or public interest. (ii) He or she may then direct the council to reverse, suspend or rescind such resolution or decision or to reverse or suspend such action. (iii) Any direction of the Minister to a council must be in writing. (iv) The council concerned must, with all due expedition, comply with any such direction.</w:t>
      </w:r>
    </w:p>
    <w:p w14:paraId="426B48FA" w14:textId="77777777" w:rsidR="009D791A" w:rsidRDefault="009D791A">
      <w:pPr>
        <w:pStyle w:val="Default"/>
        <w:spacing w:line="480" w:lineRule="auto"/>
        <w:jc w:val="both"/>
        <w:rPr>
          <w:rFonts w:ascii="Times New Roman" w:eastAsia="Times New Roman" w:hAnsi="Times New Roman" w:cs="Times New Roman"/>
        </w:rPr>
      </w:pPr>
    </w:p>
    <w:p w14:paraId="28DB7238"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The ordinary grammatical meaning of s 314 is relatively clear and uncomplicated. The Minister may at any time decide that any decision or action of any council is contrary to the interests of local inhabitants or the citizenry at large. The determination as to what is or is not in the local, national or public interest rests exclusively in the Minister’s prerogative. The council concerned has absolutely no say in the matter. Furthermore, it is the Minister alone who exercises the discretion to have the council’s decision or action reversed, suspended or rescinded. Again, the council or its inhabitants cannot make any meaningful input or contribution to the manner in which the Minister exercises his or her discretion. They must simply obey and comply with the Minister’s direction, and they must do so “with all due expedition”. There is no room for any interchange whatsoever between the Minister on the one hand and the council and its inhabitants on the other. In essence, the provisions of s 314, taken as a whole, bear all the hallmarks of diktat rather than discourse.</w:t>
      </w:r>
    </w:p>
    <w:p w14:paraId="05B98831" w14:textId="77777777" w:rsidR="009D791A" w:rsidRDefault="009D791A">
      <w:pPr>
        <w:pStyle w:val="Default"/>
        <w:spacing w:line="480" w:lineRule="auto"/>
        <w:jc w:val="both"/>
        <w:rPr>
          <w:rFonts w:ascii="Times New Roman" w:eastAsia="Times New Roman" w:hAnsi="Times New Roman" w:cs="Times New Roman"/>
        </w:rPr>
      </w:pPr>
    </w:p>
    <w:p w14:paraId="39AA7BF8"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When s 314 is evaluated against the principles embedded in Chapter 14 of the Constitution, it becomes evident that the section does not allow for democratic participation in government by the citizens concerned. Nor does it comprehend the participation of local communities in the determination of development priorities within their areas. It is bluntly undemocratic in both its construction and in its practical implementation.</w:t>
      </w:r>
    </w:p>
    <w:p w14:paraId="5C62AD76" w14:textId="77777777" w:rsidR="009D791A" w:rsidRDefault="009D791A">
      <w:pPr>
        <w:pStyle w:val="Default"/>
        <w:spacing w:line="480" w:lineRule="auto"/>
        <w:jc w:val="both"/>
        <w:rPr>
          <w:rFonts w:ascii="Times New Roman" w:eastAsia="Times New Roman" w:hAnsi="Times New Roman" w:cs="Times New Roman"/>
        </w:rPr>
      </w:pPr>
    </w:p>
    <w:p w14:paraId="50A575F0"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I have no doubt that the Minister, as the duly anointed executive representative of central government in our unitary State, is properly entitled to oversee the operations of councils and local authorities, and to intervene whenever it becomes necessary to do so, in order to ensure the effective and efficient functioning of all of the lower tiers of government. However, it must surely be possible for him or her to do so in a less dictatorial and coercive fashion. In my view, virtually everything contained in s 314 of the Act offends the concepts of devolution and democratic governance embodied in Chapter 14 of the Constitution. And it is not even possible, as is enjoined by para 11 of the Sixth Schedule to the Constitution, to construe it benevolently in such a manner as to apply it in conformity with the Constitution. It cannot be salvaged in any way and is patently unconstitutional. It needs to be appropriately palliated and recast so as to conform with the Constitution.</w:t>
      </w:r>
    </w:p>
    <w:p w14:paraId="76AA4B81" w14:textId="77777777" w:rsidR="009D791A" w:rsidRDefault="009D791A">
      <w:pPr>
        <w:pStyle w:val="Default"/>
        <w:spacing w:line="480" w:lineRule="auto"/>
        <w:jc w:val="both"/>
        <w:rPr>
          <w:rFonts w:ascii="Times New Roman" w:eastAsia="Times New Roman" w:hAnsi="Times New Roman" w:cs="Times New Roman"/>
        </w:rPr>
      </w:pPr>
    </w:p>
    <w:p w14:paraId="7E1F9376"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 xml:space="preserve">In taking the position that I have adopted, I remain alive to the twin doctrines of subsidiarity and avoidance. In that context, the way is undoubtedly open for any council or citizen, who might be aggrieved by any decision of the Minister taken in terms of s 314, to challenge that decision, either by way of judicial review at common law or under </w:t>
      </w:r>
      <w:r>
        <w:rPr>
          <w:rFonts w:ascii="Times New Roman" w:hAnsi="Times New Roman"/>
        </w:rPr>
        <w:lastRenderedPageBreak/>
        <w:t>the provisions of the Administrative Justice Act. However, as was correctly pointed out by counsel for the applicants, this piecemeal approach would entail a multiplicity of litigation with its attendant problems of being both costly and time-consuming. For this reason, I would espouse a single approach to the legislature to attend to the revision of s 314.</w:t>
      </w:r>
    </w:p>
    <w:p w14:paraId="1C6922F6" w14:textId="77777777" w:rsidR="009D791A" w:rsidRDefault="009D791A">
      <w:pPr>
        <w:pStyle w:val="Default"/>
        <w:spacing w:line="480" w:lineRule="auto"/>
        <w:jc w:val="both"/>
        <w:rPr>
          <w:rFonts w:ascii="Times New Roman" w:eastAsia="Times New Roman" w:hAnsi="Times New Roman" w:cs="Times New Roman"/>
        </w:rPr>
      </w:pPr>
    </w:p>
    <w:p w14:paraId="086EEC0C" w14:textId="70A9BB48" w:rsidR="009D791A" w:rsidRPr="00B65AE6" w:rsidRDefault="00B65AE6">
      <w:pPr>
        <w:pStyle w:val="Default"/>
        <w:spacing w:line="480" w:lineRule="auto"/>
        <w:jc w:val="both"/>
        <w:rPr>
          <w:rFonts w:ascii="Times New Roman" w:eastAsia="Times New Roman" w:hAnsi="Times New Roman" w:cs="Times New Roman"/>
          <w:u w:val="single"/>
        </w:rPr>
      </w:pPr>
      <w:r w:rsidRPr="00B65AE6">
        <w:rPr>
          <w:rFonts w:ascii="Times New Roman" w:hAnsi="Times New Roman"/>
          <w:b/>
          <w:bCs/>
          <w:u w:val="single"/>
        </w:rPr>
        <w:t>THE APPROPRIATE REMEDY</w:t>
      </w:r>
    </w:p>
    <w:p w14:paraId="22623013" w14:textId="77777777" w:rsidR="009D791A" w:rsidRDefault="007B4448">
      <w:pPr>
        <w:pStyle w:val="Default"/>
        <w:numPr>
          <w:ilvl w:val="0"/>
          <w:numId w:val="2"/>
        </w:numPr>
        <w:spacing w:line="480" w:lineRule="auto"/>
        <w:jc w:val="both"/>
        <w:rPr>
          <w:rFonts w:ascii="Times New Roman" w:hAnsi="Times New Roman"/>
        </w:rPr>
      </w:pPr>
      <w:r>
        <w:rPr>
          <w:rFonts w:ascii="Times New Roman" w:hAnsi="Times New Roman"/>
        </w:rPr>
        <w:t>By virtue of s 175 (6) of the Constitution, this Court is at large to fashion an appropriate remedy in the event that it finds any law to be inconsistent with the Constitution. In the present case, had the position of the minority prevailed, the appropriate remedy would have been to set aside the entirety of s 314 but suspend the declaration of its invalidity for a stipulated period of time, so as to enable the legislature, within that period, to formulate an appropriate policy and thereafter re-enact a constitutionally coherent provision to replace s 314 of the Urban Councils Act. The underlying objectives of the re-enacted provision, in keeping with s 265 (3) and s 274 (1) of the Constitution, should be to provide appropriate mechanisms and procedures to facilitate co-ordination between the different tiers of government and to enable urban councils to meaningfully represent and manage the affairs of people in their respective urban areas.</w:t>
      </w:r>
    </w:p>
    <w:p w14:paraId="2BDB06B8" w14:textId="77777777" w:rsidR="009D791A" w:rsidRDefault="009D791A">
      <w:pPr>
        <w:pStyle w:val="Default"/>
        <w:spacing w:line="480" w:lineRule="auto"/>
        <w:ind w:left="720"/>
        <w:jc w:val="both"/>
        <w:rPr>
          <w:rFonts w:ascii="Times New Roman" w:eastAsia="Times New Roman" w:hAnsi="Times New Roman" w:cs="Times New Roman"/>
        </w:rPr>
      </w:pPr>
    </w:p>
    <w:p w14:paraId="0C9D9511" w14:textId="77777777" w:rsidR="009D791A" w:rsidRDefault="007B4448">
      <w:pPr>
        <w:pStyle w:val="ListParagraph"/>
        <w:numPr>
          <w:ilvl w:val="0"/>
          <w:numId w:val="2"/>
        </w:numPr>
        <w:spacing w:after="0" w:line="480" w:lineRule="auto"/>
        <w:jc w:val="both"/>
        <w:rPr>
          <w:rFonts w:ascii="Times New Roman" w:hAnsi="Times New Roman"/>
          <w:sz w:val="24"/>
          <w:szCs w:val="24"/>
        </w:rPr>
      </w:pPr>
      <w:r>
        <w:rPr>
          <w:rFonts w:ascii="Times New Roman" w:hAnsi="Times New Roman"/>
          <w:sz w:val="24"/>
          <w:szCs w:val="24"/>
        </w:rPr>
        <w:t>For the reasons earlier stated, I would confirm the order of the High Court, declaring the provisions of s 314 of the Urban Councils Act as being inconsistent with the Constitution and therefore invalid and, pursuant to such declaration, I would make an order in accordance with the remedy postulated in the foregoing paragraph.</w:t>
      </w:r>
    </w:p>
    <w:p w14:paraId="146C66F3" w14:textId="77777777" w:rsidR="009D791A" w:rsidRDefault="009D791A">
      <w:pPr>
        <w:pStyle w:val="Default"/>
        <w:spacing w:line="480" w:lineRule="auto"/>
        <w:jc w:val="both"/>
        <w:rPr>
          <w:rFonts w:ascii="Times New Roman" w:eastAsia="Times New Roman" w:hAnsi="Times New Roman" w:cs="Times New Roman"/>
        </w:rPr>
      </w:pPr>
    </w:p>
    <w:p w14:paraId="1DB62D7B" w14:textId="77777777" w:rsidR="009D791A" w:rsidRDefault="009D791A">
      <w:pPr>
        <w:pStyle w:val="Default"/>
        <w:spacing w:line="480" w:lineRule="auto"/>
        <w:jc w:val="both"/>
        <w:rPr>
          <w:rFonts w:ascii="Times New Roman" w:eastAsia="Times New Roman" w:hAnsi="Times New Roman" w:cs="Times New Roman"/>
        </w:rPr>
      </w:pPr>
    </w:p>
    <w:p w14:paraId="70FB79CF" w14:textId="77777777" w:rsidR="009D791A" w:rsidRDefault="007B4448">
      <w:pPr>
        <w:pStyle w:val="Default"/>
        <w:spacing w:line="480" w:lineRule="auto"/>
        <w:jc w:val="both"/>
        <w:rPr>
          <w:rFonts w:ascii="Times New Roman" w:eastAsia="Times New Roman" w:hAnsi="Times New Roman" w:cs="Times New Roman"/>
        </w:rPr>
      </w:pPr>
      <w:r>
        <w:rPr>
          <w:rFonts w:ascii="Times New Roman" w:hAnsi="Times New Roman"/>
          <w:b/>
          <w:bCs/>
        </w:rPr>
        <w:lastRenderedPageBreak/>
        <w:t>MATHONSI AJCC: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 agree</w:t>
      </w:r>
    </w:p>
    <w:p w14:paraId="7A7CE7E4" w14:textId="77777777" w:rsidR="009D791A" w:rsidRDefault="009D791A">
      <w:pPr>
        <w:pStyle w:val="Default"/>
        <w:spacing w:line="480" w:lineRule="auto"/>
        <w:jc w:val="both"/>
        <w:rPr>
          <w:rFonts w:ascii="Times New Roman" w:eastAsia="Times New Roman" w:hAnsi="Times New Roman" w:cs="Times New Roman"/>
        </w:rPr>
      </w:pPr>
    </w:p>
    <w:p w14:paraId="24D91309" w14:textId="77777777" w:rsidR="009D791A" w:rsidRDefault="009D791A">
      <w:pPr>
        <w:pStyle w:val="Default"/>
        <w:spacing w:line="480" w:lineRule="auto"/>
        <w:jc w:val="both"/>
        <w:rPr>
          <w:rFonts w:ascii="Times New Roman" w:eastAsia="Times New Roman" w:hAnsi="Times New Roman" w:cs="Times New Roman"/>
        </w:rPr>
      </w:pPr>
    </w:p>
    <w:p w14:paraId="36BC07D4" w14:textId="77777777" w:rsidR="009D791A" w:rsidRDefault="009D791A">
      <w:pPr>
        <w:pStyle w:val="Default"/>
        <w:spacing w:line="480" w:lineRule="auto"/>
        <w:jc w:val="both"/>
        <w:rPr>
          <w:rFonts w:ascii="Times New Roman" w:eastAsia="Times New Roman" w:hAnsi="Times New Roman" w:cs="Times New Roman"/>
        </w:rPr>
      </w:pPr>
    </w:p>
    <w:p w14:paraId="66851566" w14:textId="77777777" w:rsidR="009D791A" w:rsidRDefault="009D791A">
      <w:pPr>
        <w:pStyle w:val="Default"/>
        <w:spacing w:line="480" w:lineRule="auto"/>
        <w:jc w:val="both"/>
        <w:rPr>
          <w:rFonts w:ascii="Times New Roman" w:eastAsia="Times New Roman" w:hAnsi="Times New Roman" w:cs="Times New Roman"/>
        </w:rPr>
      </w:pPr>
    </w:p>
    <w:p w14:paraId="1A92CB8A" w14:textId="77777777" w:rsidR="009D791A" w:rsidRDefault="007B4448">
      <w:pPr>
        <w:pStyle w:val="Default"/>
        <w:spacing w:line="480" w:lineRule="auto"/>
        <w:jc w:val="both"/>
        <w:rPr>
          <w:rFonts w:ascii="Times New Roman" w:eastAsia="Times New Roman" w:hAnsi="Times New Roman" w:cs="Times New Roman"/>
        </w:rPr>
      </w:pPr>
      <w:r>
        <w:rPr>
          <w:rFonts w:ascii="Times New Roman" w:hAnsi="Times New Roman"/>
          <w:i/>
          <w:iCs/>
        </w:rPr>
        <w:t>Tendai Biti Law</w:t>
      </w:r>
      <w:r>
        <w:rPr>
          <w:rFonts w:ascii="Times New Roman" w:hAnsi="Times New Roman"/>
        </w:rPr>
        <w:t>, applicants’ legal practitioners</w:t>
      </w:r>
    </w:p>
    <w:p w14:paraId="0C972CAD" w14:textId="77777777" w:rsidR="009D791A" w:rsidRDefault="007B4448">
      <w:pPr>
        <w:pStyle w:val="Default"/>
        <w:spacing w:line="480" w:lineRule="auto"/>
        <w:jc w:val="both"/>
      </w:pPr>
      <w:r>
        <w:rPr>
          <w:rFonts w:ascii="Times New Roman" w:hAnsi="Times New Roman"/>
          <w:i/>
          <w:iCs/>
        </w:rPr>
        <w:t>Civil Division of the Attorney-General’s Office</w:t>
      </w:r>
      <w:r>
        <w:rPr>
          <w:rFonts w:ascii="Times New Roman" w:hAnsi="Times New Roman"/>
        </w:rPr>
        <w:t>, respondent’s legal practitioners</w:t>
      </w:r>
    </w:p>
    <w:sectPr w:rsidR="009D791A">
      <w:head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A9B5" w14:textId="77777777" w:rsidR="009E0052" w:rsidRDefault="009E0052">
      <w:r>
        <w:separator/>
      </w:r>
    </w:p>
  </w:endnote>
  <w:endnote w:type="continuationSeparator" w:id="0">
    <w:p w14:paraId="7742A0A8" w14:textId="77777777" w:rsidR="009E0052" w:rsidRDefault="009E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B9F58" w14:textId="77777777" w:rsidR="009E0052" w:rsidRDefault="009E0052">
      <w:r>
        <w:separator/>
      </w:r>
    </w:p>
  </w:footnote>
  <w:footnote w:type="continuationSeparator" w:id="0">
    <w:p w14:paraId="1B7FE219" w14:textId="77777777" w:rsidR="009E0052" w:rsidRDefault="009E00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06EFC" w14:textId="43300AF2" w:rsidR="009D791A" w:rsidRPr="00E662B5" w:rsidRDefault="00E662B5" w:rsidP="00E662B5">
    <w:pPr>
      <w:pStyle w:val="Header"/>
      <w:tabs>
        <w:tab w:val="clear" w:pos="9026"/>
        <w:tab w:val="right" w:pos="9000"/>
      </w:tabs>
      <w:jc w:val="right"/>
      <w:rPr>
        <w:rFonts w:ascii="Times New Roman" w:hAnsi="Times New Roman" w:cs="Times New Roman"/>
        <w:sz w:val="24"/>
        <w:szCs w:val="24"/>
      </w:rPr>
    </w:pPr>
    <w:r w:rsidRPr="00E662B5">
      <w:rPr>
        <w:rFonts w:ascii="Times New Roman" w:hAnsi="Times New Roman" w:cs="Times New Roman"/>
        <w:noProof/>
        <w:sz w:val="24"/>
        <w:szCs w:val="24"/>
        <w:lang w:val="en-ZW"/>
      </w:rPr>
      <mc:AlternateContent>
        <mc:Choice Requires="wps">
          <w:drawing>
            <wp:anchor distT="0" distB="0" distL="114300" distR="114300" simplePos="0" relativeHeight="251660288" behindDoc="0" locked="0" layoutInCell="0" allowOverlap="1" wp14:anchorId="447BCDD2" wp14:editId="5C93DA1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FCDFC" w14:textId="63DD1D01" w:rsidR="00E662B5" w:rsidRPr="00E662B5" w:rsidRDefault="00E662B5" w:rsidP="00E662B5">
                          <w:pPr>
                            <w:rPr>
                              <w:noProof/>
                              <w:lang w:val="en-ZW"/>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7BCDD2"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9FFCDFC" w14:textId="63DD1D01" w:rsidR="00E662B5" w:rsidRPr="00E662B5" w:rsidRDefault="00E662B5" w:rsidP="00E662B5">
                    <w:pPr>
                      <w:rPr>
                        <w:noProof/>
                        <w:lang w:val="en-ZW"/>
                      </w:rPr>
                    </w:pPr>
                  </w:p>
                </w:txbxContent>
              </v:textbox>
              <w10:wrap anchorx="margin" anchory="margin"/>
            </v:shape>
          </w:pict>
        </mc:Fallback>
      </mc:AlternateContent>
    </w:r>
    <w:r w:rsidRPr="00E662B5">
      <w:rPr>
        <w:rFonts w:ascii="Times New Roman" w:hAnsi="Times New Roman" w:cs="Times New Roman"/>
        <w:noProof/>
        <w:sz w:val="24"/>
        <w:szCs w:val="24"/>
        <w:lang w:val="en-ZW"/>
      </w:rPr>
      <mc:AlternateContent>
        <mc:Choice Requires="wps">
          <w:drawing>
            <wp:anchor distT="0" distB="0" distL="114300" distR="114300" simplePos="0" relativeHeight="251659264" behindDoc="0" locked="0" layoutInCell="0" allowOverlap="1" wp14:anchorId="2F2368CC" wp14:editId="7C7820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58DF559" w14:textId="77777777" w:rsidR="00E662B5" w:rsidRDefault="00E662B5">
                          <w:pPr>
                            <w:rPr>
                              <w:color w:val="FFFFFF" w:themeColor="background1"/>
                            </w:rPr>
                          </w:pPr>
                          <w:r>
                            <w:fldChar w:fldCharType="begin"/>
                          </w:r>
                          <w:r>
                            <w:instrText xml:space="preserve"> PAGE   \* MERGEFORMAT </w:instrText>
                          </w:r>
                          <w:r>
                            <w:fldChar w:fldCharType="separate"/>
                          </w:r>
                          <w:r w:rsidR="00FD5314" w:rsidRPr="00FD531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2368CC"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58DF559" w14:textId="77777777" w:rsidR="00E662B5" w:rsidRDefault="00E662B5">
                    <w:pPr>
                      <w:rPr>
                        <w:color w:val="FFFFFF" w:themeColor="background1"/>
                      </w:rPr>
                    </w:pPr>
                    <w:r>
                      <w:fldChar w:fldCharType="begin"/>
                    </w:r>
                    <w:r>
                      <w:instrText xml:space="preserve"> PAGE   \* MERGEFORMAT </w:instrText>
                    </w:r>
                    <w:r>
                      <w:fldChar w:fldCharType="separate"/>
                    </w:r>
                    <w:r w:rsidR="00FD5314" w:rsidRPr="00FD5314">
                      <w:rPr>
                        <w:noProof/>
                        <w:color w:val="FFFFFF" w:themeColor="background1"/>
                      </w:rPr>
                      <w:t>1</w:t>
                    </w:r>
                    <w:r>
                      <w:rPr>
                        <w:noProof/>
                        <w:color w:val="FFFFFF" w:themeColor="background1"/>
                      </w:rPr>
                      <w:fldChar w:fldCharType="end"/>
                    </w:r>
                  </w:p>
                </w:txbxContent>
              </v:textbox>
              <w10:wrap anchorx="page" anchory="margin"/>
            </v:shape>
          </w:pict>
        </mc:Fallback>
      </mc:AlternateContent>
    </w:r>
    <w:r w:rsidRPr="00E662B5">
      <w:rPr>
        <w:rFonts w:ascii="Times New Roman" w:hAnsi="Times New Roman" w:cs="Times New Roman"/>
        <w:sz w:val="24"/>
        <w:szCs w:val="24"/>
      </w:rPr>
      <w:t xml:space="preserve">Judgment No. CCZ </w:t>
    </w:r>
    <w:r w:rsidR="00F30A80">
      <w:rPr>
        <w:rFonts w:ascii="Times New Roman" w:hAnsi="Times New Roman" w:cs="Times New Roman"/>
        <w:sz w:val="24"/>
        <w:szCs w:val="24"/>
      </w:rPr>
      <w:t>03</w:t>
    </w:r>
    <w:r w:rsidRPr="00E662B5">
      <w:rPr>
        <w:rFonts w:ascii="Times New Roman" w:hAnsi="Times New Roman" w:cs="Times New Roman"/>
        <w:sz w:val="24"/>
        <w:szCs w:val="24"/>
      </w:rPr>
      <w:t>/24</w:t>
    </w:r>
  </w:p>
  <w:p w14:paraId="7A361998" w14:textId="53C3B78A" w:rsidR="00E662B5" w:rsidRPr="00E662B5" w:rsidRDefault="00E662B5" w:rsidP="00E662B5">
    <w:pPr>
      <w:pStyle w:val="Header"/>
      <w:tabs>
        <w:tab w:val="clear" w:pos="9026"/>
        <w:tab w:val="right" w:pos="9000"/>
      </w:tabs>
      <w:jc w:val="right"/>
      <w:rPr>
        <w:rFonts w:ascii="Times New Roman" w:hAnsi="Times New Roman" w:cs="Times New Roman"/>
        <w:sz w:val="24"/>
        <w:szCs w:val="24"/>
      </w:rPr>
    </w:pPr>
    <w:r w:rsidRPr="00E662B5">
      <w:rPr>
        <w:rFonts w:ascii="Times New Roman" w:hAnsi="Times New Roman" w:cs="Times New Roman"/>
        <w:sz w:val="24"/>
        <w:szCs w:val="24"/>
      </w:rPr>
      <w:t>C</w:t>
    </w:r>
    <w:r>
      <w:rPr>
        <w:rFonts w:ascii="Times New Roman" w:hAnsi="Times New Roman" w:cs="Times New Roman"/>
        <w:sz w:val="24"/>
        <w:szCs w:val="24"/>
      </w:rPr>
      <w:t>onstitutional Application</w:t>
    </w:r>
    <w:r w:rsidRPr="00E662B5">
      <w:rPr>
        <w:rFonts w:ascii="Times New Roman" w:hAnsi="Times New Roman" w:cs="Times New Roman"/>
        <w:sz w:val="24"/>
        <w:szCs w:val="24"/>
      </w:rPr>
      <w:t xml:space="preserve"> No. CCZ </w:t>
    </w:r>
    <w:r w:rsidR="0055027A">
      <w:rPr>
        <w:rFonts w:ascii="Times New Roman" w:hAnsi="Times New Roman" w:cs="Times New Roman"/>
        <w:sz w:val="24"/>
        <w:szCs w:val="24"/>
      </w:rPr>
      <w:t>05/23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67B5"/>
    <w:multiLevelType w:val="hybridMultilevel"/>
    <w:tmpl w:val="2AEAA68E"/>
    <w:numStyleLink w:val="ImportedStyle3"/>
  </w:abstractNum>
  <w:abstractNum w:abstractNumId="1" w15:restartNumberingAfterBreak="0">
    <w:nsid w:val="0FDD3CB3"/>
    <w:multiLevelType w:val="hybridMultilevel"/>
    <w:tmpl w:val="132A73A2"/>
    <w:lvl w:ilvl="0" w:tplc="0F347DD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CC41A66"/>
    <w:multiLevelType w:val="hybridMultilevel"/>
    <w:tmpl w:val="E0E43B42"/>
    <w:numStyleLink w:val="ImportedStyle5"/>
  </w:abstractNum>
  <w:abstractNum w:abstractNumId="3" w15:restartNumberingAfterBreak="0">
    <w:nsid w:val="335A4241"/>
    <w:multiLevelType w:val="hybridMultilevel"/>
    <w:tmpl w:val="DCB00094"/>
    <w:numStyleLink w:val="ImportedStyle1"/>
  </w:abstractNum>
  <w:abstractNum w:abstractNumId="4" w15:restartNumberingAfterBreak="0">
    <w:nsid w:val="36551620"/>
    <w:multiLevelType w:val="hybridMultilevel"/>
    <w:tmpl w:val="DCB00094"/>
    <w:styleLink w:val="ImportedStyle1"/>
    <w:lvl w:ilvl="0" w:tplc="71821D0E">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CC65F30">
      <w:start w:val="1"/>
      <w:numFmt w:val="decimal"/>
      <w:lvlText w:val="(%2)"/>
      <w:lvlJc w:val="left"/>
      <w:pPr>
        <w:ind w:left="170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91E968E">
      <w:start w:val="1"/>
      <w:numFmt w:val="lowerRoman"/>
      <w:lvlText w:val="%3."/>
      <w:lvlJc w:val="left"/>
      <w:pPr>
        <w:ind w:left="2421" w:hanging="5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C3615D6">
      <w:start w:val="1"/>
      <w:numFmt w:val="lowerLetter"/>
      <w:lvlText w:val="(%4)"/>
      <w:lvlJc w:val="left"/>
      <w:pPr>
        <w:ind w:left="314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385EF138">
      <w:start w:val="1"/>
      <w:numFmt w:val="decimal"/>
      <w:lvlText w:val="%5."/>
      <w:lvlJc w:val="left"/>
      <w:pPr>
        <w:ind w:left="386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723E3B20">
      <w:start w:val="1"/>
      <w:numFmt w:val="lowerRoman"/>
      <w:lvlText w:val="%6."/>
      <w:lvlJc w:val="left"/>
      <w:pPr>
        <w:ind w:left="4581" w:hanging="5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3B26C38">
      <w:start w:val="1"/>
      <w:numFmt w:val="decimal"/>
      <w:lvlText w:val="%7."/>
      <w:lvlJc w:val="left"/>
      <w:pPr>
        <w:ind w:left="530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BD00382">
      <w:start w:val="1"/>
      <w:numFmt w:val="lowerLetter"/>
      <w:lvlText w:val="%8."/>
      <w:lvlJc w:val="left"/>
      <w:pPr>
        <w:ind w:left="602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FB6D07A">
      <w:start w:val="1"/>
      <w:numFmt w:val="lowerRoman"/>
      <w:lvlText w:val="%9."/>
      <w:lvlJc w:val="left"/>
      <w:pPr>
        <w:ind w:left="6741" w:hanging="50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37626A66"/>
    <w:multiLevelType w:val="hybridMultilevel"/>
    <w:tmpl w:val="A4840A94"/>
    <w:numStyleLink w:val="ImportedStyle2"/>
  </w:abstractNum>
  <w:abstractNum w:abstractNumId="6" w15:restartNumberingAfterBreak="0">
    <w:nsid w:val="48C27104"/>
    <w:multiLevelType w:val="hybridMultilevel"/>
    <w:tmpl w:val="F61E8DDE"/>
    <w:numStyleLink w:val="ImportedStyle6"/>
  </w:abstractNum>
  <w:abstractNum w:abstractNumId="7" w15:restartNumberingAfterBreak="0">
    <w:nsid w:val="50D12BF4"/>
    <w:multiLevelType w:val="hybridMultilevel"/>
    <w:tmpl w:val="E0E43B42"/>
    <w:styleLink w:val="ImportedStyle5"/>
    <w:lvl w:ilvl="0" w:tplc="9B963DE4">
      <w:start w:val="1"/>
      <w:numFmt w:val="decimal"/>
      <w:lvlText w:val="(%1)"/>
      <w:lvlJc w:val="left"/>
      <w:pPr>
        <w:tabs>
          <w:tab w:val="left" w:pos="1134"/>
          <w:tab w:val="num" w:pos="1701"/>
        </w:tabs>
        <w:ind w:left="2414" w:hanging="1280"/>
      </w:pPr>
      <w:rPr>
        <w:rFonts w:hAnsi="Arial Unicode MS"/>
        <w:caps w:val="0"/>
        <w:smallCaps w:val="0"/>
        <w:strike w:val="0"/>
        <w:dstrike w:val="0"/>
        <w:outline w:val="0"/>
        <w:emboss w:val="0"/>
        <w:imprint w:val="0"/>
        <w:spacing w:val="0"/>
        <w:w w:val="100"/>
        <w:kern w:val="0"/>
        <w:position w:val="0"/>
        <w:highlight w:val="none"/>
        <w:vertAlign w:val="baseline"/>
      </w:rPr>
    </w:lvl>
    <w:lvl w:ilvl="1" w:tplc="DCAAEBA4">
      <w:start w:val="1"/>
      <w:numFmt w:val="lowerLetter"/>
      <w:lvlText w:val="%2."/>
      <w:lvlJc w:val="left"/>
      <w:pPr>
        <w:tabs>
          <w:tab w:val="left" w:pos="1134"/>
          <w:tab w:val="left" w:pos="1701"/>
          <w:tab w:val="num" w:pos="2774"/>
        </w:tabs>
        <w:ind w:left="3487" w:hanging="1633"/>
      </w:pPr>
      <w:rPr>
        <w:rFonts w:hAnsi="Arial Unicode MS"/>
        <w:caps w:val="0"/>
        <w:smallCaps w:val="0"/>
        <w:strike w:val="0"/>
        <w:dstrike w:val="0"/>
        <w:outline w:val="0"/>
        <w:emboss w:val="0"/>
        <w:imprint w:val="0"/>
        <w:spacing w:val="0"/>
        <w:w w:val="100"/>
        <w:kern w:val="0"/>
        <w:position w:val="0"/>
        <w:highlight w:val="none"/>
        <w:vertAlign w:val="baseline"/>
      </w:rPr>
    </w:lvl>
    <w:lvl w:ilvl="2" w:tplc="77848D80">
      <w:start w:val="1"/>
      <w:numFmt w:val="lowerRoman"/>
      <w:lvlText w:val="%3."/>
      <w:lvlJc w:val="left"/>
      <w:pPr>
        <w:tabs>
          <w:tab w:val="left" w:pos="1134"/>
          <w:tab w:val="left" w:pos="1701"/>
          <w:tab w:val="num" w:pos="3494"/>
        </w:tabs>
        <w:ind w:left="4207" w:hanging="1573"/>
      </w:pPr>
      <w:rPr>
        <w:rFonts w:hAnsi="Arial Unicode MS"/>
        <w:caps w:val="0"/>
        <w:smallCaps w:val="0"/>
        <w:strike w:val="0"/>
        <w:dstrike w:val="0"/>
        <w:outline w:val="0"/>
        <w:emboss w:val="0"/>
        <w:imprint w:val="0"/>
        <w:spacing w:val="0"/>
        <w:w w:val="100"/>
        <w:kern w:val="0"/>
        <w:position w:val="0"/>
        <w:highlight w:val="none"/>
        <w:vertAlign w:val="baseline"/>
      </w:rPr>
    </w:lvl>
    <w:lvl w:ilvl="3" w:tplc="D2E42806">
      <w:start w:val="1"/>
      <w:numFmt w:val="decimal"/>
      <w:lvlText w:val="%4."/>
      <w:lvlJc w:val="left"/>
      <w:pPr>
        <w:tabs>
          <w:tab w:val="left" w:pos="1134"/>
          <w:tab w:val="left" w:pos="1701"/>
          <w:tab w:val="num" w:pos="4214"/>
        </w:tabs>
        <w:ind w:left="4927" w:hanging="1633"/>
      </w:pPr>
      <w:rPr>
        <w:rFonts w:hAnsi="Arial Unicode MS"/>
        <w:caps w:val="0"/>
        <w:smallCaps w:val="0"/>
        <w:strike w:val="0"/>
        <w:dstrike w:val="0"/>
        <w:outline w:val="0"/>
        <w:emboss w:val="0"/>
        <w:imprint w:val="0"/>
        <w:spacing w:val="0"/>
        <w:w w:val="100"/>
        <w:kern w:val="0"/>
        <w:position w:val="0"/>
        <w:highlight w:val="none"/>
        <w:vertAlign w:val="baseline"/>
      </w:rPr>
    </w:lvl>
    <w:lvl w:ilvl="4" w:tplc="EA101CF4">
      <w:start w:val="1"/>
      <w:numFmt w:val="lowerLetter"/>
      <w:lvlText w:val="%5."/>
      <w:lvlJc w:val="left"/>
      <w:pPr>
        <w:tabs>
          <w:tab w:val="left" w:pos="1134"/>
          <w:tab w:val="left" w:pos="1701"/>
          <w:tab w:val="num" w:pos="4934"/>
        </w:tabs>
        <w:ind w:left="5647" w:hanging="1633"/>
      </w:pPr>
      <w:rPr>
        <w:rFonts w:hAnsi="Arial Unicode MS"/>
        <w:caps w:val="0"/>
        <w:smallCaps w:val="0"/>
        <w:strike w:val="0"/>
        <w:dstrike w:val="0"/>
        <w:outline w:val="0"/>
        <w:emboss w:val="0"/>
        <w:imprint w:val="0"/>
        <w:spacing w:val="0"/>
        <w:w w:val="100"/>
        <w:kern w:val="0"/>
        <w:position w:val="0"/>
        <w:highlight w:val="none"/>
        <w:vertAlign w:val="baseline"/>
      </w:rPr>
    </w:lvl>
    <w:lvl w:ilvl="5" w:tplc="4284176A">
      <w:start w:val="1"/>
      <w:numFmt w:val="lowerRoman"/>
      <w:lvlText w:val="%6."/>
      <w:lvlJc w:val="left"/>
      <w:pPr>
        <w:tabs>
          <w:tab w:val="left" w:pos="1134"/>
          <w:tab w:val="left" w:pos="1701"/>
          <w:tab w:val="num" w:pos="5654"/>
        </w:tabs>
        <w:ind w:left="6367" w:hanging="1573"/>
      </w:pPr>
      <w:rPr>
        <w:rFonts w:hAnsi="Arial Unicode MS"/>
        <w:caps w:val="0"/>
        <w:smallCaps w:val="0"/>
        <w:strike w:val="0"/>
        <w:dstrike w:val="0"/>
        <w:outline w:val="0"/>
        <w:emboss w:val="0"/>
        <w:imprint w:val="0"/>
        <w:spacing w:val="0"/>
        <w:w w:val="100"/>
        <w:kern w:val="0"/>
        <w:position w:val="0"/>
        <w:highlight w:val="none"/>
        <w:vertAlign w:val="baseline"/>
      </w:rPr>
    </w:lvl>
    <w:lvl w:ilvl="6" w:tplc="8842D89E">
      <w:start w:val="1"/>
      <w:numFmt w:val="decimal"/>
      <w:lvlText w:val="%7."/>
      <w:lvlJc w:val="left"/>
      <w:pPr>
        <w:tabs>
          <w:tab w:val="left" w:pos="1134"/>
          <w:tab w:val="left" w:pos="1701"/>
          <w:tab w:val="num" w:pos="6374"/>
        </w:tabs>
        <w:ind w:left="7087" w:hanging="1633"/>
      </w:pPr>
      <w:rPr>
        <w:rFonts w:hAnsi="Arial Unicode MS"/>
        <w:caps w:val="0"/>
        <w:smallCaps w:val="0"/>
        <w:strike w:val="0"/>
        <w:dstrike w:val="0"/>
        <w:outline w:val="0"/>
        <w:emboss w:val="0"/>
        <w:imprint w:val="0"/>
        <w:spacing w:val="0"/>
        <w:w w:val="100"/>
        <w:kern w:val="0"/>
        <w:position w:val="0"/>
        <w:highlight w:val="none"/>
        <w:vertAlign w:val="baseline"/>
      </w:rPr>
    </w:lvl>
    <w:lvl w:ilvl="7" w:tplc="B0B0BD60">
      <w:start w:val="1"/>
      <w:numFmt w:val="lowerLetter"/>
      <w:lvlText w:val="%8."/>
      <w:lvlJc w:val="left"/>
      <w:pPr>
        <w:tabs>
          <w:tab w:val="left" w:pos="1134"/>
          <w:tab w:val="left" w:pos="1701"/>
          <w:tab w:val="num" w:pos="7094"/>
        </w:tabs>
        <w:ind w:left="7807" w:hanging="1633"/>
      </w:pPr>
      <w:rPr>
        <w:rFonts w:hAnsi="Arial Unicode MS"/>
        <w:caps w:val="0"/>
        <w:smallCaps w:val="0"/>
        <w:strike w:val="0"/>
        <w:dstrike w:val="0"/>
        <w:outline w:val="0"/>
        <w:emboss w:val="0"/>
        <w:imprint w:val="0"/>
        <w:spacing w:val="0"/>
        <w:w w:val="100"/>
        <w:kern w:val="0"/>
        <w:position w:val="0"/>
        <w:highlight w:val="none"/>
        <w:vertAlign w:val="baseline"/>
      </w:rPr>
    </w:lvl>
    <w:lvl w:ilvl="8" w:tplc="978A0920">
      <w:start w:val="1"/>
      <w:numFmt w:val="lowerRoman"/>
      <w:lvlText w:val="%9."/>
      <w:lvlJc w:val="left"/>
      <w:pPr>
        <w:tabs>
          <w:tab w:val="left" w:pos="1134"/>
          <w:tab w:val="left" w:pos="1701"/>
          <w:tab w:val="num" w:pos="7814"/>
        </w:tabs>
        <w:ind w:left="8527" w:hanging="157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82A12FB"/>
    <w:multiLevelType w:val="hybridMultilevel"/>
    <w:tmpl w:val="A4840A94"/>
    <w:styleLink w:val="ImportedStyle2"/>
    <w:lvl w:ilvl="0" w:tplc="2BC0C768">
      <w:start w:val="1"/>
      <w:numFmt w:val="lowerLetter"/>
      <w:lvlText w:val="(%1)"/>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9440D990">
      <w:start w:val="1"/>
      <w:numFmt w:val="lowerLetter"/>
      <w:lvlText w:val="%2."/>
      <w:lvlJc w:val="left"/>
      <w:pPr>
        <w:ind w:left="2421"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F13AF292">
      <w:start w:val="1"/>
      <w:numFmt w:val="lowerRoman"/>
      <w:lvlText w:val="%3."/>
      <w:lvlJc w:val="left"/>
      <w:pPr>
        <w:ind w:left="3141"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4F80622E">
      <w:start w:val="1"/>
      <w:numFmt w:val="decimal"/>
      <w:lvlText w:val="%4."/>
      <w:lvlJc w:val="left"/>
      <w:pPr>
        <w:ind w:left="3861"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EAB23546">
      <w:start w:val="1"/>
      <w:numFmt w:val="lowerLetter"/>
      <w:lvlText w:val="%5."/>
      <w:lvlJc w:val="left"/>
      <w:pPr>
        <w:ind w:left="4581"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06B822D8">
      <w:start w:val="1"/>
      <w:numFmt w:val="lowerRoman"/>
      <w:lvlText w:val="%6."/>
      <w:lvlJc w:val="left"/>
      <w:pPr>
        <w:ind w:left="5301"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28BC28AC">
      <w:start w:val="1"/>
      <w:numFmt w:val="decimal"/>
      <w:lvlText w:val="%7."/>
      <w:lvlJc w:val="left"/>
      <w:pPr>
        <w:ind w:left="6021"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92264078">
      <w:start w:val="1"/>
      <w:numFmt w:val="lowerLetter"/>
      <w:lvlText w:val="%8."/>
      <w:lvlJc w:val="left"/>
      <w:pPr>
        <w:ind w:left="6741"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863ADB84">
      <w:start w:val="1"/>
      <w:numFmt w:val="lowerRoman"/>
      <w:lvlText w:val="%9."/>
      <w:lvlJc w:val="left"/>
      <w:pPr>
        <w:ind w:left="7461"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2121DB3"/>
    <w:multiLevelType w:val="hybridMultilevel"/>
    <w:tmpl w:val="2AEAA68E"/>
    <w:styleLink w:val="ImportedStyle3"/>
    <w:lvl w:ilvl="0" w:tplc="491AE4D6">
      <w:start w:val="1"/>
      <w:numFmt w:val="lowerLetter"/>
      <w:lvlText w:val="(%1)"/>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75E41E50">
      <w:start w:val="1"/>
      <w:numFmt w:val="lowerLetter"/>
      <w:lvlText w:val="%2."/>
      <w:lvlJc w:val="left"/>
      <w:pPr>
        <w:ind w:left="2421"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4D8A2768">
      <w:start w:val="1"/>
      <w:numFmt w:val="lowerRoman"/>
      <w:lvlText w:val="%3."/>
      <w:lvlJc w:val="left"/>
      <w:pPr>
        <w:ind w:left="3141"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09D0AD5E">
      <w:start w:val="1"/>
      <w:numFmt w:val="decimal"/>
      <w:lvlText w:val="%4."/>
      <w:lvlJc w:val="left"/>
      <w:pPr>
        <w:ind w:left="3861"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98580726">
      <w:start w:val="1"/>
      <w:numFmt w:val="lowerLetter"/>
      <w:lvlText w:val="%5."/>
      <w:lvlJc w:val="left"/>
      <w:pPr>
        <w:ind w:left="4581"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AD4858CE">
      <w:start w:val="1"/>
      <w:numFmt w:val="lowerRoman"/>
      <w:lvlText w:val="%6."/>
      <w:lvlJc w:val="left"/>
      <w:pPr>
        <w:ind w:left="5301"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4510D352">
      <w:start w:val="1"/>
      <w:numFmt w:val="decimal"/>
      <w:lvlText w:val="%7."/>
      <w:lvlJc w:val="left"/>
      <w:pPr>
        <w:ind w:left="6021"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9F982C12">
      <w:start w:val="1"/>
      <w:numFmt w:val="lowerLetter"/>
      <w:lvlText w:val="%8."/>
      <w:lvlJc w:val="left"/>
      <w:pPr>
        <w:ind w:left="6741"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194A9B9A">
      <w:start w:val="1"/>
      <w:numFmt w:val="lowerRoman"/>
      <w:lvlText w:val="%9."/>
      <w:lvlJc w:val="left"/>
      <w:pPr>
        <w:ind w:left="7461"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7BA12A2"/>
    <w:multiLevelType w:val="hybridMultilevel"/>
    <w:tmpl w:val="9206667E"/>
    <w:numStyleLink w:val="ImportedStyle4"/>
  </w:abstractNum>
  <w:abstractNum w:abstractNumId="11" w15:restartNumberingAfterBreak="0">
    <w:nsid w:val="699A16AF"/>
    <w:multiLevelType w:val="hybridMultilevel"/>
    <w:tmpl w:val="F61E8DDE"/>
    <w:styleLink w:val="ImportedStyle6"/>
    <w:lvl w:ilvl="0" w:tplc="E92A944E">
      <w:start w:val="1"/>
      <w:numFmt w:val="bullet"/>
      <w:lvlText w:val="·"/>
      <w:lvlJc w:val="left"/>
      <w:pPr>
        <w:ind w:left="7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B46300">
      <w:start w:val="1"/>
      <w:numFmt w:val="bullet"/>
      <w:lvlText w:val="o"/>
      <w:lvlJc w:val="left"/>
      <w:pPr>
        <w:ind w:left="14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24EEEC">
      <w:start w:val="1"/>
      <w:numFmt w:val="bullet"/>
      <w:lvlText w:val="▪"/>
      <w:lvlJc w:val="left"/>
      <w:pPr>
        <w:ind w:left="22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389852">
      <w:start w:val="1"/>
      <w:numFmt w:val="bullet"/>
      <w:lvlText w:val="·"/>
      <w:lvlJc w:val="left"/>
      <w:pPr>
        <w:ind w:left="29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88DD6A">
      <w:start w:val="1"/>
      <w:numFmt w:val="bullet"/>
      <w:lvlText w:val="o"/>
      <w:lvlJc w:val="left"/>
      <w:pPr>
        <w:ind w:left="36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8E8FB8">
      <w:start w:val="1"/>
      <w:numFmt w:val="bullet"/>
      <w:lvlText w:val="▪"/>
      <w:lvlJc w:val="left"/>
      <w:pPr>
        <w:ind w:left="43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B283BA">
      <w:start w:val="1"/>
      <w:numFmt w:val="bullet"/>
      <w:lvlText w:val="·"/>
      <w:lvlJc w:val="left"/>
      <w:pPr>
        <w:ind w:left="50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0C826E">
      <w:start w:val="1"/>
      <w:numFmt w:val="bullet"/>
      <w:lvlText w:val="o"/>
      <w:lvlJc w:val="left"/>
      <w:pPr>
        <w:ind w:left="58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E4043E">
      <w:start w:val="1"/>
      <w:numFmt w:val="bullet"/>
      <w:lvlText w:val="▪"/>
      <w:lvlJc w:val="left"/>
      <w:pPr>
        <w:ind w:left="65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82504A4"/>
    <w:multiLevelType w:val="hybridMultilevel"/>
    <w:tmpl w:val="9206667E"/>
    <w:styleLink w:val="ImportedStyle4"/>
    <w:lvl w:ilvl="0" w:tplc="7588647C">
      <w:start w:val="1"/>
      <w:numFmt w:val="decimal"/>
      <w:lvlText w:val="%1."/>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649C1A66">
      <w:start w:val="1"/>
      <w:numFmt w:val="lowerLetter"/>
      <w:lvlText w:val="%2."/>
      <w:lvlJc w:val="left"/>
      <w:pPr>
        <w:ind w:left="2421"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282C6F9C">
      <w:start w:val="1"/>
      <w:numFmt w:val="lowerRoman"/>
      <w:lvlText w:val="%3."/>
      <w:lvlJc w:val="left"/>
      <w:pPr>
        <w:ind w:left="3141"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4FC6D782">
      <w:start w:val="1"/>
      <w:numFmt w:val="decimal"/>
      <w:lvlText w:val="%4."/>
      <w:lvlJc w:val="left"/>
      <w:pPr>
        <w:ind w:left="3861"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1AC678C6">
      <w:start w:val="1"/>
      <w:numFmt w:val="lowerLetter"/>
      <w:lvlText w:val="%5."/>
      <w:lvlJc w:val="left"/>
      <w:pPr>
        <w:ind w:left="4581"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DF1AA382">
      <w:start w:val="1"/>
      <w:numFmt w:val="lowerRoman"/>
      <w:lvlText w:val="%6."/>
      <w:lvlJc w:val="left"/>
      <w:pPr>
        <w:ind w:left="5301"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255825CC">
      <w:start w:val="1"/>
      <w:numFmt w:val="decimal"/>
      <w:lvlText w:val="%7."/>
      <w:lvlJc w:val="left"/>
      <w:pPr>
        <w:ind w:left="6021" w:hanging="567"/>
      </w:pPr>
      <w:rPr>
        <w:rFonts w:hAnsi="Arial Unicode MS"/>
        <w:caps w:val="0"/>
        <w:smallCaps w:val="0"/>
        <w:strike w:val="0"/>
        <w:dstrike w:val="0"/>
        <w:outline w:val="0"/>
        <w:emboss w:val="0"/>
        <w:imprint w:val="0"/>
        <w:spacing w:val="0"/>
        <w:w w:val="100"/>
        <w:kern w:val="0"/>
        <w:position w:val="0"/>
        <w:highlight w:val="none"/>
        <w:vertAlign w:val="baseline"/>
      </w:rPr>
    </w:lvl>
    <w:lvl w:ilvl="7" w:tplc="77FECBD6">
      <w:start w:val="1"/>
      <w:numFmt w:val="lowerLetter"/>
      <w:lvlText w:val="%8."/>
      <w:lvlJc w:val="left"/>
      <w:pPr>
        <w:ind w:left="6741" w:hanging="567"/>
      </w:pPr>
      <w:rPr>
        <w:rFonts w:hAnsi="Arial Unicode MS"/>
        <w:caps w:val="0"/>
        <w:smallCaps w:val="0"/>
        <w:strike w:val="0"/>
        <w:dstrike w:val="0"/>
        <w:outline w:val="0"/>
        <w:emboss w:val="0"/>
        <w:imprint w:val="0"/>
        <w:spacing w:val="0"/>
        <w:w w:val="100"/>
        <w:kern w:val="0"/>
        <w:position w:val="0"/>
        <w:highlight w:val="none"/>
        <w:vertAlign w:val="baseline"/>
      </w:rPr>
    </w:lvl>
    <w:lvl w:ilvl="8" w:tplc="80C69E24">
      <w:start w:val="1"/>
      <w:numFmt w:val="lowerRoman"/>
      <w:lvlText w:val="%9."/>
      <w:lvlJc w:val="left"/>
      <w:pPr>
        <w:ind w:left="7461"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3"/>
    <w:lvlOverride w:ilvl="0">
      <w:lvl w:ilvl="0" w:tplc="99C48EEC">
        <w:start w:val="1"/>
        <w:numFmt w:val="decimal"/>
        <w:lvlText w:val="%1."/>
        <w:lvlJc w:val="left"/>
        <w:pPr>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ind w:left="170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lvlText w:val="%3."/>
        <w:lvlJc w:val="left"/>
        <w:pPr>
          <w:ind w:left="2421" w:hanging="50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ind w:left="2268" w:hanging="5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FA8968A">
        <w:start w:val="1"/>
        <w:numFmt w:val="decimal"/>
        <w:lvlText w:val="%5."/>
        <w:lvlJc w:val="left"/>
        <w:pPr>
          <w:ind w:left="2988" w:hanging="5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9A235C2">
        <w:start w:val="1"/>
        <w:numFmt w:val="lowerRoman"/>
        <w:lvlText w:val="%6."/>
        <w:lvlJc w:val="left"/>
        <w:pPr>
          <w:ind w:left="3708" w:hanging="4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B226490">
        <w:start w:val="1"/>
        <w:numFmt w:val="decimal"/>
        <w:lvlText w:val="%7."/>
        <w:lvlJc w:val="left"/>
        <w:pPr>
          <w:ind w:left="4428" w:hanging="5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82A83C">
        <w:start w:val="1"/>
        <w:numFmt w:val="lowerLetter"/>
        <w:lvlText w:val="%8."/>
        <w:lvlJc w:val="left"/>
        <w:pPr>
          <w:ind w:left="5148" w:hanging="5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878D34E">
        <w:start w:val="1"/>
        <w:numFmt w:val="lowerRoman"/>
        <w:lvlText w:val="%9."/>
        <w:lvlJc w:val="left"/>
        <w:pPr>
          <w:ind w:left="5868" w:hanging="4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8"/>
  </w:num>
  <w:num w:numId="5">
    <w:abstractNumId w:val="5"/>
  </w:num>
  <w:num w:numId="6">
    <w:abstractNumId w:val="3"/>
    <w:lvlOverride w:ilvl="0">
      <w:startOverride w:val="19"/>
    </w:lvlOverride>
  </w:num>
  <w:num w:numId="7">
    <w:abstractNumId w:val="3"/>
    <w:lvlOverride w:ilvl="0">
      <w:lvl w:ilvl="0" w:tplc="99C48EE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ind w:left="63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lvlText w:val="%3."/>
        <w:lvlJc w:val="left"/>
        <w:pPr>
          <w:ind w:left="135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ind w:left="207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ind w:left="279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ind w:left="351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ind w:left="423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ind w:left="495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ind w:left="5670" w:hanging="3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9"/>
  </w:num>
  <w:num w:numId="9">
    <w:abstractNumId w:val="0"/>
  </w:num>
  <w:num w:numId="10">
    <w:abstractNumId w:val="3"/>
    <w:lvlOverride w:ilvl="0">
      <w:startOverride w:val="61"/>
      <w:lvl w:ilvl="0" w:tplc="99C48EEC">
        <w:start w:val="61"/>
        <w:numFmt w:val="decimal"/>
        <w:lvlText w:val="%1."/>
        <w:lvlJc w:val="left"/>
        <w:pPr>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7ED8B910">
        <w:start w:val="1"/>
        <w:numFmt w:val="decimal"/>
        <w:lvlText w:val="(%2)"/>
        <w:lvlJc w:val="left"/>
        <w:pPr>
          <w:ind w:left="170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51F48DA0">
        <w:start w:val="1"/>
        <w:numFmt w:val="lowerRoman"/>
        <w:lvlText w:val="%3."/>
        <w:lvlJc w:val="left"/>
        <w:pPr>
          <w:ind w:left="2421" w:hanging="50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89CD738">
        <w:start w:val="1"/>
        <w:numFmt w:val="lowerLetter"/>
        <w:lvlText w:val="(%4)"/>
        <w:lvlJc w:val="left"/>
        <w:pPr>
          <w:ind w:left="314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2FA8968A">
        <w:start w:val="1"/>
        <w:numFmt w:val="decimal"/>
        <w:lvlText w:val="%5."/>
        <w:lvlJc w:val="left"/>
        <w:pPr>
          <w:ind w:left="386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B9A235C2">
        <w:start w:val="1"/>
        <w:numFmt w:val="lowerRoman"/>
        <w:lvlText w:val="%6."/>
        <w:lvlJc w:val="left"/>
        <w:pPr>
          <w:ind w:left="4581" w:hanging="50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DB226490">
        <w:start w:val="1"/>
        <w:numFmt w:val="decimal"/>
        <w:lvlText w:val="%7."/>
        <w:lvlJc w:val="left"/>
        <w:pPr>
          <w:ind w:left="530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5A82A83C">
        <w:start w:val="1"/>
        <w:numFmt w:val="lowerLetter"/>
        <w:lvlText w:val="%8."/>
        <w:lvlJc w:val="left"/>
        <w:pPr>
          <w:ind w:left="6021"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9878D34E">
        <w:start w:val="1"/>
        <w:numFmt w:val="lowerRoman"/>
        <w:lvlText w:val="%9."/>
        <w:lvlJc w:val="left"/>
        <w:pPr>
          <w:ind w:left="6741" w:hanging="50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12"/>
  </w:num>
  <w:num w:numId="12">
    <w:abstractNumId w:val="10"/>
  </w:num>
  <w:num w:numId="13">
    <w:abstractNumId w:val="3"/>
    <w:lvlOverride w:ilvl="0">
      <w:startOverride w:val="89"/>
    </w:lvlOverride>
  </w:num>
  <w:num w:numId="14">
    <w:abstractNumId w:val="3"/>
    <w:lvlOverride w:ilvl="0">
      <w:lvl w:ilvl="0" w:tplc="99C48EEC">
        <w:start w:val="1"/>
        <w:numFmt w:val="decimal"/>
        <w:lvlText w:val="%1."/>
        <w:lvlJc w:val="left"/>
        <w:pPr>
          <w:tabs>
            <w:tab w:val="left" w:pos="1134"/>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left" w:pos="1134"/>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lvlText w:val="%3."/>
        <w:lvlJc w:val="left"/>
        <w:pPr>
          <w:ind w:left="1134" w:hanging="4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1134"/>
          </w:tabs>
          <w:ind w:left="207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1134"/>
          </w:tabs>
          <w:ind w:left="279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1134"/>
          </w:tabs>
          <w:ind w:left="351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1134"/>
          </w:tabs>
          <w:ind w:left="423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1134"/>
          </w:tabs>
          <w:ind w:left="495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1134"/>
          </w:tabs>
          <w:ind w:left="567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3"/>
    <w:lvlOverride w:ilvl="0">
      <w:lvl w:ilvl="0" w:tplc="99C48EEC">
        <w:start w:val="1"/>
        <w:numFmt w:val="decimal"/>
        <w:lvlText w:val="%1."/>
        <w:lvlJc w:val="left"/>
        <w:pPr>
          <w:tabs>
            <w:tab w:val="num" w:pos="567"/>
            <w:tab w:val="left" w:pos="1134"/>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num" w:pos="657"/>
            <w:tab w:val="left" w:pos="1134"/>
          </w:tabs>
          <w:ind w:left="810" w:hanging="81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lvlText w:val="%3."/>
        <w:lvlJc w:val="left"/>
        <w:pPr>
          <w:tabs>
            <w:tab w:val="left" w:pos="567"/>
            <w:tab w:val="num" w:pos="1134"/>
          </w:tabs>
          <w:ind w:left="1287" w:hanging="59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567"/>
            <w:tab w:val="left" w:pos="1134"/>
            <w:tab w:val="num" w:pos="2070"/>
          </w:tabs>
          <w:ind w:left="222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567"/>
            <w:tab w:val="left" w:pos="1134"/>
            <w:tab w:val="num" w:pos="2790"/>
          </w:tabs>
          <w:ind w:left="294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567"/>
            <w:tab w:val="left" w:pos="1134"/>
            <w:tab w:val="num" w:pos="3510"/>
          </w:tabs>
          <w:ind w:left="3663" w:hanging="8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567"/>
            <w:tab w:val="left" w:pos="1134"/>
            <w:tab w:val="num" w:pos="4230"/>
          </w:tabs>
          <w:ind w:left="438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567"/>
            <w:tab w:val="left" w:pos="1134"/>
            <w:tab w:val="num" w:pos="4950"/>
          </w:tabs>
          <w:ind w:left="510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567"/>
            <w:tab w:val="left" w:pos="1134"/>
            <w:tab w:val="num" w:pos="5670"/>
          </w:tabs>
          <w:ind w:left="5823" w:hanging="8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3"/>
    <w:lvlOverride w:ilvl="0">
      <w:lvl w:ilvl="0" w:tplc="99C48EEC">
        <w:start w:val="1"/>
        <w:numFmt w:val="decimal"/>
        <w:lvlText w:val="%1."/>
        <w:lvlJc w:val="left"/>
        <w:pPr>
          <w:tabs>
            <w:tab w:val="num" w:pos="567"/>
            <w:tab w:val="left" w:pos="851"/>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num" w:pos="657"/>
            <w:tab w:val="left" w:pos="851"/>
          </w:tabs>
          <w:ind w:left="810" w:hanging="81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suff w:val="nothing"/>
        <w:lvlText w:val="%3."/>
        <w:lvlJc w:val="left"/>
        <w:pPr>
          <w:tabs>
            <w:tab w:val="left" w:pos="567"/>
            <w:tab w:val="left" w:pos="851"/>
          </w:tabs>
          <w:ind w:left="1004" w:hanging="31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567"/>
            <w:tab w:val="left" w:pos="851"/>
            <w:tab w:val="num" w:pos="2070"/>
          </w:tabs>
          <w:ind w:left="222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567"/>
            <w:tab w:val="left" w:pos="851"/>
            <w:tab w:val="num" w:pos="2790"/>
          </w:tabs>
          <w:ind w:left="294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567"/>
            <w:tab w:val="left" w:pos="851"/>
            <w:tab w:val="num" w:pos="3510"/>
          </w:tabs>
          <w:ind w:left="3663" w:hanging="8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567"/>
            <w:tab w:val="left" w:pos="851"/>
            <w:tab w:val="num" w:pos="4230"/>
          </w:tabs>
          <w:ind w:left="438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567"/>
            <w:tab w:val="left" w:pos="851"/>
            <w:tab w:val="num" w:pos="4950"/>
          </w:tabs>
          <w:ind w:left="5103" w:hanging="87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567"/>
            <w:tab w:val="left" w:pos="851"/>
            <w:tab w:val="num" w:pos="5670"/>
          </w:tabs>
          <w:ind w:left="5823" w:hanging="81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3"/>
    <w:lvlOverride w:ilvl="0">
      <w:lvl w:ilvl="0" w:tplc="99C48EEC">
        <w:start w:val="1"/>
        <w:numFmt w:val="decimal"/>
        <w:lvlText w:val="%1."/>
        <w:lvlJc w:val="left"/>
        <w:pPr>
          <w:tabs>
            <w:tab w:val="left" w:pos="851"/>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left" w:pos="851"/>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suff w:val="nothing"/>
        <w:lvlText w:val="%3."/>
        <w:lvlJc w:val="left"/>
        <w:pPr>
          <w:tabs>
            <w:tab w:val="left" w:pos="851"/>
          </w:tabs>
          <w:ind w:left="851" w:hanging="16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851"/>
          </w:tabs>
          <w:ind w:left="207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851"/>
          </w:tabs>
          <w:ind w:left="279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851"/>
          </w:tabs>
          <w:ind w:left="351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851"/>
          </w:tabs>
          <w:ind w:left="423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851"/>
          </w:tabs>
          <w:ind w:left="495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851"/>
          </w:tabs>
          <w:ind w:left="567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3"/>
    <w:lvlOverride w:ilvl="0">
      <w:lvl w:ilvl="0" w:tplc="99C48EEC">
        <w:start w:val="1"/>
        <w:numFmt w:val="decimal"/>
        <w:lvlText w:val="%1."/>
        <w:lvlJc w:val="left"/>
        <w:pPr>
          <w:tabs>
            <w:tab w:val="left" w:pos="851"/>
            <w:tab w:val="left" w:pos="1134"/>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left" w:pos="851"/>
            <w:tab w:val="left" w:pos="1134"/>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suff w:val="nothing"/>
        <w:lvlText w:val="%3."/>
        <w:lvlJc w:val="left"/>
        <w:pPr>
          <w:tabs>
            <w:tab w:val="left" w:pos="851"/>
            <w:tab w:val="left" w:pos="1134"/>
          </w:tabs>
          <w:ind w:left="851" w:hanging="16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851"/>
            <w:tab w:val="left" w:pos="1134"/>
          </w:tabs>
          <w:ind w:left="207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851"/>
            <w:tab w:val="left" w:pos="1134"/>
          </w:tabs>
          <w:ind w:left="279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851"/>
            <w:tab w:val="left" w:pos="1134"/>
          </w:tabs>
          <w:ind w:left="351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851"/>
            <w:tab w:val="left" w:pos="1134"/>
          </w:tabs>
          <w:ind w:left="423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851"/>
            <w:tab w:val="left" w:pos="1134"/>
          </w:tabs>
          <w:ind w:left="495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851"/>
            <w:tab w:val="left" w:pos="1134"/>
          </w:tabs>
          <w:ind w:left="567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lvlOverride w:ilvl="0">
      <w:lvl w:ilvl="0" w:tplc="99C48EEC">
        <w:start w:val="1"/>
        <w:numFmt w:val="decimal"/>
        <w:lvlText w:val="%1."/>
        <w:lvlJc w:val="left"/>
        <w:pPr>
          <w:tabs>
            <w:tab w:val="left" w:pos="1134"/>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left" w:pos="1134"/>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lvlText w:val="%3."/>
        <w:lvlJc w:val="left"/>
        <w:pPr>
          <w:ind w:left="1134" w:hanging="45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1134"/>
          </w:tabs>
          <w:ind w:left="2059"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1134"/>
          </w:tabs>
          <w:ind w:left="2779"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1134"/>
          </w:tabs>
          <w:ind w:left="3499"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1134"/>
          </w:tabs>
          <w:ind w:left="4219"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1134"/>
          </w:tabs>
          <w:ind w:left="4939"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1134"/>
          </w:tabs>
          <w:ind w:left="5659"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3"/>
    <w:lvlOverride w:ilvl="0">
      <w:lvl w:ilvl="0" w:tplc="99C48EEC">
        <w:start w:val="1"/>
        <w:numFmt w:val="decimal"/>
        <w:lvlText w:val="%1."/>
        <w:lvlJc w:val="left"/>
        <w:pPr>
          <w:tabs>
            <w:tab w:val="left" w:pos="1134"/>
            <w:tab w:val="left" w:pos="1418"/>
            <w:tab w:val="left" w:pos="1701"/>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left" w:pos="1134"/>
            <w:tab w:val="left" w:pos="1418"/>
            <w:tab w:val="left" w:pos="1701"/>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lvlText w:val="%3."/>
        <w:lvlJc w:val="left"/>
        <w:pPr>
          <w:tabs>
            <w:tab w:val="left" w:pos="1418"/>
            <w:tab w:val="left" w:pos="1701"/>
          </w:tabs>
          <w:ind w:left="1134" w:hanging="4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1134"/>
            <w:tab w:val="left" w:pos="1418"/>
          </w:tabs>
          <w:ind w:left="1701" w:hanging="35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1134"/>
            <w:tab w:val="left" w:pos="1418"/>
            <w:tab w:val="left" w:pos="1701"/>
          </w:tabs>
          <w:ind w:left="279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1134"/>
            <w:tab w:val="left" w:pos="1418"/>
            <w:tab w:val="left" w:pos="1701"/>
          </w:tabs>
          <w:ind w:left="351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1134"/>
            <w:tab w:val="left" w:pos="1418"/>
            <w:tab w:val="left" w:pos="1701"/>
          </w:tabs>
          <w:ind w:left="423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1134"/>
            <w:tab w:val="left" w:pos="1418"/>
            <w:tab w:val="left" w:pos="1701"/>
          </w:tabs>
          <w:ind w:left="495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1134"/>
            <w:tab w:val="left" w:pos="1418"/>
            <w:tab w:val="left" w:pos="1701"/>
          </w:tabs>
          <w:ind w:left="567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3"/>
    <w:lvlOverride w:ilvl="0">
      <w:lvl w:ilvl="0" w:tplc="99C48EEC">
        <w:start w:val="1"/>
        <w:numFmt w:val="decimal"/>
        <w:lvlText w:val="%1."/>
        <w:lvlJc w:val="left"/>
        <w:pPr>
          <w:tabs>
            <w:tab w:val="left" w:pos="1134"/>
            <w:tab w:val="left" w:pos="1701"/>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ED8B910">
        <w:start w:val="1"/>
        <w:numFmt w:val="decimal"/>
        <w:lvlText w:val="(%2)"/>
        <w:lvlJc w:val="left"/>
        <w:pPr>
          <w:tabs>
            <w:tab w:val="left" w:pos="1134"/>
            <w:tab w:val="left" w:pos="1701"/>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1F48DA0">
        <w:start w:val="1"/>
        <w:numFmt w:val="lowerRoman"/>
        <w:lvlText w:val="%3."/>
        <w:lvlJc w:val="left"/>
        <w:pPr>
          <w:tabs>
            <w:tab w:val="left" w:pos="1701"/>
          </w:tabs>
          <w:ind w:left="1134" w:hanging="4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89CD738">
        <w:start w:val="1"/>
        <w:numFmt w:val="lowerLetter"/>
        <w:lvlText w:val="(%4)"/>
        <w:lvlJc w:val="left"/>
        <w:pPr>
          <w:tabs>
            <w:tab w:val="left" w:pos="1134"/>
          </w:tabs>
          <w:ind w:left="1701" w:hanging="35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A8968A">
        <w:start w:val="1"/>
        <w:numFmt w:val="decimal"/>
        <w:lvlText w:val="%5."/>
        <w:lvlJc w:val="left"/>
        <w:pPr>
          <w:tabs>
            <w:tab w:val="left" w:pos="1134"/>
            <w:tab w:val="left" w:pos="1701"/>
          </w:tabs>
          <w:ind w:left="279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9A235C2">
        <w:start w:val="1"/>
        <w:numFmt w:val="lowerRoman"/>
        <w:lvlText w:val="%6."/>
        <w:lvlJc w:val="left"/>
        <w:pPr>
          <w:tabs>
            <w:tab w:val="left" w:pos="1134"/>
            <w:tab w:val="left" w:pos="1701"/>
          </w:tabs>
          <w:ind w:left="351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B226490">
        <w:start w:val="1"/>
        <w:numFmt w:val="decimal"/>
        <w:lvlText w:val="%7."/>
        <w:lvlJc w:val="left"/>
        <w:pPr>
          <w:tabs>
            <w:tab w:val="left" w:pos="1134"/>
            <w:tab w:val="left" w:pos="1701"/>
          </w:tabs>
          <w:ind w:left="423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A82A83C">
        <w:start w:val="1"/>
        <w:numFmt w:val="lowerLetter"/>
        <w:lvlText w:val="%8."/>
        <w:lvlJc w:val="left"/>
        <w:pPr>
          <w:tabs>
            <w:tab w:val="left" w:pos="1134"/>
            <w:tab w:val="left" w:pos="1701"/>
          </w:tabs>
          <w:ind w:left="495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878D34E">
        <w:start w:val="1"/>
        <w:numFmt w:val="lowerRoman"/>
        <w:lvlText w:val="%9."/>
        <w:lvlJc w:val="left"/>
        <w:pPr>
          <w:tabs>
            <w:tab w:val="left" w:pos="1134"/>
            <w:tab w:val="left" w:pos="1701"/>
          </w:tabs>
          <w:ind w:left="567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7"/>
  </w:num>
  <w:num w:numId="23">
    <w:abstractNumId w:val="2"/>
  </w:num>
  <w:num w:numId="24">
    <w:abstractNumId w:val="2"/>
    <w:lvlOverride w:ilvl="0">
      <w:lvl w:ilvl="0" w:tplc="81E0E540">
        <w:start w:val="1"/>
        <w:numFmt w:val="decimal"/>
        <w:lvlText w:val="(%1)"/>
        <w:lvlJc w:val="left"/>
        <w:pPr>
          <w:tabs>
            <w:tab w:val="left" w:pos="1134"/>
            <w:tab w:val="left" w:pos="1701"/>
          </w:tabs>
          <w:ind w:left="1560"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55C9B36">
        <w:start w:val="1"/>
        <w:numFmt w:val="lowerLetter"/>
        <w:lvlText w:val="%2."/>
        <w:lvlJc w:val="left"/>
        <w:pPr>
          <w:tabs>
            <w:tab w:val="left" w:pos="1134"/>
            <w:tab w:val="left" w:pos="1701"/>
          </w:tabs>
          <w:ind w:left="192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DC3BC8">
        <w:start w:val="1"/>
        <w:numFmt w:val="lowerRoman"/>
        <w:lvlText w:val="%3."/>
        <w:lvlJc w:val="left"/>
        <w:pPr>
          <w:tabs>
            <w:tab w:val="left" w:pos="1134"/>
            <w:tab w:val="left" w:pos="1701"/>
          </w:tabs>
          <w:ind w:left="2640"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DEC4EA4">
        <w:start w:val="1"/>
        <w:numFmt w:val="decimal"/>
        <w:lvlText w:val="%4."/>
        <w:lvlJc w:val="left"/>
        <w:pPr>
          <w:tabs>
            <w:tab w:val="left" w:pos="1134"/>
            <w:tab w:val="left" w:pos="1701"/>
          </w:tabs>
          <w:ind w:left="336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CE04CE">
        <w:start w:val="1"/>
        <w:numFmt w:val="lowerLetter"/>
        <w:lvlText w:val="%5."/>
        <w:lvlJc w:val="left"/>
        <w:pPr>
          <w:tabs>
            <w:tab w:val="left" w:pos="1134"/>
            <w:tab w:val="left" w:pos="1701"/>
          </w:tabs>
          <w:ind w:left="408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79C7EAA">
        <w:start w:val="1"/>
        <w:numFmt w:val="lowerRoman"/>
        <w:lvlText w:val="%6."/>
        <w:lvlJc w:val="left"/>
        <w:pPr>
          <w:tabs>
            <w:tab w:val="left" w:pos="1134"/>
            <w:tab w:val="left" w:pos="1701"/>
          </w:tabs>
          <w:ind w:left="4800" w:hanging="2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465504">
        <w:start w:val="1"/>
        <w:numFmt w:val="decimal"/>
        <w:lvlText w:val="%7."/>
        <w:lvlJc w:val="left"/>
        <w:pPr>
          <w:tabs>
            <w:tab w:val="left" w:pos="1134"/>
            <w:tab w:val="left" w:pos="1701"/>
          </w:tabs>
          <w:ind w:left="552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630164E">
        <w:start w:val="1"/>
        <w:numFmt w:val="lowerLetter"/>
        <w:lvlText w:val="%8."/>
        <w:lvlJc w:val="left"/>
        <w:pPr>
          <w:tabs>
            <w:tab w:val="left" w:pos="1134"/>
            <w:tab w:val="left" w:pos="1701"/>
          </w:tabs>
          <w:ind w:left="6240"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78A49D8">
        <w:start w:val="1"/>
        <w:numFmt w:val="lowerRoman"/>
        <w:lvlText w:val="%9."/>
        <w:lvlJc w:val="left"/>
        <w:pPr>
          <w:tabs>
            <w:tab w:val="left" w:pos="1134"/>
            <w:tab w:val="left" w:pos="1701"/>
          </w:tabs>
          <w:ind w:left="6960" w:hanging="2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
    <w:lvlOverride w:ilvl="0">
      <w:lvl w:ilvl="0" w:tplc="81E0E540">
        <w:start w:val="1"/>
        <w:numFmt w:val="decimal"/>
        <w:lvlText w:val="(%1)"/>
        <w:lvlJc w:val="left"/>
        <w:pPr>
          <w:tabs>
            <w:tab w:val="left" w:pos="1134"/>
            <w:tab w:val="num" w:pos="1701"/>
          </w:tabs>
          <w:ind w:left="113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55C9B36">
        <w:start w:val="1"/>
        <w:numFmt w:val="lowerLetter"/>
        <w:lvlText w:val="%2."/>
        <w:lvlJc w:val="left"/>
        <w:pPr>
          <w:tabs>
            <w:tab w:val="left" w:pos="1134"/>
            <w:tab w:val="left" w:pos="1701"/>
            <w:tab w:val="num" w:pos="2061"/>
          </w:tabs>
          <w:ind w:left="1494" w:firstLine="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DC3BC8">
        <w:start w:val="1"/>
        <w:numFmt w:val="lowerRoman"/>
        <w:lvlText w:val="%3."/>
        <w:lvlJc w:val="left"/>
        <w:pPr>
          <w:tabs>
            <w:tab w:val="left" w:pos="1134"/>
            <w:tab w:val="left" w:pos="1701"/>
            <w:tab w:val="num" w:pos="2781"/>
          </w:tabs>
          <w:ind w:left="2214" w:firstLine="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DEC4EA4">
        <w:start w:val="1"/>
        <w:numFmt w:val="decimal"/>
        <w:lvlText w:val="%4."/>
        <w:lvlJc w:val="left"/>
        <w:pPr>
          <w:tabs>
            <w:tab w:val="left" w:pos="1134"/>
            <w:tab w:val="left" w:pos="1701"/>
            <w:tab w:val="num" w:pos="3501"/>
          </w:tabs>
          <w:ind w:left="2934" w:firstLine="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CE04CE">
        <w:start w:val="1"/>
        <w:numFmt w:val="lowerLetter"/>
        <w:lvlText w:val="%5."/>
        <w:lvlJc w:val="left"/>
        <w:pPr>
          <w:tabs>
            <w:tab w:val="left" w:pos="1134"/>
            <w:tab w:val="left" w:pos="1701"/>
            <w:tab w:val="num" w:pos="4221"/>
          </w:tabs>
          <w:ind w:left="3654" w:firstLine="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79C7EAA">
        <w:start w:val="1"/>
        <w:numFmt w:val="lowerRoman"/>
        <w:lvlText w:val="%6."/>
        <w:lvlJc w:val="left"/>
        <w:pPr>
          <w:tabs>
            <w:tab w:val="left" w:pos="1134"/>
            <w:tab w:val="left" w:pos="1701"/>
            <w:tab w:val="num" w:pos="4941"/>
          </w:tabs>
          <w:ind w:left="4374" w:firstLine="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E465504">
        <w:start w:val="1"/>
        <w:numFmt w:val="decimal"/>
        <w:lvlText w:val="%7."/>
        <w:lvlJc w:val="left"/>
        <w:pPr>
          <w:tabs>
            <w:tab w:val="left" w:pos="1134"/>
            <w:tab w:val="left" w:pos="1701"/>
            <w:tab w:val="num" w:pos="5661"/>
          </w:tabs>
          <w:ind w:left="5094" w:firstLine="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630164E">
        <w:start w:val="1"/>
        <w:numFmt w:val="lowerLetter"/>
        <w:lvlText w:val="%8."/>
        <w:lvlJc w:val="left"/>
        <w:pPr>
          <w:tabs>
            <w:tab w:val="left" w:pos="1134"/>
            <w:tab w:val="left" w:pos="1701"/>
            <w:tab w:val="num" w:pos="6381"/>
          </w:tabs>
          <w:ind w:left="5814" w:firstLine="2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78A49D8">
        <w:start w:val="1"/>
        <w:numFmt w:val="lowerRoman"/>
        <w:lvlText w:val="%9."/>
        <w:lvlJc w:val="left"/>
        <w:pPr>
          <w:tabs>
            <w:tab w:val="left" w:pos="1134"/>
            <w:tab w:val="left" w:pos="1701"/>
            <w:tab w:val="num" w:pos="7101"/>
          </w:tabs>
          <w:ind w:left="6534" w:firstLine="32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3"/>
    <w:lvlOverride w:ilvl="0">
      <w:startOverride w:val="143"/>
      <w:lvl w:ilvl="0" w:tplc="99C48EEC">
        <w:start w:val="143"/>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7ED8B910">
        <w:start w:val="1"/>
        <w:numFmt w:val="decimal"/>
        <w:lvlText w:val="(%2)"/>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51F48DA0">
        <w:start w:val="1"/>
        <w:numFmt w:val="lowerRoman"/>
        <w:lvlText w:val="%3."/>
        <w:lvlJc w:val="left"/>
        <w:pPr>
          <w:ind w:left="1134" w:hanging="4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89CD738">
        <w:start w:val="1"/>
        <w:numFmt w:val="lowerLetter"/>
        <w:lvlText w:val="(%4)"/>
        <w:lvlJc w:val="left"/>
        <w:pPr>
          <w:ind w:left="1701" w:hanging="35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2FA8968A">
        <w:start w:val="1"/>
        <w:numFmt w:val="decimal"/>
        <w:lvlText w:val="%5."/>
        <w:lvlJc w:val="left"/>
        <w:pPr>
          <w:ind w:left="279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B9A235C2">
        <w:start w:val="1"/>
        <w:numFmt w:val="lowerRoman"/>
        <w:lvlText w:val="%6."/>
        <w:lvlJc w:val="left"/>
        <w:pPr>
          <w:ind w:left="351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DB226490">
        <w:start w:val="1"/>
        <w:numFmt w:val="decimal"/>
        <w:lvlText w:val="%7."/>
        <w:lvlJc w:val="left"/>
        <w:pPr>
          <w:ind w:left="423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5A82A83C">
        <w:start w:val="1"/>
        <w:numFmt w:val="lowerLetter"/>
        <w:lvlText w:val="%8."/>
        <w:lvlJc w:val="left"/>
        <w:pPr>
          <w:ind w:left="495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9878D34E">
        <w:start w:val="1"/>
        <w:numFmt w:val="lowerRoman"/>
        <w:lvlText w:val="%9."/>
        <w:lvlJc w:val="left"/>
        <w:pPr>
          <w:ind w:left="5670" w:hanging="6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11"/>
  </w:num>
  <w:num w:numId="28">
    <w:abstractNumId w:val="6"/>
  </w:num>
  <w:num w:numId="29">
    <w:abstractNumId w:val="3"/>
    <w:lvlOverride w:ilvl="0">
      <w:startOverride w:val="157"/>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1A"/>
    <w:rsid w:val="00014B5E"/>
    <w:rsid w:val="000334AA"/>
    <w:rsid w:val="0005517C"/>
    <w:rsid w:val="00057A01"/>
    <w:rsid w:val="00067112"/>
    <w:rsid w:val="000E3B73"/>
    <w:rsid w:val="00126944"/>
    <w:rsid w:val="001E3266"/>
    <w:rsid w:val="001E769B"/>
    <w:rsid w:val="002318F0"/>
    <w:rsid w:val="00251005"/>
    <w:rsid w:val="002564B8"/>
    <w:rsid w:val="0025712F"/>
    <w:rsid w:val="00260503"/>
    <w:rsid w:val="002F01FF"/>
    <w:rsid w:val="00336C5C"/>
    <w:rsid w:val="00357444"/>
    <w:rsid w:val="003C40BF"/>
    <w:rsid w:val="003E0ABF"/>
    <w:rsid w:val="003E1616"/>
    <w:rsid w:val="0040296A"/>
    <w:rsid w:val="00463050"/>
    <w:rsid w:val="004A3D13"/>
    <w:rsid w:val="004C0120"/>
    <w:rsid w:val="0052603A"/>
    <w:rsid w:val="00530D64"/>
    <w:rsid w:val="0055027A"/>
    <w:rsid w:val="005769A8"/>
    <w:rsid w:val="00587CA1"/>
    <w:rsid w:val="005D3588"/>
    <w:rsid w:val="006600AF"/>
    <w:rsid w:val="00695489"/>
    <w:rsid w:val="006A68AE"/>
    <w:rsid w:val="006C6BEA"/>
    <w:rsid w:val="006F72A6"/>
    <w:rsid w:val="007435D9"/>
    <w:rsid w:val="00784983"/>
    <w:rsid w:val="007B4448"/>
    <w:rsid w:val="007F58EA"/>
    <w:rsid w:val="00836AAC"/>
    <w:rsid w:val="00893360"/>
    <w:rsid w:val="008A1311"/>
    <w:rsid w:val="00913AE9"/>
    <w:rsid w:val="00920BCD"/>
    <w:rsid w:val="009412A9"/>
    <w:rsid w:val="009D0D01"/>
    <w:rsid w:val="009D791A"/>
    <w:rsid w:val="009E0052"/>
    <w:rsid w:val="009E02B0"/>
    <w:rsid w:val="009F6AE3"/>
    <w:rsid w:val="00A41803"/>
    <w:rsid w:val="00AB0B20"/>
    <w:rsid w:val="00B02FC6"/>
    <w:rsid w:val="00B03556"/>
    <w:rsid w:val="00B11539"/>
    <w:rsid w:val="00B26DA2"/>
    <w:rsid w:val="00B65AE6"/>
    <w:rsid w:val="00BC35FB"/>
    <w:rsid w:val="00BE667C"/>
    <w:rsid w:val="00C04B27"/>
    <w:rsid w:val="00C20475"/>
    <w:rsid w:val="00C34ED9"/>
    <w:rsid w:val="00C45C35"/>
    <w:rsid w:val="00CD0AA0"/>
    <w:rsid w:val="00CD616F"/>
    <w:rsid w:val="00CE07FC"/>
    <w:rsid w:val="00D96E6F"/>
    <w:rsid w:val="00DB1400"/>
    <w:rsid w:val="00DC3260"/>
    <w:rsid w:val="00E662B5"/>
    <w:rsid w:val="00E82A3F"/>
    <w:rsid w:val="00EA4EE6"/>
    <w:rsid w:val="00F07F07"/>
    <w:rsid w:val="00F30A80"/>
    <w:rsid w:val="00F86967"/>
    <w:rsid w:val="00F90662"/>
    <w:rsid w:val="00FD531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76C22"/>
  <w15:docId w15:val="{8B6964A2-C417-4D98-A8EC-971C3DA2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ZW" w:eastAsia="en-Z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rPr>
      <w:rFonts w:ascii="Courier New" w:eastAsia="Courier New" w:hAnsi="Courier New" w:cs="Courier New"/>
      <w:color w:val="000000"/>
      <w:sz w:val="24"/>
      <w:szCs w:val="24"/>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8"/>
      </w:numPr>
    </w:pPr>
  </w:style>
  <w:style w:type="numbering" w:customStyle="1" w:styleId="ImportedStyle4">
    <w:name w:val="Imported Style 4"/>
    <w:pPr>
      <w:numPr>
        <w:numId w:val="11"/>
      </w:numPr>
    </w:pPr>
  </w:style>
  <w:style w:type="numbering" w:customStyle="1" w:styleId="ImportedStyle5">
    <w:name w:val="Imported Style 5"/>
    <w:pPr>
      <w:numPr>
        <w:numId w:val="22"/>
      </w:numPr>
    </w:pPr>
  </w:style>
  <w:style w:type="numbering" w:customStyle="1" w:styleId="ImportedStyle6">
    <w:name w:val="Imported Style 6"/>
    <w:pPr>
      <w:numPr>
        <w:numId w:val="27"/>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E0A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ABF"/>
    <w:rPr>
      <w:rFonts w:ascii="Segoe UI" w:hAnsi="Segoe UI" w:cs="Segoe UI"/>
      <w:sz w:val="18"/>
      <w:szCs w:val="18"/>
      <w:lang w:val="en-US" w:eastAsia="en-US"/>
    </w:rPr>
  </w:style>
  <w:style w:type="paragraph" w:styleId="Footer">
    <w:name w:val="footer"/>
    <w:basedOn w:val="Normal"/>
    <w:link w:val="FooterChar"/>
    <w:uiPriority w:val="99"/>
    <w:unhideWhenUsed/>
    <w:rsid w:val="00E662B5"/>
    <w:pPr>
      <w:tabs>
        <w:tab w:val="center" w:pos="4513"/>
        <w:tab w:val="right" w:pos="9026"/>
      </w:tabs>
    </w:pPr>
  </w:style>
  <w:style w:type="character" w:customStyle="1" w:styleId="FooterChar">
    <w:name w:val="Footer Char"/>
    <w:basedOn w:val="DefaultParagraphFont"/>
    <w:link w:val="Footer"/>
    <w:uiPriority w:val="99"/>
    <w:rsid w:val="00E662B5"/>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318F0"/>
    <w:rPr>
      <w:b/>
      <w:bCs/>
    </w:rPr>
  </w:style>
  <w:style w:type="character" w:customStyle="1" w:styleId="CommentSubjectChar">
    <w:name w:val="Comment Subject Char"/>
    <w:basedOn w:val="CommentTextChar"/>
    <w:link w:val="CommentSubject"/>
    <w:uiPriority w:val="99"/>
    <w:semiHidden/>
    <w:rsid w:val="002318F0"/>
    <w:rPr>
      <w:b/>
      <w:bCs/>
      <w:lang w:val="en-US" w:eastAsia="en-US"/>
    </w:rPr>
  </w:style>
  <w:style w:type="paragraph" w:styleId="NoSpacing">
    <w:name w:val="No Spacing"/>
    <w:uiPriority w:val="1"/>
    <w:qFormat/>
    <w:rsid w:val="0052603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776C2-68D3-4F03-AF88-392C0BAAE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15818</Words>
  <Characters>90169</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Rita</dc:creator>
  <cp:lastModifiedBy>USR</cp:lastModifiedBy>
  <cp:revision>2</cp:revision>
  <dcterms:created xsi:type="dcterms:W3CDTF">2024-02-06T09:27:00Z</dcterms:created>
  <dcterms:modified xsi:type="dcterms:W3CDTF">2024-02-06T09:27:00Z</dcterms:modified>
</cp:coreProperties>
</file>