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2EA7" w:rsidRDefault="00232EA7" w:rsidP="00C07E13">
      <w:pPr>
        <w:pStyle w:val="NoSpacing"/>
        <w:rPr>
          <w:b/>
        </w:rPr>
      </w:pPr>
    </w:p>
    <w:p w:rsidR="00C07E13" w:rsidRDefault="00C07E13" w:rsidP="00C07E13">
      <w:pPr>
        <w:pStyle w:val="NoSpacing"/>
        <w:rPr>
          <w:b/>
        </w:rPr>
      </w:pPr>
      <w:bookmarkStart w:id="0" w:name="_GoBack"/>
      <w:bookmarkEnd w:id="0"/>
    </w:p>
    <w:p w:rsidR="00232EA7" w:rsidRPr="00E60D46" w:rsidRDefault="00232EA7" w:rsidP="00232EA7">
      <w:pPr>
        <w:pStyle w:val="NoSpacing"/>
        <w:jc w:val="center"/>
        <w:rPr>
          <w:b/>
        </w:rPr>
      </w:pPr>
    </w:p>
    <w:p w:rsidR="00232EA7" w:rsidRPr="00C07E13" w:rsidRDefault="00C07E13" w:rsidP="00C07E13">
      <w:pPr>
        <w:pStyle w:val="NoSpacing"/>
        <w:rPr>
          <w:b/>
          <w:u w:val="single"/>
        </w:rPr>
      </w:pPr>
      <w:r>
        <w:rPr>
          <w:b/>
          <w:u w:val="single"/>
        </w:rPr>
        <w:t>REPORTABLE (5)</w:t>
      </w:r>
    </w:p>
    <w:p w:rsidR="00232EA7" w:rsidRPr="00E60D46" w:rsidRDefault="00232EA7" w:rsidP="00232EA7">
      <w:pPr>
        <w:pStyle w:val="NoSpacing"/>
        <w:jc w:val="center"/>
        <w:rPr>
          <w:b/>
        </w:rPr>
      </w:pPr>
    </w:p>
    <w:p w:rsidR="00232EA7" w:rsidRPr="00E60D46" w:rsidRDefault="00232EA7" w:rsidP="00232EA7">
      <w:pPr>
        <w:pStyle w:val="NoSpacing"/>
        <w:jc w:val="center"/>
        <w:rPr>
          <w:b/>
        </w:rPr>
      </w:pPr>
      <w:r w:rsidRPr="00E60D46">
        <w:rPr>
          <w:b/>
        </w:rPr>
        <w:t xml:space="preserve">DOUGLAS     STUART     TAYLOR-FREEME     </w:t>
      </w:r>
    </w:p>
    <w:p w:rsidR="00232EA7" w:rsidRPr="00E60D46" w:rsidRDefault="00232EA7" w:rsidP="00232EA7">
      <w:pPr>
        <w:pStyle w:val="NoSpacing"/>
        <w:jc w:val="center"/>
        <w:rPr>
          <w:b/>
        </w:rPr>
      </w:pPr>
    </w:p>
    <w:p w:rsidR="00232EA7" w:rsidRPr="00E60D46" w:rsidRDefault="00232EA7" w:rsidP="00232EA7">
      <w:pPr>
        <w:pStyle w:val="NoSpacing"/>
        <w:jc w:val="center"/>
        <w:rPr>
          <w:b/>
        </w:rPr>
      </w:pPr>
      <w:r w:rsidRPr="00E60D46">
        <w:rPr>
          <w:b/>
        </w:rPr>
        <w:t xml:space="preserve">v     </w:t>
      </w:r>
    </w:p>
    <w:p w:rsidR="00232EA7" w:rsidRPr="00E60D46" w:rsidRDefault="00232EA7" w:rsidP="00232EA7">
      <w:pPr>
        <w:pStyle w:val="NoSpacing"/>
        <w:jc w:val="center"/>
        <w:rPr>
          <w:b/>
        </w:rPr>
      </w:pPr>
    </w:p>
    <w:p w:rsidR="00232EA7" w:rsidRPr="00E60D46" w:rsidRDefault="00232EA7" w:rsidP="00232EA7">
      <w:pPr>
        <w:pStyle w:val="NoSpacing"/>
        <w:jc w:val="center"/>
        <w:rPr>
          <w:b/>
        </w:rPr>
      </w:pPr>
      <w:r w:rsidRPr="00E60D46">
        <w:rPr>
          <w:b/>
        </w:rPr>
        <w:t xml:space="preserve">(1)     </w:t>
      </w:r>
      <w:r w:rsidRPr="00E60D46">
        <w:rPr>
          <w:b/>
        </w:rPr>
        <w:tab/>
        <w:t>THE     SENIOR     MAGISTRATE,     CHINHOYI</w:t>
      </w:r>
    </w:p>
    <w:p w:rsidR="00232EA7" w:rsidRPr="00E60D46" w:rsidRDefault="00232EA7" w:rsidP="00232EA7">
      <w:pPr>
        <w:pStyle w:val="NoSpacing"/>
        <w:jc w:val="center"/>
        <w:rPr>
          <w:b/>
        </w:rPr>
      </w:pPr>
    </w:p>
    <w:p w:rsidR="00232EA7" w:rsidRPr="00E60D46" w:rsidRDefault="00232EA7" w:rsidP="00232EA7">
      <w:pPr>
        <w:pStyle w:val="NoSpacing"/>
        <w:jc w:val="center"/>
        <w:rPr>
          <w:b/>
        </w:rPr>
      </w:pPr>
      <w:r w:rsidRPr="00E60D46">
        <w:rPr>
          <w:b/>
        </w:rPr>
        <w:t>(2)     THE     ATTORNEY-GENERAL</w:t>
      </w:r>
    </w:p>
    <w:p w:rsidR="001932C4" w:rsidRPr="00E60D46" w:rsidRDefault="001932C4" w:rsidP="001932C4">
      <w:pPr>
        <w:pStyle w:val="NoSpacing"/>
      </w:pPr>
    </w:p>
    <w:p w:rsidR="00232EA7" w:rsidRPr="00E60D46" w:rsidRDefault="00232EA7" w:rsidP="001932C4">
      <w:pPr>
        <w:pStyle w:val="NoSpacing"/>
        <w:rPr>
          <w:b/>
        </w:rPr>
      </w:pPr>
    </w:p>
    <w:p w:rsidR="001932C4" w:rsidRPr="00E60D46" w:rsidRDefault="001932C4" w:rsidP="001932C4">
      <w:pPr>
        <w:pStyle w:val="NoSpacing"/>
        <w:rPr>
          <w:b/>
        </w:rPr>
      </w:pPr>
      <w:r w:rsidRPr="00E60D46">
        <w:rPr>
          <w:b/>
        </w:rPr>
        <w:t>CONSTITUTIONAL COURT OF ZIMBABWE</w:t>
      </w:r>
    </w:p>
    <w:p w:rsidR="001932C4" w:rsidRPr="00E60D46" w:rsidRDefault="001932C4" w:rsidP="001932C4">
      <w:pPr>
        <w:pStyle w:val="NoSpacing"/>
        <w:rPr>
          <w:b/>
        </w:rPr>
      </w:pPr>
      <w:r w:rsidRPr="00E60D46">
        <w:rPr>
          <w:b/>
        </w:rPr>
        <w:t>CHIDYAUSIKU CJ, MALABA DCJ, ZIYAMBI JA, GARWE JA</w:t>
      </w:r>
      <w:r w:rsidR="003E5811" w:rsidRPr="00E60D46">
        <w:rPr>
          <w:b/>
        </w:rPr>
        <w:t xml:space="preserve"> &amp; CHEDA AJA</w:t>
      </w:r>
      <w:r w:rsidRPr="00E60D46">
        <w:rPr>
          <w:b/>
        </w:rPr>
        <w:t>,</w:t>
      </w:r>
    </w:p>
    <w:p w:rsidR="001932C4" w:rsidRPr="00E60D46" w:rsidRDefault="001932C4" w:rsidP="001932C4">
      <w:pPr>
        <w:pStyle w:val="NoSpacing"/>
        <w:rPr>
          <w:b/>
        </w:rPr>
      </w:pPr>
      <w:r w:rsidRPr="00E60D46">
        <w:rPr>
          <w:b/>
        </w:rPr>
        <w:t xml:space="preserve">HARARE, JULY 07, 2011 &amp; </w:t>
      </w:r>
      <w:r w:rsidR="00E23C10" w:rsidRPr="00E60D46">
        <w:rPr>
          <w:b/>
        </w:rPr>
        <w:t xml:space="preserve">OCTOBER 8, </w:t>
      </w:r>
      <w:r w:rsidRPr="00E60D46">
        <w:rPr>
          <w:b/>
        </w:rPr>
        <w:t>2014</w:t>
      </w:r>
    </w:p>
    <w:p w:rsidR="001932C4" w:rsidRPr="00E60D46" w:rsidRDefault="001932C4" w:rsidP="001932C4">
      <w:pPr>
        <w:pStyle w:val="NoSpacing"/>
      </w:pPr>
    </w:p>
    <w:p w:rsidR="001932C4" w:rsidRPr="00E60D46" w:rsidRDefault="001932C4" w:rsidP="001932C4">
      <w:pPr>
        <w:pStyle w:val="NoSpacing"/>
      </w:pPr>
    </w:p>
    <w:p w:rsidR="001932C4" w:rsidRPr="00E60D46" w:rsidRDefault="00296BFE" w:rsidP="001932C4">
      <w:pPr>
        <w:pStyle w:val="NoSpacing"/>
      </w:pPr>
      <w:r w:rsidRPr="00E60D46">
        <w:rPr>
          <w:i/>
        </w:rPr>
        <w:t>A P de Bourbon SC</w:t>
      </w:r>
      <w:r w:rsidR="001932C4" w:rsidRPr="00E60D46">
        <w:t>, for the applicant</w:t>
      </w:r>
    </w:p>
    <w:p w:rsidR="00296BFE" w:rsidRPr="00E60D46" w:rsidRDefault="00296BFE" w:rsidP="001932C4">
      <w:pPr>
        <w:pStyle w:val="NoSpacing"/>
      </w:pPr>
    </w:p>
    <w:p w:rsidR="00296BFE" w:rsidRPr="00E60D46" w:rsidRDefault="00296BFE" w:rsidP="001932C4">
      <w:pPr>
        <w:pStyle w:val="NoSpacing"/>
      </w:pPr>
      <w:r w:rsidRPr="00E60D46">
        <w:t>No appearance for the first respondent</w:t>
      </w:r>
    </w:p>
    <w:p w:rsidR="001932C4" w:rsidRPr="00E60D46" w:rsidRDefault="001932C4" w:rsidP="001932C4">
      <w:pPr>
        <w:pStyle w:val="NoSpacing"/>
      </w:pPr>
    </w:p>
    <w:p w:rsidR="001932C4" w:rsidRPr="00E60D46" w:rsidRDefault="00296BFE" w:rsidP="001932C4">
      <w:pPr>
        <w:pStyle w:val="NoSpacing"/>
      </w:pPr>
      <w:r w:rsidRPr="00E60D46">
        <w:rPr>
          <w:i/>
        </w:rPr>
        <w:t>T R Zvekare</w:t>
      </w:r>
      <w:r w:rsidR="001932C4" w:rsidRPr="00E60D46">
        <w:t xml:space="preserve">, for the </w:t>
      </w:r>
      <w:r w:rsidRPr="00E60D46">
        <w:t xml:space="preserve">second </w:t>
      </w:r>
      <w:r w:rsidR="001932C4" w:rsidRPr="00E60D46">
        <w:t>respondent</w:t>
      </w:r>
    </w:p>
    <w:p w:rsidR="001932C4" w:rsidRPr="00E60D46" w:rsidRDefault="001932C4" w:rsidP="001932C4">
      <w:pPr>
        <w:pStyle w:val="NoSpacing"/>
      </w:pPr>
    </w:p>
    <w:p w:rsidR="001932C4" w:rsidRPr="00E60D46" w:rsidRDefault="001932C4" w:rsidP="001932C4">
      <w:pPr>
        <w:pStyle w:val="NoSpacing"/>
      </w:pPr>
    </w:p>
    <w:p w:rsidR="001932C4" w:rsidRPr="00E60D46" w:rsidRDefault="001932C4" w:rsidP="001932C4">
      <w:pPr>
        <w:pStyle w:val="NoSpacing"/>
        <w:spacing w:line="480" w:lineRule="auto"/>
        <w:jc w:val="both"/>
      </w:pPr>
      <w:r w:rsidRPr="00E60D46">
        <w:tab/>
      </w:r>
      <w:r w:rsidRPr="00E60D46">
        <w:tab/>
      </w:r>
      <w:r w:rsidRPr="00E60D46">
        <w:rPr>
          <w:b/>
        </w:rPr>
        <w:t>CHIDYAUSIKU CJ</w:t>
      </w:r>
      <w:r w:rsidRPr="00E60D46">
        <w:t>:   This application is made in terms of s 24(</w:t>
      </w:r>
      <w:r w:rsidR="00B05F28" w:rsidRPr="00E60D46">
        <w:t>1</w:t>
      </w:r>
      <w:r w:rsidRPr="00E60D46">
        <w:t xml:space="preserve">) of the </w:t>
      </w:r>
      <w:r w:rsidR="00516502" w:rsidRPr="00E60D46">
        <w:t>former</w:t>
      </w:r>
      <w:r w:rsidRPr="00E60D46">
        <w:t xml:space="preserve"> Constitution of Zimbabwe (hereinafter referred to as “the Constitution”), which provide</w:t>
      </w:r>
      <w:r w:rsidR="00516502" w:rsidRPr="00E60D46">
        <w:t>d</w:t>
      </w:r>
      <w:r w:rsidRPr="00E60D46">
        <w:t>:</w:t>
      </w:r>
    </w:p>
    <w:p w:rsidR="00296BFE" w:rsidRPr="00E60D46" w:rsidRDefault="00296BFE" w:rsidP="00296BFE">
      <w:pPr>
        <w:pStyle w:val="NoSpacing"/>
        <w:jc w:val="both"/>
      </w:pPr>
    </w:p>
    <w:p w:rsidR="00296BFE" w:rsidRPr="00E60D46" w:rsidRDefault="00296BFE" w:rsidP="00296BFE">
      <w:pPr>
        <w:pStyle w:val="NoSpacing"/>
        <w:ind w:left="720"/>
        <w:jc w:val="both"/>
        <w:rPr>
          <w:b/>
        </w:rPr>
      </w:pPr>
      <w:r w:rsidRPr="00E60D46">
        <w:t>“</w:t>
      </w:r>
      <w:r w:rsidRPr="00E60D46">
        <w:rPr>
          <w:b/>
        </w:rPr>
        <w:t>24 Enforcement of protective provisions</w:t>
      </w:r>
    </w:p>
    <w:p w:rsidR="00296BFE" w:rsidRPr="00E60D46" w:rsidRDefault="00296BFE" w:rsidP="00296BFE">
      <w:pPr>
        <w:pStyle w:val="NoSpacing"/>
        <w:ind w:left="720"/>
        <w:jc w:val="both"/>
      </w:pPr>
    </w:p>
    <w:p w:rsidR="00296BFE" w:rsidRPr="00E60D46" w:rsidRDefault="00296BFE" w:rsidP="00296BFE">
      <w:pPr>
        <w:pStyle w:val="NoSpacing"/>
        <w:ind w:left="720" w:firstLine="720"/>
        <w:jc w:val="both"/>
      </w:pPr>
      <w:r w:rsidRPr="00E60D46">
        <w:t>(1) If any person alleges that the Declaration of Rights has been, is being or is likely to be contravened in relation to him (or, in the case of a person who is detained, if any other person alleges such a contravention in relation to the detained person), then, without prejudice to any other action with respect to the same matter which is lawfully available, that person (or that other person) may, subject to the provisions of subsection (3), apply to the Supreme Court for redress.”</w:t>
      </w:r>
    </w:p>
    <w:p w:rsidR="00296BFE" w:rsidRPr="00E60D46" w:rsidRDefault="00296BFE" w:rsidP="00296BFE">
      <w:pPr>
        <w:pStyle w:val="NoSpacing"/>
        <w:spacing w:line="480" w:lineRule="auto"/>
        <w:jc w:val="both"/>
      </w:pPr>
    </w:p>
    <w:p w:rsidR="00096D4B" w:rsidRPr="00E60D46" w:rsidRDefault="00096D4B" w:rsidP="00DB1142">
      <w:pPr>
        <w:pStyle w:val="NoSpacing"/>
        <w:spacing w:line="480" w:lineRule="auto"/>
        <w:jc w:val="both"/>
      </w:pPr>
      <w:r w:rsidRPr="00E60D46">
        <w:tab/>
      </w:r>
      <w:r w:rsidRPr="00E60D46">
        <w:tab/>
        <w:t xml:space="preserve">The applicant alleges that his rights to protection of the law and a fair trial guaranteed under ss 18(1) and </w:t>
      </w:r>
      <w:r w:rsidR="002F0120" w:rsidRPr="00E60D46">
        <w:t>(</w:t>
      </w:r>
      <w:r w:rsidRPr="00E60D46">
        <w:t>2</w:t>
      </w:r>
      <w:r w:rsidR="00875998" w:rsidRPr="00E60D46">
        <w:t>) of</w:t>
      </w:r>
      <w:r w:rsidRPr="00E60D46">
        <w:t xml:space="preserve"> the Constitution were violated by the court </w:t>
      </w:r>
      <w:r w:rsidRPr="00E60D46">
        <w:rPr>
          <w:i/>
        </w:rPr>
        <w:t>a quo</w:t>
      </w:r>
      <w:r w:rsidRPr="00E60D46">
        <w:t>.</w:t>
      </w:r>
    </w:p>
    <w:p w:rsidR="00096D4B" w:rsidRPr="00E60D46" w:rsidRDefault="00096D4B" w:rsidP="00DB1142">
      <w:pPr>
        <w:pStyle w:val="NoSpacing"/>
        <w:spacing w:line="480" w:lineRule="auto"/>
        <w:jc w:val="both"/>
      </w:pPr>
    </w:p>
    <w:p w:rsidR="00296BFE" w:rsidRPr="00E60D46" w:rsidRDefault="00296BFE" w:rsidP="00DB1142">
      <w:pPr>
        <w:pStyle w:val="NoSpacing"/>
        <w:spacing w:line="480" w:lineRule="auto"/>
        <w:jc w:val="both"/>
      </w:pPr>
      <w:r w:rsidRPr="00E60D46">
        <w:lastRenderedPageBreak/>
        <w:tab/>
      </w:r>
      <w:r w:rsidRPr="00E60D46">
        <w:tab/>
        <w:t xml:space="preserve">The facts of this case are that the applicant was charged with contravening </w:t>
      </w:r>
      <w:r w:rsidR="00DB1142" w:rsidRPr="00E60D46">
        <w:t xml:space="preserve">s 3(2)(a), as read with </w:t>
      </w:r>
      <w:r w:rsidR="00053382" w:rsidRPr="00E60D46">
        <w:t>s</w:t>
      </w:r>
      <w:r w:rsidR="00DB1142" w:rsidRPr="00E60D46">
        <w:t>s 3(3)</w:t>
      </w:r>
      <w:r w:rsidR="00996E69" w:rsidRPr="00E60D46">
        <w:t xml:space="preserve"> </w:t>
      </w:r>
      <w:r w:rsidR="00053382" w:rsidRPr="00E60D46">
        <w:t>and</w:t>
      </w:r>
      <w:r w:rsidR="00996E69" w:rsidRPr="00E60D46">
        <w:t xml:space="preserve"> </w:t>
      </w:r>
      <w:r w:rsidR="00DB1142" w:rsidRPr="00E60D46">
        <w:t>3(5)</w:t>
      </w:r>
      <w:r w:rsidR="00F92A56" w:rsidRPr="00E60D46">
        <w:t>,</w:t>
      </w:r>
      <w:r w:rsidR="00DB1142" w:rsidRPr="00E60D46">
        <w:t xml:space="preserve"> of the Gazetted Lands </w:t>
      </w:r>
      <w:r w:rsidR="00F92A56" w:rsidRPr="00E60D46">
        <w:t>(</w:t>
      </w:r>
      <w:r w:rsidR="00DB1142" w:rsidRPr="00E60D46">
        <w:t>Consequential Provisions) Act [</w:t>
      </w:r>
      <w:r w:rsidR="00DB1142" w:rsidRPr="00E60D46">
        <w:rPr>
          <w:i/>
        </w:rPr>
        <w:t>Chapter 20:28</w:t>
      </w:r>
      <w:r w:rsidR="00DB1142" w:rsidRPr="00E60D46">
        <w:t>]</w:t>
      </w:r>
      <w:r w:rsidR="00F92A56" w:rsidRPr="00E60D46">
        <w:t xml:space="preserve"> (hereinafter referred to as “the Act”)</w:t>
      </w:r>
      <w:r w:rsidR="00DB1142" w:rsidRPr="00E60D46">
        <w:t xml:space="preserve">, </w:t>
      </w:r>
      <w:r w:rsidR="00F92A56" w:rsidRPr="00E60D46">
        <w:t>“</w:t>
      </w:r>
      <w:r w:rsidR="00DB1142" w:rsidRPr="00E60D46">
        <w:t>using, or occupying gazetted land without lawful authority</w:t>
      </w:r>
      <w:r w:rsidR="00F92A56" w:rsidRPr="00E60D46">
        <w:t>”</w:t>
      </w:r>
      <w:r w:rsidR="00DB1142" w:rsidRPr="00E60D46">
        <w:t>, in that on 4 February 2007 and at Rom</w:t>
      </w:r>
      <w:r w:rsidR="00E502BE" w:rsidRPr="00E60D46">
        <w:t>s</w:t>
      </w:r>
      <w:r w:rsidR="00DB1142" w:rsidRPr="00E60D46">
        <w:t>ey Farm (hereinafter referred to as “the farm”)</w:t>
      </w:r>
      <w:r w:rsidR="00F92A56" w:rsidRPr="00E60D46">
        <w:t xml:space="preserve"> Chinhoyi, he, without lawful authority to occupy, hold or use </w:t>
      </w:r>
      <w:r w:rsidR="00096D4B" w:rsidRPr="00E60D46">
        <w:t xml:space="preserve">gazetted </w:t>
      </w:r>
      <w:r w:rsidR="00F92A56" w:rsidRPr="00E60D46">
        <w:t>land, did not cease to occupy, hold or use that land after the expiry of the forty-five day period stipulated in s 3(2)(a) of the Act and has not ceased to occupy, hold or use th</w:t>
      </w:r>
      <w:r w:rsidR="009B2008" w:rsidRPr="00E60D46">
        <w:t>at</w:t>
      </w:r>
      <w:r w:rsidR="00F92A56" w:rsidRPr="00E60D46">
        <w:t xml:space="preserve"> land</w:t>
      </w:r>
      <w:r w:rsidR="009B2008" w:rsidRPr="00E60D46">
        <w:t xml:space="preserve"> to date.</w:t>
      </w:r>
    </w:p>
    <w:p w:rsidR="009B2008" w:rsidRPr="00E60D46" w:rsidRDefault="009B2008" w:rsidP="00DB1142">
      <w:pPr>
        <w:pStyle w:val="NoSpacing"/>
        <w:spacing w:line="480" w:lineRule="auto"/>
        <w:jc w:val="both"/>
      </w:pPr>
    </w:p>
    <w:p w:rsidR="009B2008" w:rsidRPr="00E60D46" w:rsidRDefault="00092F67" w:rsidP="00DB1142">
      <w:pPr>
        <w:pStyle w:val="NoSpacing"/>
        <w:spacing w:line="480" w:lineRule="auto"/>
        <w:jc w:val="both"/>
      </w:pPr>
      <w:r w:rsidRPr="00E60D46">
        <w:tab/>
      </w:r>
      <w:r w:rsidRPr="00E60D46">
        <w:tab/>
        <w:t>The applicant pleaded not guilty to the charge.   The applicant’s defence is set out in the Defence Outline, in particular paras 4-6, which read as follows:</w:t>
      </w:r>
    </w:p>
    <w:p w:rsidR="00092F67" w:rsidRPr="00E60D46" w:rsidRDefault="00092F67" w:rsidP="00092F67">
      <w:pPr>
        <w:pStyle w:val="NoSpacing"/>
        <w:jc w:val="both"/>
      </w:pPr>
    </w:p>
    <w:p w:rsidR="00092F67" w:rsidRPr="00E60D46" w:rsidRDefault="00092F67" w:rsidP="00092F67">
      <w:pPr>
        <w:pStyle w:val="NoSpacing"/>
        <w:ind w:left="1440" w:hanging="720"/>
        <w:jc w:val="both"/>
      </w:pPr>
      <w:r w:rsidRPr="00E60D46">
        <w:t>“4.</w:t>
      </w:r>
      <w:r w:rsidRPr="00E60D46">
        <w:tab/>
        <w:t>The accused does not own the farm and was not the former owner.   The farm is occupied by an operating farming company.</w:t>
      </w:r>
    </w:p>
    <w:p w:rsidR="00092F67" w:rsidRPr="00E60D46" w:rsidRDefault="00092F67" w:rsidP="00092F67">
      <w:pPr>
        <w:pStyle w:val="NoSpacing"/>
        <w:ind w:left="1440" w:hanging="720"/>
        <w:jc w:val="both"/>
      </w:pPr>
    </w:p>
    <w:p w:rsidR="00092F67" w:rsidRPr="00E60D46" w:rsidRDefault="00092F67" w:rsidP="00092F67">
      <w:pPr>
        <w:pStyle w:val="NoSpacing"/>
        <w:ind w:left="1440" w:hanging="720"/>
        <w:jc w:val="both"/>
      </w:pPr>
      <w:r w:rsidRPr="00E60D46">
        <w:t>5.</w:t>
      </w:r>
      <w:r w:rsidRPr="00E60D46">
        <w:tab/>
        <w:t>The farm is not gazetted land.   The listing of the farm for acquisition purposes has been declared to be unlawful by the Southern African Development Community Tribunal sitting at Windhoek, Namibia, and that ruling is binding on the Government of Zimbabwe and throughout Zimbabwe.</w:t>
      </w:r>
    </w:p>
    <w:p w:rsidR="00092F67" w:rsidRPr="00E60D46" w:rsidRDefault="00092F67" w:rsidP="00092F67">
      <w:pPr>
        <w:pStyle w:val="NoSpacing"/>
        <w:ind w:left="1440" w:hanging="720"/>
        <w:jc w:val="both"/>
      </w:pPr>
    </w:p>
    <w:p w:rsidR="00092F67" w:rsidRPr="00E60D46" w:rsidRDefault="00092F67" w:rsidP="00092F67">
      <w:pPr>
        <w:pStyle w:val="NoSpacing"/>
        <w:ind w:left="1440" w:hanging="720"/>
        <w:jc w:val="both"/>
      </w:pPr>
      <w:r w:rsidRPr="00E60D46">
        <w:t>6.</w:t>
      </w:r>
      <w:r w:rsidRPr="00E60D46">
        <w:tab/>
        <w:t>Since the accused does not occupy the land, there is no issue that he is under any legal obligation to cease occupation of the land.”</w:t>
      </w:r>
    </w:p>
    <w:p w:rsidR="00092F67" w:rsidRPr="00E60D46" w:rsidRDefault="00092F67" w:rsidP="00092F67">
      <w:pPr>
        <w:pStyle w:val="NoSpacing"/>
        <w:spacing w:line="480" w:lineRule="auto"/>
        <w:ind w:left="720" w:hanging="720"/>
        <w:jc w:val="both"/>
      </w:pPr>
    </w:p>
    <w:p w:rsidR="00092F67" w:rsidRPr="00E60D46" w:rsidRDefault="00161ADF" w:rsidP="00092F67">
      <w:pPr>
        <w:pStyle w:val="NoSpacing"/>
        <w:spacing w:line="480" w:lineRule="auto"/>
        <w:jc w:val="both"/>
      </w:pPr>
      <w:r w:rsidRPr="00E60D46">
        <w:tab/>
      </w:r>
      <w:r w:rsidRPr="00E60D46">
        <w:tab/>
        <w:t xml:space="preserve">It was also the applicant’s defence that he had authority to occupy, hold or use the </w:t>
      </w:r>
      <w:r w:rsidR="00096D4B" w:rsidRPr="00E60D46">
        <w:t>gazetted land</w:t>
      </w:r>
      <w:r w:rsidRPr="00E60D46">
        <w:t xml:space="preserve"> from the late Vice President Msika and officials from the Ministry of Lands, Land Reform and Resettlement.   </w:t>
      </w:r>
      <w:r w:rsidR="00EE3AB6" w:rsidRPr="00E60D46">
        <w:t xml:space="preserve">As this is in contradiction </w:t>
      </w:r>
      <w:r w:rsidR="00430CA0" w:rsidRPr="00E60D46">
        <w:t>t</w:t>
      </w:r>
      <w:r w:rsidR="00B05F28" w:rsidRPr="00E60D46">
        <w:t>o</w:t>
      </w:r>
      <w:r w:rsidR="00EE3AB6" w:rsidRPr="00E60D46">
        <w:t xml:space="preserve"> the stance t</w:t>
      </w:r>
      <w:r w:rsidR="00430CA0" w:rsidRPr="00E60D46">
        <w:t>h</w:t>
      </w:r>
      <w:r w:rsidR="00EE3AB6" w:rsidRPr="00E60D46">
        <w:t>a</w:t>
      </w:r>
      <w:r w:rsidR="00430CA0" w:rsidRPr="00E60D46">
        <w:t>t</w:t>
      </w:r>
      <w:r w:rsidR="00EE3AB6" w:rsidRPr="00E60D46">
        <w:t xml:space="preserve"> the applicant is not a former owner or occupier of the farm</w:t>
      </w:r>
      <w:r w:rsidR="00096D4B" w:rsidRPr="00E60D46">
        <w:t xml:space="preserve"> or gazetted land</w:t>
      </w:r>
      <w:r w:rsidR="00EE3AB6" w:rsidRPr="00E60D46">
        <w:t xml:space="preserve">, </w:t>
      </w:r>
      <w:r w:rsidR="00105418" w:rsidRPr="00E60D46">
        <w:t xml:space="preserve">I can only assume that </w:t>
      </w:r>
      <w:r w:rsidR="00EE3AB6" w:rsidRPr="00E60D46">
        <w:t xml:space="preserve">this defence is in the alternative.   </w:t>
      </w:r>
      <w:r w:rsidR="00105418" w:rsidRPr="00E60D46">
        <w:t>In support of th</w:t>
      </w:r>
      <w:r w:rsidR="00096D4B" w:rsidRPr="00E60D46">
        <w:t>e</w:t>
      </w:r>
      <w:r w:rsidR="00105418" w:rsidRPr="00E60D46">
        <w:t xml:space="preserve"> alternative defence</w:t>
      </w:r>
      <w:r w:rsidR="00096D4B" w:rsidRPr="00E60D46">
        <w:t xml:space="preserve"> </w:t>
      </w:r>
      <w:r w:rsidR="00B05F28" w:rsidRPr="00E60D46">
        <w:t>that the applicant has</w:t>
      </w:r>
      <w:r w:rsidR="00096D4B" w:rsidRPr="00E60D46">
        <w:t xml:space="preserve"> lawful authority to use the gazetted land</w:t>
      </w:r>
      <w:r w:rsidR="00105418" w:rsidRPr="00E60D46">
        <w:t>, he a</w:t>
      </w:r>
      <w:r w:rsidRPr="00E60D46">
        <w:t>ttached to the Defence Outline the following letters from the Office of the late Vice President Msika concerning the farm:</w:t>
      </w:r>
    </w:p>
    <w:p w:rsidR="00161ADF" w:rsidRPr="00E60D46" w:rsidRDefault="00161ADF" w:rsidP="00161ADF">
      <w:pPr>
        <w:pStyle w:val="NoSpacing"/>
        <w:jc w:val="both"/>
      </w:pPr>
    </w:p>
    <w:p w:rsidR="00161ADF" w:rsidRPr="00E60D46" w:rsidRDefault="00161ADF" w:rsidP="00161ADF">
      <w:pPr>
        <w:pStyle w:val="NoSpacing"/>
        <w:ind w:left="720"/>
        <w:jc w:val="both"/>
      </w:pPr>
      <w:r w:rsidRPr="00E60D46">
        <w:lastRenderedPageBreak/>
        <w:t>“4 July 2002</w:t>
      </w:r>
    </w:p>
    <w:p w:rsidR="00161ADF" w:rsidRPr="00E60D46" w:rsidRDefault="00161ADF" w:rsidP="00161ADF">
      <w:pPr>
        <w:pStyle w:val="NoSpacing"/>
        <w:ind w:left="720"/>
        <w:jc w:val="both"/>
      </w:pPr>
    </w:p>
    <w:p w:rsidR="00161ADF" w:rsidRPr="00E60D46" w:rsidRDefault="00161ADF" w:rsidP="00161ADF">
      <w:pPr>
        <w:pStyle w:val="NoSpacing"/>
        <w:ind w:left="720"/>
        <w:jc w:val="both"/>
      </w:pPr>
      <w:r w:rsidRPr="00E60D46">
        <w:t>Mr D Tailor-Freeme</w:t>
      </w:r>
      <w:r w:rsidR="00E502BE" w:rsidRPr="00E60D46">
        <w:t xml:space="preserve"> (</w:t>
      </w:r>
      <w:r w:rsidR="00E502BE" w:rsidRPr="00E60D46">
        <w:rPr>
          <w:i/>
        </w:rPr>
        <w:t>sic</w:t>
      </w:r>
      <w:r w:rsidR="00E502BE" w:rsidRPr="00E60D46">
        <w:t>)</w:t>
      </w:r>
    </w:p>
    <w:p w:rsidR="00161ADF" w:rsidRPr="00E60D46" w:rsidRDefault="00161ADF" w:rsidP="00161ADF">
      <w:pPr>
        <w:pStyle w:val="NoSpacing"/>
        <w:ind w:left="720"/>
        <w:jc w:val="both"/>
      </w:pPr>
      <w:r w:rsidRPr="00E60D46">
        <w:t>P O Box 7516</w:t>
      </w:r>
    </w:p>
    <w:p w:rsidR="00161ADF" w:rsidRPr="00E60D46" w:rsidRDefault="00161ADF" w:rsidP="00161ADF">
      <w:pPr>
        <w:pStyle w:val="NoSpacing"/>
        <w:ind w:left="720"/>
        <w:jc w:val="both"/>
      </w:pPr>
      <w:r w:rsidRPr="00E60D46">
        <w:t>Chinhoyi</w:t>
      </w:r>
    </w:p>
    <w:p w:rsidR="00161ADF" w:rsidRPr="00E60D46" w:rsidRDefault="00161ADF" w:rsidP="00161ADF">
      <w:pPr>
        <w:pStyle w:val="NoSpacing"/>
        <w:ind w:left="720"/>
        <w:jc w:val="both"/>
      </w:pPr>
    </w:p>
    <w:p w:rsidR="00161ADF" w:rsidRPr="00E60D46" w:rsidRDefault="00161ADF" w:rsidP="00161ADF">
      <w:pPr>
        <w:pStyle w:val="NoSpacing"/>
        <w:pBdr>
          <w:bottom w:val="single" w:sz="6" w:space="1" w:color="auto"/>
        </w:pBdr>
        <w:ind w:left="720"/>
        <w:jc w:val="both"/>
        <w:rPr>
          <w:b/>
        </w:rPr>
      </w:pPr>
      <w:r w:rsidRPr="00E60D46">
        <w:rPr>
          <w:b/>
        </w:rPr>
        <w:t>MESSRS</w:t>
      </w:r>
      <w:r w:rsidR="00C2165B" w:rsidRPr="00E60D46">
        <w:rPr>
          <w:b/>
        </w:rPr>
        <w:t xml:space="preserve"> TAILOR-FREEME</w:t>
      </w:r>
      <w:r w:rsidR="00E2305D" w:rsidRPr="00E60D46">
        <w:rPr>
          <w:b/>
        </w:rPr>
        <w:t xml:space="preserve"> (</w:t>
      </w:r>
      <w:r w:rsidR="00E2305D" w:rsidRPr="00E60D46">
        <w:rPr>
          <w:b/>
          <w:i/>
        </w:rPr>
        <w:t>sic</w:t>
      </w:r>
      <w:r w:rsidR="00E2305D" w:rsidRPr="00E60D46">
        <w:rPr>
          <w:b/>
        </w:rPr>
        <w:t>)</w:t>
      </w:r>
      <w:r w:rsidR="00C2165B" w:rsidRPr="00E60D46">
        <w:rPr>
          <w:b/>
        </w:rPr>
        <w:t>: REMAINDER OF ROMSEY AND ATHENS A FARM</w:t>
      </w:r>
    </w:p>
    <w:p w:rsidR="00C2165B" w:rsidRPr="00E60D46" w:rsidRDefault="00C2165B" w:rsidP="00161ADF">
      <w:pPr>
        <w:pStyle w:val="NoSpacing"/>
        <w:ind w:left="720"/>
        <w:jc w:val="both"/>
        <w:rPr>
          <w:b/>
        </w:rPr>
      </w:pPr>
    </w:p>
    <w:p w:rsidR="00C2165B" w:rsidRPr="00E60D46" w:rsidRDefault="00C2165B" w:rsidP="00161ADF">
      <w:pPr>
        <w:pStyle w:val="NoSpacing"/>
        <w:ind w:left="720"/>
        <w:jc w:val="both"/>
      </w:pPr>
      <w:r w:rsidRPr="00E60D46">
        <w:t>Following your various consultations with the Vice President</w:t>
      </w:r>
      <w:r w:rsidR="009F6258" w:rsidRPr="00E60D46">
        <w:t xml:space="preserve"> of Zimbabwe, the Honourable J W Msika, and mindful of the fact that you offered Slaughter Farm (1400 ha) to Government for resettlement purposes under the Zimbabwe Joint Resettlement Initiative (ZCRI), the Vice President grants you permission to continue farming the above farm.</w:t>
      </w:r>
    </w:p>
    <w:p w:rsidR="009F6258" w:rsidRPr="00E60D46" w:rsidRDefault="009F6258" w:rsidP="00161ADF">
      <w:pPr>
        <w:pStyle w:val="NoSpacing"/>
        <w:ind w:left="720"/>
        <w:jc w:val="both"/>
      </w:pPr>
    </w:p>
    <w:p w:rsidR="009F6258" w:rsidRPr="00E60D46" w:rsidRDefault="009F6258" w:rsidP="00161ADF">
      <w:pPr>
        <w:pStyle w:val="NoSpacing"/>
        <w:ind w:left="720"/>
        <w:jc w:val="both"/>
      </w:pPr>
      <w:r w:rsidRPr="00E60D46">
        <w:t>O.E.M. Hove</w:t>
      </w:r>
    </w:p>
    <w:p w:rsidR="009F6258" w:rsidRPr="00E60D46" w:rsidRDefault="009F6258" w:rsidP="00161ADF">
      <w:pPr>
        <w:pStyle w:val="NoSpacing"/>
        <w:ind w:left="720"/>
        <w:jc w:val="both"/>
      </w:pPr>
      <w:r w:rsidRPr="00E60D46">
        <w:t>Director (Policy and Planning)</w:t>
      </w:r>
    </w:p>
    <w:p w:rsidR="009F6258" w:rsidRPr="00E60D46" w:rsidRDefault="009F6258" w:rsidP="00161ADF">
      <w:pPr>
        <w:pStyle w:val="NoSpacing"/>
        <w:ind w:left="720"/>
        <w:jc w:val="both"/>
      </w:pPr>
      <w:r w:rsidRPr="00E60D46">
        <w:rPr>
          <w:b/>
          <w:u w:val="single"/>
        </w:rPr>
        <w:t>Office of the Vice President and Cabinet</w:t>
      </w:r>
    </w:p>
    <w:p w:rsidR="009F6258" w:rsidRPr="00E60D46" w:rsidRDefault="009F6258" w:rsidP="00161ADF">
      <w:pPr>
        <w:pStyle w:val="NoSpacing"/>
        <w:ind w:left="720"/>
        <w:jc w:val="both"/>
      </w:pPr>
    </w:p>
    <w:p w:rsidR="009F6258" w:rsidRPr="00E60D46" w:rsidRDefault="009F6258" w:rsidP="00161ADF">
      <w:pPr>
        <w:pStyle w:val="NoSpacing"/>
        <w:ind w:left="720"/>
        <w:jc w:val="both"/>
      </w:pPr>
      <w:r w:rsidRPr="00E60D46">
        <w:t>cc</w:t>
      </w:r>
      <w:r w:rsidRPr="00E60D46">
        <w:tab/>
        <w:t>Hon P T Chanetsa</w:t>
      </w:r>
    </w:p>
    <w:p w:rsidR="009F6258" w:rsidRPr="00E60D46" w:rsidRDefault="009F6258" w:rsidP="00161ADF">
      <w:pPr>
        <w:pStyle w:val="NoSpacing"/>
        <w:ind w:left="720"/>
        <w:jc w:val="both"/>
      </w:pPr>
      <w:r w:rsidRPr="00E60D46">
        <w:tab/>
        <w:t>Governor/Resident Minister</w:t>
      </w:r>
    </w:p>
    <w:p w:rsidR="009F6258" w:rsidRPr="00E60D46" w:rsidRDefault="009F6258" w:rsidP="009F6258">
      <w:pPr>
        <w:pStyle w:val="NoSpacing"/>
        <w:ind w:left="1440"/>
        <w:jc w:val="both"/>
      </w:pPr>
      <w:r w:rsidRPr="00E60D46">
        <w:t>Mashonaland West Province”;</w:t>
      </w:r>
    </w:p>
    <w:p w:rsidR="009F6258" w:rsidRPr="00E60D46" w:rsidRDefault="009F6258" w:rsidP="009F6258">
      <w:pPr>
        <w:pStyle w:val="NoSpacing"/>
        <w:jc w:val="both"/>
      </w:pPr>
    </w:p>
    <w:p w:rsidR="009F6258" w:rsidRPr="00E60D46" w:rsidRDefault="00DA659D" w:rsidP="009F6258">
      <w:pPr>
        <w:pStyle w:val="NoSpacing"/>
        <w:jc w:val="both"/>
      </w:pPr>
      <w:r w:rsidRPr="00E60D46">
        <w:t>A</w:t>
      </w:r>
      <w:r w:rsidR="009F6258" w:rsidRPr="00E60D46">
        <w:t>nd:</w:t>
      </w:r>
    </w:p>
    <w:p w:rsidR="009F6258" w:rsidRPr="00E60D46" w:rsidRDefault="009F6258" w:rsidP="009F6258">
      <w:pPr>
        <w:pStyle w:val="NoSpacing"/>
        <w:jc w:val="both"/>
      </w:pPr>
    </w:p>
    <w:p w:rsidR="009F6258" w:rsidRPr="00E60D46" w:rsidRDefault="009F6258" w:rsidP="009F6258">
      <w:pPr>
        <w:pStyle w:val="NoSpacing"/>
        <w:jc w:val="both"/>
      </w:pPr>
    </w:p>
    <w:p w:rsidR="009F6258" w:rsidRPr="00E60D46" w:rsidRDefault="009F6258" w:rsidP="009F6258">
      <w:pPr>
        <w:pStyle w:val="NoSpacing"/>
        <w:ind w:left="720"/>
        <w:jc w:val="both"/>
      </w:pPr>
      <w:r w:rsidRPr="00E60D46">
        <w:t>“11 December 2007</w:t>
      </w:r>
    </w:p>
    <w:p w:rsidR="009F6258" w:rsidRPr="00E60D46" w:rsidRDefault="009F6258" w:rsidP="009F6258">
      <w:pPr>
        <w:pStyle w:val="NoSpacing"/>
        <w:ind w:left="720"/>
        <w:jc w:val="both"/>
      </w:pPr>
    </w:p>
    <w:p w:rsidR="009F6258" w:rsidRPr="00E60D46" w:rsidRDefault="009F6258" w:rsidP="009F6258">
      <w:pPr>
        <w:pStyle w:val="NoSpacing"/>
        <w:ind w:left="720"/>
        <w:jc w:val="both"/>
      </w:pPr>
      <w:r w:rsidRPr="00E60D46">
        <w:t>Hon. D.N.E. Mutasa (MP)</w:t>
      </w:r>
    </w:p>
    <w:p w:rsidR="009F6258" w:rsidRPr="00E60D46" w:rsidRDefault="009F6258" w:rsidP="009F6258">
      <w:pPr>
        <w:pStyle w:val="NoSpacing"/>
        <w:ind w:left="720"/>
        <w:jc w:val="both"/>
      </w:pPr>
      <w:r w:rsidRPr="00E60D46">
        <w:t>Minister of State for National Security,</w:t>
      </w:r>
    </w:p>
    <w:p w:rsidR="009F6258" w:rsidRPr="00E60D46" w:rsidRDefault="009F6258" w:rsidP="009F6258">
      <w:pPr>
        <w:pStyle w:val="NoSpacing"/>
        <w:ind w:left="720"/>
        <w:jc w:val="both"/>
      </w:pPr>
      <w:r w:rsidRPr="00E60D46">
        <w:t>Lands, Land Reform and Resettlement</w:t>
      </w:r>
    </w:p>
    <w:p w:rsidR="009F6258" w:rsidRPr="00E60D46" w:rsidRDefault="009F6258" w:rsidP="009F6258">
      <w:pPr>
        <w:pStyle w:val="NoSpacing"/>
        <w:ind w:left="720"/>
        <w:jc w:val="both"/>
      </w:pPr>
    </w:p>
    <w:p w:rsidR="009F6258" w:rsidRPr="00E60D46" w:rsidRDefault="009F6258" w:rsidP="009F6258">
      <w:pPr>
        <w:pStyle w:val="NoSpacing"/>
        <w:ind w:left="720"/>
        <w:jc w:val="both"/>
      </w:pPr>
      <w:r w:rsidRPr="00E60D46">
        <w:rPr>
          <w:b/>
          <w:u w:val="single"/>
        </w:rPr>
        <w:t>ANOMALIES IN THE IMPLEMENTATION OF THE LAND REFORM AND RESETTLEMENT PROGRAMME: MASHONALAND WEST PROVINCE</w:t>
      </w:r>
    </w:p>
    <w:p w:rsidR="009F6258" w:rsidRPr="00E60D46" w:rsidRDefault="009F6258" w:rsidP="009F6258">
      <w:pPr>
        <w:pStyle w:val="NoSpacing"/>
        <w:ind w:left="720"/>
        <w:jc w:val="both"/>
      </w:pPr>
    </w:p>
    <w:p w:rsidR="009F6258" w:rsidRPr="00E60D46" w:rsidRDefault="000E3AB2" w:rsidP="009F6258">
      <w:pPr>
        <w:pStyle w:val="NoSpacing"/>
        <w:ind w:left="720"/>
        <w:jc w:val="both"/>
      </w:pPr>
      <w:r w:rsidRPr="00E60D46">
        <w:t>I understand that you convened a meeting with the political leadership of Mashonaland West Province to discuss their representations contained in Cde Shamuyarira’s letter dated 19 October 2007.</w:t>
      </w:r>
    </w:p>
    <w:p w:rsidR="000E3AB2" w:rsidRPr="00E60D46" w:rsidRDefault="000E3AB2" w:rsidP="009F6258">
      <w:pPr>
        <w:pStyle w:val="NoSpacing"/>
        <w:ind w:left="720"/>
        <w:jc w:val="both"/>
      </w:pPr>
    </w:p>
    <w:p w:rsidR="000E3AB2" w:rsidRPr="00E60D46" w:rsidRDefault="000E3AB2" w:rsidP="009F6258">
      <w:pPr>
        <w:pStyle w:val="NoSpacing"/>
        <w:ind w:left="720"/>
        <w:jc w:val="both"/>
      </w:pPr>
      <w:r w:rsidRPr="00E60D46">
        <w:t>I wish to remind you that these issues had already been discussed by the Presidium and a decision had been taken to implement them without any variation.   I also wish to remind you that you cannot alter or supersede any decision taken by the Presidium.</w:t>
      </w:r>
    </w:p>
    <w:p w:rsidR="000E3AB2" w:rsidRPr="00E60D46" w:rsidRDefault="000E3AB2" w:rsidP="009F6258">
      <w:pPr>
        <w:pStyle w:val="NoSpacing"/>
        <w:ind w:left="720"/>
        <w:jc w:val="both"/>
      </w:pPr>
    </w:p>
    <w:p w:rsidR="000E3AB2" w:rsidRPr="00E60D46" w:rsidRDefault="000E3AB2" w:rsidP="009F6258">
      <w:pPr>
        <w:pStyle w:val="NoSpacing"/>
        <w:ind w:left="720"/>
        <w:jc w:val="both"/>
      </w:pPr>
      <w:r w:rsidRPr="00E60D46">
        <w:t>DR J.W. MSIKA (MP)</w:t>
      </w:r>
    </w:p>
    <w:p w:rsidR="000E3AB2" w:rsidRPr="00E60D46" w:rsidRDefault="000E3AB2" w:rsidP="009F6258">
      <w:pPr>
        <w:pStyle w:val="NoSpacing"/>
        <w:ind w:left="720"/>
        <w:jc w:val="both"/>
      </w:pPr>
      <w:r w:rsidRPr="00E60D46">
        <w:rPr>
          <w:b/>
          <w:u w:val="single"/>
        </w:rPr>
        <w:t>VICE PRESIDENT</w:t>
      </w:r>
      <w:r w:rsidR="00D3512E" w:rsidRPr="00E60D46">
        <w:t>”</w:t>
      </w:r>
    </w:p>
    <w:p w:rsidR="000E3AB2" w:rsidRPr="00E60D46" w:rsidRDefault="000E3AB2" w:rsidP="000E3AB2">
      <w:pPr>
        <w:pStyle w:val="NoSpacing"/>
        <w:jc w:val="both"/>
        <w:rPr>
          <w:b/>
        </w:rPr>
      </w:pPr>
    </w:p>
    <w:p w:rsidR="000E3AB2" w:rsidRPr="00E60D46" w:rsidRDefault="00B30F84" w:rsidP="000E3AB2">
      <w:pPr>
        <w:pStyle w:val="NoSpacing"/>
        <w:jc w:val="both"/>
      </w:pPr>
      <w:r w:rsidRPr="00E60D46">
        <w:t>And</w:t>
      </w:r>
      <w:r w:rsidR="000E3AB2" w:rsidRPr="00E60D46">
        <w:t>:</w:t>
      </w:r>
    </w:p>
    <w:p w:rsidR="00CC518E" w:rsidRPr="00E60D46" w:rsidRDefault="00CC518E" w:rsidP="000E3AB2">
      <w:pPr>
        <w:pStyle w:val="NoSpacing"/>
        <w:jc w:val="both"/>
      </w:pPr>
    </w:p>
    <w:p w:rsidR="00CC518E" w:rsidRPr="00E60D46" w:rsidRDefault="00CC518E" w:rsidP="00CC518E">
      <w:pPr>
        <w:pStyle w:val="NoSpacing"/>
        <w:ind w:left="720"/>
        <w:jc w:val="both"/>
      </w:pPr>
      <w:r w:rsidRPr="00E60D46">
        <w:t>“26 January 2009</w:t>
      </w:r>
    </w:p>
    <w:p w:rsidR="00CC518E" w:rsidRPr="00E60D46" w:rsidRDefault="00CC518E" w:rsidP="00CC518E">
      <w:pPr>
        <w:pStyle w:val="NoSpacing"/>
        <w:ind w:left="720"/>
        <w:jc w:val="both"/>
      </w:pPr>
    </w:p>
    <w:p w:rsidR="00CC518E" w:rsidRPr="00E60D46" w:rsidRDefault="00CC518E" w:rsidP="00CC518E">
      <w:pPr>
        <w:pStyle w:val="NoSpacing"/>
        <w:ind w:left="720"/>
        <w:jc w:val="both"/>
      </w:pPr>
      <w:r w:rsidRPr="00E60D46">
        <w:lastRenderedPageBreak/>
        <w:t>The Provincial Governor and Resident Minister</w:t>
      </w:r>
    </w:p>
    <w:p w:rsidR="00CC518E" w:rsidRPr="00E60D46" w:rsidRDefault="00CC518E" w:rsidP="00CC518E">
      <w:pPr>
        <w:pStyle w:val="NoSpacing"/>
        <w:ind w:left="720"/>
        <w:jc w:val="both"/>
      </w:pPr>
      <w:r w:rsidRPr="00E60D46">
        <w:t>Mashonaland West</w:t>
      </w:r>
    </w:p>
    <w:p w:rsidR="00CC518E" w:rsidRPr="00E60D46" w:rsidRDefault="00CC518E" w:rsidP="00CC518E">
      <w:pPr>
        <w:pStyle w:val="NoSpacing"/>
        <w:ind w:left="720"/>
        <w:jc w:val="both"/>
      </w:pPr>
      <w:r w:rsidRPr="00E60D46">
        <w:t>Chinhoyi</w:t>
      </w:r>
    </w:p>
    <w:p w:rsidR="00CC518E" w:rsidRPr="00E60D46" w:rsidRDefault="00CC518E" w:rsidP="00CC518E">
      <w:pPr>
        <w:pStyle w:val="NoSpacing"/>
        <w:ind w:left="720"/>
        <w:jc w:val="both"/>
      </w:pPr>
    </w:p>
    <w:p w:rsidR="00CC518E" w:rsidRPr="00E60D46" w:rsidRDefault="00CC518E" w:rsidP="00CC518E">
      <w:pPr>
        <w:pStyle w:val="NoSpacing"/>
        <w:ind w:left="720"/>
        <w:jc w:val="both"/>
      </w:pPr>
      <w:r w:rsidRPr="00E60D46">
        <w:t>Attention: The Hon. F. Chidarikire (MP)</w:t>
      </w:r>
    </w:p>
    <w:p w:rsidR="00CC518E" w:rsidRPr="00E60D46" w:rsidRDefault="00CC518E" w:rsidP="00CC518E">
      <w:pPr>
        <w:pStyle w:val="NoSpacing"/>
        <w:ind w:left="720"/>
        <w:jc w:val="both"/>
      </w:pPr>
    </w:p>
    <w:p w:rsidR="00CC518E" w:rsidRPr="00E60D46" w:rsidRDefault="00CC518E" w:rsidP="00CC518E">
      <w:pPr>
        <w:pStyle w:val="NoSpacing"/>
        <w:ind w:left="720"/>
        <w:jc w:val="both"/>
      </w:pPr>
      <w:r w:rsidRPr="00E60D46">
        <w:t>Dear Sir</w:t>
      </w:r>
    </w:p>
    <w:p w:rsidR="00CC518E" w:rsidRPr="00E60D46" w:rsidRDefault="00CC518E" w:rsidP="00CC518E">
      <w:pPr>
        <w:pStyle w:val="NoSpacing"/>
        <w:ind w:left="720"/>
        <w:jc w:val="both"/>
      </w:pPr>
    </w:p>
    <w:p w:rsidR="00CC518E" w:rsidRPr="00E60D46" w:rsidRDefault="005E19B2" w:rsidP="00CC518E">
      <w:pPr>
        <w:pStyle w:val="NoSpacing"/>
        <w:ind w:left="720"/>
        <w:jc w:val="both"/>
      </w:pPr>
      <w:r w:rsidRPr="00E60D46">
        <w:rPr>
          <w:b/>
        </w:rPr>
        <w:t>FARMING OPERATIONS AT ROMSEY FARM, MAKOND</w:t>
      </w:r>
      <w:r w:rsidR="007308E9" w:rsidRPr="00E60D46">
        <w:rPr>
          <w:b/>
        </w:rPr>
        <w:t>E</w:t>
      </w:r>
      <w:r w:rsidRPr="00E60D46">
        <w:rPr>
          <w:b/>
        </w:rPr>
        <w:t xml:space="preserve"> DISTRICT, MASHONALAND WEST</w:t>
      </w:r>
    </w:p>
    <w:p w:rsidR="005E19B2" w:rsidRPr="00E60D46" w:rsidRDefault="005E19B2" w:rsidP="00CC518E">
      <w:pPr>
        <w:pStyle w:val="NoSpacing"/>
        <w:ind w:left="720"/>
        <w:jc w:val="both"/>
      </w:pPr>
    </w:p>
    <w:p w:rsidR="005E19B2" w:rsidRPr="00E60D46" w:rsidRDefault="005E19B2" w:rsidP="005E19B2">
      <w:pPr>
        <w:pStyle w:val="NoSpacing"/>
        <w:ind w:left="720"/>
        <w:jc w:val="both"/>
      </w:pPr>
      <w:r w:rsidRPr="00E60D46">
        <w:t>Th</w:t>
      </w:r>
      <w:r w:rsidR="00D3512E" w:rsidRPr="00E60D46">
        <w:t>is</w:t>
      </w:r>
      <w:r w:rsidRPr="00E60D46">
        <w:t xml:space="preserve"> letter serves to confirm that Mr D. S. Taylor-Freeme was granted </w:t>
      </w:r>
      <w:r w:rsidRPr="00E60D46">
        <w:rPr>
          <w:u w:val="single"/>
        </w:rPr>
        <w:t>lawful authority</w:t>
      </w:r>
      <w:r w:rsidRPr="00E60D46">
        <w:t xml:space="preserve"> by the Hon. Vice President Dr J.W. Msika to continue with his farming operations on the above-mentioned farm.</w:t>
      </w:r>
    </w:p>
    <w:p w:rsidR="005E19B2" w:rsidRPr="00E60D46" w:rsidRDefault="005E19B2" w:rsidP="005E19B2">
      <w:pPr>
        <w:pStyle w:val="NoSpacing"/>
        <w:ind w:left="720"/>
        <w:jc w:val="both"/>
      </w:pPr>
    </w:p>
    <w:p w:rsidR="005E19B2" w:rsidRPr="00E60D46" w:rsidRDefault="005E19B2" w:rsidP="005E19B2">
      <w:pPr>
        <w:pStyle w:val="NoSpacing"/>
        <w:ind w:left="720"/>
        <w:jc w:val="both"/>
      </w:pPr>
      <w:r w:rsidRPr="00E60D46">
        <w:t>You are therefore requested to hold any action to the contrary in abeyance until consultations can be held with the Hon. Vice President who comes back from his vacation leave on 19 February 2009.   Your co-operation in the above regard will be greatly appreciated.</w:t>
      </w:r>
    </w:p>
    <w:p w:rsidR="005E19B2" w:rsidRPr="00E60D46" w:rsidRDefault="005E19B2" w:rsidP="005E19B2">
      <w:pPr>
        <w:pStyle w:val="NoSpacing"/>
        <w:ind w:left="720"/>
        <w:jc w:val="both"/>
      </w:pPr>
    </w:p>
    <w:p w:rsidR="005E19B2" w:rsidRPr="00E60D46" w:rsidRDefault="005E19B2" w:rsidP="005E19B2">
      <w:pPr>
        <w:pStyle w:val="NoSpacing"/>
        <w:ind w:left="720"/>
        <w:jc w:val="both"/>
      </w:pPr>
      <w:r w:rsidRPr="00E60D46">
        <w:t>Yours faithfully</w:t>
      </w:r>
    </w:p>
    <w:p w:rsidR="005E19B2" w:rsidRPr="00E60D46" w:rsidRDefault="005E19B2" w:rsidP="005E19B2">
      <w:pPr>
        <w:pStyle w:val="NoSpacing"/>
        <w:ind w:left="720"/>
        <w:jc w:val="both"/>
      </w:pPr>
    </w:p>
    <w:p w:rsidR="005E19B2" w:rsidRPr="00E60D46" w:rsidRDefault="005E19B2" w:rsidP="005E19B2">
      <w:pPr>
        <w:pStyle w:val="NoSpacing"/>
        <w:ind w:left="720"/>
        <w:jc w:val="both"/>
        <w:rPr>
          <w:b/>
        </w:rPr>
      </w:pPr>
      <w:r w:rsidRPr="00E60D46">
        <w:rPr>
          <w:b/>
        </w:rPr>
        <w:t>R T Madamombe</w:t>
      </w:r>
    </w:p>
    <w:p w:rsidR="005E19B2" w:rsidRPr="00E60D46" w:rsidRDefault="005E19B2" w:rsidP="005E19B2">
      <w:pPr>
        <w:pStyle w:val="NoSpacing"/>
        <w:ind w:left="720"/>
        <w:jc w:val="both"/>
      </w:pPr>
      <w:r w:rsidRPr="00E60D46">
        <w:rPr>
          <w:b/>
        </w:rPr>
        <w:t>Permanent Secretary to the VP Dr J.W. Msika</w:t>
      </w:r>
      <w:r w:rsidRPr="00E60D46">
        <w:t>”.</w:t>
      </w:r>
    </w:p>
    <w:p w:rsidR="00096D4B" w:rsidRPr="00E60D46" w:rsidRDefault="00096D4B" w:rsidP="005E19B2">
      <w:pPr>
        <w:pStyle w:val="NoSpacing"/>
        <w:ind w:left="720"/>
        <w:jc w:val="both"/>
      </w:pPr>
    </w:p>
    <w:p w:rsidR="00096D4B" w:rsidRPr="00E60D46" w:rsidRDefault="00096D4B" w:rsidP="005E19B2">
      <w:pPr>
        <w:pStyle w:val="NoSpacing"/>
        <w:ind w:left="720"/>
        <w:jc w:val="both"/>
      </w:pPr>
      <w:r w:rsidRPr="00E60D46">
        <w:t>The underlining is mine.</w:t>
      </w:r>
    </w:p>
    <w:p w:rsidR="000E3AB2" w:rsidRPr="00E60D46" w:rsidRDefault="000E3AB2" w:rsidP="000E3AB2">
      <w:pPr>
        <w:pStyle w:val="NoSpacing"/>
        <w:ind w:left="720"/>
        <w:jc w:val="both"/>
      </w:pPr>
    </w:p>
    <w:p w:rsidR="00697ED6" w:rsidRPr="00E60D46" w:rsidRDefault="00697ED6" w:rsidP="007308E9">
      <w:pPr>
        <w:pStyle w:val="NoSpacing"/>
        <w:jc w:val="both"/>
      </w:pPr>
    </w:p>
    <w:p w:rsidR="007308E9" w:rsidRPr="00E60D46" w:rsidRDefault="00C122C0" w:rsidP="00F02C4F">
      <w:pPr>
        <w:pStyle w:val="NoSpacing"/>
        <w:spacing w:line="480" w:lineRule="auto"/>
        <w:ind w:firstLine="1440"/>
        <w:jc w:val="both"/>
      </w:pPr>
      <w:r w:rsidRPr="00E60D46">
        <w:t>Given the contents of</w:t>
      </w:r>
      <w:r w:rsidR="007308E9" w:rsidRPr="00E60D46">
        <w:t xml:space="preserve"> the above letters</w:t>
      </w:r>
      <w:r w:rsidRPr="00E60D46">
        <w:t xml:space="preserve">, which were </w:t>
      </w:r>
      <w:r w:rsidR="00E23C10" w:rsidRPr="00E60D46">
        <w:t xml:space="preserve">in part </w:t>
      </w:r>
      <w:r w:rsidRPr="00E60D46">
        <w:t>addressed to the applicant</w:t>
      </w:r>
      <w:r w:rsidR="0057110E" w:rsidRPr="00E60D46">
        <w:t xml:space="preserve"> personally</w:t>
      </w:r>
      <w:r w:rsidRPr="00E60D46">
        <w:t>,</w:t>
      </w:r>
      <w:r w:rsidR="0057110E" w:rsidRPr="00E60D46">
        <w:t xml:space="preserve"> </w:t>
      </w:r>
      <w:r w:rsidR="007308E9" w:rsidRPr="00E60D46">
        <w:t>the applicant</w:t>
      </w:r>
      <w:r w:rsidRPr="00E60D46">
        <w:t>’s</w:t>
      </w:r>
      <w:r w:rsidR="007308E9" w:rsidRPr="00E60D46">
        <w:t xml:space="preserve"> conten</w:t>
      </w:r>
      <w:r w:rsidRPr="00E60D46">
        <w:t>tion</w:t>
      </w:r>
      <w:r w:rsidR="007308E9" w:rsidRPr="00E60D46">
        <w:t xml:space="preserve"> that he</w:t>
      </w:r>
      <w:r w:rsidRPr="00E60D46">
        <w:t xml:space="preserve"> is not in occupation of or using the farm</w:t>
      </w:r>
      <w:r w:rsidR="0057110E" w:rsidRPr="00E60D46">
        <w:t xml:space="preserve"> is untenable</w:t>
      </w:r>
      <w:r w:rsidRPr="00E60D46">
        <w:t>.</w:t>
      </w:r>
      <w:r w:rsidR="007308E9" w:rsidRPr="00E60D46">
        <w:t xml:space="preserve"> </w:t>
      </w:r>
      <w:r w:rsidRPr="00E60D46">
        <w:t xml:space="preserve">  </w:t>
      </w:r>
      <w:r w:rsidR="00105418" w:rsidRPr="00E60D46">
        <w:t>T</w:t>
      </w:r>
      <w:r w:rsidRPr="00E60D46">
        <w:t xml:space="preserve">he two contentions </w:t>
      </w:r>
      <w:r w:rsidR="0057110E" w:rsidRPr="00E60D46">
        <w:t>that</w:t>
      </w:r>
      <w:r w:rsidRPr="00E60D46">
        <w:t xml:space="preserve"> the applicant is not in occupation of the farm and that he has authority to occupy the farm</w:t>
      </w:r>
      <w:r w:rsidR="00105418" w:rsidRPr="00E60D46">
        <w:t xml:space="preserve"> are mutually exclusive</w:t>
      </w:r>
      <w:r w:rsidRPr="00E60D46">
        <w:t>.</w:t>
      </w:r>
    </w:p>
    <w:p w:rsidR="007308E9" w:rsidRPr="00E60D46" w:rsidRDefault="007308E9" w:rsidP="001932C4">
      <w:pPr>
        <w:pStyle w:val="NoSpacing"/>
        <w:spacing w:line="480" w:lineRule="auto"/>
        <w:jc w:val="both"/>
      </w:pPr>
    </w:p>
    <w:p w:rsidR="007308E9" w:rsidRPr="00E60D46" w:rsidRDefault="007308E9" w:rsidP="001932C4">
      <w:pPr>
        <w:pStyle w:val="NoSpacing"/>
        <w:spacing w:line="480" w:lineRule="auto"/>
        <w:jc w:val="both"/>
      </w:pPr>
      <w:r w:rsidRPr="00E60D46">
        <w:tab/>
      </w:r>
      <w:r w:rsidRPr="00E60D46">
        <w:tab/>
        <w:t xml:space="preserve">The matter proceeded to trial and the State led evidence from two State witnesses, namely Mr Gavanga and Mr Chikomba.   These witnesses </w:t>
      </w:r>
      <w:r w:rsidR="00105418" w:rsidRPr="00E60D46">
        <w:t>a</w:t>
      </w:r>
      <w:r w:rsidRPr="00E60D46">
        <w:t xml:space="preserve">re officials in the Ministry of Lands and Rural Resettlement.   </w:t>
      </w:r>
      <w:r w:rsidR="00FE5E99" w:rsidRPr="00E60D46">
        <w:t>T</w:t>
      </w:r>
      <w:r w:rsidRPr="00E60D46">
        <w:t xml:space="preserve">hey </w:t>
      </w:r>
      <w:r w:rsidR="00F02C4F" w:rsidRPr="00E60D46">
        <w:t>a</w:t>
      </w:r>
      <w:r w:rsidRPr="00E60D46">
        <w:t xml:space="preserve">re responsible </w:t>
      </w:r>
      <w:r w:rsidR="00FE5E99" w:rsidRPr="00E60D46">
        <w:t xml:space="preserve">for the administration and allocation of land in terms of the Act.   Their evidence may </w:t>
      </w:r>
      <w:r w:rsidR="00105418" w:rsidRPr="00E60D46">
        <w:t xml:space="preserve">briefly </w:t>
      </w:r>
      <w:r w:rsidR="00FE5E99" w:rsidRPr="00E60D46">
        <w:t>be summarised as follows –</w:t>
      </w:r>
    </w:p>
    <w:p w:rsidR="00FE5E99" w:rsidRPr="00E60D46" w:rsidRDefault="00FE5E99" w:rsidP="001932C4">
      <w:pPr>
        <w:pStyle w:val="NoSpacing"/>
        <w:spacing w:line="480" w:lineRule="auto"/>
        <w:jc w:val="both"/>
      </w:pPr>
    </w:p>
    <w:p w:rsidR="00FE5E99" w:rsidRPr="00E60D46" w:rsidRDefault="00E502BE" w:rsidP="00E502BE">
      <w:pPr>
        <w:pStyle w:val="NoSpacing"/>
        <w:spacing w:line="480" w:lineRule="auto"/>
        <w:ind w:left="1440" w:hanging="720"/>
        <w:jc w:val="both"/>
      </w:pPr>
      <w:r w:rsidRPr="00E60D46">
        <w:lastRenderedPageBreak/>
        <w:t>1.</w:t>
      </w:r>
      <w:r w:rsidRPr="00E60D46">
        <w:tab/>
      </w:r>
      <w:r w:rsidR="00FE5E99" w:rsidRPr="00E60D46">
        <w:t xml:space="preserve">That they knew the applicant as a farmer on the farm, </w:t>
      </w:r>
      <w:r w:rsidR="00096D4B" w:rsidRPr="00E60D46">
        <w:t xml:space="preserve">the gazetted land, </w:t>
      </w:r>
      <w:r w:rsidR="00FE5E99" w:rsidRPr="00E60D46">
        <w:t xml:space="preserve">which was </w:t>
      </w:r>
      <w:r w:rsidR="003C2BC0" w:rsidRPr="00E60D46">
        <w:t>acquired in terms of s 16</w:t>
      </w:r>
      <w:r w:rsidR="00523FB7" w:rsidRPr="00E60D46">
        <w:t>B</w:t>
      </w:r>
      <w:r w:rsidR="003C2BC0" w:rsidRPr="00E60D46">
        <w:t xml:space="preserve"> of the Constitution</w:t>
      </w:r>
      <w:r w:rsidR="00FE5E99" w:rsidRPr="00E60D46">
        <w:t xml:space="preserve">.   </w:t>
      </w:r>
    </w:p>
    <w:p w:rsidR="00FE5E99" w:rsidRPr="00E60D46" w:rsidRDefault="00FE5E99" w:rsidP="001932C4">
      <w:pPr>
        <w:pStyle w:val="NoSpacing"/>
        <w:spacing w:line="480" w:lineRule="auto"/>
        <w:jc w:val="both"/>
      </w:pPr>
    </w:p>
    <w:p w:rsidR="00FE5E99" w:rsidRPr="00E60D46" w:rsidRDefault="00E502BE" w:rsidP="00E502BE">
      <w:pPr>
        <w:pStyle w:val="NoSpacing"/>
        <w:spacing w:line="480" w:lineRule="auto"/>
        <w:ind w:left="1440" w:hanging="720"/>
        <w:jc w:val="both"/>
      </w:pPr>
      <w:r w:rsidRPr="00E60D46">
        <w:t>2.</w:t>
      </w:r>
      <w:r w:rsidR="00FE5E99" w:rsidRPr="00E60D46">
        <w:tab/>
        <w:t xml:space="preserve">That the applicant was running farming operations on the farm before and after the </w:t>
      </w:r>
      <w:r w:rsidR="00523FB7" w:rsidRPr="00E60D46">
        <w:t>acquisition</w:t>
      </w:r>
      <w:r w:rsidR="00FE5E99" w:rsidRPr="00E60D46">
        <w:t xml:space="preserve"> of the farm.</w:t>
      </w:r>
    </w:p>
    <w:p w:rsidR="00FE5E99" w:rsidRPr="00E60D46" w:rsidRDefault="00FE5E99" w:rsidP="001932C4">
      <w:pPr>
        <w:pStyle w:val="NoSpacing"/>
        <w:spacing w:line="480" w:lineRule="auto"/>
        <w:jc w:val="both"/>
      </w:pPr>
    </w:p>
    <w:p w:rsidR="00FE5E99" w:rsidRPr="00E60D46" w:rsidRDefault="00E502BE" w:rsidP="00E502BE">
      <w:pPr>
        <w:pStyle w:val="NoSpacing"/>
        <w:spacing w:line="480" w:lineRule="auto"/>
        <w:ind w:left="1440" w:hanging="720"/>
        <w:jc w:val="both"/>
      </w:pPr>
      <w:r w:rsidRPr="00E60D46">
        <w:t>3.</w:t>
      </w:r>
      <w:r w:rsidRPr="00E60D46">
        <w:tab/>
      </w:r>
      <w:r w:rsidR="00FE5E99" w:rsidRPr="00E60D46">
        <w:t>That</w:t>
      </w:r>
      <w:r w:rsidR="00105418" w:rsidRPr="00E60D46">
        <w:t xml:space="preserve"> at the expiry of </w:t>
      </w:r>
      <w:r w:rsidR="00FE5E99" w:rsidRPr="00E60D46">
        <w:t>the forty-five day period wh</w:t>
      </w:r>
      <w:r w:rsidR="00105418" w:rsidRPr="00E60D46">
        <w:t>en</w:t>
      </w:r>
      <w:r w:rsidR="00FE5E99" w:rsidRPr="00E60D46">
        <w:t xml:space="preserve"> the applicant was required</w:t>
      </w:r>
      <w:r w:rsidR="00F02C4F" w:rsidRPr="00E60D46">
        <w:t>, in terms of s 3 of the Act,</w:t>
      </w:r>
      <w:r w:rsidR="00FE5E99" w:rsidRPr="00E60D46">
        <w:t xml:space="preserve"> to vacate the farm he had crops on the farm </w:t>
      </w:r>
      <w:r w:rsidR="00105418" w:rsidRPr="00E60D46">
        <w:t xml:space="preserve">that had yet to be </w:t>
      </w:r>
      <w:r w:rsidR="00FE5E99" w:rsidRPr="00E60D46">
        <w:t>harvest</w:t>
      </w:r>
      <w:r w:rsidR="00105418" w:rsidRPr="00E60D46">
        <w:t>ed</w:t>
      </w:r>
      <w:r w:rsidR="00AB5F64" w:rsidRPr="00E60D46">
        <w:t>.   T</w:t>
      </w:r>
      <w:r w:rsidR="00FE5E99" w:rsidRPr="00E60D46">
        <w:t xml:space="preserve">hey gave him time </w:t>
      </w:r>
      <w:r w:rsidR="00F02C4F" w:rsidRPr="00E60D46">
        <w:t>with</w:t>
      </w:r>
      <w:r w:rsidR="00FE5E99" w:rsidRPr="00E60D46">
        <w:t xml:space="preserve">in which to </w:t>
      </w:r>
      <w:r w:rsidR="00105418" w:rsidRPr="00E60D46">
        <w:t xml:space="preserve">complete the harvesting </w:t>
      </w:r>
      <w:r w:rsidR="00FE5E99" w:rsidRPr="00E60D46">
        <w:t xml:space="preserve">and </w:t>
      </w:r>
      <w:r w:rsidR="00105418" w:rsidRPr="00E60D46">
        <w:t>vacate</w:t>
      </w:r>
      <w:r w:rsidR="00FE5E99" w:rsidRPr="00E60D46">
        <w:t xml:space="preserve"> the farm.</w:t>
      </w:r>
    </w:p>
    <w:p w:rsidR="00FE5E99" w:rsidRPr="00E60D46" w:rsidRDefault="00FE5E99" w:rsidP="001932C4">
      <w:pPr>
        <w:pStyle w:val="NoSpacing"/>
        <w:spacing w:line="480" w:lineRule="auto"/>
        <w:jc w:val="both"/>
      </w:pPr>
    </w:p>
    <w:p w:rsidR="00FE5E99" w:rsidRPr="00E60D46" w:rsidRDefault="00E502BE" w:rsidP="00E502BE">
      <w:pPr>
        <w:pStyle w:val="NoSpacing"/>
        <w:spacing w:line="480" w:lineRule="auto"/>
        <w:ind w:left="1440" w:hanging="720"/>
        <w:jc w:val="both"/>
      </w:pPr>
      <w:r w:rsidRPr="00E60D46">
        <w:t>4.</w:t>
      </w:r>
      <w:r w:rsidRPr="00E60D46">
        <w:tab/>
      </w:r>
      <w:r w:rsidR="00FE5E99" w:rsidRPr="00E60D46">
        <w:t xml:space="preserve">That at the end of the harvest the applicant did not </w:t>
      </w:r>
      <w:r w:rsidR="00105418" w:rsidRPr="00E60D46">
        <w:t>vacate</w:t>
      </w:r>
      <w:r w:rsidR="00FE5E99" w:rsidRPr="00E60D46">
        <w:t xml:space="preserve"> the farm and </w:t>
      </w:r>
      <w:r w:rsidR="001B3B11" w:rsidRPr="00E60D46">
        <w:t>i</w:t>
      </w:r>
      <w:r w:rsidR="00FE5E99" w:rsidRPr="00E60D46">
        <w:t>s continuing farming operations</w:t>
      </w:r>
      <w:r w:rsidR="00ED537B" w:rsidRPr="00E60D46">
        <w:t xml:space="preserve"> </w:t>
      </w:r>
      <w:r w:rsidR="00FE5E99" w:rsidRPr="00E60D46">
        <w:t>on the farm</w:t>
      </w:r>
      <w:r w:rsidR="00ED537B" w:rsidRPr="00E60D46">
        <w:t xml:space="preserve"> to date</w:t>
      </w:r>
      <w:r w:rsidR="00FE5E99" w:rsidRPr="00E60D46">
        <w:t>.</w:t>
      </w:r>
    </w:p>
    <w:p w:rsidR="00FE5E99" w:rsidRPr="00E60D46" w:rsidRDefault="00FE5E99" w:rsidP="001932C4">
      <w:pPr>
        <w:pStyle w:val="NoSpacing"/>
        <w:spacing w:line="480" w:lineRule="auto"/>
        <w:jc w:val="both"/>
      </w:pPr>
    </w:p>
    <w:p w:rsidR="00FE5E99" w:rsidRPr="00E60D46" w:rsidRDefault="00E502BE" w:rsidP="00E502BE">
      <w:pPr>
        <w:pStyle w:val="NoSpacing"/>
        <w:spacing w:line="480" w:lineRule="auto"/>
        <w:ind w:left="1440" w:hanging="720"/>
        <w:jc w:val="both"/>
      </w:pPr>
      <w:r w:rsidRPr="00E60D46">
        <w:t>5.</w:t>
      </w:r>
      <w:r w:rsidRPr="00E60D46">
        <w:tab/>
      </w:r>
      <w:r w:rsidR="00FE5E99" w:rsidRPr="00E60D46">
        <w:t>That the farm has since been allocated to another person in terms of an offer letter but because the applicant is refusing to vacate the farm</w:t>
      </w:r>
      <w:r w:rsidRPr="00E60D46">
        <w:t xml:space="preserve"> the new owner in terms of the offer letter has not been able to take occupation of the farm.</w:t>
      </w:r>
    </w:p>
    <w:p w:rsidR="00E502BE" w:rsidRPr="00E60D46" w:rsidRDefault="00E502BE" w:rsidP="001932C4">
      <w:pPr>
        <w:pStyle w:val="NoSpacing"/>
        <w:spacing w:line="480" w:lineRule="auto"/>
        <w:jc w:val="both"/>
      </w:pPr>
    </w:p>
    <w:p w:rsidR="00E502BE" w:rsidRPr="00E60D46" w:rsidRDefault="00101402" w:rsidP="00101402">
      <w:pPr>
        <w:pStyle w:val="NoSpacing"/>
        <w:spacing w:line="480" w:lineRule="auto"/>
        <w:ind w:left="1440" w:hanging="720"/>
        <w:jc w:val="both"/>
      </w:pPr>
      <w:r w:rsidRPr="00E60D46">
        <w:t>6.</w:t>
      </w:r>
      <w:r w:rsidRPr="00E60D46">
        <w:tab/>
      </w:r>
      <w:r w:rsidR="00E502BE" w:rsidRPr="00E60D46">
        <w:t xml:space="preserve">That although the registered owner of the farm is one Merle Taylor-Freeme, </w:t>
      </w:r>
      <w:r w:rsidR="00CC2FD7" w:rsidRPr="00E60D46">
        <w:t xml:space="preserve">the mother of the applicant, </w:t>
      </w:r>
      <w:r w:rsidR="00E502BE" w:rsidRPr="00E60D46">
        <w:t>they have always dealt with the applicant in connect</w:t>
      </w:r>
      <w:r w:rsidR="001B3B11" w:rsidRPr="00E60D46">
        <w:t>ion with the farm and that it i</w:t>
      </w:r>
      <w:r w:rsidR="00E502BE" w:rsidRPr="00E60D46">
        <w:t xml:space="preserve">s the applicant who </w:t>
      </w:r>
      <w:r w:rsidR="001B3B11" w:rsidRPr="00E60D46">
        <w:t>i</w:t>
      </w:r>
      <w:r w:rsidR="00E502BE" w:rsidRPr="00E60D46">
        <w:t>s carrying out farming operations on the farm.</w:t>
      </w:r>
    </w:p>
    <w:p w:rsidR="00E502BE" w:rsidRPr="00E60D46" w:rsidRDefault="00E502BE" w:rsidP="001932C4">
      <w:pPr>
        <w:pStyle w:val="NoSpacing"/>
        <w:spacing w:line="480" w:lineRule="auto"/>
        <w:jc w:val="both"/>
      </w:pPr>
    </w:p>
    <w:p w:rsidR="00E502BE" w:rsidRPr="00E60D46" w:rsidRDefault="00E502BE" w:rsidP="001932C4">
      <w:pPr>
        <w:pStyle w:val="NoSpacing"/>
        <w:spacing w:line="480" w:lineRule="auto"/>
        <w:jc w:val="both"/>
      </w:pPr>
      <w:r w:rsidRPr="00E60D46">
        <w:tab/>
      </w:r>
      <w:r w:rsidRPr="00E60D46">
        <w:tab/>
        <w:t>The</w:t>
      </w:r>
      <w:r w:rsidR="00AB5F64" w:rsidRPr="00E60D46">
        <w:t xml:space="preserve"> </w:t>
      </w:r>
      <w:r w:rsidRPr="00E60D46">
        <w:t>evidence</w:t>
      </w:r>
      <w:r w:rsidR="00AB5F64" w:rsidRPr="00E60D46">
        <w:t xml:space="preserve"> of these witnesses</w:t>
      </w:r>
      <w:r w:rsidRPr="00E60D46">
        <w:t xml:space="preserve"> is</w:t>
      </w:r>
      <w:r w:rsidR="00AB5F64" w:rsidRPr="00E60D46">
        <w:t xml:space="preserve"> to a large extent</w:t>
      </w:r>
      <w:r w:rsidRPr="00E60D46">
        <w:t xml:space="preserve"> corroborated</w:t>
      </w:r>
      <w:r w:rsidR="00101402" w:rsidRPr="00E60D46">
        <w:t xml:space="preserve"> </w:t>
      </w:r>
      <w:r w:rsidR="00680D47" w:rsidRPr="00E60D46">
        <w:t xml:space="preserve">by the </w:t>
      </w:r>
      <w:r w:rsidR="00AB5F64" w:rsidRPr="00E60D46">
        <w:t xml:space="preserve">correspondence attached to the </w:t>
      </w:r>
      <w:r w:rsidR="003B58D3" w:rsidRPr="00E60D46">
        <w:t>d</w:t>
      </w:r>
      <w:r w:rsidR="00AB5F64" w:rsidRPr="00E60D46">
        <w:t xml:space="preserve">efence </w:t>
      </w:r>
      <w:r w:rsidR="003B58D3" w:rsidRPr="00E60D46">
        <w:t>o</w:t>
      </w:r>
      <w:r w:rsidR="00AB5F64" w:rsidRPr="00E60D46">
        <w:t xml:space="preserve">utline, referred to above.  It is significant to note that </w:t>
      </w:r>
      <w:r w:rsidR="00AB5F64" w:rsidRPr="00E60D46">
        <w:lastRenderedPageBreak/>
        <w:t>the correspondence is between</w:t>
      </w:r>
      <w:r w:rsidR="00680D47" w:rsidRPr="00E60D46">
        <w:t xml:space="preserve"> the applicant </w:t>
      </w:r>
      <w:r w:rsidR="00AB5F64" w:rsidRPr="00E60D46">
        <w:t xml:space="preserve">in his </w:t>
      </w:r>
      <w:r w:rsidR="008F410A" w:rsidRPr="00E60D46">
        <w:t>personal capacity and Government officials.   There is nothing in the correspondence that suggests that the applicant was acting on behalf of a company</w:t>
      </w:r>
      <w:r w:rsidR="00967C97" w:rsidRPr="00E60D46">
        <w:t xml:space="preserve"> or </w:t>
      </w:r>
      <w:r w:rsidR="008F410A" w:rsidRPr="00E60D46">
        <w:t>some third party</w:t>
      </w:r>
      <w:r w:rsidR="00967C97" w:rsidRPr="00E60D46">
        <w:t>.</w:t>
      </w:r>
    </w:p>
    <w:p w:rsidR="00680D47" w:rsidRPr="00E60D46" w:rsidRDefault="00680D47" w:rsidP="001932C4">
      <w:pPr>
        <w:pStyle w:val="NoSpacing"/>
        <w:spacing w:line="480" w:lineRule="auto"/>
        <w:jc w:val="both"/>
      </w:pPr>
    </w:p>
    <w:p w:rsidR="00680D47" w:rsidRPr="00E60D46" w:rsidRDefault="00B04A57" w:rsidP="001932C4">
      <w:pPr>
        <w:pStyle w:val="NoSpacing"/>
        <w:spacing w:line="480" w:lineRule="auto"/>
        <w:jc w:val="both"/>
      </w:pPr>
      <w:r w:rsidRPr="00E60D46">
        <w:tab/>
      </w:r>
      <w:r w:rsidRPr="00E60D46">
        <w:tab/>
        <w:t xml:space="preserve">At the close of the State case, the applicant applied for a discharge.   In his application for a discharge, the applicant submitted </w:t>
      </w:r>
      <w:r w:rsidR="007C782C" w:rsidRPr="00E60D46">
        <w:t xml:space="preserve">that </w:t>
      </w:r>
      <w:r w:rsidR="00634609" w:rsidRPr="00E60D46">
        <w:t>none of the six</w:t>
      </w:r>
      <w:r w:rsidR="007C782C" w:rsidRPr="00E60D46">
        <w:t xml:space="preserve"> essential elements of the </w:t>
      </w:r>
      <w:r w:rsidR="00634609" w:rsidRPr="00E60D46">
        <w:t>offence</w:t>
      </w:r>
      <w:r w:rsidR="007C782C" w:rsidRPr="00E60D46">
        <w:t xml:space="preserve"> </w:t>
      </w:r>
      <w:r w:rsidR="00634609" w:rsidRPr="00E60D46">
        <w:t>charged</w:t>
      </w:r>
      <w:r w:rsidR="007C782C" w:rsidRPr="00E60D46">
        <w:t xml:space="preserve"> had </w:t>
      </w:r>
      <w:r w:rsidR="00634609" w:rsidRPr="00E60D46">
        <w:t>been proved or alleged to justify his being put on his defence</w:t>
      </w:r>
      <w:r w:rsidR="007C782C" w:rsidRPr="00E60D46">
        <w:t>.   He submitted that</w:t>
      </w:r>
      <w:r w:rsidR="008F410A" w:rsidRPr="00E60D46">
        <w:t xml:space="preserve"> for the applicant to be put on his defence</w:t>
      </w:r>
      <w:r w:rsidR="007C782C" w:rsidRPr="00E60D46">
        <w:t xml:space="preserve"> the State </w:t>
      </w:r>
      <w:r w:rsidR="008F410A" w:rsidRPr="00E60D46">
        <w:t xml:space="preserve">had </w:t>
      </w:r>
      <w:r w:rsidR="00F014BC" w:rsidRPr="00E60D46">
        <w:t xml:space="preserve">to </w:t>
      </w:r>
      <w:r w:rsidR="008F410A" w:rsidRPr="00E60D46">
        <w:t>le</w:t>
      </w:r>
      <w:r w:rsidR="00D96892" w:rsidRPr="00E60D46">
        <w:t>a</w:t>
      </w:r>
      <w:r w:rsidR="008F410A" w:rsidRPr="00E60D46">
        <w:t xml:space="preserve">d evidence that </w:t>
      </w:r>
      <w:r w:rsidR="00F014BC" w:rsidRPr="00E60D46">
        <w:rPr>
          <w:i/>
        </w:rPr>
        <w:t>prima facie</w:t>
      </w:r>
      <w:r w:rsidR="00F014BC" w:rsidRPr="00E60D46">
        <w:t xml:space="preserve"> establish</w:t>
      </w:r>
      <w:r w:rsidR="008F410A" w:rsidRPr="00E60D46">
        <w:t>es</w:t>
      </w:r>
      <w:r w:rsidR="007C782C" w:rsidRPr="00E60D46">
        <w:t xml:space="preserve"> the following </w:t>
      </w:r>
      <w:r w:rsidR="00F014BC" w:rsidRPr="00E60D46">
        <w:t xml:space="preserve">as the </w:t>
      </w:r>
      <w:r w:rsidR="007C782C" w:rsidRPr="00E60D46">
        <w:t>essential elements of the charge</w:t>
      </w:r>
      <w:r w:rsidR="008F410A" w:rsidRPr="00E60D46">
        <w:t>, that</w:t>
      </w:r>
      <w:r w:rsidR="007C782C" w:rsidRPr="00E60D46">
        <w:t xml:space="preserve"> –</w:t>
      </w:r>
    </w:p>
    <w:p w:rsidR="007C782C" w:rsidRPr="00E60D46" w:rsidRDefault="007C782C" w:rsidP="007C782C">
      <w:pPr>
        <w:pStyle w:val="NoSpacing"/>
        <w:jc w:val="both"/>
      </w:pPr>
    </w:p>
    <w:p w:rsidR="007C782C" w:rsidRPr="00E60D46" w:rsidRDefault="007C782C" w:rsidP="007C782C">
      <w:pPr>
        <w:pStyle w:val="NoSpacing"/>
        <w:spacing w:line="480" w:lineRule="auto"/>
        <w:ind w:left="720"/>
        <w:jc w:val="both"/>
      </w:pPr>
      <w:r w:rsidRPr="00E60D46">
        <w:t>(a)</w:t>
      </w:r>
      <w:r w:rsidRPr="00E60D46">
        <w:tab/>
        <w:t xml:space="preserve">the accused </w:t>
      </w:r>
      <w:r w:rsidR="00CC2FD7" w:rsidRPr="00E60D46">
        <w:t>was a</w:t>
      </w:r>
      <w:r w:rsidRPr="00E60D46">
        <w:t xml:space="preserve"> former owner or occupier;</w:t>
      </w:r>
    </w:p>
    <w:p w:rsidR="007C782C" w:rsidRPr="00E60D46" w:rsidRDefault="007C782C" w:rsidP="007C782C">
      <w:pPr>
        <w:pStyle w:val="NoSpacing"/>
        <w:spacing w:line="480" w:lineRule="auto"/>
        <w:ind w:left="720"/>
        <w:jc w:val="both"/>
      </w:pPr>
      <w:r w:rsidRPr="00E60D46">
        <w:t>(b)</w:t>
      </w:r>
      <w:r w:rsidRPr="00E60D46">
        <w:tab/>
        <w:t>of gazetted</w:t>
      </w:r>
      <w:r w:rsidR="00145BB4" w:rsidRPr="00E60D46">
        <w:t xml:space="preserve"> or acquired</w:t>
      </w:r>
      <w:r w:rsidRPr="00E60D46">
        <w:t xml:space="preserve"> land;</w:t>
      </w:r>
    </w:p>
    <w:p w:rsidR="007C782C" w:rsidRPr="00E60D46" w:rsidRDefault="007C782C" w:rsidP="00164C4F">
      <w:pPr>
        <w:pStyle w:val="NoSpacing"/>
        <w:spacing w:line="480" w:lineRule="auto"/>
        <w:ind w:left="1440" w:hanging="720"/>
        <w:jc w:val="both"/>
      </w:pPr>
      <w:r w:rsidRPr="00E60D46">
        <w:t>(c)</w:t>
      </w:r>
      <w:r w:rsidRPr="00E60D46">
        <w:tab/>
      </w:r>
      <w:r w:rsidR="00DA6471" w:rsidRPr="00E60D46">
        <w:t xml:space="preserve">he </w:t>
      </w:r>
      <w:r w:rsidR="008F410A" w:rsidRPr="00E60D46">
        <w:t>has</w:t>
      </w:r>
      <w:r w:rsidR="00DA6471" w:rsidRPr="00E60D46">
        <w:t xml:space="preserve"> not cease</w:t>
      </w:r>
      <w:r w:rsidR="008F410A" w:rsidRPr="00E60D46">
        <w:t>d</w:t>
      </w:r>
      <w:r w:rsidR="00DA6471" w:rsidRPr="00E60D46">
        <w:t xml:space="preserve"> to occupy, hold or use </w:t>
      </w:r>
      <w:r w:rsidR="00164C4F" w:rsidRPr="00E60D46">
        <w:t>that gazetted land</w:t>
      </w:r>
      <w:r w:rsidR="00DA6471" w:rsidRPr="00E60D46">
        <w:t>;</w:t>
      </w:r>
    </w:p>
    <w:p w:rsidR="00DA6471" w:rsidRPr="00E60D46" w:rsidRDefault="00DA6471" w:rsidP="00DA6471">
      <w:pPr>
        <w:pStyle w:val="NoSpacing"/>
        <w:spacing w:line="480" w:lineRule="auto"/>
        <w:ind w:left="1440" w:hanging="720"/>
        <w:jc w:val="both"/>
      </w:pPr>
      <w:r w:rsidRPr="00E60D46">
        <w:t>(d)</w:t>
      </w:r>
      <w:r w:rsidRPr="00E60D46">
        <w:tab/>
        <w:t>after the expiry of the appropriate period referred to, which in the present case is forty-five days after the fixed date;</w:t>
      </w:r>
    </w:p>
    <w:p w:rsidR="00DA6471" w:rsidRPr="00E60D46" w:rsidRDefault="00DA6471" w:rsidP="00DA6471">
      <w:pPr>
        <w:pStyle w:val="NoSpacing"/>
        <w:spacing w:line="480" w:lineRule="auto"/>
        <w:ind w:left="1440" w:hanging="720"/>
        <w:jc w:val="both"/>
      </w:pPr>
      <w:r w:rsidRPr="00E60D46">
        <w:t>(e)</w:t>
      </w:r>
      <w:r w:rsidRPr="00E60D46">
        <w:tab/>
      </w:r>
      <w:r w:rsidR="008F410A" w:rsidRPr="00E60D46">
        <w:t xml:space="preserve">the accused as the </w:t>
      </w:r>
      <w:r w:rsidRPr="00E60D46">
        <w:t xml:space="preserve">former owner or occupier </w:t>
      </w:r>
      <w:r w:rsidR="008F410A" w:rsidRPr="00E60D46">
        <w:t>ha</w:t>
      </w:r>
      <w:r w:rsidRPr="00E60D46">
        <w:t xml:space="preserve">s </w:t>
      </w:r>
      <w:r w:rsidR="008F410A" w:rsidRPr="00E60D46">
        <w:t xml:space="preserve">no </w:t>
      </w:r>
      <w:r w:rsidRPr="00E60D46">
        <w:t>lawful authori</w:t>
      </w:r>
      <w:r w:rsidR="008F410A" w:rsidRPr="00E60D46">
        <w:t>ty</w:t>
      </w:r>
      <w:r w:rsidRPr="00E60D46">
        <w:t xml:space="preserve"> to occupy, hold or use that land.</w:t>
      </w:r>
    </w:p>
    <w:p w:rsidR="00DA6471" w:rsidRPr="00E60D46" w:rsidRDefault="00DA6471" w:rsidP="00DA6471">
      <w:pPr>
        <w:pStyle w:val="NoSpacing"/>
        <w:jc w:val="both"/>
      </w:pPr>
    </w:p>
    <w:p w:rsidR="00DA6471" w:rsidRPr="00E60D46" w:rsidRDefault="00DA6471" w:rsidP="00DA6471">
      <w:pPr>
        <w:pStyle w:val="NoSpacing"/>
        <w:spacing w:line="480" w:lineRule="auto"/>
        <w:jc w:val="both"/>
      </w:pPr>
      <w:r w:rsidRPr="00E60D46">
        <w:t xml:space="preserve">The applicant </w:t>
      </w:r>
      <w:r w:rsidR="008F410A" w:rsidRPr="00E60D46">
        <w:t>also pleaded</w:t>
      </w:r>
      <w:r w:rsidR="00CC2FD7" w:rsidRPr="00E60D46">
        <w:t xml:space="preserve"> invalidity</w:t>
      </w:r>
      <w:r w:rsidR="008F410A" w:rsidRPr="00E60D46">
        <w:t xml:space="preserve"> </w:t>
      </w:r>
      <w:r w:rsidR="00CC2FD7" w:rsidRPr="00E60D46">
        <w:t>of s</w:t>
      </w:r>
      <w:r w:rsidR="00F856AB" w:rsidRPr="00E60D46">
        <w:t> 2</w:t>
      </w:r>
      <w:r w:rsidR="00CC2FD7" w:rsidRPr="00E60D46">
        <w:t xml:space="preserve"> of the Act and </w:t>
      </w:r>
      <w:r w:rsidR="00ED7821" w:rsidRPr="00E60D46">
        <w:t>mistake of law.</w:t>
      </w:r>
    </w:p>
    <w:p w:rsidR="00ED7821" w:rsidRPr="00E60D46" w:rsidRDefault="00ED7821" w:rsidP="00DA6471">
      <w:pPr>
        <w:pStyle w:val="NoSpacing"/>
        <w:spacing w:line="480" w:lineRule="auto"/>
        <w:jc w:val="both"/>
      </w:pPr>
    </w:p>
    <w:p w:rsidR="00ED7821" w:rsidRPr="00E60D46" w:rsidRDefault="00ED7821" w:rsidP="00DA6471">
      <w:pPr>
        <w:pStyle w:val="NoSpacing"/>
        <w:spacing w:line="480" w:lineRule="auto"/>
        <w:jc w:val="both"/>
      </w:pPr>
      <w:r w:rsidRPr="00E60D46">
        <w:tab/>
      </w:r>
      <w:r w:rsidRPr="00E60D46">
        <w:tab/>
        <w:t>The application for a discharge was dismissed.   In dismissing the application for a discharge, the learned trial magistrate concluded that the applicant had a case to answer and should be put on his defence.</w:t>
      </w:r>
    </w:p>
    <w:p w:rsidR="00ED7821" w:rsidRPr="00E60D46" w:rsidRDefault="00ED7821" w:rsidP="00DA6471">
      <w:pPr>
        <w:pStyle w:val="NoSpacing"/>
        <w:spacing w:line="480" w:lineRule="auto"/>
        <w:jc w:val="both"/>
      </w:pPr>
    </w:p>
    <w:p w:rsidR="00ED7821" w:rsidRPr="00E60D46" w:rsidRDefault="00ED7821" w:rsidP="00DA6471">
      <w:pPr>
        <w:pStyle w:val="NoSpacing"/>
        <w:spacing w:line="480" w:lineRule="auto"/>
        <w:jc w:val="both"/>
      </w:pPr>
      <w:r w:rsidRPr="00E60D46">
        <w:tab/>
      </w:r>
      <w:r w:rsidRPr="00E60D46">
        <w:tab/>
        <w:t>Dissatisfied with that ruling, the applicant applied for a referral of the matter to the Constitutional Court in terms of s 24(2) of the Constitution, which provides as follows:</w:t>
      </w:r>
    </w:p>
    <w:p w:rsidR="00E87817" w:rsidRPr="00E60D46" w:rsidRDefault="00E87817" w:rsidP="00E87817">
      <w:pPr>
        <w:pStyle w:val="NoSpacing"/>
        <w:ind w:left="720"/>
        <w:jc w:val="both"/>
        <w:rPr>
          <w:b/>
        </w:rPr>
      </w:pPr>
      <w:r w:rsidRPr="00E60D46">
        <w:lastRenderedPageBreak/>
        <w:t>“</w:t>
      </w:r>
      <w:r w:rsidRPr="00E60D46">
        <w:rPr>
          <w:b/>
        </w:rPr>
        <w:t>24 Enforcement of protective provisions</w:t>
      </w:r>
    </w:p>
    <w:p w:rsidR="00E87817" w:rsidRPr="00E60D46" w:rsidRDefault="00E87817" w:rsidP="00E87817">
      <w:pPr>
        <w:pStyle w:val="NoSpacing"/>
        <w:ind w:left="720"/>
        <w:jc w:val="both"/>
        <w:rPr>
          <w:b/>
        </w:rPr>
      </w:pPr>
    </w:p>
    <w:p w:rsidR="00ED7821" w:rsidRPr="00E60D46" w:rsidRDefault="00E87817" w:rsidP="00E87817">
      <w:pPr>
        <w:pStyle w:val="NoSpacing"/>
        <w:ind w:left="720" w:firstLine="720"/>
        <w:jc w:val="both"/>
      </w:pPr>
      <w:r w:rsidRPr="00E60D46">
        <w:t>(2) If in any proceedings in the High Court or in any court subordinate to the High Court any question arises as to the contravention of the Declaration of Rights, the person presiding in that court may, and if so requested by any party to the proceedings shall, refer the question to the Supreme Court unless, in his opinion, the raising of the question is merely frivolous or vexatious.”</w:t>
      </w:r>
    </w:p>
    <w:p w:rsidR="00ED7821" w:rsidRPr="00E60D46" w:rsidRDefault="00ED7821" w:rsidP="00E87817">
      <w:pPr>
        <w:pStyle w:val="NoSpacing"/>
        <w:spacing w:line="480" w:lineRule="auto"/>
        <w:jc w:val="both"/>
      </w:pPr>
    </w:p>
    <w:p w:rsidR="00E87817" w:rsidRPr="00E60D46" w:rsidRDefault="007207D3" w:rsidP="00E87817">
      <w:pPr>
        <w:pStyle w:val="NoSpacing"/>
        <w:spacing w:line="480" w:lineRule="auto"/>
        <w:jc w:val="both"/>
      </w:pPr>
      <w:r w:rsidRPr="00E60D46">
        <w:tab/>
      </w:r>
      <w:r w:rsidRPr="00E60D46">
        <w:tab/>
      </w:r>
      <w:r w:rsidR="00B05F28" w:rsidRPr="00E60D46">
        <w:t>I</w:t>
      </w:r>
      <w:r w:rsidR="00164C4F" w:rsidRPr="00E60D46">
        <w:t>n the application for referral,</w:t>
      </w:r>
      <w:r w:rsidR="00F15302" w:rsidRPr="00E60D46">
        <w:t xml:space="preserve"> </w:t>
      </w:r>
      <w:r w:rsidR="00B05F28" w:rsidRPr="00E60D46">
        <w:t xml:space="preserve">the applicant </w:t>
      </w:r>
      <w:r w:rsidR="00F15302" w:rsidRPr="00E60D46">
        <w:t>contend</w:t>
      </w:r>
      <w:r w:rsidR="00B05F28" w:rsidRPr="00E60D46">
        <w:t>ed</w:t>
      </w:r>
      <w:r w:rsidR="00F15302" w:rsidRPr="00E60D46">
        <w:t xml:space="preserve"> that the trial court</w:t>
      </w:r>
      <w:r w:rsidR="00B05F28" w:rsidRPr="00E60D46">
        <w:t xml:space="preserve"> had</w:t>
      </w:r>
      <w:r w:rsidR="00F15302" w:rsidRPr="00E60D46">
        <w:t xml:space="preserve"> violated his fundamental right to </w:t>
      </w:r>
      <w:r w:rsidR="00516502" w:rsidRPr="00E60D46">
        <w:t xml:space="preserve">the </w:t>
      </w:r>
      <w:r w:rsidR="00F15302" w:rsidRPr="00E60D46">
        <w:t>protection of the law</w:t>
      </w:r>
      <w:r w:rsidR="00CC2FD7" w:rsidRPr="00E60D46">
        <w:t xml:space="preserve"> guaranteed by s 18(1) of the Constitution</w:t>
      </w:r>
      <w:r w:rsidR="00F15302" w:rsidRPr="00E60D46">
        <w:t xml:space="preserve"> by putting him on his defence when the evidence for the State failed</w:t>
      </w:r>
      <w:r w:rsidR="003F352F" w:rsidRPr="00E60D46">
        <w:t xml:space="preserve"> </w:t>
      </w:r>
      <w:r w:rsidR="00F15302" w:rsidRPr="00E60D46">
        <w:t>to establish the essential elements of the offence</w:t>
      </w:r>
      <w:r w:rsidR="003F352F" w:rsidRPr="00E60D46">
        <w:t xml:space="preserve">.   </w:t>
      </w:r>
      <w:r w:rsidR="001C58FF" w:rsidRPr="00E60D46">
        <w:t>The</w:t>
      </w:r>
      <w:r w:rsidR="00F15302" w:rsidRPr="00E60D46">
        <w:t xml:space="preserve"> applicant also advanced the following</w:t>
      </w:r>
      <w:r w:rsidR="001C58FF" w:rsidRPr="00E60D46">
        <w:t xml:space="preserve"> two</w:t>
      </w:r>
      <w:r w:rsidR="00164C4F" w:rsidRPr="00E60D46">
        <w:t xml:space="preserve"> further</w:t>
      </w:r>
      <w:r w:rsidR="001C58FF" w:rsidRPr="00E60D46">
        <w:t xml:space="preserve"> grounds </w:t>
      </w:r>
      <w:r w:rsidR="00F15302" w:rsidRPr="00E60D46">
        <w:t>in support of</w:t>
      </w:r>
      <w:r w:rsidR="001C58FF" w:rsidRPr="00E60D46">
        <w:t xml:space="preserve"> th</w:t>
      </w:r>
      <w:r w:rsidR="00F15302" w:rsidRPr="00E60D46">
        <w:t>e</w:t>
      </w:r>
      <w:r w:rsidR="001C58FF" w:rsidRPr="00E60D46">
        <w:t xml:space="preserve"> application</w:t>
      </w:r>
      <w:r w:rsidR="00F15302" w:rsidRPr="00E60D46">
        <w:t xml:space="preserve"> for referral</w:t>
      </w:r>
      <w:r w:rsidR="001C58FF" w:rsidRPr="00E60D46">
        <w:t xml:space="preserve"> –</w:t>
      </w:r>
    </w:p>
    <w:p w:rsidR="001C58FF" w:rsidRPr="00E60D46" w:rsidRDefault="001C58FF" w:rsidP="001C58FF">
      <w:pPr>
        <w:pStyle w:val="NoSpacing"/>
        <w:jc w:val="both"/>
      </w:pPr>
    </w:p>
    <w:p w:rsidR="001C58FF" w:rsidRPr="00E60D46" w:rsidRDefault="001C58FF" w:rsidP="001C58FF">
      <w:pPr>
        <w:pStyle w:val="NoSpacing"/>
        <w:spacing w:line="480" w:lineRule="auto"/>
        <w:ind w:left="1440" w:hanging="720"/>
        <w:jc w:val="both"/>
      </w:pPr>
      <w:r w:rsidRPr="00E60D46">
        <w:t>(1)</w:t>
      </w:r>
      <w:r w:rsidRPr="00E60D46">
        <w:tab/>
      </w:r>
      <w:r w:rsidR="00516502" w:rsidRPr="00E60D46">
        <w:t xml:space="preserve">first, </w:t>
      </w:r>
      <w:r w:rsidRPr="00E60D46">
        <w:t>that the trial magistrate had violated the applicant’s right to a fair trial by failing to give detailed reasons for dismissing the applicant’s application for discharge.   In particular, it was contended that the learned trial magistrate should have dealt with each of the six grounds that were advanced in support of the application for discharge, and that his failure to do so was a violation of the applicant’s right or entitlement to a fair trial in terms of s 18(2) of the Constitution.</w:t>
      </w:r>
    </w:p>
    <w:p w:rsidR="001C58FF" w:rsidRPr="00E60D46" w:rsidRDefault="001C58FF" w:rsidP="001C58FF">
      <w:pPr>
        <w:pStyle w:val="NoSpacing"/>
        <w:spacing w:line="480" w:lineRule="auto"/>
        <w:ind w:left="1440" w:hanging="720"/>
        <w:jc w:val="both"/>
      </w:pPr>
    </w:p>
    <w:p w:rsidR="001C58FF" w:rsidRPr="00E60D46" w:rsidRDefault="001C58FF" w:rsidP="001C58FF">
      <w:pPr>
        <w:pStyle w:val="NoSpacing"/>
        <w:spacing w:line="480" w:lineRule="auto"/>
        <w:ind w:left="1440" w:hanging="720"/>
        <w:jc w:val="both"/>
      </w:pPr>
      <w:r w:rsidRPr="00E60D46">
        <w:t>(2)</w:t>
      </w:r>
      <w:r w:rsidRPr="00E60D46">
        <w:tab/>
        <w:t>second</w:t>
      </w:r>
      <w:r w:rsidR="00516502" w:rsidRPr="00E60D46">
        <w:t>,</w:t>
      </w:r>
      <w:r w:rsidRPr="00E60D46">
        <w:t xml:space="preserve"> that the definition of “lawful authority” in s</w:t>
      </w:r>
      <w:r w:rsidR="006045DF" w:rsidRPr="00E60D46">
        <w:t> 2</w:t>
      </w:r>
      <w:r w:rsidRPr="00E60D46">
        <w:t xml:space="preserve"> of the Act </w:t>
      </w:r>
      <w:r w:rsidR="004C42EC" w:rsidRPr="00E60D46">
        <w:t>i</w:t>
      </w:r>
      <w:r w:rsidRPr="00E60D46">
        <w:t xml:space="preserve">s </w:t>
      </w:r>
      <w:r w:rsidRPr="00E60D46">
        <w:rPr>
          <w:i/>
        </w:rPr>
        <w:t>ultra vires</w:t>
      </w:r>
      <w:r w:rsidRPr="00E60D46">
        <w:t xml:space="preserve"> </w:t>
      </w:r>
      <w:r w:rsidR="00F856AB" w:rsidRPr="00E60D46">
        <w:t xml:space="preserve">s 16B(6) of </w:t>
      </w:r>
      <w:r w:rsidRPr="00E60D46">
        <w:t xml:space="preserve">the Constitution insofar as it seeks to limit the </w:t>
      </w:r>
      <w:r w:rsidR="008A1AC0" w:rsidRPr="00E60D46">
        <w:t>meaning</w:t>
      </w:r>
      <w:r w:rsidRPr="00E60D46">
        <w:t xml:space="preserve"> of “lawful authority” to an offer letter, a permit or a </w:t>
      </w:r>
      <w:r w:rsidR="009F30FB" w:rsidRPr="00E60D46">
        <w:t xml:space="preserve">land settlement </w:t>
      </w:r>
      <w:r w:rsidRPr="00E60D46">
        <w:t>lease.   The contention is that Parliament ha</w:t>
      </w:r>
      <w:r w:rsidR="00836F7F" w:rsidRPr="00E60D46">
        <w:t>s</w:t>
      </w:r>
      <w:r w:rsidRPr="00E60D46">
        <w:t xml:space="preserve"> no authority to truncate the</w:t>
      </w:r>
      <w:r w:rsidR="003B1027" w:rsidRPr="00E60D46">
        <w:t xml:space="preserve"> definition of “lawful authority” referred to in the Act without first amending </w:t>
      </w:r>
      <w:r w:rsidR="00F856AB" w:rsidRPr="00E60D46">
        <w:t>s 16B(6) of the</w:t>
      </w:r>
      <w:r w:rsidR="003B1027" w:rsidRPr="00E60D46">
        <w:t xml:space="preserve"> Constitution</w:t>
      </w:r>
      <w:r w:rsidR="00826783" w:rsidRPr="00E60D46">
        <w:t>.</w:t>
      </w:r>
    </w:p>
    <w:p w:rsidR="00826783" w:rsidRPr="00E60D46" w:rsidRDefault="00826783" w:rsidP="00826783">
      <w:pPr>
        <w:pStyle w:val="NoSpacing"/>
        <w:jc w:val="both"/>
      </w:pPr>
    </w:p>
    <w:p w:rsidR="00826783" w:rsidRPr="00E60D46" w:rsidRDefault="00826783" w:rsidP="00826783">
      <w:pPr>
        <w:pStyle w:val="NoSpacing"/>
        <w:spacing w:line="480" w:lineRule="auto"/>
        <w:jc w:val="both"/>
      </w:pPr>
      <w:r w:rsidRPr="00E60D46">
        <w:lastRenderedPageBreak/>
        <w:tab/>
      </w:r>
      <w:r w:rsidRPr="00E60D46">
        <w:tab/>
        <w:t xml:space="preserve">The </w:t>
      </w:r>
      <w:r w:rsidR="00127236" w:rsidRPr="00E60D46">
        <w:t xml:space="preserve">court </w:t>
      </w:r>
      <w:r w:rsidR="00127236" w:rsidRPr="00E60D46">
        <w:rPr>
          <w:i/>
        </w:rPr>
        <w:t>a quo</w:t>
      </w:r>
      <w:r w:rsidRPr="00E60D46">
        <w:t xml:space="preserve"> dismissed the application for referral to the Constitutional Court as frivolous and vexatious.</w:t>
      </w:r>
    </w:p>
    <w:p w:rsidR="00826783" w:rsidRPr="00E60D46" w:rsidRDefault="00826783" w:rsidP="00826783">
      <w:pPr>
        <w:pStyle w:val="NoSpacing"/>
        <w:spacing w:line="480" w:lineRule="auto"/>
        <w:jc w:val="both"/>
      </w:pPr>
    </w:p>
    <w:p w:rsidR="007146EE" w:rsidRPr="00E60D46" w:rsidRDefault="00826783" w:rsidP="00826783">
      <w:pPr>
        <w:pStyle w:val="NoSpacing"/>
        <w:spacing w:line="480" w:lineRule="auto"/>
        <w:jc w:val="both"/>
      </w:pPr>
      <w:r w:rsidRPr="00E60D46">
        <w:tab/>
      </w:r>
      <w:r w:rsidRPr="00E60D46">
        <w:tab/>
        <w:t xml:space="preserve">The applicant now approaches this Court in terms of s 24(1) of the Constitution, </w:t>
      </w:r>
      <w:r w:rsidR="00127236" w:rsidRPr="00E60D46">
        <w:t xml:space="preserve">on the basis that the court </w:t>
      </w:r>
      <w:r w:rsidR="00127236" w:rsidRPr="00E60D46">
        <w:rPr>
          <w:i/>
        </w:rPr>
        <w:t>a quo</w:t>
      </w:r>
      <w:r w:rsidR="00127236" w:rsidRPr="00E60D46">
        <w:t xml:space="preserve"> </w:t>
      </w:r>
      <w:r w:rsidR="0047187A" w:rsidRPr="00E60D46">
        <w:t>violated his</w:t>
      </w:r>
      <w:r w:rsidR="007146EE" w:rsidRPr="00E60D46">
        <w:t xml:space="preserve"> fundamental</w:t>
      </w:r>
      <w:r w:rsidR="0047187A" w:rsidRPr="00E60D46">
        <w:t xml:space="preserve"> right</w:t>
      </w:r>
      <w:r w:rsidR="007146EE" w:rsidRPr="00E60D46">
        <w:t xml:space="preserve"> by refusing to refer his case to this Court.</w:t>
      </w:r>
    </w:p>
    <w:p w:rsidR="008D183B" w:rsidRPr="00E60D46" w:rsidRDefault="008D183B" w:rsidP="00826783">
      <w:pPr>
        <w:pStyle w:val="NoSpacing"/>
        <w:spacing w:line="480" w:lineRule="auto"/>
        <w:jc w:val="both"/>
      </w:pPr>
    </w:p>
    <w:p w:rsidR="008D183B" w:rsidRPr="00E60D46" w:rsidRDefault="008B3559" w:rsidP="008D183B">
      <w:pPr>
        <w:pStyle w:val="NoSpacing"/>
        <w:spacing w:line="480" w:lineRule="auto"/>
        <w:ind w:firstLine="1440"/>
        <w:jc w:val="both"/>
      </w:pPr>
      <w:r w:rsidRPr="00E60D46">
        <w:t xml:space="preserve">The </w:t>
      </w:r>
      <w:r w:rsidR="006C21D3" w:rsidRPr="00E60D46">
        <w:t xml:space="preserve">applicant </w:t>
      </w:r>
      <w:r w:rsidR="008D183B" w:rsidRPr="00E60D46">
        <w:t>contend</w:t>
      </w:r>
      <w:r w:rsidR="00352B42" w:rsidRPr="00E60D46">
        <w:t xml:space="preserve">s </w:t>
      </w:r>
      <w:r w:rsidRPr="00E60D46">
        <w:t xml:space="preserve">that </w:t>
      </w:r>
      <w:r w:rsidR="008D183B" w:rsidRPr="00E60D46">
        <w:t>the dismissal of his application for referral</w:t>
      </w:r>
      <w:r w:rsidRPr="00E60D46">
        <w:t xml:space="preserve"> violated his </w:t>
      </w:r>
      <w:r w:rsidR="008D183B" w:rsidRPr="00E60D46">
        <w:t xml:space="preserve">right to protection of the law guaranteed by s 18(1) of the Constitution, and his right to a fair trial guaranteed by s 18(2) of the Constitution.   He </w:t>
      </w:r>
      <w:r w:rsidR="00B05F28" w:rsidRPr="00E60D46">
        <w:t xml:space="preserve">further </w:t>
      </w:r>
      <w:r w:rsidR="008D183B" w:rsidRPr="00E60D46">
        <w:t>argued that his application for referral was neither vexatious nor frivolous.</w:t>
      </w:r>
    </w:p>
    <w:p w:rsidR="00011C15" w:rsidRPr="00E60D46" w:rsidRDefault="00011C15" w:rsidP="008D183B">
      <w:pPr>
        <w:pStyle w:val="NoSpacing"/>
        <w:spacing w:line="480" w:lineRule="auto"/>
        <w:ind w:firstLine="1440"/>
        <w:jc w:val="both"/>
      </w:pPr>
    </w:p>
    <w:p w:rsidR="00826783" w:rsidRPr="00E60D46" w:rsidRDefault="008B3559" w:rsidP="008D183B">
      <w:pPr>
        <w:pStyle w:val="NoSpacing"/>
        <w:spacing w:line="480" w:lineRule="auto"/>
        <w:ind w:firstLine="1440"/>
        <w:jc w:val="both"/>
      </w:pPr>
      <w:r w:rsidRPr="00E60D46">
        <w:t>In essence the applicant</w:t>
      </w:r>
      <w:r w:rsidR="006C21D3" w:rsidRPr="00E60D46">
        <w:t>’s case in this application is that</w:t>
      </w:r>
      <w:r w:rsidRPr="00E60D46">
        <w:t xml:space="preserve"> –</w:t>
      </w:r>
    </w:p>
    <w:p w:rsidR="008B3559" w:rsidRPr="00E60D46" w:rsidRDefault="008B3559" w:rsidP="008B3559">
      <w:pPr>
        <w:pStyle w:val="NoSpacing"/>
        <w:jc w:val="both"/>
      </w:pPr>
    </w:p>
    <w:p w:rsidR="008B3559" w:rsidRPr="00E60D46" w:rsidRDefault="008B3559" w:rsidP="00445E6F">
      <w:pPr>
        <w:pStyle w:val="NoSpacing"/>
        <w:spacing w:line="480" w:lineRule="auto"/>
        <w:ind w:left="1440" w:hanging="720"/>
        <w:jc w:val="both"/>
      </w:pPr>
      <w:r w:rsidRPr="00E60D46">
        <w:t>(a)</w:t>
      </w:r>
      <w:r w:rsidRPr="00E60D46">
        <w:tab/>
      </w:r>
      <w:r w:rsidR="00445E6F" w:rsidRPr="00E60D46">
        <w:t xml:space="preserve">the dismissal of the application for discharge constitutes a violation of his </w:t>
      </w:r>
      <w:r w:rsidR="008A1AC0" w:rsidRPr="00E60D46">
        <w:t>c</w:t>
      </w:r>
      <w:r w:rsidR="00C27B45" w:rsidRPr="00E60D46">
        <w:t>onstitutional</w:t>
      </w:r>
      <w:r w:rsidR="009435A2" w:rsidRPr="00E60D46">
        <w:t xml:space="preserve"> </w:t>
      </w:r>
      <w:r w:rsidR="00445E6F" w:rsidRPr="00E60D46">
        <w:t>right</w:t>
      </w:r>
      <w:r w:rsidR="009435A2" w:rsidRPr="00E60D46">
        <w:t xml:space="preserve"> to </w:t>
      </w:r>
      <w:r w:rsidR="00516502" w:rsidRPr="00E60D46">
        <w:t xml:space="preserve">the </w:t>
      </w:r>
      <w:r w:rsidR="00011C15" w:rsidRPr="00E60D46">
        <w:t>protection of the law</w:t>
      </w:r>
      <w:r w:rsidR="009435A2" w:rsidRPr="00E60D46">
        <w:t>, in that the State had not established any one of the essential elements of the offence that he was being charged with;</w:t>
      </w:r>
    </w:p>
    <w:p w:rsidR="009435A2" w:rsidRPr="00E60D46" w:rsidRDefault="009435A2" w:rsidP="009435A2">
      <w:pPr>
        <w:pStyle w:val="NoSpacing"/>
        <w:ind w:left="1440" w:hanging="720"/>
        <w:jc w:val="both"/>
      </w:pPr>
    </w:p>
    <w:p w:rsidR="009435A2" w:rsidRPr="00E60D46" w:rsidRDefault="009435A2" w:rsidP="009435A2">
      <w:pPr>
        <w:pStyle w:val="NoSpacing"/>
        <w:spacing w:line="480" w:lineRule="auto"/>
        <w:ind w:left="1440" w:hanging="720"/>
        <w:jc w:val="both"/>
      </w:pPr>
      <w:r w:rsidRPr="00E60D46">
        <w:t>(b)</w:t>
      </w:r>
      <w:r w:rsidRPr="00E60D46">
        <w:tab/>
        <w:t>the trial magistrate</w:t>
      </w:r>
      <w:r w:rsidR="00011C15" w:rsidRPr="00E60D46">
        <w:t xml:space="preserve">, by reason of his failure </w:t>
      </w:r>
      <w:r w:rsidRPr="00E60D46">
        <w:t xml:space="preserve">to give detailed reasons in his judgment for dismissing </w:t>
      </w:r>
      <w:r w:rsidR="00011C15" w:rsidRPr="00E60D46">
        <w:t>bo</w:t>
      </w:r>
      <w:r w:rsidRPr="00E60D46">
        <w:t>th application</w:t>
      </w:r>
      <w:r w:rsidR="00011C15" w:rsidRPr="00E60D46">
        <w:t>s</w:t>
      </w:r>
      <w:r w:rsidRPr="00E60D46">
        <w:t xml:space="preserve">, </w:t>
      </w:r>
      <w:r w:rsidR="00011C15" w:rsidRPr="00E60D46">
        <w:t xml:space="preserve">had violated the applicant’s right to a fair trial, </w:t>
      </w:r>
      <w:r w:rsidRPr="00E60D46">
        <w:t>the contention being that he should have addressed each of the six grounds</w:t>
      </w:r>
      <w:r w:rsidR="00836F7F" w:rsidRPr="00E60D46">
        <w:t xml:space="preserve"> that were advanced in support of the application for discharge</w:t>
      </w:r>
      <w:r w:rsidRPr="00E60D46">
        <w:t xml:space="preserve"> before dismissing the application; and</w:t>
      </w:r>
    </w:p>
    <w:p w:rsidR="009435A2" w:rsidRPr="00E60D46" w:rsidRDefault="009435A2" w:rsidP="009435A2">
      <w:pPr>
        <w:pStyle w:val="NoSpacing"/>
        <w:ind w:left="1440" w:hanging="720"/>
        <w:jc w:val="both"/>
      </w:pPr>
    </w:p>
    <w:p w:rsidR="009435A2" w:rsidRPr="00E60D46" w:rsidRDefault="009435A2" w:rsidP="009435A2">
      <w:pPr>
        <w:pStyle w:val="NoSpacing"/>
        <w:spacing w:line="480" w:lineRule="auto"/>
        <w:ind w:left="1440" w:hanging="720"/>
        <w:jc w:val="both"/>
      </w:pPr>
      <w:r w:rsidRPr="00E60D46">
        <w:t>(c)</w:t>
      </w:r>
      <w:r w:rsidRPr="00E60D46">
        <w:tab/>
        <w:t xml:space="preserve">the definition of “lawful authority” in </w:t>
      </w:r>
      <w:r w:rsidR="00B05F28" w:rsidRPr="00E60D46">
        <w:t xml:space="preserve">s 2 of </w:t>
      </w:r>
      <w:r w:rsidRPr="00E60D46">
        <w:t xml:space="preserve">the Act was </w:t>
      </w:r>
      <w:r w:rsidRPr="00E60D46">
        <w:rPr>
          <w:i/>
        </w:rPr>
        <w:t>ultra vires</w:t>
      </w:r>
      <w:r w:rsidRPr="00E60D46">
        <w:t xml:space="preserve"> </w:t>
      </w:r>
      <w:r w:rsidR="003B12C6" w:rsidRPr="00E60D46">
        <w:t xml:space="preserve">s 16B(6) </w:t>
      </w:r>
      <w:r w:rsidRPr="00E60D46">
        <w:t xml:space="preserve">of the Constitution and was therefore </w:t>
      </w:r>
      <w:r w:rsidR="00352B42" w:rsidRPr="00E60D46">
        <w:t>unconstitutional.</w:t>
      </w:r>
    </w:p>
    <w:p w:rsidR="009435A2" w:rsidRPr="00E60D46" w:rsidRDefault="009435A2" w:rsidP="00233D9F">
      <w:pPr>
        <w:pStyle w:val="NoSpacing"/>
        <w:jc w:val="both"/>
        <w:rPr>
          <w:u w:val="single"/>
        </w:rPr>
      </w:pPr>
    </w:p>
    <w:p w:rsidR="005E19B2" w:rsidRPr="00E60D46" w:rsidRDefault="00233D9F" w:rsidP="001932C4">
      <w:pPr>
        <w:pStyle w:val="NoSpacing"/>
        <w:spacing w:line="480" w:lineRule="auto"/>
        <w:jc w:val="both"/>
      </w:pPr>
      <w:r w:rsidRPr="00E60D46">
        <w:tab/>
      </w:r>
      <w:r w:rsidRPr="00E60D46">
        <w:tab/>
        <w:t xml:space="preserve">The first issue that falls for determination </w:t>
      </w:r>
      <w:r w:rsidR="00164C4F" w:rsidRPr="00E60D46">
        <w:t xml:space="preserve">by this Court </w:t>
      </w:r>
      <w:r w:rsidRPr="00E60D46">
        <w:t xml:space="preserve">is whether the court </w:t>
      </w:r>
      <w:r w:rsidRPr="00E60D46">
        <w:rPr>
          <w:i/>
        </w:rPr>
        <w:t>a quo</w:t>
      </w:r>
      <w:r w:rsidRPr="00E60D46">
        <w:t xml:space="preserve"> was correct in dismissing the application for referral </w:t>
      </w:r>
      <w:r w:rsidR="005F1EFC" w:rsidRPr="00E60D46">
        <w:t xml:space="preserve">as </w:t>
      </w:r>
      <w:r w:rsidRPr="00E60D46">
        <w:t>frivolous and vexatious.</w:t>
      </w:r>
      <w:r w:rsidR="00164C4F" w:rsidRPr="00E60D46">
        <w:t xml:space="preserve">   If the court </w:t>
      </w:r>
      <w:r w:rsidR="00164C4F" w:rsidRPr="00E60D46">
        <w:rPr>
          <w:i/>
        </w:rPr>
        <w:t>a quo</w:t>
      </w:r>
      <w:r w:rsidR="00164C4F" w:rsidRPr="00E60D46">
        <w:t xml:space="preserve"> was correct in dismissing the application for referral that is the end of the matter.   If the court </w:t>
      </w:r>
      <w:r w:rsidR="00164C4F" w:rsidRPr="00E60D46">
        <w:rPr>
          <w:i/>
        </w:rPr>
        <w:t>a quo</w:t>
      </w:r>
      <w:r w:rsidR="00164C4F" w:rsidRPr="00E60D46">
        <w:t xml:space="preserve"> erred in dismissing the application</w:t>
      </w:r>
      <w:r w:rsidR="003B12C6" w:rsidRPr="00E60D46">
        <w:t xml:space="preserve"> for referral</w:t>
      </w:r>
      <w:r w:rsidR="00164C4F" w:rsidRPr="00E60D46">
        <w:t>, then this Court is at large to consider the issue of whether the applicant’s rights were violated.</w:t>
      </w:r>
    </w:p>
    <w:p w:rsidR="00233D9F" w:rsidRPr="00E60D46" w:rsidRDefault="00233D9F" w:rsidP="001932C4">
      <w:pPr>
        <w:pStyle w:val="NoSpacing"/>
        <w:spacing w:line="480" w:lineRule="auto"/>
        <w:jc w:val="both"/>
      </w:pPr>
    </w:p>
    <w:p w:rsidR="00233D9F" w:rsidRPr="00E60D46" w:rsidRDefault="00233D9F" w:rsidP="001932C4">
      <w:pPr>
        <w:pStyle w:val="NoSpacing"/>
        <w:spacing w:line="480" w:lineRule="auto"/>
        <w:jc w:val="both"/>
      </w:pPr>
      <w:r w:rsidRPr="00E60D46">
        <w:tab/>
      </w:r>
      <w:r w:rsidRPr="00E60D46">
        <w:tab/>
      </w:r>
      <w:r w:rsidR="002374EA" w:rsidRPr="00E60D46">
        <w:t>The</w:t>
      </w:r>
      <w:r w:rsidR="00836414" w:rsidRPr="00E60D46">
        <w:t xml:space="preserve"> applicant’s contention that</w:t>
      </w:r>
      <w:r w:rsidR="002374EA" w:rsidRPr="00E60D46">
        <w:t xml:space="preserve"> the definition of “lawful authority” in the Act is </w:t>
      </w:r>
      <w:r w:rsidR="002374EA" w:rsidRPr="00E60D46">
        <w:rPr>
          <w:i/>
        </w:rPr>
        <w:t>ultra vires</w:t>
      </w:r>
      <w:r w:rsidR="002374EA" w:rsidRPr="00E60D46">
        <w:t xml:space="preserve"> the Constitution </w:t>
      </w:r>
      <w:r w:rsidR="00836414" w:rsidRPr="00E60D46">
        <w:t>raises</w:t>
      </w:r>
      <w:r w:rsidR="002374EA" w:rsidRPr="00E60D46">
        <w:t xml:space="preserve"> a </w:t>
      </w:r>
      <w:r w:rsidR="008A1AC0" w:rsidRPr="00E60D46">
        <w:t>c</w:t>
      </w:r>
      <w:r w:rsidR="00C27B45" w:rsidRPr="00E60D46">
        <w:t>onstitutional</w:t>
      </w:r>
      <w:r w:rsidR="002374EA" w:rsidRPr="00E60D46">
        <w:t xml:space="preserve"> issue</w:t>
      </w:r>
      <w:r w:rsidR="00836414" w:rsidRPr="00E60D46">
        <w:t xml:space="preserve">.   </w:t>
      </w:r>
      <w:r w:rsidR="00401619" w:rsidRPr="00E60D46">
        <w:t xml:space="preserve">Once a </w:t>
      </w:r>
      <w:r w:rsidR="008A1AC0" w:rsidRPr="00E60D46">
        <w:t>c</w:t>
      </w:r>
      <w:r w:rsidR="00C27B45" w:rsidRPr="00E60D46">
        <w:t>onstitutional</w:t>
      </w:r>
      <w:r w:rsidR="00401619" w:rsidRPr="00E60D46">
        <w:t xml:space="preserve"> </w:t>
      </w:r>
      <w:r w:rsidR="00516502" w:rsidRPr="00E60D46">
        <w:t>issue</w:t>
      </w:r>
      <w:r w:rsidR="00401619" w:rsidRPr="00E60D46">
        <w:t xml:space="preserve"> arises in any proceedings</w:t>
      </w:r>
      <w:r w:rsidR="00793FDF" w:rsidRPr="00E60D46">
        <w:t xml:space="preserve"> in an inferior court</w:t>
      </w:r>
      <w:r w:rsidR="00401619" w:rsidRPr="00E60D46">
        <w:t xml:space="preserve">, it should be referred to the Constitutional Court unless </w:t>
      </w:r>
      <w:r w:rsidR="00793FDF" w:rsidRPr="00E60D46">
        <w:t>such an application</w:t>
      </w:r>
      <w:r w:rsidR="00401619" w:rsidRPr="00E60D46">
        <w:t xml:space="preserve"> is frivolous or vexatious.   </w:t>
      </w:r>
      <w:r w:rsidR="00793FDF" w:rsidRPr="00E60D46">
        <w:t xml:space="preserve">The contention that s 2 of the Act is </w:t>
      </w:r>
      <w:r w:rsidR="00793FDF" w:rsidRPr="00E60D46">
        <w:rPr>
          <w:i/>
        </w:rPr>
        <w:t>ultra vires</w:t>
      </w:r>
      <w:r w:rsidR="00793FDF" w:rsidRPr="00E60D46">
        <w:t xml:space="preserve"> s 16B(6) of the Constitution</w:t>
      </w:r>
      <w:r w:rsidR="00F856AB" w:rsidRPr="00E60D46">
        <w:t xml:space="preserve"> is a </w:t>
      </w:r>
      <w:r w:rsidR="008A1AC0" w:rsidRPr="00E60D46">
        <w:t>c</w:t>
      </w:r>
      <w:r w:rsidR="00F856AB" w:rsidRPr="00E60D46">
        <w:t>onstitutional issue that arose during the proceedings</w:t>
      </w:r>
      <w:r w:rsidR="00793FDF" w:rsidRPr="00E60D46">
        <w:t xml:space="preserve"> </w:t>
      </w:r>
      <w:r w:rsidR="00F856AB" w:rsidRPr="00E60D46">
        <w:t xml:space="preserve">in the court </w:t>
      </w:r>
      <w:r w:rsidR="00F856AB" w:rsidRPr="00E60D46">
        <w:rPr>
          <w:i/>
        </w:rPr>
        <w:t xml:space="preserve">a quo.   </w:t>
      </w:r>
      <w:r w:rsidR="005814A6" w:rsidRPr="00E60D46">
        <w:t xml:space="preserve">This </w:t>
      </w:r>
      <w:r w:rsidR="008A1AC0" w:rsidRPr="00E60D46">
        <w:t>c</w:t>
      </w:r>
      <w:r w:rsidR="00C27B45" w:rsidRPr="00E60D46">
        <w:t>onstitutional</w:t>
      </w:r>
      <w:r w:rsidR="005814A6" w:rsidRPr="00E60D46">
        <w:t xml:space="preserve"> issue</w:t>
      </w:r>
      <w:r w:rsidR="00836414" w:rsidRPr="00E60D46">
        <w:t xml:space="preserve"> </w:t>
      </w:r>
      <w:r w:rsidR="005814A6" w:rsidRPr="00E60D46">
        <w:t xml:space="preserve">is neither </w:t>
      </w:r>
      <w:r w:rsidR="00836414" w:rsidRPr="00E60D46">
        <w:t xml:space="preserve">frivolous </w:t>
      </w:r>
      <w:r w:rsidR="005814A6" w:rsidRPr="00E60D46">
        <w:t>n</w:t>
      </w:r>
      <w:r w:rsidR="00836414" w:rsidRPr="00E60D46">
        <w:t xml:space="preserve">or vexatious.   The </w:t>
      </w:r>
      <w:r w:rsidR="002374EA" w:rsidRPr="00E60D46">
        <w:t xml:space="preserve">court </w:t>
      </w:r>
      <w:r w:rsidR="00836414" w:rsidRPr="00E60D46">
        <w:rPr>
          <w:i/>
        </w:rPr>
        <w:t xml:space="preserve">a quo </w:t>
      </w:r>
      <w:r w:rsidR="002374EA" w:rsidRPr="00E60D46">
        <w:t>was</w:t>
      </w:r>
      <w:r w:rsidR="00836414" w:rsidRPr="00E60D46">
        <w:t xml:space="preserve"> therefore</w:t>
      </w:r>
      <w:r w:rsidR="002374EA" w:rsidRPr="00E60D46">
        <w:t xml:space="preserve"> </w:t>
      </w:r>
      <w:r w:rsidR="005814A6" w:rsidRPr="00E60D46">
        <w:t>required</w:t>
      </w:r>
      <w:r w:rsidR="002374EA" w:rsidRPr="00E60D46">
        <w:t xml:space="preserve"> in terms of s 24</w:t>
      </w:r>
      <w:r w:rsidR="008A6E98" w:rsidRPr="00E60D46">
        <w:t>(2)</w:t>
      </w:r>
      <w:r w:rsidR="002374EA" w:rsidRPr="00E60D46">
        <w:t xml:space="preserve"> of the Constitution to refer th</w:t>
      </w:r>
      <w:r w:rsidR="008A6E98" w:rsidRPr="00E60D46">
        <w:t>is</w:t>
      </w:r>
      <w:r w:rsidR="002374EA" w:rsidRPr="00E60D46">
        <w:t xml:space="preserve"> matter to th</w:t>
      </w:r>
      <w:r w:rsidR="00A66859" w:rsidRPr="00E60D46">
        <w:t>e Constitutional</w:t>
      </w:r>
      <w:r w:rsidR="002374EA" w:rsidRPr="00E60D46">
        <w:t xml:space="preserve"> Court.   </w:t>
      </w:r>
      <w:r w:rsidR="008A6E98" w:rsidRPr="00E60D46">
        <w:t xml:space="preserve">The court </w:t>
      </w:r>
      <w:r w:rsidR="008A6E98" w:rsidRPr="00E60D46">
        <w:rPr>
          <w:i/>
        </w:rPr>
        <w:t>a quo’s</w:t>
      </w:r>
      <w:r w:rsidR="008A6E98" w:rsidRPr="00E60D46">
        <w:t xml:space="preserve"> failure to refer th</w:t>
      </w:r>
      <w:r w:rsidR="005814A6" w:rsidRPr="00E60D46">
        <w:t xml:space="preserve">e </w:t>
      </w:r>
      <w:r w:rsidR="008A1AC0" w:rsidRPr="00E60D46">
        <w:t>c</w:t>
      </w:r>
      <w:r w:rsidR="00C27B45" w:rsidRPr="00E60D46">
        <w:t>onstitutional</w:t>
      </w:r>
      <w:r w:rsidR="005814A6" w:rsidRPr="00E60D46">
        <w:t xml:space="preserve"> issue raised </w:t>
      </w:r>
      <w:r w:rsidR="008A6E98" w:rsidRPr="00E60D46">
        <w:t>to th</w:t>
      </w:r>
      <w:r w:rsidR="00A66859" w:rsidRPr="00E60D46">
        <w:t>e Constitutional</w:t>
      </w:r>
      <w:r w:rsidR="008A6E98" w:rsidRPr="00E60D46">
        <w:t xml:space="preserve"> Court </w:t>
      </w:r>
      <w:r w:rsidR="005814A6" w:rsidRPr="00E60D46">
        <w:t xml:space="preserve">constitutes a </w:t>
      </w:r>
      <w:r w:rsidR="008A6E98" w:rsidRPr="00E60D46">
        <w:t>violat</w:t>
      </w:r>
      <w:r w:rsidR="005814A6" w:rsidRPr="00E60D46">
        <w:t>ion of</w:t>
      </w:r>
      <w:r w:rsidR="008A6E98" w:rsidRPr="00E60D46">
        <w:t xml:space="preserve"> the applicant’s</w:t>
      </w:r>
      <w:r w:rsidR="005814A6" w:rsidRPr="00E60D46">
        <w:t xml:space="preserve"> </w:t>
      </w:r>
      <w:r w:rsidR="008A1AC0" w:rsidRPr="00E60D46">
        <w:t>c</w:t>
      </w:r>
      <w:r w:rsidR="00C27B45" w:rsidRPr="00E60D46">
        <w:t>onstitutional</w:t>
      </w:r>
      <w:r w:rsidR="008A6E98" w:rsidRPr="00E60D46">
        <w:t xml:space="preserve"> right</w:t>
      </w:r>
      <w:r w:rsidR="00A66859" w:rsidRPr="00E60D46">
        <w:t xml:space="preserve"> </w:t>
      </w:r>
      <w:r w:rsidR="00B20E43" w:rsidRPr="00E60D46">
        <w:t xml:space="preserve">to protection of the law guaranteed </w:t>
      </w:r>
      <w:r w:rsidR="00A66859" w:rsidRPr="00E60D46">
        <w:t>in terms of s </w:t>
      </w:r>
      <w:r w:rsidR="00B20E43" w:rsidRPr="00E60D46">
        <w:t>18</w:t>
      </w:r>
      <w:r w:rsidR="00A66859" w:rsidRPr="00E60D46">
        <w:t>(</w:t>
      </w:r>
      <w:r w:rsidR="00B20E43" w:rsidRPr="00E60D46">
        <w:t>1</w:t>
      </w:r>
      <w:r w:rsidR="00A66859" w:rsidRPr="00E60D46">
        <w:t xml:space="preserve">) of the Constitution.   Such violation </w:t>
      </w:r>
      <w:r w:rsidR="005814A6" w:rsidRPr="00E60D46">
        <w:t>entitl</w:t>
      </w:r>
      <w:r w:rsidR="00A66859" w:rsidRPr="00E60D46">
        <w:t>es</w:t>
      </w:r>
      <w:r w:rsidR="005814A6" w:rsidRPr="00E60D46">
        <w:t xml:space="preserve"> the applicant to approach th</w:t>
      </w:r>
      <w:r w:rsidR="00114B1D" w:rsidRPr="00E60D46">
        <w:t>e Constitutional</w:t>
      </w:r>
      <w:r w:rsidR="005814A6" w:rsidRPr="00E60D46">
        <w:t xml:space="preserve"> Court in terms of</w:t>
      </w:r>
      <w:r w:rsidR="008A6E98" w:rsidRPr="00E60D46">
        <w:t xml:space="preserve"> s </w:t>
      </w:r>
      <w:r w:rsidR="005814A6" w:rsidRPr="00E60D46">
        <w:t>24</w:t>
      </w:r>
      <w:r w:rsidR="008A6E98" w:rsidRPr="00E60D46">
        <w:t>(1) of the Constitution.</w:t>
      </w:r>
    </w:p>
    <w:p w:rsidR="00EE5A2F" w:rsidRPr="00E60D46" w:rsidRDefault="00EE5A2F" w:rsidP="001932C4">
      <w:pPr>
        <w:pStyle w:val="NoSpacing"/>
        <w:spacing w:line="480" w:lineRule="auto"/>
        <w:jc w:val="both"/>
      </w:pPr>
    </w:p>
    <w:p w:rsidR="002057A8" w:rsidRPr="00E60D46" w:rsidRDefault="00EE5A2F" w:rsidP="001932C4">
      <w:pPr>
        <w:pStyle w:val="NoSpacing"/>
        <w:spacing w:line="480" w:lineRule="auto"/>
        <w:jc w:val="both"/>
      </w:pPr>
      <w:r w:rsidRPr="00E60D46">
        <w:tab/>
      </w:r>
      <w:r w:rsidRPr="00E60D46">
        <w:tab/>
      </w:r>
      <w:r w:rsidR="001C68FA" w:rsidRPr="00E60D46">
        <w:t>I</w:t>
      </w:r>
      <w:r w:rsidR="00F856AB" w:rsidRPr="00E60D46">
        <w:t xml:space="preserve"> am therefore satisfied that</w:t>
      </w:r>
      <w:r w:rsidRPr="00E60D46">
        <w:t xml:space="preserve"> this </w:t>
      </w:r>
      <w:r w:rsidR="001C68FA" w:rsidRPr="00E60D46">
        <w:t>application</w:t>
      </w:r>
      <w:r w:rsidRPr="00E60D46">
        <w:t xml:space="preserve"> is properly before this Court and this Court is at large to consider the </w:t>
      </w:r>
      <w:r w:rsidR="008A1AC0" w:rsidRPr="00E60D46">
        <w:t>c</w:t>
      </w:r>
      <w:r w:rsidR="00C27B45" w:rsidRPr="00E60D46">
        <w:t>onstitutional</w:t>
      </w:r>
      <w:r w:rsidR="002057A8" w:rsidRPr="00E60D46">
        <w:t xml:space="preserve"> </w:t>
      </w:r>
      <w:r w:rsidRPr="00E60D46">
        <w:t xml:space="preserve">issues raised in the application </w:t>
      </w:r>
      <w:r w:rsidR="002057A8" w:rsidRPr="00E60D46">
        <w:t>to this Court as if it were the court of first instance.</w:t>
      </w:r>
    </w:p>
    <w:p w:rsidR="00EE5A2F" w:rsidRPr="00E60D46" w:rsidRDefault="002057A8" w:rsidP="001932C4">
      <w:pPr>
        <w:pStyle w:val="NoSpacing"/>
        <w:spacing w:line="480" w:lineRule="auto"/>
        <w:jc w:val="both"/>
      </w:pPr>
      <w:r w:rsidRPr="00E60D46">
        <w:t xml:space="preserve"> </w:t>
      </w:r>
    </w:p>
    <w:p w:rsidR="00EE5A2F" w:rsidRPr="00E60D46" w:rsidRDefault="00EE5A2F" w:rsidP="001932C4">
      <w:pPr>
        <w:pStyle w:val="NoSpacing"/>
        <w:spacing w:line="480" w:lineRule="auto"/>
        <w:jc w:val="both"/>
      </w:pPr>
      <w:r w:rsidRPr="00E60D46">
        <w:tab/>
      </w:r>
      <w:r w:rsidRPr="00E60D46">
        <w:tab/>
        <w:t xml:space="preserve">In this regard see </w:t>
      </w:r>
      <w:r w:rsidRPr="00E60D46">
        <w:rPr>
          <w:i/>
        </w:rPr>
        <w:t>Martin v Attorney-General and Anor</w:t>
      </w:r>
      <w:r w:rsidRPr="00E60D46">
        <w:t xml:space="preserve"> 1993 (1) ZLR 153 (S) at pp 158H-159A, wherein the Court had this to say:</w:t>
      </w:r>
    </w:p>
    <w:p w:rsidR="00EE5A2F" w:rsidRPr="00E60D46" w:rsidRDefault="00EE5A2F" w:rsidP="00EE5A2F">
      <w:pPr>
        <w:pStyle w:val="NoSpacing"/>
        <w:jc w:val="both"/>
      </w:pPr>
    </w:p>
    <w:p w:rsidR="00EE5A2F" w:rsidRPr="00E60D46" w:rsidRDefault="00DF20F6" w:rsidP="00DF20F6">
      <w:pPr>
        <w:pStyle w:val="NoSpacing"/>
        <w:ind w:left="720"/>
        <w:jc w:val="both"/>
      </w:pPr>
      <w:r w:rsidRPr="00E60D46">
        <w:lastRenderedPageBreak/>
        <w:tab/>
        <w:t>“For these reasons I am satisfied that the present application was correctly brought under s 24(1) of the Constitution.   The order made by the magistrate was, in the particular circumstances, beyond his jurisdiction.   This Court must now place itself in the position it would have been in had the magistrate, as he ought to have done, referred to it the question raised before him.”</w:t>
      </w:r>
    </w:p>
    <w:p w:rsidR="003C0220" w:rsidRPr="00E60D46" w:rsidRDefault="003C0220" w:rsidP="003C0220">
      <w:pPr>
        <w:pStyle w:val="NoSpacing"/>
        <w:spacing w:line="480" w:lineRule="auto"/>
        <w:jc w:val="both"/>
      </w:pPr>
    </w:p>
    <w:p w:rsidR="003C0220" w:rsidRPr="00E60D46" w:rsidRDefault="003C0220" w:rsidP="003C0220">
      <w:pPr>
        <w:pStyle w:val="NoSpacing"/>
        <w:spacing w:line="480" w:lineRule="auto"/>
        <w:jc w:val="both"/>
      </w:pPr>
      <w:r w:rsidRPr="00E60D46">
        <w:tab/>
      </w:r>
      <w:r w:rsidRPr="00E60D46">
        <w:tab/>
        <w:t xml:space="preserve">I now turn to deal with the applicant’s contention that his </w:t>
      </w:r>
      <w:r w:rsidR="00CE2A51" w:rsidRPr="00E60D46">
        <w:t>c</w:t>
      </w:r>
      <w:r w:rsidR="00C27B45" w:rsidRPr="00E60D46">
        <w:t>onstitutional</w:t>
      </w:r>
      <w:r w:rsidRPr="00E60D46">
        <w:t xml:space="preserve"> rights have been violated</w:t>
      </w:r>
      <w:r w:rsidR="00146B74" w:rsidRPr="00E60D46">
        <w:t xml:space="preserve"> as if this was the court of first instance</w:t>
      </w:r>
      <w:r w:rsidRPr="00E60D46">
        <w:t>.</w:t>
      </w:r>
    </w:p>
    <w:p w:rsidR="00DF20F6" w:rsidRPr="00E60D46" w:rsidRDefault="00DF20F6" w:rsidP="001113B2">
      <w:pPr>
        <w:pStyle w:val="NoSpacing"/>
        <w:jc w:val="both"/>
      </w:pPr>
    </w:p>
    <w:p w:rsidR="009D7581" w:rsidRPr="00E60D46" w:rsidRDefault="001113B2" w:rsidP="001932C4">
      <w:pPr>
        <w:pStyle w:val="NoSpacing"/>
        <w:spacing w:line="480" w:lineRule="auto"/>
        <w:jc w:val="both"/>
      </w:pPr>
      <w:r w:rsidRPr="00E60D46">
        <w:tab/>
      </w:r>
      <w:r w:rsidRPr="00E60D46">
        <w:tab/>
        <w:t xml:space="preserve">The applicant’s main contention is that the State, at the close of its case, </w:t>
      </w:r>
      <w:r w:rsidR="006045DF" w:rsidRPr="00E60D46">
        <w:t>had</w:t>
      </w:r>
      <w:r w:rsidRPr="00E60D46">
        <w:t xml:space="preserve"> not establish</w:t>
      </w:r>
      <w:r w:rsidR="006045DF" w:rsidRPr="00E60D46">
        <w:t>ed</w:t>
      </w:r>
      <w:r w:rsidRPr="00E60D46">
        <w:t xml:space="preserve"> any one of the essential elements of the offence of contravening s 3(2)(a), </w:t>
      </w:r>
      <w:r w:rsidR="00996E69" w:rsidRPr="00E60D46">
        <w:t xml:space="preserve">as read with ss 3(3) and 3(5), </w:t>
      </w:r>
      <w:r w:rsidRPr="00E60D46">
        <w:t>of the Act.</w:t>
      </w:r>
    </w:p>
    <w:p w:rsidR="009D7581" w:rsidRPr="00E60D46" w:rsidRDefault="009D7581" w:rsidP="001932C4">
      <w:pPr>
        <w:pStyle w:val="NoSpacing"/>
        <w:spacing w:line="480" w:lineRule="auto"/>
        <w:jc w:val="both"/>
      </w:pPr>
    </w:p>
    <w:p w:rsidR="00697ED6" w:rsidRPr="00E60D46" w:rsidRDefault="001113B2" w:rsidP="009D7581">
      <w:pPr>
        <w:pStyle w:val="NoSpacing"/>
        <w:spacing w:line="480" w:lineRule="auto"/>
        <w:ind w:firstLine="1440"/>
        <w:jc w:val="both"/>
      </w:pPr>
      <w:r w:rsidRPr="00E60D46">
        <w:t>Placing an accused</w:t>
      </w:r>
      <w:r w:rsidR="00666554" w:rsidRPr="00E60D46">
        <w:t xml:space="preserve"> person</w:t>
      </w:r>
      <w:r w:rsidRPr="00E60D46">
        <w:t xml:space="preserve"> on remand, trial or on his defence at the close of the State case, when the</w:t>
      </w:r>
      <w:r w:rsidR="00996E69" w:rsidRPr="00E60D46">
        <w:t xml:space="preserve"> </w:t>
      </w:r>
      <w:r w:rsidRPr="00E60D46">
        <w:t xml:space="preserve">allegations and/or the </w:t>
      </w:r>
      <w:r w:rsidR="00CF6A86" w:rsidRPr="00E60D46">
        <w:t>evidence</w:t>
      </w:r>
      <w:r w:rsidRPr="00E60D46">
        <w:t xml:space="preserve"> led by the State do not </w:t>
      </w:r>
      <w:r w:rsidR="00CF6A86" w:rsidRPr="00E60D46">
        <w:t>constitute</w:t>
      </w:r>
      <w:r w:rsidRPr="00E60D46">
        <w:t xml:space="preserve"> </w:t>
      </w:r>
      <w:r w:rsidR="00CF6A86" w:rsidRPr="00E60D46">
        <w:t>an</w:t>
      </w:r>
      <w:r w:rsidRPr="00E60D46">
        <w:t xml:space="preserve"> offence, is a violation of an accused person’s right</w:t>
      </w:r>
      <w:r w:rsidR="001F0C8F" w:rsidRPr="00E60D46">
        <w:t xml:space="preserve"> to </w:t>
      </w:r>
      <w:r w:rsidR="00836EF8" w:rsidRPr="00E60D46">
        <w:t xml:space="preserve">the </w:t>
      </w:r>
      <w:r w:rsidR="001F0C8F" w:rsidRPr="00E60D46">
        <w:t>protection of the law</w:t>
      </w:r>
      <w:r w:rsidRPr="00E60D46">
        <w:t>, guaranteed by s 18(1) of the Constitution.</w:t>
      </w:r>
      <w:r w:rsidR="009D7581" w:rsidRPr="00E60D46">
        <w:t xml:space="preserve">   See the cases of </w:t>
      </w:r>
      <w:r w:rsidR="009D7581" w:rsidRPr="00E60D46">
        <w:rPr>
          <w:i/>
        </w:rPr>
        <w:t>Martin</w:t>
      </w:r>
      <w:r w:rsidR="00047A90" w:rsidRPr="00E60D46">
        <w:rPr>
          <w:i/>
        </w:rPr>
        <w:t xml:space="preserve"> v Attorney-General</w:t>
      </w:r>
      <w:r w:rsidR="009D7581" w:rsidRPr="00E60D46">
        <w:rPr>
          <w:i/>
        </w:rPr>
        <w:t xml:space="preserve"> supra</w:t>
      </w:r>
      <w:r w:rsidR="009D7581" w:rsidRPr="00E60D46">
        <w:t xml:space="preserve"> and </w:t>
      </w:r>
      <w:r w:rsidR="009D7581" w:rsidRPr="00E60D46">
        <w:rPr>
          <w:i/>
        </w:rPr>
        <w:t>Williams</w:t>
      </w:r>
      <w:r w:rsidR="00047A90" w:rsidRPr="00E60D46">
        <w:rPr>
          <w:i/>
        </w:rPr>
        <w:t xml:space="preserve"> and Ano</w:t>
      </w:r>
      <w:r w:rsidR="00996E69" w:rsidRPr="00E60D46">
        <w:rPr>
          <w:i/>
        </w:rPr>
        <w:t>r</w:t>
      </w:r>
      <w:r w:rsidR="00047A90" w:rsidRPr="00E60D46">
        <w:rPr>
          <w:i/>
        </w:rPr>
        <w:t xml:space="preserve"> v</w:t>
      </w:r>
      <w:r w:rsidR="009D7581" w:rsidRPr="00E60D46">
        <w:rPr>
          <w:i/>
        </w:rPr>
        <w:t xml:space="preserve"> </w:t>
      </w:r>
      <w:r w:rsidR="00047A90" w:rsidRPr="00E60D46">
        <w:rPr>
          <w:i/>
        </w:rPr>
        <w:t>Msipha N.O. and Ors</w:t>
      </w:r>
      <w:r w:rsidR="00047A90" w:rsidRPr="00E60D46">
        <w:t xml:space="preserve"> 2010 (1) ZLR 552 (S) at 572G-575G.   T</w:t>
      </w:r>
      <w:r w:rsidR="009D7581" w:rsidRPr="00E60D46">
        <w:t xml:space="preserve">hus, </w:t>
      </w:r>
      <w:r w:rsidR="009D7581" w:rsidRPr="00E60D46">
        <w:rPr>
          <w:i/>
        </w:rPr>
        <w:t>in cas</w:t>
      </w:r>
      <w:r w:rsidR="00836EF8" w:rsidRPr="00E60D46">
        <w:rPr>
          <w:i/>
        </w:rPr>
        <w:t>u</w:t>
      </w:r>
      <w:r w:rsidR="009D7581" w:rsidRPr="00E60D46">
        <w:t xml:space="preserve"> if </w:t>
      </w:r>
      <w:r w:rsidR="00836EF8" w:rsidRPr="00E60D46">
        <w:t xml:space="preserve">the evidence led by the State does not establish </w:t>
      </w:r>
      <w:r w:rsidR="00836EF8" w:rsidRPr="00E60D46">
        <w:rPr>
          <w:i/>
        </w:rPr>
        <w:t>prima facie</w:t>
      </w:r>
      <w:r w:rsidR="00836EF8" w:rsidRPr="00E60D46">
        <w:t xml:space="preserve"> </w:t>
      </w:r>
      <w:r w:rsidR="009D7581" w:rsidRPr="00E60D46">
        <w:t xml:space="preserve">any one of the </w:t>
      </w:r>
      <w:r w:rsidR="00836EF8" w:rsidRPr="00E60D46">
        <w:t xml:space="preserve">six </w:t>
      </w:r>
      <w:r w:rsidR="009D7581" w:rsidRPr="00E60D46">
        <w:t xml:space="preserve">essential elements </w:t>
      </w:r>
      <w:r w:rsidR="00836EF8" w:rsidRPr="00E60D46">
        <w:t>of the offence</w:t>
      </w:r>
      <w:r w:rsidR="009D7581" w:rsidRPr="00E60D46">
        <w:t xml:space="preserve"> the </w:t>
      </w:r>
      <w:r w:rsidR="00836EF8" w:rsidRPr="00E60D46">
        <w:t>applicant is entitled to the relief he seeks, the stay of prosecution</w:t>
      </w:r>
      <w:r w:rsidR="009D7581" w:rsidRPr="00E60D46">
        <w:t>.</w:t>
      </w:r>
    </w:p>
    <w:p w:rsidR="009D7581" w:rsidRPr="00E60D46" w:rsidRDefault="009D7581" w:rsidP="009D7581">
      <w:pPr>
        <w:pStyle w:val="NoSpacing"/>
        <w:spacing w:line="480" w:lineRule="auto"/>
        <w:jc w:val="both"/>
      </w:pPr>
    </w:p>
    <w:p w:rsidR="00757AE4" w:rsidRPr="00E60D46" w:rsidRDefault="00757AE4" w:rsidP="009D7581">
      <w:pPr>
        <w:pStyle w:val="NoSpacing"/>
        <w:spacing w:line="480" w:lineRule="auto"/>
        <w:jc w:val="both"/>
      </w:pPr>
      <w:r w:rsidRPr="00E60D46">
        <w:tab/>
      </w:r>
      <w:r w:rsidRPr="00E60D46">
        <w:tab/>
        <w:t>The following are the essential elements of the offence the applicant is charged with –</w:t>
      </w:r>
    </w:p>
    <w:p w:rsidR="00757AE4" w:rsidRPr="00E60D46" w:rsidRDefault="00757AE4" w:rsidP="00757AE4">
      <w:pPr>
        <w:pStyle w:val="NoSpacing"/>
        <w:jc w:val="both"/>
      </w:pPr>
    </w:p>
    <w:p w:rsidR="00757AE4" w:rsidRPr="00E60D46" w:rsidRDefault="00757AE4" w:rsidP="00757AE4">
      <w:pPr>
        <w:pStyle w:val="NoSpacing"/>
        <w:spacing w:line="480" w:lineRule="auto"/>
        <w:ind w:left="720"/>
        <w:jc w:val="both"/>
      </w:pPr>
      <w:r w:rsidRPr="00E60D46">
        <w:t>(a)</w:t>
      </w:r>
      <w:r w:rsidRPr="00E60D46">
        <w:tab/>
        <w:t xml:space="preserve">the accused must be </w:t>
      </w:r>
      <w:r w:rsidR="00146B74" w:rsidRPr="00E60D46">
        <w:t xml:space="preserve">a </w:t>
      </w:r>
      <w:r w:rsidRPr="00E60D46">
        <w:t>former owner or occupier;</w:t>
      </w:r>
    </w:p>
    <w:p w:rsidR="00757AE4" w:rsidRPr="00E60D46" w:rsidRDefault="00757AE4" w:rsidP="00757AE4">
      <w:pPr>
        <w:pStyle w:val="NoSpacing"/>
        <w:spacing w:line="480" w:lineRule="auto"/>
        <w:ind w:left="720"/>
        <w:jc w:val="both"/>
      </w:pPr>
      <w:r w:rsidRPr="00E60D46">
        <w:t>(b)</w:t>
      </w:r>
      <w:r w:rsidRPr="00E60D46">
        <w:tab/>
        <w:t>of gazetted land;</w:t>
      </w:r>
    </w:p>
    <w:p w:rsidR="00757AE4" w:rsidRPr="00E60D46" w:rsidRDefault="00757AE4" w:rsidP="00757AE4">
      <w:pPr>
        <w:pStyle w:val="NoSpacing"/>
        <w:spacing w:line="480" w:lineRule="auto"/>
        <w:ind w:left="720"/>
        <w:jc w:val="both"/>
      </w:pPr>
      <w:r w:rsidRPr="00E60D46">
        <w:t>(c)</w:t>
      </w:r>
      <w:r w:rsidRPr="00E60D46">
        <w:tab/>
      </w:r>
      <w:r w:rsidR="00146B74" w:rsidRPr="00E60D46">
        <w:t xml:space="preserve">who has not </w:t>
      </w:r>
      <w:r w:rsidRPr="00E60D46">
        <w:t>cease</w:t>
      </w:r>
      <w:r w:rsidR="00146B74" w:rsidRPr="00E60D46">
        <w:t>d</w:t>
      </w:r>
      <w:r w:rsidRPr="00E60D46">
        <w:t xml:space="preserve"> to occupy, hold or use that land;</w:t>
      </w:r>
    </w:p>
    <w:p w:rsidR="00757AE4" w:rsidRPr="00E60D46" w:rsidRDefault="00757AE4" w:rsidP="00757AE4">
      <w:pPr>
        <w:pStyle w:val="NoSpacing"/>
        <w:spacing w:line="480" w:lineRule="auto"/>
        <w:ind w:left="1440" w:hanging="720"/>
        <w:jc w:val="both"/>
      </w:pPr>
      <w:r w:rsidRPr="00E60D46">
        <w:t>(d)</w:t>
      </w:r>
      <w:r w:rsidRPr="00E60D46">
        <w:tab/>
        <w:t>after the expiry of the appropriate period referred to, which in the present case is forty-five days after the fixed date, being 4 February 2007;</w:t>
      </w:r>
      <w:r w:rsidR="00F57FC6" w:rsidRPr="00E60D46">
        <w:t xml:space="preserve"> and</w:t>
      </w:r>
    </w:p>
    <w:p w:rsidR="00757AE4" w:rsidRPr="00E60D46" w:rsidRDefault="00757AE4" w:rsidP="00757AE4">
      <w:pPr>
        <w:pStyle w:val="NoSpacing"/>
        <w:spacing w:line="480" w:lineRule="auto"/>
        <w:ind w:left="1440" w:hanging="720"/>
        <w:jc w:val="both"/>
      </w:pPr>
      <w:r w:rsidRPr="00E60D46">
        <w:lastRenderedPageBreak/>
        <w:t>(e)</w:t>
      </w:r>
      <w:r w:rsidRPr="00E60D46">
        <w:tab/>
      </w:r>
      <w:r w:rsidR="00F57FC6" w:rsidRPr="00E60D46">
        <w:t>ha</w:t>
      </w:r>
      <w:r w:rsidRPr="00E60D46">
        <w:t xml:space="preserve">s </w:t>
      </w:r>
      <w:r w:rsidR="00F57FC6" w:rsidRPr="00E60D46">
        <w:t xml:space="preserve">no </w:t>
      </w:r>
      <w:r w:rsidRPr="00E60D46">
        <w:t>lawful authori</w:t>
      </w:r>
      <w:r w:rsidR="00F57FC6" w:rsidRPr="00E60D46">
        <w:t>ty</w:t>
      </w:r>
      <w:r w:rsidRPr="00E60D46">
        <w:t xml:space="preserve"> to occupy or use that land.</w:t>
      </w:r>
    </w:p>
    <w:p w:rsidR="00AF285A" w:rsidRPr="00E60D46" w:rsidRDefault="00AF285A" w:rsidP="00AF285A">
      <w:pPr>
        <w:pStyle w:val="NoSpacing"/>
        <w:jc w:val="both"/>
      </w:pPr>
    </w:p>
    <w:p w:rsidR="00AF285A" w:rsidRPr="00E60D46" w:rsidRDefault="00AF285A" w:rsidP="00AF285A">
      <w:pPr>
        <w:pStyle w:val="NoSpacing"/>
        <w:spacing w:line="480" w:lineRule="auto"/>
        <w:jc w:val="both"/>
      </w:pPr>
      <w:r w:rsidRPr="00E60D46">
        <w:t>The applicant also submitted that the State had to disprove the applicant’s defence of a mistake of law.</w:t>
      </w:r>
    </w:p>
    <w:p w:rsidR="00757AE4" w:rsidRPr="00E60D46" w:rsidRDefault="00757AE4" w:rsidP="00757AE4">
      <w:pPr>
        <w:pStyle w:val="NoSpacing"/>
        <w:jc w:val="both"/>
      </w:pPr>
    </w:p>
    <w:p w:rsidR="00757AE4" w:rsidRPr="00E60D46" w:rsidRDefault="00757AE4" w:rsidP="009D7581">
      <w:pPr>
        <w:pStyle w:val="NoSpacing"/>
        <w:spacing w:line="480" w:lineRule="auto"/>
        <w:jc w:val="both"/>
      </w:pPr>
      <w:r w:rsidRPr="00E60D46">
        <w:t>I will deal with each essential element in turn -</w:t>
      </w:r>
    </w:p>
    <w:p w:rsidR="009D7581" w:rsidRPr="00E60D46" w:rsidRDefault="009D7581" w:rsidP="00757AE4">
      <w:pPr>
        <w:pStyle w:val="NoSpacing"/>
        <w:jc w:val="both"/>
      </w:pPr>
    </w:p>
    <w:p w:rsidR="00697ED6" w:rsidRPr="00E60D46" w:rsidRDefault="001A39AF" w:rsidP="00697ED6">
      <w:pPr>
        <w:pStyle w:val="NoSpacing"/>
        <w:spacing w:line="480" w:lineRule="auto"/>
        <w:jc w:val="both"/>
        <w:rPr>
          <w:b/>
          <w:u w:val="single"/>
        </w:rPr>
      </w:pPr>
      <w:r w:rsidRPr="00E60D46">
        <w:rPr>
          <w:b/>
          <w:u w:val="single"/>
        </w:rPr>
        <w:t xml:space="preserve">Is The Applicant </w:t>
      </w:r>
      <w:r w:rsidR="006045DF" w:rsidRPr="00E60D46">
        <w:rPr>
          <w:b/>
          <w:u w:val="single"/>
        </w:rPr>
        <w:t>A</w:t>
      </w:r>
      <w:r w:rsidR="00757AE4" w:rsidRPr="00E60D46">
        <w:rPr>
          <w:b/>
          <w:u w:val="single"/>
        </w:rPr>
        <w:t xml:space="preserve"> Former Owner </w:t>
      </w:r>
      <w:r w:rsidR="00B762C5" w:rsidRPr="00E60D46">
        <w:rPr>
          <w:b/>
          <w:u w:val="single"/>
        </w:rPr>
        <w:t>O</w:t>
      </w:r>
      <w:r w:rsidR="00757AE4" w:rsidRPr="00E60D46">
        <w:rPr>
          <w:b/>
          <w:u w:val="single"/>
        </w:rPr>
        <w:t>r Occupier</w:t>
      </w:r>
      <w:r w:rsidRPr="00E60D46">
        <w:rPr>
          <w:b/>
          <w:u w:val="single"/>
        </w:rPr>
        <w:t>?</w:t>
      </w:r>
    </w:p>
    <w:p w:rsidR="00697ED6" w:rsidRPr="00E60D46" w:rsidRDefault="00697ED6" w:rsidP="00757AE4">
      <w:pPr>
        <w:pStyle w:val="NoSpacing"/>
        <w:jc w:val="both"/>
      </w:pPr>
    </w:p>
    <w:p w:rsidR="00757AE4" w:rsidRPr="00E60D46" w:rsidRDefault="00757AE4" w:rsidP="00697ED6">
      <w:pPr>
        <w:pStyle w:val="NoSpacing"/>
        <w:spacing w:line="480" w:lineRule="auto"/>
        <w:jc w:val="both"/>
      </w:pPr>
      <w:r w:rsidRPr="00E60D46">
        <w:tab/>
        <w:t>The evidence or facts</w:t>
      </w:r>
      <w:r w:rsidR="00EB036B" w:rsidRPr="00E60D46">
        <w:t xml:space="preserve"> placed before the trial court clearly establish that the applicant carried out farming operations on the farm in question before and after the farm was acquired in terms of s 16B of the Constitution.   That evidence is clearly credible and is corroborated by the </w:t>
      </w:r>
      <w:r w:rsidR="0086751E" w:rsidRPr="00E60D46">
        <w:t xml:space="preserve">annexures attached to the applicant’s </w:t>
      </w:r>
      <w:r w:rsidR="00CE2A51" w:rsidRPr="00E60D46">
        <w:t>d</w:t>
      </w:r>
      <w:r w:rsidR="008A1AC0" w:rsidRPr="00E60D46">
        <w:t>efence outline</w:t>
      </w:r>
      <w:r w:rsidR="0086751E" w:rsidRPr="00E60D46">
        <w:t>.</w:t>
      </w:r>
      <w:r w:rsidR="00675A51" w:rsidRPr="00E60D46">
        <w:t xml:space="preserve">   The evidence before the court </w:t>
      </w:r>
      <w:r w:rsidR="00675A51" w:rsidRPr="00E60D46">
        <w:rPr>
          <w:i/>
        </w:rPr>
        <w:t>a quo</w:t>
      </w:r>
      <w:r w:rsidR="00675A51" w:rsidRPr="00E60D46">
        <w:t xml:space="preserve"> clearly establishes </w:t>
      </w:r>
      <w:r w:rsidR="00675A51" w:rsidRPr="00E60D46">
        <w:rPr>
          <w:i/>
        </w:rPr>
        <w:t>prima facie</w:t>
      </w:r>
      <w:r w:rsidR="006045DF" w:rsidRPr="00E60D46">
        <w:t>,</w:t>
      </w:r>
      <w:r w:rsidR="00675A51" w:rsidRPr="00E60D46">
        <w:t xml:space="preserve"> at the very least</w:t>
      </w:r>
      <w:r w:rsidR="006045DF" w:rsidRPr="00E60D46">
        <w:t>,</w:t>
      </w:r>
      <w:r w:rsidR="00675A51" w:rsidRPr="00E60D46">
        <w:t xml:space="preserve"> that the applicant is a former occupier of the farm.</w:t>
      </w:r>
    </w:p>
    <w:p w:rsidR="0086751E" w:rsidRPr="00E60D46" w:rsidRDefault="0086751E" w:rsidP="0086751E">
      <w:pPr>
        <w:pStyle w:val="NoSpacing"/>
        <w:jc w:val="both"/>
      </w:pPr>
    </w:p>
    <w:p w:rsidR="0086751E" w:rsidRPr="00E60D46" w:rsidRDefault="006045DF" w:rsidP="0086751E">
      <w:pPr>
        <w:pStyle w:val="NoSpacing"/>
        <w:spacing w:line="480" w:lineRule="auto"/>
        <w:jc w:val="both"/>
      </w:pPr>
      <w:r w:rsidRPr="00E60D46">
        <w:rPr>
          <w:b/>
          <w:u w:val="single"/>
        </w:rPr>
        <w:t xml:space="preserve">Is the Farm </w:t>
      </w:r>
      <w:r w:rsidR="0086751E" w:rsidRPr="00E60D46">
        <w:rPr>
          <w:b/>
          <w:u w:val="single"/>
        </w:rPr>
        <w:t>Gazetted Land</w:t>
      </w:r>
      <w:r w:rsidRPr="00E60D46">
        <w:rPr>
          <w:b/>
          <w:u w:val="single"/>
        </w:rPr>
        <w:t>?</w:t>
      </w:r>
    </w:p>
    <w:p w:rsidR="0086751E" w:rsidRPr="00E60D46" w:rsidRDefault="0086751E" w:rsidP="0086751E">
      <w:pPr>
        <w:pStyle w:val="NoSpacing"/>
        <w:jc w:val="both"/>
      </w:pPr>
    </w:p>
    <w:p w:rsidR="0086751E" w:rsidRPr="00E60D46" w:rsidRDefault="0086751E" w:rsidP="0086751E">
      <w:pPr>
        <w:pStyle w:val="NoSpacing"/>
        <w:spacing w:line="480" w:lineRule="auto"/>
        <w:jc w:val="both"/>
      </w:pPr>
      <w:r w:rsidRPr="00E60D46">
        <w:tab/>
      </w:r>
      <w:r w:rsidRPr="00E60D46">
        <w:tab/>
        <w:t xml:space="preserve">The evidence that the farm was acquired in terms of s 16B of the Constitution </w:t>
      </w:r>
      <w:r w:rsidR="00930DAB" w:rsidRPr="00E60D46">
        <w:t>ad</w:t>
      </w:r>
      <w:r w:rsidRPr="00E60D46">
        <w:t>mits of no debate.   The G</w:t>
      </w:r>
      <w:r w:rsidRPr="00E60D46">
        <w:rPr>
          <w:i/>
        </w:rPr>
        <w:t>overnment Gazette Extraordinary</w:t>
      </w:r>
      <w:r w:rsidRPr="00E60D46">
        <w:t xml:space="preserve"> dated 22 February 2002, attached to the applicant’s Defence Outline, clearly shows that the farm is one of those farms acquired by the State in terms of Constitution</w:t>
      </w:r>
      <w:r w:rsidR="009C5B8F" w:rsidRPr="00E60D46">
        <w:t xml:space="preserve"> of Zimbabwe</w:t>
      </w:r>
      <w:r w:rsidRPr="00E60D46">
        <w:t xml:space="preserve"> Amendment </w:t>
      </w:r>
      <w:r w:rsidR="009C5B8F" w:rsidRPr="00E60D46">
        <w:t>(</w:t>
      </w:r>
      <w:r w:rsidRPr="00E60D46">
        <w:t>No. 17</w:t>
      </w:r>
      <w:r w:rsidR="009C5B8F" w:rsidRPr="00E60D46">
        <w:t>) Act, 2005, which came into effect on 28 December 2006.</w:t>
      </w:r>
      <w:r w:rsidR="005326C8" w:rsidRPr="00E60D46">
        <w:t xml:space="preserve">   Accordingly, the farm is indeed gazetted land and the evidence to that effect is beyond dispute.</w:t>
      </w:r>
      <w:r w:rsidR="00930DAB" w:rsidRPr="00E60D46">
        <w:t xml:space="preserve">   The submission that the acquisition </w:t>
      </w:r>
      <w:r w:rsidR="009C7BF7" w:rsidRPr="00E60D46">
        <w:t xml:space="preserve">is unlawful because it was declared unlawful by the SADC Tribunal </w:t>
      </w:r>
      <w:r w:rsidR="00930DAB" w:rsidRPr="00E60D46">
        <w:t xml:space="preserve">flies in the face of this Court’s decision in </w:t>
      </w:r>
      <w:r w:rsidR="00930DAB" w:rsidRPr="00E60D46">
        <w:rPr>
          <w:i/>
        </w:rPr>
        <w:t>Commercial Farmers</w:t>
      </w:r>
      <w:r w:rsidR="009C7BF7" w:rsidRPr="00E60D46">
        <w:rPr>
          <w:i/>
        </w:rPr>
        <w:t>’ Union and Ors v Minister of Lands and Rural Resettlement and Ors</w:t>
      </w:r>
      <w:r w:rsidR="009C7BF7" w:rsidRPr="00E60D46">
        <w:t xml:space="preserve"> SC 31/10.   It is a mischievous submission not worthy of any further comment.</w:t>
      </w:r>
    </w:p>
    <w:p w:rsidR="005326C8" w:rsidRPr="00E60D46" w:rsidRDefault="005326C8" w:rsidP="00B21215">
      <w:pPr>
        <w:pStyle w:val="NoSpacing"/>
        <w:jc w:val="both"/>
      </w:pPr>
    </w:p>
    <w:p w:rsidR="005326C8" w:rsidRPr="00E60D46" w:rsidRDefault="00B21215" w:rsidP="0086751E">
      <w:pPr>
        <w:pStyle w:val="NoSpacing"/>
        <w:spacing w:line="480" w:lineRule="auto"/>
        <w:jc w:val="both"/>
        <w:rPr>
          <w:b/>
          <w:u w:val="single"/>
        </w:rPr>
      </w:pPr>
      <w:r w:rsidRPr="00E60D46">
        <w:rPr>
          <w:b/>
          <w:u w:val="single"/>
        </w:rPr>
        <w:t xml:space="preserve">The </w:t>
      </w:r>
      <w:r w:rsidR="00B41E37" w:rsidRPr="00E60D46">
        <w:rPr>
          <w:b/>
          <w:u w:val="single"/>
        </w:rPr>
        <w:t>Applicant</w:t>
      </w:r>
      <w:r w:rsidR="00643E7A" w:rsidRPr="00E60D46">
        <w:rPr>
          <w:b/>
          <w:u w:val="single"/>
        </w:rPr>
        <w:t>’s</w:t>
      </w:r>
      <w:r w:rsidRPr="00E60D46">
        <w:rPr>
          <w:b/>
          <w:u w:val="single"/>
        </w:rPr>
        <w:t xml:space="preserve"> </w:t>
      </w:r>
      <w:r w:rsidR="00643E7A" w:rsidRPr="00E60D46">
        <w:rPr>
          <w:b/>
          <w:u w:val="single"/>
        </w:rPr>
        <w:t>Failure To</w:t>
      </w:r>
      <w:r w:rsidRPr="00E60D46">
        <w:rPr>
          <w:b/>
          <w:u w:val="single"/>
        </w:rPr>
        <w:t xml:space="preserve"> Cease To Occupy, Hold Or Use The Land</w:t>
      </w:r>
    </w:p>
    <w:p w:rsidR="0086751E" w:rsidRPr="00E60D46" w:rsidRDefault="0086751E" w:rsidP="00B21215">
      <w:pPr>
        <w:pStyle w:val="NoSpacing"/>
        <w:jc w:val="both"/>
      </w:pPr>
    </w:p>
    <w:p w:rsidR="00B21215" w:rsidRPr="00E60D46" w:rsidRDefault="00B21215" w:rsidP="00697ED6">
      <w:pPr>
        <w:pStyle w:val="NoSpacing"/>
        <w:spacing w:line="480" w:lineRule="auto"/>
        <w:jc w:val="both"/>
      </w:pPr>
      <w:r w:rsidRPr="00E60D46">
        <w:tab/>
      </w:r>
      <w:r w:rsidRPr="00E60D46">
        <w:tab/>
        <w:t>Again, the evidence of the two State witnesses is that the applicant used the land before its acquisition in terms of s 16B of the Constitution and is occupying and running farming operations on the farm to date.   It is quite clear from this evidence</w:t>
      </w:r>
      <w:r w:rsidR="00B762C5" w:rsidRPr="00E60D46">
        <w:t xml:space="preserve"> that the applicant has not ceased to occupy, hold or use the farm.</w:t>
      </w:r>
      <w:r w:rsidR="0040507F" w:rsidRPr="00E60D46">
        <w:t xml:space="preserve">   Again, the evidence that the applicant is still in occupation of the farm is overwhelming.</w:t>
      </w:r>
    </w:p>
    <w:p w:rsidR="00B762C5" w:rsidRPr="00E60D46" w:rsidRDefault="00B762C5" w:rsidP="00B762C5">
      <w:pPr>
        <w:pStyle w:val="NoSpacing"/>
        <w:jc w:val="both"/>
      </w:pPr>
    </w:p>
    <w:p w:rsidR="00B762C5" w:rsidRPr="00E60D46" w:rsidRDefault="006045DF" w:rsidP="00B762C5">
      <w:pPr>
        <w:pStyle w:val="NoSpacing"/>
        <w:spacing w:line="480" w:lineRule="auto"/>
        <w:jc w:val="both"/>
        <w:rPr>
          <w:b/>
          <w:u w:val="single"/>
        </w:rPr>
      </w:pPr>
      <w:r w:rsidRPr="00E60D46">
        <w:rPr>
          <w:b/>
          <w:u w:val="single"/>
        </w:rPr>
        <w:t xml:space="preserve">Is The Applicant In Occupation </w:t>
      </w:r>
      <w:r w:rsidR="00B762C5" w:rsidRPr="00E60D46">
        <w:rPr>
          <w:b/>
          <w:u w:val="single"/>
        </w:rPr>
        <w:t>After The Expiry Of The Appropriate Period Referred To, Which In The Present Case Is Forty-Five Days After The Fixed Date, Being 4 February 2007</w:t>
      </w:r>
      <w:r w:rsidRPr="00E60D46">
        <w:rPr>
          <w:b/>
          <w:u w:val="single"/>
        </w:rPr>
        <w:t>?</w:t>
      </w:r>
    </w:p>
    <w:p w:rsidR="00B762C5" w:rsidRPr="00E60D46" w:rsidRDefault="00B762C5" w:rsidP="00B762C5">
      <w:pPr>
        <w:pStyle w:val="NoSpacing"/>
        <w:jc w:val="both"/>
      </w:pPr>
    </w:p>
    <w:p w:rsidR="00B762C5" w:rsidRPr="00E60D46" w:rsidRDefault="00332B07" w:rsidP="00697ED6">
      <w:pPr>
        <w:pStyle w:val="NoSpacing"/>
        <w:spacing w:line="480" w:lineRule="auto"/>
        <w:jc w:val="both"/>
      </w:pPr>
      <w:r w:rsidRPr="00E60D46">
        <w:tab/>
      </w:r>
      <w:r w:rsidRPr="00E60D46">
        <w:tab/>
        <w:t>As I have stated, the applicant, according to the evidence of the two State witnesses, is still occupying and running farming operations on the farm to date.   Forty-five days have since expired</w:t>
      </w:r>
      <w:r w:rsidR="0040507F" w:rsidRPr="00E60D46">
        <w:t>.   The applicant should have vacated the farm</w:t>
      </w:r>
      <w:r w:rsidRPr="00E60D46">
        <w:t xml:space="preserve"> </w:t>
      </w:r>
      <w:r w:rsidR="0040507F" w:rsidRPr="00E60D46">
        <w:t>forty-five days after the date of the acquisition of the farm</w:t>
      </w:r>
      <w:r w:rsidRPr="00E60D46">
        <w:t>.</w:t>
      </w:r>
    </w:p>
    <w:p w:rsidR="00332B07" w:rsidRPr="00E60D46" w:rsidRDefault="00332B07" w:rsidP="00697ED6">
      <w:pPr>
        <w:pStyle w:val="NoSpacing"/>
        <w:spacing w:line="480" w:lineRule="auto"/>
        <w:jc w:val="both"/>
      </w:pPr>
    </w:p>
    <w:p w:rsidR="00332B07" w:rsidRPr="00E60D46" w:rsidRDefault="00332B07" w:rsidP="00697ED6">
      <w:pPr>
        <w:pStyle w:val="NoSpacing"/>
        <w:spacing w:line="480" w:lineRule="auto"/>
        <w:jc w:val="both"/>
      </w:pPr>
      <w:r w:rsidRPr="00E60D46">
        <w:tab/>
      </w:r>
      <w:r w:rsidRPr="00E60D46">
        <w:tab/>
        <w:t xml:space="preserve">It was submitted that the applicant was permitted to complete his harvest </w:t>
      </w:r>
      <w:r w:rsidR="006045DF" w:rsidRPr="00E60D46">
        <w:t>and thus</w:t>
      </w:r>
      <w:r w:rsidRPr="00E60D46">
        <w:t xml:space="preserve"> authori</w:t>
      </w:r>
      <w:r w:rsidR="006045DF" w:rsidRPr="00E60D46">
        <w:t>sed</w:t>
      </w:r>
      <w:r w:rsidRPr="00E60D46">
        <w:t xml:space="preserve"> to occupy the farm beyond the </w:t>
      </w:r>
      <w:r w:rsidR="006045DF" w:rsidRPr="00E60D46">
        <w:t xml:space="preserve">prescribed </w:t>
      </w:r>
      <w:r w:rsidRPr="00E60D46">
        <w:t>forty-five days, and there</w:t>
      </w:r>
      <w:r w:rsidR="006045DF" w:rsidRPr="00E60D46">
        <w:t>after the</w:t>
      </w:r>
      <w:r w:rsidRPr="00E60D46">
        <w:t xml:space="preserve"> law </w:t>
      </w:r>
      <w:r w:rsidR="006045DF" w:rsidRPr="00E60D46">
        <w:t>does not prescribe the period</w:t>
      </w:r>
      <w:r w:rsidRPr="00E60D46">
        <w:t xml:space="preserve"> to cease occup</w:t>
      </w:r>
      <w:r w:rsidR="006045DF" w:rsidRPr="00E60D46">
        <w:t>ation</w:t>
      </w:r>
      <w:r w:rsidRPr="00E60D46">
        <w:t xml:space="preserve"> </w:t>
      </w:r>
      <w:r w:rsidR="006045DF" w:rsidRPr="00E60D46">
        <w:t>beyond</w:t>
      </w:r>
      <w:r w:rsidRPr="00E60D46">
        <w:t xml:space="preserve"> the extended period.</w:t>
      </w:r>
    </w:p>
    <w:p w:rsidR="00332B07" w:rsidRPr="00E60D46" w:rsidRDefault="00332B07" w:rsidP="00697ED6">
      <w:pPr>
        <w:pStyle w:val="NoSpacing"/>
        <w:spacing w:line="480" w:lineRule="auto"/>
        <w:jc w:val="both"/>
      </w:pPr>
    </w:p>
    <w:p w:rsidR="00332B07" w:rsidRPr="00E60D46" w:rsidRDefault="00332B07" w:rsidP="00697ED6">
      <w:pPr>
        <w:pStyle w:val="NoSpacing"/>
        <w:spacing w:line="480" w:lineRule="auto"/>
        <w:jc w:val="both"/>
      </w:pPr>
      <w:r w:rsidRPr="00E60D46">
        <w:tab/>
      </w:r>
      <w:r w:rsidRPr="00E60D46">
        <w:tab/>
      </w:r>
      <w:r w:rsidR="00122213" w:rsidRPr="00E60D46">
        <w:t>T</w:t>
      </w:r>
      <w:r w:rsidR="00867689" w:rsidRPr="00E60D46">
        <w:t xml:space="preserve">he submission that a former occupier, who is permitted to stay on </w:t>
      </w:r>
      <w:r w:rsidR="00114B1D" w:rsidRPr="00E60D46">
        <w:t>gazetted land</w:t>
      </w:r>
      <w:r w:rsidR="00867689" w:rsidRPr="00E60D46">
        <w:t xml:space="preserve"> for a period beyond the forty-five days prescribed by the Act </w:t>
      </w:r>
      <w:r w:rsidR="00122213" w:rsidRPr="00E60D46">
        <w:t xml:space="preserve">to enable </w:t>
      </w:r>
      <w:r w:rsidR="001A3927" w:rsidRPr="00E60D46">
        <w:t>such</w:t>
      </w:r>
      <w:r w:rsidR="00122213" w:rsidRPr="00E60D46">
        <w:t xml:space="preserve"> occupier to complete harvesting, who overstays that permitted period </w:t>
      </w:r>
      <w:r w:rsidR="00867689" w:rsidRPr="00E60D46">
        <w:t xml:space="preserve">does not </w:t>
      </w:r>
      <w:r w:rsidR="001A3927" w:rsidRPr="00E60D46">
        <w:t>contravene s 3 of the Act</w:t>
      </w:r>
      <w:r w:rsidR="00204B56" w:rsidRPr="00E60D46">
        <w:t xml:space="preserve"> </w:t>
      </w:r>
      <w:r w:rsidR="00867689" w:rsidRPr="00E60D46">
        <w:t xml:space="preserve">is </w:t>
      </w:r>
      <w:r w:rsidR="00BE5596" w:rsidRPr="00E60D46">
        <w:t>puerile</w:t>
      </w:r>
      <w:r w:rsidRPr="00E60D46">
        <w:t>.  I</w:t>
      </w:r>
      <w:r w:rsidR="00122213" w:rsidRPr="00E60D46">
        <w:t>t does not merit serious consideration.   I</w:t>
      </w:r>
      <w:r w:rsidRPr="00E60D46">
        <w:t xml:space="preserve"> shall revert to this submission when I deal with the issue of the definition of “lawful authority”</w:t>
      </w:r>
      <w:r w:rsidR="00D71D06" w:rsidRPr="00E60D46">
        <w:t xml:space="preserve"> </w:t>
      </w:r>
      <w:r w:rsidR="00BE5596" w:rsidRPr="00E60D46">
        <w:t>later in this judgment</w:t>
      </w:r>
      <w:r w:rsidRPr="00E60D46">
        <w:t>.</w:t>
      </w:r>
    </w:p>
    <w:p w:rsidR="00D71D06" w:rsidRPr="00E60D46" w:rsidRDefault="00D71D06" w:rsidP="00D71D06">
      <w:pPr>
        <w:pStyle w:val="NoSpacing"/>
        <w:jc w:val="both"/>
      </w:pPr>
    </w:p>
    <w:p w:rsidR="00D71D06" w:rsidRPr="00E60D46" w:rsidRDefault="001A3927" w:rsidP="00D71D06">
      <w:pPr>
        <w:pStyle w:val="NoSpacing"/>
        <w:spacing w:line="480" w:lineRule="auto"/>
        <w:jc w:val="both"/>
        <w:rPr>
          <w:b/>
          <w:u w:val="single"/>
        </w:rPr>
      </w:pPr>
      <w:r w:rsidRPr="00E60D46">
        <w:rPr>
          <w:b/>
          <w:u w:val="single"/>
        </w:rPr>
        <w:t>Did The Applicant As</w:t>
      </w:r>
      <w:r w:rsidR="00D71D06" w:rsidRPr="00E60D46">
        <w:rPr>
          <w:b/>
          <w:u w:val="single"/>
        </w:rPr>
        <w:t xml:space="preserve"> Former Occupier </w:t>
      </w:r>
      <w:r w:rsidRPr="00E60D46">
        <w:rPr>
          <w:b/>
          <w:u w:val="single"/>
        </w:rPr>
        <w:t>Have</w:t>
      </w:r>
      <w:r w:rsidR="00D71D06" w:rsidRPr="00E60D46">
        <w:rPr>
          <w:b/>
          <w:u w:val="single"/>
        </w:rPr>
        <w:t xml:space="preserve"> Lawful Authori</w:t>
      </w:r>
      <w:r w:rsidR="00FE7BE5" w:rsidRPr="00E60D46">
        <w:rPr>
          <w:b/>
          <w:u w:val="single"/>
        </w:rPr>
        <w:t>ty</w:t>
      </w:r>
      <w:r w:rsidR="00D71D06" w:rsidRPr="00E60D46">
        <w:rPr>
          <w:b/>
          <w:u w:val="single"/>
        </w:rPr>
        <w:t xml:space="preserve"> To Occupy, Hold Or Use That Land</w:t>
      </w:r>
      <w:r w:rsidR="00170505" w:rsidRPr="00E60D46">
        <w:rPr>
          <w:b/>
          <w:u w:val="single"/>
        </w:rPr>
        <w:t>?</w:t>
      </w:r>
    </w:p>
    <w:p w:rsidR="00D71D06" w:rsidRPr="00E60D46" w:rsidRDefault="00D71D06" w:rsidP="00D71D06">
      <w:pPr>
        <w:pStyle w:val="NoSpacing"/>
        <w:jc w:val="both"/>
        <w:rPr>
          <w:b/>
          <w:u w:val="single"/>
        </w:rPr>
      </w:pPr>
    </w:p>
    <w:p w:rsidR="00D71D06" w:rsidRPr="00E60D46" w:rsidRDefault="00D90777" w:rsidP="00D71D06">
      <w:pPr>
        <w:pStyle w:val="NoSpacing"/>
        <w:spacing w:line="480" w:lineRule="auto"/>
        <w:jc w:val="both"/>
      </w:pPr>
      <w:r w:rsidRPr="00E60D46">
        <w:tab/>
      </w:r>
      <w:r w:rsidRPr="00E60D46">
        <w:tab/>
      </w:r>
      <w:r w:rsidR="0070210B" w:rsidRPr="00E60D46">
        <w:t>T</w:t>
      </w:r>
      <w:r w:rsidRPr="00E60D46">
        <w:t xml:space="preserve">he applicant </w:t>
      </w:r>
      <w:r w:rsidR="0070210B" w:rsidRPr="00E60D46">
        <w:t xml:space="preserve">contends </w:t>
      </w:r>
      <w:r w:rsidRPr="00E60D46">
        <w:t xml:space="preserve">that the letters from the late Vice President Msika and from the Ministry of Lands, Land Reform and Resettlement </w:t>
      </w:r>
      <w:r w:rsidR="0070210B" w:rsidRPr="00E60D46">
        <w:t xml:space="preserve">are </w:t>
      </w:r>
      <w:r w:rsidR="00A32203" w:rsidRPr="00E60D46">
        <w:t>“lawful</w:t>
      </w:r>
      <w:r w:rsidR="0070210B" w:rsidRPr="00E60D46">
        <w:t xml:space="preserve"> authority</w:t>
      </w:r>
      <w:r w:rsidR="00A32203" w:rsidRPr="00E60D46">
        <w:t>”</w:t>
      </w:r>
      <w:r w:rsidR="0070210B" w:rsidRPr="00E60D46">
        <w:t xml:space="preserve"> </w:t>
      </w:r>
      <w:r w:rsidR="00A32203" w:rsidRPr="00E60D46">
        <w:t>entitling</w:t>
      </w:r>
      <w:r w:rsidR="0070210B" w:rsidRPr="00E60D46">
        <w:t xml:space="preserve"> him to remain on the </w:t>
      </w:r>
      <w:r w:rsidR="00A32203" w:rsidRPr="00E60D46">
        <w:t>gazetted land</w:t>
      </w:r>
      <w:r w:rsidR="0070210B" w:rsidRPr="00E60D46">
        <w:t xml:space="preserve">.   </w:t>
      </w:r>
      <w:r w:rsidRPr="00E60D46">
        <w:t xml:space="preserve">I am </w:t>
      </w:r>
      <w:r w:rsidR="0070210B" w:rsidRPr="00E60D46">
        <w:t>not persuaded by this argument</w:t>
      </w:r>
      <w:r w:rsidRPr="00E60D46">
        <w:t xml:space="preserve">.   </w:t>
      </w:r>
      <w:r w:rsidR="000036D4" w:rsidRPr="00E60D46">
        <w:t xml:space="preserve">The letters from the late Vice President do not constitute “lawful authority” in terms of the Act.   </w:t>
      </w:r>
      <w:r w:rsidRPr="00E60D46">
        <w:t>I shall</w:t>
      </w:r>
      <w:r w:rsidR="00A32203" w:rsidRPr="00E60D46">
        <w:t xml:space="preserve"> deal</w:t>
      </w:r>
      <w:r w:rsidRPr="00E60D46">
        <w:t xml:space="preserve"> </w:t>
      </w:r>
      <w:r w:rsidR="00C971CF" w:rsidRPr="00E60D46">
        <w:t xml:space="preserve">with this submission in some detail when I deal with </w:t>
      </w:r>
      <w:r w:rsidRPr="00E60D46">
        <w:t>th</w:t>
      </w:r>
      <w:r w:rsidR="00C971CF" w:rsidRPr="00E60D46">
        <w:t>e</w:t>
      </w:r>
      <w:r w:rsidRPr="00E60D46">
        <w:t xml:space="preserve"> issue </w:t>
      </w:r>
      <w:r w:rsidR="00C971CF" w:rsidRPr="00E60D46">
        <w:t xml:space="preserve">of what constitutes “lawful authority” </w:t>
      </w:r>
      <w:r w:rsidR="000036D4" w:rsidRPr="00E60D46">
        <w:t>later in this judgment</w:t>
      </w:r>
      <w:r w:rsidRPr="00E60D46">
        <w:t>.</w:t>
      </w:r>
    </w:p>
    <w:p w:rsidR="00D90777" w:rsidRPr="00E60D46" w:rsidRDefault="00D90777" w:rsidP="00D90777">
      <w:pPr>
        <w:pStyle w:val="NoSpacing"/>
        <w:jc w:val="both"/>
      </w:pPr>
    </w:p>
    <w:p w:rsidR="00AF285A" w:rsidRPr="00E60D46" w:rsidRDefault="00AF285A" w:rsidP="00AF285A">
      <w:pPr>
        <w:pStyle w:val="NoSpacing"/>
        <w:spacing w:line="480" w:lineRule="auto"/>
        <w:jc w:val="both"/>
        <w:rPr>
          <w:b/>
        </w:rPr>
      </w:pPr>
      <w:r w:rsidRPr="00E60D46">
        <w:rPr>
          <w:b/>
          <w:u w:val="single"/>
        </w:rPr>
        <w:t>The Applicant’s Defence Of A Mistake Of Law</w:t>
      </w:r>
    </w:p>
    <w:p w:rsidR="00AF285A" w:rsidRPr="00E60D46" w:rsidRDefault="00AF285A" w:rsidP="00D90777">
      <w:pPr>
        <w:pStyle w:val="NoSpacing"/>
        <w:jc w:val="both"/>
      </w:pPr>
    </w:p>
    <w:p w:rsidR="00544EBE" w:rsidRPr="00E60D46" w:rsidRDefault="008B2398" w:rsidP="008B2398">
      <w:pPr>
        <w:pStyle w:val="NoSpacing"/>
        <w:spacing w:line="480" w:lineRule="auto"/>
        <w:jc w:val="both"/>
      </w:pPr>
      <w:r w:rsidRPr="00E60D46">
        <w:tab/>
      </w:r>
      <w:r w:rsidRPr="00E60D46">
        <w:tab/>
        <w:t xml:space="preserve">The applicant’s defence of a mistake of law is frivolous and vexatious.   If the applicant was serious about this defence, he would </w:t>
      </w:r>
      <w:r w:rsidR="002C429A" w:rsidRPr="00E60D46">
        <w:t>have left the farm when he was charged.   The fact that the applicant is still occupying the farm makes nonsense of this defence.</w:t>
      </w:r>
    </w:p>
    <w:p w:rsidR="00544EBE" w:rsidRPr="00E60D46" w:rsidRDefault="00544EBE" w:rsidP="00D90777">
      <w:pPr>
        <w:pStyle w:val="NoSpacing"/>
        <w:jc w:val="both"/>
      </w:pPr>
    </w:p>
    <w:p w:rsidR="00D71D06" w:rsidRPr="00E60D46" w:rsidRDefault="00D90777" w:rsidP="00697ED6">
      <w:pPr>
        <w:pStyle w:val="NoSpacing"/>
        <w:spacing w:line="480" w:lineRule="auto"/>
        <w:jc w:val="both"/>
        <w:rPr>
          <w:b/>
        </w:rPr>
      </w:pPr>
      <w:r w:rsidRPr="00E60D46">
        <w:rPr>
          <w:b/>
          <w:u w:val="single"/>
        </w:rPr>
        <w:t xml:space="preserve">Is The Definition of “Lawful Authority” Contained In the Act </w:t>
      </w:r>
      <w:r w:rsidRPr="00E60D46">
        <w:rPr>
          <w:b/>
          <w:i/>
          <w:u w:val="single"/>
        </w:rPr>
        <w:t>Ultra Vires</w:t>
      </w:r>
      <w:r w:rsidRPr="00E60D46">
        <w:rPr>
          <w:b/>
          <w:u w:val="single"/>
        </w:rPr>
        <w:t xml:space="preserve"> the Constitution</w:t>
      </w:r>
      <w:r w:rsidRPr="00E60D46">
        <w:rPr>
          <w:b/>
        </w:rPr>
        <w:t>?</w:t>
      </w:r>
    </w:p>
    <w:p w:rsidR="00D90777" w:rsidRPr="00E60D46" w:rsidRDefault="00D90777" w:rsidP="00D90777">
      <w:pPr>
        <w:pStyle w:val="NoSpacing"/>
        <w:jc w:val="both"/>
        <w:rPr>
          <w:b/>
        </w:rPr>
      </w:pPr>
    </w:p>
    <w:p w:rsidR="00D90777" w:rsidRPr="00E60D46" w:rsidRDefault="00D90777" w:rsidP="00697ED6">
      <w:pPr>
        <w:pStyle w:val="NoSpacing"/>
        <w:spacing w:line="480" w:lineRule="auto"/>
        <w:jc w:val="both"/>
      </w:pPr>
      <w:r w:rsidRPr="00E60D46">
        <w:tab/>
      </w:r>
      <w:r w:rsidRPr="00E60D46">
        <w:tab/>
      </w:r>
      <w:r w:rsidR="002C429A" w:rsidRPr="00E60D46">
        <w:t>In my view, the definition of “lawful authority” in</w:t>
      </w:r>
      <w:r w:rsidR="00B20E43" w:rsidRPr="00E60D46">
        <w:t xml:space="preserve"> s 2 of</w:t>
      </w:r>
      <w:r w:rsidR="002C429A" w:rsidRPr="00E60D46">
        <w:t xml:space="preserve"> the Act is </w:t>
      </w:r>
      <w:r w:rsidR="002C429A" w:rsidRPr="00E60D46">
        <w:rPr>
          <w:i/>
        </w:rPr>
        <w:t>intra vires</w:t>
      </w:r>
      <w:r w:rsidR="002C429A" w:rsidRPr="00E60D46">
        <w:t xml:space="preserve"> s 16B(6) of the Constitution.   </w:t>
      </w:r>
      <w:r w:rsidRPr="00E60D46">
        <w:t>Again I propose to deal</w:t>
      </w:r>
      <w:r w:rsidR="00855910" w:rsidRPr="00E60D46">
        <w:t xml:space="preserve"> with</w:t>
      </w:r>
      <w:r w:rsidRPr="00E60D46">
        <w:t xml:space="preserve"> </w:t>
      </w:r>
      <w:r w:rsidR="0028089C" w:rsidRPr="00E60D46">
        <w:t xml:space="preserve">this issue </w:t>
      </w:r>
      <w:r w:rsidRPr="00E60D46">
        <w:t>when I deal with the issue of the meaning to be ascribed to s</w:t>
      </w:r>
      <w:r w:rsidR="00CB20FA" w:rsidRPr="00E60D46">
        <w:t> 2</w:t>
      </w:r>
      <w:r w:rsidRPr="00E60D46">
        <w:t xml:space="preserve"> of the Act</w:t>
      </w:r>
      <w:r w:rsidR="0028089C" w:rsidRPr="00E60D46">
        <w:t>, which defines what constitutes “lawful authority”.</w:t>
      </w:r>
    </w:p>
    <w:p w:rsidR="00D90777" w:rsidRPr="00E60D46" w:rsidRDefault="00D90777" w:rsidP="00697ED6">
      <w:pPr>
        <w:pStyle w:val="NoSpacing"/>
        <w:spacing w:line="480" w:lineRule="auto"/>
        <w:jc w:val="both"/>
      </w:pPr>
    </w:p>
    <w:p w:rsidR="002C429A" w:rsidRPr="00E60D46" w:rsidRDefault="00D90777" w:rsidP="00697ED6">
      <w:pPr>
        <w:pStyle w:val="NoSpacing"/>
        <w:spacing w:line="480" w:lineRule="auto"/>
        <w:jc w:val="both"/>
      </w:pPr>
      <w:r w:rsidRPr="00E60D46">
        <w:tab/>
      </w:r>
      <w:r w:rsidRPr="00E60D46">
        <w:tab/>
        <w:t>I</w:t>
      </w:r>
      <w:r w:rsidR="002C429A" w:rsidRPr="00E60D46">
        <w:t xml:space="preserve"> am satisfied</w:t>
      </w:r>
      <w:r w:rsidRPr="00E60D46">
        <w:t xml:space="preserve"> that at the close of the State case </w:t>
      </w:r>
      <w:r w:rsidR="002C429A" w:rsidRPr="00E60D46">
        <w:t xml:space="preserve">there was before the court enough evidence to put </w:t>
      </w:r>
      <w:r w:rsidRPr="00E60D46">
        <w:t>the applicant</w:t>
      </w:r>
      <w:r w:rsidR="00C908A0" w:rsidRPr="00E60D46">
        <w:t xml:space="preserve"> on his defence</w:t>
      </w:r>
      <w:r w:rsidR="002C429A" w:rsidRPr="00E60D46">
        <w:t>.</w:t>
      </w:r>
    </w:p>
    <w:p w:rsidR="00C908A0" w:rsidRPr="00E60D46" w:rsidRDefault="002C429A" w:rsidP="00697ED6">
      <w:pPr>
        <w:pStyle w:val="NoSpacing"/>
        <w:spacing w:line="480" w:lineRule="auto"/>
        <w:jc w:val="both"/>
      </w:pPr>
      <w:r w:rsidRPr="00E60D46">
        <w:t xml:space="preserve"> </w:t>
      </w:r>
    </w:p>
    <w:p w:rsidR="00C908A0" w:rsidRPr="00E60D46" w:rsidRDefault="00C908A0" w:rsidP="00697ED6">
      <w:pPr>
        <w:pStyle w:val="NoSpacing"/>
        <w:spacing w:line="480" w:lineRule="auto"/>
        <w:jc w:val="both"/>
      </w:pPr>
      <w:r w:rsidRPr="00E60D46">
        <w:lastRenderedPageBreak/>
        <w:tab/>
      </w:r>
      <w:r w:rsidRPr="00E60D46">
        <w:tab/>
        <w:t>It was also the applicant’s contention that the learned trial magistrate</w:t>
      </w:r>
      <w:r w:rsidR="00D27EC2" w:rsidRPr="00E60D46">
        <w:t>, in his reasons for judgment,</w:t>
      </w:r>
      <w:r w:rsidRPr="00E60D46">
        <w:t xml:space="preserve"> </w:t>
      </w:r>
      <w:r w:rsidR="00383B9F" w:rsidRPr="00E60D46">
        <w:t xml:space="preserve">did not deal with all the </w:t>
      </w:r>
      <w:r w:rsidR="00B20E43" w:rsidRPr="00E60D46">
        <w:t>ground</w:t>
      </w:r>
      <w:r w:rsidR="00383B9F" w:rsidRPr="00E60D46">
        <w:t xml:space="preserve">s that the applicant had raised in his application for discharge and </w:t>
      </w:r>
      <w:r w:rsidR="001D25A2" w:rsidRPr="00E60D46">
        <w:t>that that constituted</w:t>
      </w:r>
      <w:r w:rsidR="00383B9F" w:rsidRPr="00E60D46">
        <w:t xml:space="preserve"> </w:t>
      </w:r>
      <w:r w:rsidR="001D25A2" w:rsidRPr="00E60D46">
        <w:t xml:space="preserve">a </w:t>
      </w:r>
      <w:r w:rsidR="00383B9F" w:rsidRPr="00E60D46">
        <w:t>violat</w:t>
      </w:r>
      <w:r w:rsidR="001D25A2" w:rsidRPr="00E60D46">
        <w:t>ion of his</w:t>
      </w:r>
      <w:r w:rsidR="00383B9F" w:rsidRPr="00E60D46">
        <w:t xml:space="preserve"> right to a fair trial.</w:t>
      </w:r>
    </w:p>
    <w:p w:rsidR="00383B9F" w:rsidRPr="00E60D46" w:rsidRDefault="00383B9F" w:rsidP="00697ED6">
      <w:pPr>
        <w:pStyle w:val="NoSpacing"/>
        <w:spacing w:line="480" w:lineRule="auto"/>
        <w:jc w:val="both"/>
      </w:pPr>
    </w:p>
    <w:p w:rsidR="002B3BB2" w:rsidRPr="00E60D46" w:rsidRDefault="00383B9F" w:rsidP="00697ED6">
      <w:pPr>
        <w:pStyle w:val="NoSpacing"/>
        <w:spacing w:line="480" w:lineRule="auto"/>
        <w:jc w:val="both"/>
      </w:pPr>
      <w:r w:rsidRPr="00E60D46">
        <w:tab/>
      </w:r>
      <w:r w:rsidRPr="00E60D46">
        <w:tab/>
        <w:t xml:space="preserve">It is common cause that the learned trial magistrate </w:t>
      </w:r>
      <w:r w:rsidR="002B3BB2" w:rsidRPr="00E60D46">
        <w:t xml:space="preserve">did give reasons for </w:t>
      </w:r>
      <w:r w:rsidR="008D6D33" w:rsidRPr="00E60D46">
        <w:t>the</w:t>
      </w:r>
      <w:r w:rsidR="002B3BB2" w:rsidRPr="00E60D46">
        <w:t xml:space="preserve"> </w:t>
      </w:r>
      <w:r w:rsidR="00D5241B" w:rsidRPr="00E60D46">
        <w:t>dismissal of the application for discharge.   The reasons for discharge</w:t>
      </w:r>
      <w:r w:rsidR="002B3BB2" w:rsidRPr="00E60D46">
        <w:t xml:space="preserve"> </w:t>
      </w:r>
      <w:r w:rsidR="00D5241B" w:rsidRPr="00E60D46">
        <w:t xml:space="preserve">regrettably </w:t>
      </w:r>
      <w:r w:rsidR="002B3BB2" w:rsidRPr="00E60D46">
        <w:t xml:space="preserve">did not deal with the </w:t>
      </w:r>
      <w:r w:rsidR="00D5241B" w:rsidRPr="00E60D46">
        <w:t>grounds</w:t>
      </w:r>
      <w:r w:rsidR="002B3BB2" w:rsidRPr="00E60D46">
        <w:t xml:space="preserve"> </w:t>
      </w:r>
      <w:r w:rsidR="00D5241B" w:rsidRPr="00E60D46">
        <w:t>of</w:t>
      </w:r>
      <w:r w:rsidR="002B3BB2" w:rsidRPr="00E60D46">
        <w:t xml:space="preserve"> the application</w:t>
      </w:r>
      <w:r w:rsidR="003E320A" w:rsidRPr="00E60D46">
        <w:t xml:space="preserve"> in any detail</w:t>
      </w:r>
      <w:r w:rsidR="002B3BB2" w:rsidRPr="00E60D46">
        <w:t>.</w:t>
      </w:r>
      <w:r w:rsidR="00D5241B" w:rsidRPr="00E60D46">
        <w:t xml:space="preserve">   </w:t>
      </w:r>
      <w:r w:rsidR="00A32203" w:rsidRPr="00E60D46">
        <w:t>However, t</w:t>
      </w:r>
      <w:r w:rsidR="00D5241B" w:rsidRPr="00E60D46">
        <w:t>he learned trial magistrate’s conclusion</w:t>
      </w:r>
      <w:r w:rsidR="008D6D33" w:rsidRPr="00E60D46">
        <w:t xml:space="preserve"> that the applicant had a case to answer</w:t>
      </w:r>
      <w:r w:rsidR="00D5241B" w:rsidRPr="00E60D46">
        <w:t xml:space="preserve"> </w:t>
      </w:r>
      <w:r w:rsidR="00A32203" w:rsidRPr="00E60D46">
        <w:t xml:space="preserve">and should be put on his defence </w:t>
      </w:r>
      <w:r w:rsidR="008D6D33" w:rsidRPr="00E60D46">
        <w:t xml:space="preserve">cannot be </w:t>
      </w:r>
      <w:r w:rsidR="00B20E43" w:rsidRPr="00E60D46">
        <w:t>fault</w:t>
      </w:r>
      <w:r w:rsidR="008D6D33" w:rsidRPr="00E60D46">
        <w:t>ed</w:t>
      </w:r>
      <w:r w:rsidR="00996E69" w:rsidRPr="00E60D46">
        <w:t>.   A</w:t>
      </w:r>
      <w:r w:rsidR="00A32203" w:rsidRPr="00E60D46">
        <w:t xml:space="preserve">lthough </w:t>
      </w:r>
      <w:r w:rsidR="008D6D33" w:rsidRPr="00E60D46">
        <w:t>his</w:t>
      </w:r>
      <w:r w:rsidR="00D5241B" w:rsidRPr="00E60D46">
        <w:t xml:space="preserve"> failure to give detailed reasons</w:t>
      </w:r>
      <w:r w:rsidR="003E320A" w:rsidRPr="00E60D46">
        <w:t xml:space="preserve"> for judgment</w:t>
      </w:r>
      <w:r w:rsidR="00D5241B" w:rsidRPr="00E60D46">
        <w:t xml:space="preserve"> </w:t>
      </w:r>
      <w:r w:rsidR="00B20E43" w:rsidRPr="00E60D46">
        <w:t>amounts to</w:t>
      </w:r>
      <w:r w:rsidR="00D5241B" w:rsidRPr="00E60D46">
        <w:t xml:space="preserve"> a misdirection</w:t>
      </w:r>
      <w:r w:rsidR="00996E69" w:rsidRPr="00E60D46">
        <w:t>, t</w:t>
      </w:r>
      <w:r w:rsidR="00D5241B" w:rsidRPr="00E60D46">
        <w:t>he misdirection</w:t>
      </w:r>
      <w:r w:rsidR="003E320A" w:rsidRPr="00E60D46">
        <w:t xml:space="preserve"> </w:t>
      </w:r>
      <w:r w:rsidR="00D5241B" w:rsidRPr="00E60D46">
        <w:t>did not result in a substa</w:t>
      </w:r>
      <w:r w:rsidR="003E320A" w:rsidRPr="00E60D46">
        <w:t>ntial miscarriage of justice.</w:t>
      </w:r>
    </w:p>
    <w:p w:rsidR="003E320A" w:rsidRPr="00E60D46" w:rsidRDefault="003E320A" w:rsidP="00697ED6">
      <w:pPr>
        <w:pStyle w:val="NoSpacing"/>
        <w:spacing w:line="480" w:lineRule="auto"/>
        <w:jc w:val="both"/>
      </w:pPr>
    </w:p>
    <w:p w:rsidR="002B3BB2" w:rsidRPr="00E60D46" w:rsidRDefault="002B3BB2" w:rsidP="00697ED6">
      <w:pPr>
        <w:pStyle w:val="NoSpacing"/>
        <w:spacing w:line="480" w:lineRule="auto"/>
        <w:jc w:val="both"/>
      </w:pPr>
      <w:r w:rsidRPr="00E60D46">
        <w:tab/>
      </w:r>
      <w:r w:rsidRPr="00E60D46">
        <w:tab/>
      </w:r>
      <w:r w:rsidR="00AA6AD4" w:rsidRPr="00E60D46">
        <w:t xml:space="preserve">The court </w:t>
      </w:r>
      <w:r w:rsidR="00AA6AD4" w:rsidRPr="00E60D46">
        <w:rPr>
          <w:i/>
        </w:rPr>
        <w:t xml:space="preserve">a quo’s </w:t>
      </w:r>
      <w:r w:rsidRPr="00E60D46">
        <w:t>misdirection</w:t>
      </w:r>
      <w:r w:rsidR="00AA6AD4" w:rsidRPr="00E60D46">
        <w:t xml:space="preserve"> in</w:t>
      </w:r>
      <w:r w:rsidRPr="00E60D46">
        <w:t xml:space="preserve"> fail</w:t>
      </w:r>
      <w:r w:rsidR="00AA6AD4" w:rsidRPr="00E60D46">
        <w:t>ing</w:t>
      </w:r>
      <w:r w:rsidRPr="00E60D46">
        <w:t xml:space="preserve"> to take into account all</w:t>
      </w:r>
      <w:r w:rsidR="00AA6AD4" w:rsidRPr="00E60D46">
        <w:t xml:space="preserve"> </w:t>
      </w:r>
      <w:r w:rsidRPr="00E60D46">
        <w:t>th</w:t>
      </w:r>
      <w:r w:rsidR="00AC65B1" w:rsidRPr="00E60D46">
        <w:t>e factors</w:t>
      </w:r>
      <w:r w:rsidRPr="00E60D46">
        <w:t xml:space="preserve"> </w:t>
      </w:r>
      <w:r w:rsidR="00794805" w:rsidRPr="00E60D46">
        <w:t>it</w:t>
      </w:r>
      <w:r w:rsidRPr="00E60D46">
        <w:t xml:space="preserve"> was required by law to take into account</w:t>
      </w:r>
      <w:r w:rsidR="00AA6AD4" w:rsidRPr="00E60D46">
        <w:t xml:space="preserve"> constitutes</w:t>
      </w:r>
      <w:r w:rsidR="00B20E43" w:rsidRPr="00E60D46">
        <w:t xml:space="preserve"> </w:t>
      </w:r>
      <w:r w:rsidRPr="00E60D46">
        <w:t>an irregularity</w:t>
      </w:r>
      <w:r w:rsidR="00AC65B1" w:rsidRPr="00E60D46">
        <w:t xml:space="preserve">.   The remedy provided by the law for rectifying </w:t>
      </w:r>
      <w:r w:rsidR="00B20E43" w:rsidRPr="00E60D46">
        <w:t xml:space="preserve">such </w:t>
      </w:r>
      <w:r w:rsidR="00AC65B1" w:rsidRPr="00E60D46">
        <w:t>an irregularity is by way of</w:t>
      </w:r>
      <w:r w:rsidRPr="00E60D46">
        <w:t xml:space="preserve"> review</w:t>
      </w:r>
      <w:r w:rsidR="00AC65B1" w:rsidRPr="00E60D46">
        <w:t xml:space="preserve">, in this case to the High Court.   The irregularity </w:t>
      </w:r>
      <w:r w:rsidR="00AC65B1" w:rsidRPr="00E60D46">
        <w:rPr>
          <w:i/>
        </w:rPr>
        <w:t>in casu</w:t>
      </w:r>
      <w:r w:rsidR="00AC65B1" w:rsidRPr="00E60D46">
        <w:t xml:space="preserve"> cannot found an application </w:t>
      </w:r>
      <w:r w:rsidRPr="00E60D46">
        <w:t>to the Constitutional Court</w:t>
      </w:r>
      <w:r w:rsidR="00AC65B1" w:rsidRPr="00E60D46">
        <w:t xml:space="preserve"> in terms of s 24(1) of the Constitution.</w:t>
      </w:r>
    </w:p>
    <w:p w:rsidR="008D6D33" w:rsidRPr="00E60D46" w:rsidRDefault="008D6D33" w:rsidP="00697ED6">
      <w:pPr>
        <w:pStyle w:val="NoSpacing"/>
        <w:spacing w:line="480" w:lineRule="auto"/>
        <w:jc w:val="both"/>
      </w:pPr>
    </w:p>
    <w:p w:rsidR="002B3BB2" w:rsidRPr="00E60D46" w:rsidRDefault="002B3BB2" w:rsidP="00697ED6">
      <w:pPr>
        <w:pStyle w:val="NoSpacing"/>
        <w:spacing w:line="480" w:lineRule="auto"/>
        <w:jc w:val="both"/>
      </w:pPr>
      <w:r w:rsidRPr="00E60D46">
        <w:tab/>
      </w:r>
      <w:r w:rsidRPr="00E60D46">
        <w:tab/>
        <w:t>When an irregularity has been committed by a</w:t>
      </w:r>
      <w:r w:rsidR="008D6D33" w:rsidRPr="00E60D46">
        <w:t>n</w:t>
      </w:r>
      <w:r w:rsidRPr="00E60D46">
        <w:t xml:space="preserve"> </w:t>
      </w:r>
      <w:r w:rsidR="008D6D33" w:rsidRPr="00E60D46">
        <w:t>inferior court</w:t>
      </w:r>
      <w:r w:rsidRPr="00E60D46">
        <w:t xml:space="preserve">, a superior court </w:t>
      </w:r>
      <w:r w:rsidR="001A249A" w:rsidRPr="00E60D46">
        <w:t>ha</w:t>
      </w:r>
      <w:r w:rsidR="008D6D33" w:rsidRPr="00E60D46">
        <w:t>s</w:t>
      </w:r>
      <w:r w:rsidR="001A249A" w:rsidRPr="00E60D46">
        <w:t xml:space="preserve"> to decide whether the irregularity </w:t>
      </w:r>
      <w:r w:rsidR="00694224" w:rsidRPr="00E60D46">
        <w:t>resulted in a substantial miscarriage of justice justifying the setting aside of proceedings on review or appeal.</w:t>
      </w:r>
      <w:r w:rsidR="00726BA0" w:rsidRPr="00E60D46">
        <w:t xml:space="preserve">   If the irregularity does not result in a substantial miscarriage of justice the proceedings stand.</w:t>
      </w:r>
    </w:p>
    <w:p w:rsidR="00694224" w:rsidRPr="00E60D46" w:rsidRDefault="00694224" w:rsidP="00697ED6">
      <w:pPr>
        <w:pStyle w:val="NoSpacing"/>
        <w:spacing w:line="480" w:lineRule="auto"/>
        <w:jc w:val="both"/>
      </w:pPr>
    </w:p>
    <w:p w:rsidR="001A249A" w:rsidRPr="00E60D46" w:rsidRDefault="00694224" w:rsidP="00697ED6">
      <w:pPr>
        <w:pStyle w:val="NoSpacing"/>
        <w:spacing w:line="480" w:lineRule="auto"/>
        <w:jc w:val="both"/>
      </w:pPr>
      <w:r w:rsidRPr="00E60D46">
        <w:tab/>
      </w:r>
      <w:r w:rsidRPr="00E60D46">
        <w:tab/>
      </w:r>
      <w:r w:rsidR="00794805" w:rsidRPr="00E60D46">
        <w:t>However, t</w:t>
      </w:r>
      <w:r w:rsidRPr="00E60D46">
        <w:t>h</w:t>
      </w:r>
      <w:r w:rsidR="008D6D33" w:rsidRPr="00E60D46">
        <w:t xml:space="preserve">e </w:t>
      </w:r>
      <w:r w:rsidRPr="00E60D46">
        <w:t>procedure to be followed when an application for discharge at the close of the State case is dismissed</w:t>
      </w:r>
      <w:r w:rsidR="00B20E43" w:rsidRPr="00E60D46">
        <w:t xml:space="preserve"> was set out by the Supreme Court i</w:t>
      </w:r>
      <w:r w:rsidR="001A249A" w:rsidRPr="00E60D46">
        <w:t xml:space="preserve">n the case of </w:t>
      </w:r>
      <w:r w:rsidR="001A249A" w:rsidRPr="00E60D46">
        <w:rPr>
          <w:i/>
        </w:rPr>
        <w:t>S v Hunzvi</w:t>
      </w:r>
      <w:r w:rsidR="001A249A" w:rsidRPr="00E60D46">
        <w:t xml:space="preserve"> 2000</w:t>
      </w:r>
      <w:r w:rsidR="009071F1" w:rsidRPr="00E60D46">
        <w:t xml:space="preserve"> (1) ZLR 540 (S), </w:t>
      </w:r>
      <w:r w:rsidR="00B20E43" w:rsidRPr="00E60D46">
        <w:t xml:space="preserve">in which </w:t>
      </w:r>
      <w:r w:rsidRPr="00E60D46">
        <w:t>th</w:t>
      </w:r>
      <w:r w:rsidR="001A1539" w:rsidRPr="00E60D46">
        <w:t>e</w:t>
      </w:r>
      <w:r w:rsidRPr="00E60D46">
        <w:t xml:space="preserve"> Court </w:t>
      </w:r>
      <w:r w:rsidR="009071F1" w:rsidRPr="00E60D46">
        <w:t>held:</w:t>
      </w:r>
    </w:p>
    <w:p w:rsidR="009071F1" w:rsidRPr="00E60D46" w:rsidRDefault="009071F1" w:rsidP="009071F1">
      <w:pPr>
        <w:pStyle w:val="NoSpacing"/>
        <w:jc w:val="both"/>
      </w:pPr>
    </w:p>
    <w:p w:rsidR="009071F1" w:rsidRPr="00E60D46" w:rsidRDefault="009071F1" w:rsidP="009071F1">
      <w:pPr>
        <w:pStyle w:val="NoSpacing"/>
        <w:ind w:left="720"/>
        <w:jc w:val="both"/>
      </w:pPr>
      <w:r w:rsidRPr="00E60D46">
        <w:t xml:space="preserve">“… that the accused has no right of appeal against the refusal of a trial judge to discharge at the end of the prosecution case because at that stage the final determination of the trial </w:t>
      </w:r>
      <w:r w:rsidR="00122AF4" w:rsidRPr="00E60D46">
        <w:t>has not been reached and the proceedings are still on-going.   After conviction, however, the accused has the absolute right, under s 44(2)(a) of the High Court Act [</w:t>
      </w:r>
      <w:r w:rsidR="00122AF4" w:rsidRPr="00E60D46">
        <w:rPr>
          <w:i/>
        </w:rPr>
        <w:t>Chapter 7:06</w:t>
      </w:r>
      <w:r w:rsidR="00122AF4" w:rsidRPr="00E60D46">
        <w:t>], to appeal to the Supreme Court on any ground involving a question of law.   A refusal to discharge is a question of law and so may be relied upon as a ground of appeal.   The ground of refusal to discharge would only succeed if on appeal it were found that at the close of the prosecution case there was no evidence justifying a conviction and that the defence case furnished no proof of guilt.”</w:t>
      </w:r>
    </w:p>
    <w:p w:rsidR="002A5BAB" w:rsidRPr="00E60D46" w:rsidRDefault="002A5BAB" w:rsidP="002A5BAB">
      <w:pPr>
        <w:pStyle w:val="NoSpacing"/>
        <w:spacing w:line="480" w:lineRule="auto"/>
        <w:jc w:val="both"/>
      </w:pPr>
    </w:p>
    <w:p w:rsidR="009C1195" w:rsidRPr="00E60D46" w:rsidRDefault="001A1539" w:rsidP="002A5BAB">
      <w:pPr>
        <w:pStyle w:val="NoSpacing"/>
        <w:spacing w:line="480" w:lineRule="auto"/>
        <w:jc w:val="both"/>
      </w:pPr>
      <w:r w:rsidRPr="00E60D46">
        <w:t>Thus, the remedy available to the applicant was one of appeal to the High Court at the conclusion of the trial.</w:t>
      </w:r>
    </w:p>
    <w:p w:rsidR="009C1195" w:rsidRPr="00E60D46" w:rsidRDefault="009C1195" w:rsidP="002A5BAB">
      <w:pPr>
        <w:pStyle w:val="NoSpacing"/>
        <w:spacing w:line="480" w:lineRule="auto"/>
        <w:jc w:val="both"/>
      </w:pPr>
    </w:p>
    <w:p w:rsidR="002A5BAB" w:rsidRPr="00E60D46" w:rsidRDefault="009C1195" w:rsidP="009C1195">
      <w:pPr>
        <w:pStyle w:val="NoSpacing"/>
        <w:spacing w:line="480" w:lineRule="auto"/>
        <w:ind w:firstLine="1440"/>
        <w:jc w:val="both"/>
      </w:pPr>
      <w:r w:rsidRPr="00E60D46">
        <w:t>I find no merit in the contention that the failure to give detailed reasons for judgment violated the applicant’s right to</w:t>
      </w:r>
      <w:r w:rsidR="00D30DD7" w:rsidRPr="00E60D46">
        <w:t xml:space="preserve"> a fair trial </w:t>
      </w:r>
      <w:r w:rsidR="00672E26" w:rsidRPr="00E60D46">
        <w:t>a</w:t>
      </w:r>
      <w:r w:rsidR="00D30DD7" w:rsidRPr="00E60D46">
        <w:t>nd that the case should have been referred to the Constitutional Court on that basis.</w:t>
      </w:r>
    </w:p>
    <w:p w:rsidR="00070BE0" w:rsidRPr="00E60D46" w:rsidRDefault="00070BE0" w:rsidP="002A5BAB">
      <w:pPr>
        <w:pStyle w:val="NoSpacing"/>
        <w:spacing w:line="480" w:lineRule="auto"/>
        <w:jc w:val="both"/>
      </w:pPr>
    </w:p>
    <w:p w:rsidR="00070BE0" w:rsidRPr="00E60D46" w:rsidRDefault="00070BE0" w:rsidP="002A5BAB">
      <w:pPr>
        <w:pStyle w:val="NoSpacing"/>
        <w:spacing w:line="480" w:lineRule="auto"/>
        <w:jc w:val="both"/>
      </w:pPr>
      <w:r w:rsidRPr="00E60D46">
        <w:tab/>
      </w:r>
      <w:r w:rsidRPr="00E60D46">
        <w:tab/>
        <w:t>I finally turn to deal with the issue of what constitutes “lawful authority”</w:t>
      </w:r>
      <w:r w:rsidR="00D30DD7" w:rsidRPr="00E60D46">
        <w:t xml:space="preserve"> and whether the applicant </w:t>
      </w:r>
      <w:r w:rsidR="00672E26" w:rsidRPr="00E60D46">
        <w:t>h</w:t>
      </w:r>
      <w:r w:rsidR="00D30DD7" w:rsidRPr="00E60D46">
        <w:t>a</w:t>
      </w:r>
      <w:r w:rsidR="00672E26" w:rsidRPr="00E60D46">
        <w:t>d</w:t>
      </w:r>
      <w:r w:rsidR="00D30DD7" w:rsidRPr="00E60D46">
        <w:t xml:space="preserve"> </w:t>
      </w:r>
      <w:r w:rsidR="00672E26" w:rsidRPr="00E60D46">
        <w:t>“</w:t>
      </w:r>
      <w:r w:rsidR="00D30DD7" w:rsidRPr="00E60D46">
        <w:t>lawful</w:t>
      </w:r>
      <w:r w:rsidR="00672E26" w:rsidRPr="00E60D46">
        <w:t xml:space="preserve"> authority”</w:t>
      </w:r>
      <w:r w:rsidR="00D30DD7" w:rsidRPr="00E60D46">
        <w:t xml:space="preserve"> to occupy the farm</w:t>
      </w:r>
      <w:r w:rsidRPr="00E60D46">
        <w:t>.</w:t>
      </w:r>
    </w:p>
    <w:p w:rsidR="00070BE0" w:rsidRPr="00E60D46" w:rsidRDefault="00070BE0" w:rsidP="002A5BAB">
      <w:pPr>
        <w:pStyle w:val="NoSpacing"/>
        <w:spacing w:line="480" w:lineRule="auto"/>
        <w:jc w:val="both"/>
      </w:pPr>
    </w:p>
    <w:p w:rsidR="00A51BF1" w:rsidRPr="00E60D46" w:rsidRDefault="00A51BF1" w:rsidP="00A51BF1">
      <w:pPr>
        <w:pStyle w:val="NoSpacing"/>
        <w:spacing w:line="480" w:lineRule="auto"/>
        <w:jc w:val="both"/>
      </w:pPr>
      <w:r w:rsidRPr="00E60D46">
        <w:tab/>
      </w:r>
      <w:r w:rsidRPr="00E60D46">
        <w:tab/>
        <w:t>Section 2(1) of the Act provides as follows:</w:t>
      </w:r>
    </w:p>
    <w:p w:rsidR="00A51BF1" w:rsidRPr="00E60D46" w:rsidRDefault="00A51BF1" w:rsidP="00A51BF1">
      <w:pPr>
        <w:pStyle w:val="NoSpacing"/>
        <w:ind w:left="720"/>
        <w:jc w:val="both"/>
        <w:rPr>
          <w:b/>
        </w:rPr>
      </w:pPr>
      <w:r w:rsidRPr="00E60D46">
        <w:t>“</w:t>
      </w:r>
      <w:r w:rsidRPr="00E60D46">
        <w:rPr>
          <w:b/>
        </w:rPr>
        <w:t>2 Interpretation</w:t>
      </w:r>
    </w:p>
    <w:p w:rsidR="00A51BF1" w:rsidRPr="00E60D46" w:rsidRDefault="00A51BF1" w:rsidP="00A51BF1">
      <w:pPr>
        <w:pStyle w:val="NoSpacing"/>
        <w:ind w:left="720"/>
        <w:jc w:val="both"/>
        <w:rPr>
          <w:b/>
        </w:rPr>
      </w:pPr>
    </w:p>
    <w:p w:rsidR="00A51BF1" w:rsidRPr="00E60D46" w:rsidRDefault="00A51BF1" w:rsidP="00A51BF1">
      <w:pPr>
        <w:pStyle w:val="NoSpacing"/>
        <w:ind w:left="720" w:firstLine="720"/>
        <w:jc w:val="both"/>
      </w:pPr>
      <w:r w:rsidRPr="00E60D46">
        <w:t>(1) In this Act —</w:t>
      </w:r>
    </w:p>
    <w:p w:rsidR="00A51BF1" w:rsidRPr="00E60D46" w:rsidRDefault="00A51BF1" w:rsidP="00A51BF1">
      <w:pPr>
        <w:pStyle w:val="NoSpacing"/>
        <w:ind w:left="720" w:firstLine="720"/>
        <w:jc w:val="both"/>
      </w:pPr>
    </w:p>
    <w:p w:rsidR="00A51BF1" w:rsidRPr="00E60D46" w:rsidRDefault="00A51BF1" w:rsidP="00A51BF1">
      <w:pPr>
        <w:pStyle w:val="NoSpacing"/>
        <w:ind w:left="720"/>
        <w:jc w:val="both"/>
      </w:pPr>
      <w:r w:rsidRPr="00E60D46">
        <w:t>‘acquiring authority’ means the Minister responsible for land or any other Minister to whom the President may, from time to time, assign the administration of this Act;</w:t>
      </w:r>
    </w:p>
    <w:p w:rsidR="00A51BF1" w:rsidRPr="00E60D46" w:rsidRDefault="00A51BF1" w:rsidP="00A51BF1">
      <w:pPr>
        <w:pStyle w:val="NoSpacing"/>
        <w:ind w:left="720"/>
        <w:jc w:val="both"/>
      </w:pPr>
    </w:p>
    <w:p w:rsidR="00A51BF1" w:rsidRPr="00E60D46" w:rsidRDefault="00A51BF1" w:rsidP="00A51BF1">
      <w:pPr>
        <w:pStyle w:val="NoSpacing"/>
        <w:ind w:left="720"/>
        <w:jc w:val="both"/>
      </w:pPr>
      <w:r w:rsidRPr="00E60D46">
        <w:t>‘fixed date’ means the date fixed in terms of section 1(2) as the date of commencement of this Act;</w:t>
      </w:r>
      <w:r w:rsidR="009C1195" w:rsidRPr="00E60D46">
        <w:t xml:space="preserve"> …</w:t>
      </w:r>
    </w:p>
    <w:p w:rsidR="00A51BF1" w:rsidRPr="00E60D46" w:rsidRDefault="00A51BF1" w:rsidP="00A51BF1">
      <w:pPr>
        <w:pStyle w:val="NoSpacing"/>
        <w:ind w:left="720"/>
        <w:jc w:val="both"/>
      </w:pPr>
    </w:p>
    <w:p w:rsidR="00A51BF1" w:rsidRPr="00E60D46" w:rsidRDefault="00A51BF1" w:rsidP="00A51BF1">
      <w:pPr>
        <w:pStyle w:val="NoSpacing"/>
        <w:ind w:left="720"/>
        <w:jc w:val="both"/>
      </w:pPr>
      <w:r w:rsidRPr="00E60D46">
        <w:t>‘lawful authority’ means —</w:t>
      </w:r>
    </w:p>
    <w:p w:rsidR="00A51BF1" w:rsidRPr="00E60D46" w:rsidRDefault="00A51BF1" w:rsidP="00A51BF1">
      <w:pPr>
        <w:pStyle w:val="NoSpacing"/>
        <w:ind w:left="720"/>
        <w:jc w:val="both"/>
      </w:pPr>
    </w:p>
    <w:p w:rsidR="00A51BF1" w:rsidRPr="00E60D46" w:rsidRDefault="00A51BF1" w:rsidP="00A51BF1">
      <w:pPr>
        <w:pStyle w:val="NoSpacing"/>
        <w:ind w:left="1440"/>
        <w:jc w:val="both"/>
      </w:pPr>
      <w:r w:rsidRPr="00E60D46">
        <w:t>(</w:t>
      </w:r>
      <w:r w:rsidRPr="00E60D46">
        <w:rPr>
          <w:iCs/>
        </w:rPr>
        <w:t>a</w:t>
      </w:r>
      <w:r w:rsidRPr="00E60D46">
        <w:t>) an offer letter; or</w:t>
      </w:r>
    </w:p>
    <w:p w:rsidR="00A51BF1" w:rsidRPr="00E60D46" w:rsidRDefault="00A51BF1" w:rsidP="00A51BF1">
      <w:pPr>
        <w:pStyle w:val="NoSpacing"/>
        <w:ind w:left="1440"/>
        <w:jc w:val="both"/>
      </w:pPr>
    </w:p>
    <w:p w:rsidR="00A51BF1" w:rsidRPr="00E60D46" w:rsidRDefault="00A51BF1" w:rsidP="00A51BF1">
      <w:pPr>
        <w:pStyle w:val="NoSpacing"/>
        <w:ind w:left="1440"/>
        <w:jc w:val="both"/>
      </w:pPr>
      <w:r w:rsidRPr="00E60D46">
        <w:t>(</w:t>
      </w:r>
      <w:r w:rsidRPr="00E60D46">
        <w:rPr>
          <w:iCs/>
        </w:rPr>
        <w:t>b</w:t>
      </w:r>
      <w:r w:rsidRPr="00E60D46">
        <w:t>) a permit; or</w:t>
      </w:r>
    </w:p>
    <w:p w:rsidR="00A51BF1" w:rsidRPr="00E60D46" w:rsidRDefault="00A51BF1" w:rsidP="00A51BF1">
      <w:pPr>
        <w:pStyle w:val="NoSpacing"/>
        <w:ind w:left="1440"/>
        <w:jc w:val="both"/>
      </w:pPr>
    </w:p>
    <w:p w:rsidR="00A51BF1" w:rsidRPr="00E60D46" w:rsidRDefault="00A51BF1" w:rsidP="00A51BF1">
      <w:pPr>
        <w:pStyle w:val="NoSpacing"/>
        <w:ind w:left="1440"/>
        <w:jc w:val="both"/>
      </w:pPr>
      <w:r w:rsidRPr="00E60D46">
        <w:t>(</w:t>
      </w:r>
      <w:r w:rsidRPr="00E60D46">
        <w:rPr>
          <w:iCs/>
        </w:rPr>
        <w:t>c</w:t>
      </w:r>
      <w:r w:rsidRPr="00E60D46">
        <w:t>) a land settlement lease;</w:t>
      </w:r>
    </w:p>
    <w:p w:rsidR="00A51BF1" w:rsidRPr="00E60D46" w:rsidRDefault="00A51BF1" w:rsidP="00A51BF1">
      <w:pPr>
        <w:pStyle w:val="NoSpacing"/>
        <w:ind w:left="720"/>
        <w:jc w:val="both"/>
      </w:pPr>
    </w:p>
    <w:p w:rsidR="00A51BF1" w:rsidRPr="00E60D46" w:rsidRDefault="00A51BF1" w:rsidP="00A51BF1">
      <w:pPr>
        <w:pStyle w:val="NoSpacing"/>
        <w:ind w:left="720"/>
        <w:jc w:val="both"/>
      </w:pPr>
      <w:r w:rsidRPr="00E60D46">
        <w:t>and ‘lawfully authorised’ shall be construed accordingly;</w:t>
      </w:r>
    </w:p>
    <w:p w:rsidR="00A51BF1" w:rsidRPr="00E60D46" w:rsidRDefault="00A51BF1" w:rsidP="00A51BF1">
      <w:pPr>
        <w:pStyle w:val="NoSpacing"/>
        <w:ind w:left="720"/>
        <w:jc w:val="both"/>
      </w:pPr>
    </w:p>
    <w:p w:rsidR="00A51BF1" w:rsidRPr="00E60D46" w:rsidRDefault="00A51BF1" w:rsidP="00A51BF1">
      <w:pPr>
        <w:pStyle w:val="NoSpacing"/>
        <w:ind w:left="720"/>
        <w:jc w:val="both"/>
      </w:pPr>
      <w:r w:rsidRPr="00E60D46">
        <w:t>‘offer letter’ means a letter issued by the acquiring authority to any person that offers to allocate to that person any Gazetted land, or a portion of Gazetted land, described in that letter;</w:t>
      </w:r>
    </w:p>
    <w:p w:rsidR="00A51BF1" w:rsidRPr="00E60D46" w:rsidRDefault="00A51BF1" w:rsidP="00A51BF1">
      <w:pPr>
        <w:pStyle w:val="NoSpacing"/>
        <w:ind w:left="720"/>
        <w:jc w:val="both"/>
      </w:pPr>
    </w:p>
    <w:p w:rsidR="00A51BF1" w:rsidRPr="00E60D46" w:rsidRDefault="00A51BF1" w:rsidP="00A51BF1">
      <w:pPr>
        <w:pStyle w:val="NoSpacing"/>
        <w:ind w:left="720"/>
        <w:jc w:val="both"/>
      </w:pPr>
      <w:r w:rsidRPr="00E60D46">
        <w:t>‘permit’, when used as a noun, means a permit issued by the State which entitles any person to occupy and use resettlement land;</w:t>
      </w:r>
    </w:p>
    <w:p w:rsidR="00A51BF1" w:rsidRPr="00E60D46" w:rsidRDefault="00A51BF1" w:rsidP="00A51BF1">
      <w:pPr>
        <w:pStyle w:val="NoSpacing"/>
        <w:ind w:left="720"/>
        <w:jc w:val="both"/>
      </w:pPr>
    </w:p>
    <w:p w:rsidR="00A51BF1" w:rsidRPr="00E60D46" w:rsidRDefault="00A51BF1" w:rsidP="00A51BF1">
      <w:pPr>
        <w:pStyle w:val="NoSpacing"/>
        <w:ind w:left="720"/>
        <w:jc w:val="both"/>
      </w:pPr>
      <w:r w:rsidRPr="00E60D46">
        <w:t>‘resettlement land’ means land identified as resettlement land under the Rural District Councils Act [</w:t>
      </w:r>
      <w:r w:rsidRPr="00E60D46">
        <w:rPr>
          <w:i/>
          <w:iCs/>
        </w:rPr>
        <w:t>Chapter 29:13</w:t>
      </w:r>
      <w:r w:rsidRPr="00E60D46">
        <w:t>].”</w:t>
      </w:r>
    </w:p>
    <w:p w:rsidR="00A51BF1" w:rsidRPr="00E60D46" w:rsidRDefault="00A51BF1" w:rsidP="00A51BF1">
      <w:pPr>
        <w:pStyle w:val="NoSpacing"/>
        <w:spacing w:line="480" w:lineRule="auto"/>
        <w:jc w:val="both"/>
        <w:rPr>
          <w:b/>
        </w:rPr>
      </w:pPr>
    </w:p>
    <w:p w:rsidR="006B4ABD" w:rsidRPr="00E60D46" w:rsidRDefault="006B4ABD" w:rsidP="006B4ABD">
      <w:pPr>
        <w:pStyle w:val="NoSpacing"/>
        <w:spacing w:line="480" w:lineRule="auto"/>
        <w:jc w:val="both"/>
      </w:pPr>
      <w:r w:rsidRPr="00E60D46">
        <w:tab/>
      </w:r>
      <w:r w:rsidRPr="00E60D46">
        <w:tab/>
      </w:r>
      <w:r w:rsidR="00E72F75" w:rsidRPr="00E60D46">
        <w:t>The clear and unambiguous meaning of s 2(1) of the Act</w:t>
      </w:r>
      <w:r w:rsidR="00D5224A" w:rsidRPr="00E60D46">
        <w:t xml:space="preserve"> </w:t>
      </w:r>
      <w:r w:rsidR="00E72F75" w:rsidRPr="00E60D46">
        <w:t>is that “lawful authority” means</w:t>
      </w:r>
      <w:r w:rsidR="00957B9D" w:rsidRPr="00E60D46">
        <w:t xml:space="preserve"> an offer letter, a permit and a land settlement lease.</w:t>
      </w:r>
      <w:r w:rsidR="00E72F75" w:rsidRPr="00E60D46">
        <w:t xml:space="preserve">   Nothing more</w:t>
      </w:r>
      <w:r w:rsidR="009915C2" w:rsidRPr="00E60D46">
        <w:t>,</w:t>
      </w:r>
      <w:r w:rsidR="00E72F75" w:rsidRPr="00E60D46">
        <w:t xml:space="preserve"> nothing less.   A letter from the late Vice President</w:t>
      </w:r>
      <w:r w:rsidR="009C1195" w:rsidRPr="00E60D46">
        <w:t>, the Presidium</w:t>
      </w:r>
      <w:r w:rsidR="00E72F75" w:rsidRPr="00E60D46">
        <w:t xml:space="preserve"> or any other member of the Executive does not constitute “lawful authority”</w:t>
      </w:r>
      <w:r w:rsidR="004915EF" w:rsidRPr="00E60D46">
        <w:t xml:space="preserve"> in terms of the Act</w:t>
      </w:r>
      <w:r w:rsidR="00E72F75" w:rsidRPr="00E60D46">
        <w:t>.</w:t>
      </w:r>
    </w:p>
    <w:p w:rsidR="002441BB" w:rsidRPr="00E60D46" w:rsidRDefault="002441BB" w:rsidP="006B4ABD">
      <w:pPr>
        <w:pStyle w:val="NoSpacing"/>
        <w:spacing w:line="480" w:lineRule="auto"/>
        <w:jc w:val="both"/>
      </w:pPr>
    </w:p>
    <w:p w:rsidR="002441BB" w:rsidRPr="00E60D46" w:rsidRDefault="002441BB" w:rsidP="006B4ABD">
      <w:pPr>
        <w:pStyle w:val="NoSpacing"/>
        <w:spacing w:line="480" w:lineRule="auto"/>
        <w:jc w:val="both"/>
      </w:pPr>
      <w:r w:rsidRPr="00E60D46">
        <w:tab/>
      </w:r>
      <w:r w:rsidRPr="00E60D46">
        <w:tab/>
      </w:r>
      <w:r w:rsidR="009915C2" w:rsidRPr="00E60D46">
        <w:t>I</w:t>
      </w:r>
      <w:r w:rsidRPr="00E60D46">
        <w:t xml:space="preserve">n the case of </w:t>
      </w:r>
      <w:r w:rsidR="00DF05E0" w:rsidRPr="00E60D46">
        <w:rPr>
          <w:i/>
        </w:rPr>
        <w:t>Commercial Farmers Union and Ors v The Minister of Lands and Rural Resettlement and Ors</w:t>
      </w:r>
      <w:r w:rsidR="00F6419B" w:rsidRPr="00E60D46">
        <w:rPr>
          <w:i/>
        </w:rPr>
        <w:t xml:space="preserve"> supra</w:t>
      </w:r>
      <w:r w:rsidR="00DF05E0" w:rsidRPr="00E60D46">
        <w:t xml:space="preserve"> </w:t>
      </w:r>
      <w:r w:rsidR="009915C2" w:rsidRPr="00E60D46">
        <w:t>this Court</w:t>
      </w:r>
      <w:r w:rsidR="00DF05E0" w:rsidRPr="00E60D46">
        <w:t xml:space="preserve"> had this to say</w:t>
      </w:r>
      <w:r w:rsidR="00735D40" w:rsidRPr="00E60D46">
        <w:t xml:space="preserve"> at p 19 of the cyclostyled judgment</w:t>
      </w:r>
      <w:r w:rsidR="00DF05E0" w:rsidRPr="00E60D46">
        <w:t>:</w:t>
      </w:r>
    </w:p>
    <w:p w:rsidR="00735D40" w:rsidRPr="00E60D46" w:rsidRDefault="00735D40" w:rsidP="00735D40">
      <w:pPr>
        <w:pStyle w:val="NoSpacing"/>
        <w:jc w:val="both"/>
      </w:pPr>
    </w:p>
    <w:p w:rsidR="00735D40" w:rsidRPr="00E60D46" w:rsidRDefault="00735D40" w:rsidP="00735D40">
      <w:pPr>
        <w:pStyle w:val="NoSpacing"/>
        <w:ind w:left="720" w:firstLine="720"/>
        <w:jc w:val="both"/>
      </w:pPr>
      <w:r w:rsidRPr="00E60D46">
        <w:t>“The Legislature in enacting the above provision clearly intended to confer on the acquiring authority the power to issue to individuals offer letters which would entitle the individuals to occupy and use the land described in those offer letters.   The draftsman could have used better language to convey the legislative intent, but there can be no doubt that s 2 of the Act confers on the acquiring authority the power to allocate land using the medium of an offer letter.   This provision is not in any way inconsistent with ss 16A and 16B of the Constitution.   If anything, it fits in well with the overall scheme envisaged in ss 16A and 16B of the Constitution, which is that the acquiring authority acquires land and reallocates the land so acquired.   The acquisition of land and its redistribution lies at the heart of the land reform programme.   I have no doubt that the Minister as the acquiring authority can redistribute land he has acquired in terms of s 16B of the Constitution by means of the following documents -(a) an offer letter; (b) a permit; and (c) a land settlement lease.   The Minister is entitled to issue a land settlement lease in terms of s 8 of the Land Settlement Act [</w:t>
      </w:r>
      <w:r w:rsidRPr="00E60D46">
        <w:rPr>
          <w:i/>
        </w:rPr>
        <w:t>Cap 20:01</w:t>
      </w:r>
      <w:r w:rsidRPr="00E60D46">
        <w:t xml:space="preserve">].   However, if the Minister allocates land by way of a land settlement lease in terms of s 8 of the Land Settlement Act he is enjoined to comply with the other provisions of that Act, such as s 9 which requires him to </w:t>
      </w:r>
      <w:r w:rsidRPr="00E60D46">
        <w:lastRenderedPageBreak/>
        <w:t>consult the Land Settlement Board which obviously has to be in existence.   I do not accept the contention by the applicants that the Minister can only allocate acquired land by way of a land settlement lease which he presently cannot do because there is no Land Settlement Board in existence.</w:t>
      </w:r>
    </w:p>
    <w:p w:rsidR="00735D40" w:rsidRPr="00E60D46" w:rsidRDefault="00735D40" w:rsidP="00735D40">
      <w:pPr>
        <w:pStyle w:val="NoSpacing"/>
        <w:ind w:left="720"/>
        <w:jc w:val="both"/>
      </w:pPr>
    </w:p>
    <w:p w:rsidR="00735D40" w:rsidRPr="00E60D46" w:rsidRDefault="00735D40" w:rsidP="00735D40">
      <w:pPr>
        <w:pStyle w:val="NoSpacing"/>
        <w:ind w:left="720" w:firstLine="720"/>
        <w:jc w:val="both"/>
      </w:pPr>
      <w:r w:rsidRPr="00E60D46">
        <w:t>The Minister has an unfettered choice as to which method he uses in the allocation of land to individuals.   He can allocate the land by way of an offer letter or by way of a permit or by way of a land settlement lease.   It is entirely up to the Minister to choose which method to use.   I am not persuaded by the argument that because the offer letter is not specifically provided for in the Constitution it cannot be used as a means of allocating land to individuals.</w:t>
      </w:r>
    </w:p>
    <w:p w:rsidR="00735D40" w:rsidRPr="00E60D46" w:rsidRDefault="00735D40" w:rsidP="00735D40">
      <w:pPr>
        <w:pStyle w:val="NoSpacing"/>
        <w:ind w:left="720"/>
        <w:jc w:val="both"/>
      </w:pPr>
    </w:p>
    <w:p w:rsidR="00735D40" w:rsidRPr="00E60D46" w:rsidRDefault="00735D40" w:rsidP="00735D40">
      <w:pPr>
        <w:pStyle w:val="NoSpacing"/>
        <w:ind w:left="720"/>
        <w:jc w:val="both"/>
      </w:pPr>
      <w:r w:rsidRPr="00E60D46">
        <w:tab/>
        <w:t>I am satisfied that the Minister can issue an offer letter as a means of allocating acquired land to an individual.</w:t>
      </w:r>
    </w:p>
    <w:p w:rsidR="00735D40" w:rsidRPr="00E60D46" w:rsidRDefault="00735D40" w:rsidP="00735D40">
      <w:pPr>
        <w:pStyle w:val="NoSpacing"/>
        <w:ind w:left="720"/>
        <w:jc w:val="both"/>
      </w:pPr>
    </w:p>
    <w:p w:rsidR="00735D40" w:rsidRPr="00E60D46" w:rsidRDefault="00735D40" w:rsidP="00735D40">
      <w:pPr>
        <w:pStyle w:val="NoSpacing"/>
        <w:ind w:left="720"/>
        <w:jc w:val="both"/>
      </w:pPr>
      <w:r w:rsidRPr="00E60D46">
        <w:tab/>
        <w:t>Having concluded that the Minister has the legal power or authority to issue an offer letter, a permit or a land settlement lease, it follows that the holders of those documents have the legal authority to occupy and use the land allocated to them by the Minister in terms of the offer letter, permit or land settlement lease.”</w:t>
      </w:r>
    </w:p>
    <w:p w:rsidR="0030680C" w:rsidRPr="00E60D46" w:rsidRDefault="0030680C" w:rsidP="0030680C">
      <w:pPr>
        <w:pStyle w:val="NoSpacing"/>
        <w:spacing w:line="480" w:lineRule="auto"/>
        <w:jc w:val="both"/>
      </w:pPr>
    </w:p>
    <w:p w:rsidR="0030680C" w:rsidRPr="00E60D46" w:rsidRDefault="0030680C" w:rsidP="0030680C">
      <w:pPr>
        <w:pStyle w:val="NoSpacing"/>
        <w:spacing w:line="480" w:lineRule="auto"/>
        <w:jc w:val="both"/>
      </w:pPr>
      <w:r w:rsidRPr="00E60D46">
        <w:tab/>
      </w:r>
      <w:r w:rsidRPr="00E60D46">
        <w:tab/>
        <w:t>“</w:t>
      </w:r>
      <w:r w:rsidR="00E45C46" w:rsidRPr="00E60D46">
        <w:t>L</w:t>
      </w:r>
      <w:r w:rsidRPr="00E60D46">
        <w:t>awful authority” means an offer letter, a permit and a land settlement lease.</w:t>
      </w:r>
      <w:r w:rsidR="00E45C46" w:rsidRPr="00E60D46">
        <w:t xml:space="preserve">   The documents attached to the </w:t>
      </w:r>
      <w:r w:rsidR="00CE2A51" w:rsidRPr="00E60D46">
        <w:t>defence o</w:t>
      </w:r>
      <w:r w:rsidR="00E45C46" w:rsidRPr="00E60D46">
        <w:t>utline are not offer letters</w:t>
      </w:r>
      <w:r w:rsidR="00235F2C" w:rsidRPr="00E60D46">
        <w:t>,</w:t>
      </w:r>
      <w:r w:rsidR="00E45C46" w:rsidRPr="00E60D46">
        <w:t xml:space="preserve"> permits o</w:t>
      </w:r>
      <w:r w:rsidR="00C54CB9" w:rsidRPr="00E60D46">
        <w:t>r</w:t>
      </w:r>
      <w:r w:rsidR="00E45C46" w:rsidRPr="00E60D46">
        <w:t xml:space="preserve"> land settlement leases issued by the acquiring authority.   They do not constitute </w:t>
      </w:r>
      <w:r w:rsidR="00CA63C6" w:rsidRPr="00E60D46">
        <w:t>“lawful authority”</w:t>
      </w:r>
      <w:r w:rsidR="00996E69" w:rsidRPr="00E60D46">
        <w:t xml:space="preserve"> </w:t>
      </w:r>
      <w:r w:rsidR="00CA63C6" w:rsidRPr="00E60D46">
        <w:t xml:space="preserve">providing </w:t>
      </w:r>
      <w:r w:rsidR="00E45C46" w:rsidRPr="00E60D46">
        <w:t>a defence to the charge the applicant is facing.</w:t>
      </w:r>
    </w:p>
    <w:p w:rsidR="0030680C" w:rsidRPr="00E60D46" w:rsidRDefault="0030680C" w:rsidP="0030680C">
      <w:pPr>
        <w:pStyle w:val="NoSpacing"/>
        <w:spacing w:line="480" w:lineRule="auto"/>
        <w:jc w:val="both"/>
      </w:pPr>
    </w:p>
    <w:p w:rsidR="0030680C" w:rsidRPr="00E60D46" w:rsidRDefault="0030680C" w:rsidP="0030680C">
      <w:pPr>
        <w:pStyle w:val="NoSpacing"/>
        <w:spacing w:line="480" w:lineRule="auto"/>
        <w:jc w:val="both"/>
      </w:pPr>
      <w:r w:rsidRPr="00E60D46">
        <w:tab/>
      </w:r>
      <w:r w:rsidRPr="00E60D46">
        <w:tab/>
        <w:t xml:space="preserve">The applicant did not have an offer letter, a permit or a land settlement lease.   Accordingly, he had no lawful authority to occupy or continue to occupy the farm.   The letters from the late Vice President Msika </w:t>
      </w:r>
      <w:r w:rsidR="00FE7D88" w:rsidRPr="00E60D46">
        <w:t>and those of the Ministr</w:t>
      </w:r>
      <w:r w:rsidR="002D740D" w:rsidRPr="00E60D46">
        <w:t>y</w:t>
      </w:r>
      <w:r w:rsidR="00FE7D88" w:rsidRPr="00E60D46">
        <w:t xml:space="preserve"> of Lands, Land Reform and Resettlement</w:t>
      </w:r>
      <w:r w:rsidR="00C70F55" w:rsidRPr="00E60D46">
        <w:t xml:space="preserve"> do not constitute “lawful authority”.   “Lawful authority” in terms of the Act begins and ends with an offer letter, a permit and a land settlement lease.   A telephone call or a letter, even from the Minister of Lands, Land Reform and Resettlement is not “lawful authority”.</w:t>
      </w:r>
    </w:p>
    <w:p w:rsidR="00C70F55" w:rsidRPr="00E60D46" w:rsidRDefault="00C70F55" w:rsidP="0030680C">
      <w:pPr>
        <w:pStyle w:val="NoSpacing"/>
        <w:spacing w:line="480" w:lineRule="auto"/>
        <w:jc w:val="both"/>
      </w:pPr>
    </w:p>
    <w:p w:rsidR="00C70F55" w:rsidRPr="00E60D46" w:rsidRDefault="00C70F55" w:rsidP="0030680C">
      <w:pPr>
        <w:pStyle w:val="NoSpacing"/>
        <w:spacing w:line="480" w:lineRule="auto"/>
        <w:jc w:val="both"/>
      </w:pPr>
      <w:r w:rsidRPr="00E60D46">
        <w:lastRenderedPageBreak/>
        <w:tab/>
      </w:r>
      <w:r w:rsidRPr="00E60D46">
        <w:tab/>
        <w:t>It was also submitted that the concept of “lawful authority”</w:t>
      </w:r>
      <w:r w:rsidR="00F1169A" w:rsidRPr="00E60D46">
        <w:t>, as defined in s 2(1) of the Act is inconsistent with s 16B(6) of the Constitution</w:t>
      </w:r>
      <w:r w:rsidR="004915EF" w:rsidRPr="00E60D46">
        <w:t xml:space="preserve"> and therefore </w:t>
      </w:r>
      <w:r w:rsidR="004915EF" w:rsidRPr="00E60D46">
        <w:rPr>
          <w:i/>
        </w:rPr>
        <w:t>ultra vires</w:t>
      </w:r>
      <w:r w:rsidR="00F1169A" w:rsidRPr="00E60D46">
        <w:t>.</w:t>
      </w:r>
      <w:r w:rsidR="005D55C2" w:rsidRPr="00E60D46">
        <w:t xml:space="preserve">   I have already cited s 2(1) of the Act </w:t>
      </w:r>
      <w:r w:rsidR="00CA63C6" w:rsidRPr="00E60D46">
        <w:t>in the relevant part that defines “lawful authority”.</w:t>
      </w:r>
    </w:p>
    <w:p w:rsidR="00DF05E0" w:rsidRPr="00E60D46" w:rsidRDefault="00DF05E0" w:rsidP="00C64996">
      <w:pPr>
        <w:pStyle w:val="NoSpacing"/>
        <w:spacing w:line="480" w:lineRule="auto"/>
        <w:jc w:val="both"/>
      </w:pPr>
    </w:p>
    <w:p w:rsidR="0086751E" w:rsidRPr="00E60D46" w:rsidRDefault="00B618CD" w:rsidP="00D5224A">
      <w:pPr>
        <w:pStyle w:val="NoSpacing"/>
        <w:spacing w:line="480" w:lineRule="auto"/>
        <w:jc w:val="both"/>
      </w:pPr>
      <w:r w:rsidRPr="00E60D46">
        <w:tab/>
        <w:t>Section 16B(6) of the Constitution provides as follows:</w:t>
      </w:r>
    </w:p>
    <w:p w:rsidR="00B618CD" w:rsidRPr="00E60D46" w:rsidRDefault="00B618CD" w:rsidP="00B618CD">
      <w:pPr>
        <w:pStyle w:val="NoSpacing"/>
        <w:jc w:val="both"/>
      </w:pPr>
    </w:p>
    <w:p w:rsidR="00B618CD" w:rsidRPr="00E60D46" w:rsidRDefault="00AD7463" w:rsidP="00AD7463">
      <w:pPr>
        <w:pStyle w:val="NoSpacing"/>
        <w:ind w:left="720" w:firstLine="720"/>
        <w:jc w:val="both"/>
      </w:pPr>
      <w:r w:rsidRPr="00E60D46">
        <w:t>“</w:t>
      </w:r>
      <w:r w:rsidRPr="00E60D46">
        <w:rPr>
          <w:b/>
        </w:rPr>
        <w:t>16B</w:t>
      </w:r>
      <w:r w:rsidRPr="00E60D46">
        <w:rPr>
          <w:b/>
        </w:rPr>
        <w:tab/>
      </w:r>
      <w:r w:rsidRPr="00E60D46">
        <w:t>(6) An Act of Parliament may make it a criminal offence for any person, without lawful authority, to possess or occupy land referred to in this section or other State land.”</w:t>
      </w:r>
    </w:p>
    <w:p w:rsidR="009D7581" w:rsidRPr="00E60D46" w:rsidRDefault="009D7581" w:rsidP="00697ED6">
      <w:pPr>
        <w:pStyle w:val="NoSpacing"/>
        <w:spacing w:line="480" w:lineRule="auto"/>
        <w:jc w:val="both"/>
      </w:pPr>
    </w:p>
    <w:p w:rsidR="00AD7463" w:rsidRPr="00E60D46" w:rsidRDefault="00AD7463" w:rsidP="00697ED6">
      <w:pPr>
        <w:pStyle w:val="NoSpacing"/>
        <w:spacing w:line="480" w:lineRule="auto"/>
        <w:jc w:val="both"/>
      </w:pPr>
      <w:r w:rsidRPr="00E60D46">
        <w:tab/>
      </w:r>
      <w:r w:rsidRPr="00E60D46">
        <w:tab/>
        <w:t xml:space="preserve">The issue here is whether or not </w:t>
      </w:r>
      <w:r w:rsidR="001A18ED" w:rsidRPr="00E60D46">
        <w:t>the</w:t>
      </w:r>
      <w:r w:rsidRPr="00E60D46">
        <w:t xml:space="preserve"> concept of </w:t>
      </w:r>
      <w:r w:rsidR="001A18ED" w:rsidRPr="00E60D46">
        <w:t>“</w:t>
      </w:r>
      <w:r w:rsidRPr="00E60D46">
        <w:t>law</w:t>
      </w:r>
      <w:r w:rsidR="001A18ED" w:rsidRPr="00E60D46">
        <w:t>ful authority”</w:t>
      </w:r>
      <w:r w:rsidRPr="00E60D46">
        <w:t xml:space="preserve"> in </w:t>
      </w:r>
      <w:r w:rsidR="002D740D" w:rsidRPr="00E60D46">
        <w:t>the</w:t>
      </w:r>
      <w:r w:rsidRPr="00E60D46">
        <w:t xml:space="preserve"> Constitution </w:t>
      </w:r>
      <w:r w:rsidR="001A18ED" w:rsidRPr="00E60D46">
        <w:t>is</w:t>
      </w:r>
      <w:r w:rsidRPr="00E60D46">
        <w:t xml:space="preserve"> fettered by the definition </w:t>
      </w:r>
      <w:r w:rsidR="001A18ED" w:rsidRPr="00E60D46">
        <w:t xml:space="preserve">of “lawful authority” </w:t>
      </w:r>
      <w:r w:rsidRPr="00E60D46">
        <w:t xml:space="preserve">in the </w:t>
      </w:r>
      <w:r w:rsidR="001A18ED" w:rsidRPr="00E60D46">
        <w:t>Act</w:t>
      </w:r>
      <w:r w:rsidRPr="00E60D46">
        <w:t>.</w:t>
      </w:r>
    </w:p>
    <w:p w:rsidR="00AD7463" w:rsidRPr="00E60D46" w:rsidRDefault="00AD7463" w:rsidP="00697ED6">
      <w:pPr>
        <w:pStyle w:val="NoSpacing"/>
        <w:spacing w:line="480" w:lineRule="auto"/>
        <w:jc w:val="both"/>
      </w:pPr>
    </w:p>
    <w:p w:rsidR="00AD7463" w:rsidRPr="00E60D46" w:rsidRDefault="00AD7463" w:rsidP="00697ED6">
      <w:pPr>
        <w:pStyle w:val="NoSpacing"/>
        <w:spacing w:line="480" w:lineRule="auto"/>
        <w:jc w:val="both"/>
      </w:pPr>
      <w:r w:rsidRPr="00E60D46">
        <w:tab/>
      </w:r>
      <w:r w:rsidRPr="00E60D46">
        <w:tab/>
        <w:t>The applicant</w:t>
      </w:r>
      <w:r w:rsidR="00E345DD" w:rsidRPr="00E60D46">
        <w:t xml:space="preserve">, in his submission that s 2 of the Act is </w:t>
      </w:r>
      <w:r w:rsidR="00E345DD" w:rsidRPr="00E60D46">
        <w:rPr>
          <w:i/>
        </w:rPr>
        <w:t>ultra vires</w:t>
      </w:r>
      <w:r w:rsidR="00E345DD" w:rsidRPr="00E60D46">
        <w:t xml:space="preserve"> s 16B(6) of the Constitution,</w:t>
      </w:r>
      <w:r w:rsidRPr="00E60D46">
        <w:t xml:space="preserve"> relied heavily on the decision of this Court in </w:t>
      </w:r>
      <w:r w:rsidRPr="00E60D46">
        <w:rPr>
          <w:i/>
        </w:rPr>
        <w:t>SC Shaw (Pvt) Ltd v Minister of Lands and Agricultural Resettlement</w:t>
      </w:r>
      <w:r w:rsidRPr="00E60D46">
        <w:t xml:space="preserve"> 2005 (2) ZLR 153 (SC), where it was held that the discretion of the Administrative Court to determine what was reasonably necessary could not be fettered or restricted by an Act of Parliament without</w:t>
      </w:r>
      <w:r w:rsidR="00F3346A" w:rsidRPr="00E60D46">
        <w:t xml:space="preserve"> first amending the Constitution.</w:t>
      </w:r>
    </w:p>
    <w:p w:rsidR="000F6899" w:rsidRPr="00E60D46" w:rsidRDefault="000F6899" w:rsidP="00697ED6">
      <w:pPr>
        <w:pStyle w:val="NoSpacing"/>
        <w:spacing w:line="480" w:lineRule="auto"/>
        <w:jc w:val="both"/>
      </w:pPr>
    </w:p>
    <w:p w:rsidR="000F6899" w:rsidRPr="00E60D46" w:rsidRDefault="000F6899" w:rsidP="00697ED6">
      <w:pPr>
        <w:pStyle w:val="NoSpacing"/>
        <w:spacing w:line="480" w:lineRule="auto"/>
        <w:jc w:val="both"/>
      </w:pPr>
      <w:r w:rsidRPr="00E60D46">
        <w:tab/>
      </w:r>
      <w:r w:rsidRPr="00E60D46">
        <w:tab/>
        <w:t>I am not persuaded by this submission for a number of reasons.</w:t>
      </w:r>
    </w:p>
    <w:p w:rsidR="00F3346A" w:rsidRPr="00E60D46" w:rsidRDefault="00F3346A" w:rsidP="00697ED6">
      <w:pPr>
        <w:pStyle w:val="NoSpacing"/>
        <w:spacing w:line="480" w:lineRule="auto"/>
        <w:jc w:val="both"/>
      </w:pPr>
    </w:p>
    <w:p w:rsidR="00F3346A" w:rsidRPr="00E60D46" w:rsidRDefault="00F3346A" w:rsidP="00697ED6">
      <w:pPr>
        <w:pStyle w:val="NoSpacing"/>
        <w:spacing w:line="480" w:lineRule="auto"/>
        <w:jc w:val="both"/>
      </w:pPr>
      <w:r w:rsidRPr="00E60D46">
        <w:tab/>
      </w:r>
      <w:r w:rsidRPr="00E60D46">
        <w:tab/>
        <w:t>It is common cause that s 16B(6) of the Constitution does not define the concept of “lawful authority”.   As a result of this</w:t>
      </w:r>
      <w:r w:rsidR="002D740D" w:rsidRPr="00E60D46">
        <w:t>,</w:t>
      </w:r>
      <w:r w:rsidRPr="00E60D46">
        <w:t xml:space="preserve"> the applicant</w:t>
      </w:r>
      <w:r w:rsidR="000F6899" w:rsidRPr="00E60D46">
        <w:t>’s</w:t>
      </w:r>
      <w:r w:rsidRPr="00E60D46">
        <w:t xml:space="preserve"> conten</w:t>
      </w:r>
      <w:r w:rsidR="000F6899" w:rsidRPr="00E60D46">
        <w:t>tion</w:t>
      </w:r>
      <w:r w:rsidRPr="00E60D46">
        <w:t xml:space="preserve"> that the </w:t>
      </w:r>
      <w:r w:rsidR="000F6899" w:rsidRPr="00E60D46">
        <w:t>Act violates a concept which the Constitution does not define is untenable.   The Constitution d</w:t>
      </w:r>
      <w:r w:rsidR="004915EF" w:rsidRPr="00E60D46">
        <w:t>oes</w:t>
      </w:r>
      <w:r w:rsidR="000F6899" w:rsidRPr="00E60D46">
        <w:t xml:space="preserve"> not confer </w:t>
      </w:r>
      <w:r w:rsidR="004915EF" w:rsidRPr="00E60D46">
        <w:t xml:space="preserve">on the courts </w:t>
      </w:r>
      <w:r w:rsidR="000F6899" w:rsidRPr="00E60D46">
        <w:t xml:space="preserve">the power </w:t>
      </w:r>
      <w:r w:rsidR="004915EF" w:rsidRPr="00E60D46">
        <w:t>to determine</w:t>
      </w:r>
      <w:r w:rsidR="000F6899" w:rsidRPr="00E60D46">
        <w:t xml:space="preserve"> what constitutes “lawful authority”</w:t>
      </w:r>
      <w:r w:rsidRPr="00E60D46">
        <w:t>.</w:t>
      </w:r>
      <w:r w:rsidR="008339BC" w:rsidRPr="00E60D46">
        <w:t xml:space="preserve">   The Act therefore cannot take away from the courts that which the Constitution has not conferred on the courts.</w:t>
      </w:r>
    </w:p>
    <w:p w:rsidR="00F3346A" w:rsidRPr="00E60D46" w:rsidRDefault="00F3346A" w:rsidP="00697ED6">
      <w:pPr>
        <w:pStyle w:val="NoSpacing"/>
        <w:spacing w:line="480" w:lineRule="auto"/>
        <w:jc w:val="both"/>
      </w:pPr>
    </w:p>
    <w:p w:rsidR="00F3346A" w:rsidRPr="00E60D46" w:rsidRDefault="00F3346A" w:rsidP="00697ED6">
      <w:pPr>
        <w:pStyle w:val="NoSpacing"/>
        <w:spacing w:line="480" w:lineRule="auto"/>
        <w:jc w:val="both"/>
      </w:pPr>
      <w:r w:rsidRPr="00E60D46">
        <w:tab/>
      </w:r>
      <w:r w:rsidRPr="00E60D46">
        <w:tab/>
      </w:r>
      <w:r w:rsidR="000012F0" w:rsidRPr="00E60D46">
        <w:t>A</w:t>
      </w:r>
      <w:r w:rsidRPr="00E60D46">
        <w:t xml:space="preserve"> careful reading of s 16B(6) of the Constitution</w:t>
      </w:r>
      <w:r w:rsidR="002D740D" w:rsidRPr="00E60D46">
        <w:t xml:space="preserve"> shows that it</w:t>
      </w:r>
      <w:r w:rsidRPr="00E60D46">
        <w:t xml:space="preserve"> specifically allows Parliament to </w:t>
      </w:r>
      <w:r w:rsidR="008F4D79" w:rsidRPr="00E60D46">
        <w:t>create</w:t>
      </w:r>
      <w:r w:rsidRPr="00E60D46">
        <w:t xml:space="preserve"> a criminal offence for any person, without lawful authority, to possess or occupy gazetted land or other State land.   For Parliament to successfully create such an offence it has to define the concept of “lawful authority” first.   </w:t>
      </w:r>
      <w:r w:rsidR="004E50E4" w:rsidRPr="00E60D46">
        <w:t>The framers of</w:t>
      </w:r>
      <w:r w:rsidRPr="00E60D46">
        <w:t xml:space="preserve"> the Constitution, by expressly </w:t>
      </w:r>
      <w:r w:rsidR="002F3DC5" w:rsidRPr="00E60D46">
        <w:t xml:space="preserve">conferring on </w:t>
      </w:r>
      <w:r w:rsidRPr="00E60D46">
        <w:t xml:space="preserve">Parliament </w:t>
      </w:r>
      <w:r w:rsidR="002F3DC5" w:rsidRPr="00E60D46">
        <w:t xml:space="preserve">the power </w:t>
      </w:r>
      <w:r w:rsidRPr="00E60D46">
        <w:t xml:space="preserve">to enact </w:t>
      </w:r>
      <w:r w:rsidR="008D6E69" w:rsidRPr="00E60D46">
        <w:t xml:space="preserve">a </w:t>
      </w:r>
      <w:r w:rsidRPr="00E60D46">
        <w:t>law that criminalise</w:t>
      </w:r>
      <w:r w:rsidR="008D6E69" w:rsidRPr="00E60D46">
        <w:t>s</w:t>
      </w:r>
      <w:r w:rsidRPr="00E60D46">
        <w:t xml:space="preserve"> the possession or occupation </w:t>
      </w:r>
      <w:r w:rsidR="007F15D2" w:rsidRPr="00E60D46">
        <w:t xml:space="preserve">of gazetted land by any person </w:t>
      </w:r>
      <w:r w:rsidR="00516502" w:rsidRPr="00E60D46">
        <w:t>“</w:t>
      </w:r>
      <w:r w:rsidR="007F15D2" w:rsidRPr="00E60D46">
        <w:t>without lawful authority</w:t>
      </w:r>
      <w:r w:rsidR="00516502" w:rsidRPr="00E60D46">
        <w:t>”</w:t>
      </w:r>
      <w:r w:rsidR="007F15D2" w:rsidRPr="00E60D46">
        <w:t>, must have inten</w:t>
      </w:r>
      <w:r w:rsidR="004E50E4" w:rsidRPr="00E60D46">
        <w:t>ded to confer on</w:t>
      </w:r>
      <w:r w:rsidR="007F15D2" w:rsidRPr="00E60D46">
        <w:t xml:space="preserve"> the Legislature </w:t>
      </w:r>
      <w:r w:rsidR="004E50E4" w:rsidRPr="00E60D46">
        <w:t>the power</w:t>
      </w:r>
      <w:r w:rsidR="007F15D2" w:rsidRPr="00E60D46">
        <w:t xml:space="preserve"> to define the concept of “lawful autho</w:t>
      </w:r>
      <w:r w:rsidR="008D6E69" w:rsidRPr="00E60D46">
        <w:t>r</w:t>
      </w:r>
      <w:r w:rsidR="007F15D2" w:rsidRPr="00E60D46">
        <w:t>ity"</w:t>
      </w:r>
      <w:r w:rsidR="008D6E69" w:rsidRPr="00E60D46">
        <w:t xml:space="preserve">.   Parliament </w:t>
      </w:r>
      <w:r w:rsidR="003140FC" w:rsidRPr="00E60D46">
        <w:t>could not have</w:t>
      </w:r>
      <w:r w:rsidR="008D6E69" w:rsidRPr="00E60D46">
        <w:t xml:space="preserve"> </w:t>
      </w:r>
      <w:r w:rsidR="003140FC" w:rsidRPr="00E60D46">
        <w:t xml:space="preserve">properly </w:t>
      </w:r>
      <w:r w:rsidR="008D6E69" w:rsidRPr="00E60D46">
        <w:t>enact</w:t>
      </w:r>
      <w:r w:rsidR="003140FC" w:rsidRPr="00E60D46">
        <w:t>ed</w:t>
      </w:r>
      <w:r w:rsidR="008D6E69" w:rsidRPr="00E60D46">
        <w:t xml:space="preserve"> a</w:t>
      </w:r>
      <w:r w:rsidR="0061243D" w:rsidRPr="00E60D46">
        <w:t xml:space="preserve"> valid</w:t>
      </w:r>
      <w:r w:rsidR="008D6E69" w:rsidRPr="00E60D46">
        <w:t xml:space="preserve"> law </w:t>
      </w:r>
      <w:r w:rsidR="0061243D" w:rsidRPr="00E60D46">
        <w:t>that criminalises the occupation or use of land with</w:t>
      </w:r>
      <w:r w:rsidR="002F3DC5" w:rsidRPr="00E60D46">
        <w:t>out defining</w:t>
      </w:r>
      <w:r w:rsidR="0061243D" w:rsidRPr="00E60D46">
        <w:t xml:space="preserve"> what constitutes</w:t>
      </w:r>
      <w:r w:rsidR="004769FF" w:rsidRPr="00E60D46">
        <w:t xml:space="preserve"> </w:t>
      </w:r>
      <w:r w:rsidR="008D6E69" w:rsidRPr="00E60D46">
        <w:t>“lawful authority”.</w:t>
      </w:r>
      <w:r w:rsidR="0061243D" w:rsidRPr="00E60D46">
        <w:t xml:space="preserve">   A criminal </w:t>
      </w:r>
      <w:r w:rsidR="002F3DC5" w:rsidRPr="00E60D46">
        <w:t xml:space="preserve">enactment </w:t>
      </w:r>
      <w:r w:rsidR="00C86FB3" w:rsidRPr="00E60D46">
        <w:t>that does not define what constitutes “lawful authority” would be too</w:t>
      </w:r>
      <w:r w:rsidR="004E50E4" w:rsidRPr="00E60D46">
        <w:t xml:space="preserve"> vague</w:t>
      </w:r>
      <w:r w:rsidR="002F3DC5" w:rsidRPr="00E60D46">
        <w:t xml:space="preserve">.  </w:t>
      </w:r>
      <w:r w:rsidR="00DF6F55" w:rsidRPr="00E60D46">
        <w:t>An enactment that creates a criminal offence</w:t>
      </w:r>
      <w:r w:rsidR="004E50E4" w:rsidRPr="00E60D46">
        <w:t xml:space="preserve"> </w:t>
      </w:r>
      <w:r w:rsidR="00DF6F55" w:rsidRPr="00E60D46">
        <w:t>has to be sufficiently clear and precise to be constitutional</w:t>
      </w:r>
      <w:r w:rsidR="0061243D" w:rsidRPr="00E60D46">
        <w:t xml:space="preserve">.   A citizen is constitutionally entitled to know exactly when he/she contravenes the law.   The definition of “lawful authority” enables the citizen to </w:t>
      </w:r>
      <w:r w:rsidR="004E50E4" w:rsidRPr="00E60D46">
        <w:t>know exactly when it is that he can occupy gazetted land lawfully</w:t>
      </w:r>
      <w:r w:rsidR="00DF6F55" w:rsidRPr="00E60D46">
        <w:t xml:space="preserve"> without committing a criminal offence</w:t>
      </w:r>
      <w:r w:rsidR="0061243D" w:rsidRPr="00E60D46">
        <w:t>.</w:t>
      </w:r>
    </w:p>
    <w:p w:rsidR="008D6E69" w:rsidRPr="00E60D46" w:rsidRDefault="008D6E69" w:rsidP="00697ED6">
      <w:pPr>
        <w:pStyle w:val="NoSpacing"/>
        <w:spacing w:line="480" w:lineRule="auto"/>
        <w:jc w:val="both"/>
      </w:pPr>
    </w:p>
    <w:p w:rsidR="008D6E69" w:rsidRPr="00E60D46" w:rsidRDefault="008D6E69" w:rsidP="00697ED6">
      <w:pPr>
        <w:pStyle w:val="NoSpacing"/>
        <w:spacing w:line="480" w:lineRule="auto"/>
        <w:jc w:val="both"/>
      </w:pPr>
      <w:r w:rsidRPr="00E60D46">
        <w:tab/>
      </w:r>
      <w:r w:rsidRPr="00E60D46">
        <w:tab/>
      </w:r>
      <w:r w:rsidR="0077100F" w:rsidRPr="00E60D46">
        <w:t>T</w:t>
      </w:r>
      <w:r w:rsidR="002B3360" w:rsidRPr="00E60D46">
        <w:t xml:space="preserve">he facts and circumstances of this case are distinguishable from those in </w:t>
      </w:r>
      <w:r w:rsidR="002B3360" w:rsidRPr="00E60D46">
        <w:rPr>
          <w:i/>
        </w:rPr>
        <w:t>SC Shaw (Pvt) Ltd supra</w:t>
      </w:r>
      <w:r w:rsidR="002B3360" w:rsidRPr="00E60D46">
        <w:t xml:space="preserve">.   In </w:t>
      </w:r>
      <w:r w:rsidR="002B3360" w:rsidRPr="00E60D46">
        <w:rPr>
          <w:i/>
        </w:rPr>
        <w:t>SC Shaw (Pvt) Ltd supra</w:t>
      </w:r>
      <w:r w:rsidR="002B3360" w:rsidRPr="00E60D46">
        <w:t xml:space="preserve"> Parliament had enacted laws, which in effect limited the Administrative Court’s discretion that it previously enjoyed in determining whether reasonably necessary grounds for the acquisition of the land existed.   In this case, there was no form of “lawful authority” enjoyed by the former owners or occupi</w:t>
      </w:r>
      <w:r w:rsidR="00720804" w:rsidRPr="00E60D46">
        <w:t>e</w:t>
      </w:r>
      <w:r w:rsidR="002B3360" w:rsidRPr="00E60D46">
        <w:t>rs of gazetted land</w:t>
      </w:r>
      <w:r w:rsidR="00720804" w:rsidRPr="00E60D46">
        <w:t xml:space="preserve"> that has been negated by s 2 of the Act.   The allegation that the definition of “lawful authority” provided for in s 2 of the Act impinges upon s 16B(6) of the Constitution is far-fetched and premised on an incorrect interpretation of that provision.</w:t>
      </w:r>
    </w:p>
    <w:p w:rsidR="00720804" w:rsidRPr="00E60D46" w:rsidRDefault="00720804" w:rsidP="00697ED6">
      <w:pPr>
        <w:pStyle w:val="NoSpacing"/>
        <w:spacing w:line="480" w:lineRule="auto"/>
        <w:jc w:val="both"/>
      </w:pPr>
    </w:p>
    <w:p w:rsidR="00720804" w:rsidRPr="00E60D46" w:rsidRDefault="00720804" w:rsidP="00697ED6">
      <w:pPr>
        <w:pStyle w:val="NoSpacing"/>
        <w:spacing w:line="480" w:lineRule="auto"/>
        <w:jc w:val="both"/>
      </w:pPr>
      <w:r w:rsidRPr="00E60D46">
        <w:lastRenderedPageBreak/>
        <w:tab/>
      </w:r>
      <w:r w:rsidRPr="00E60D46">
        <w:tab/>
        <w:t>Consequently, this submission also fails.</w:t>
      </w:r>
    </w:p>
    <w:p w:rsidR="00720804" w:rsidRPr="00E60D46" w:rsidRDefault="00720804" w:rsidP="00697ED6">
      <w:pPr>
        <w:pStyle w:val="NoSpacing"/>
        <w:spacing w:line="480" w:lineRule="auto"/>
        <w:jc w:val="both"/>
      </w:pPr>
    </w:p>
    <w:p w:rsidR="00720804" w:rsidRPr="00E60D46" w:rsidRDefault="00720804" w:rsidP="00697ED6">
      <w:pPr>
        <w:pStyle w:val="NoSpacing"/>
        <w:spacing w:line="480" w:lineRule="auto"/>
        <w:jc w:val="both"/>
      </w:pPr>
      <w:r w:rsidRPr="00E60D46">
        <w:tab/>
      </w:r>
      <w:r w:rsidRPr="00E60D46">
        <w:tab/>
        <w:t>In the result, I am satisfied that this application has no merit and must be dismissed with no order as to costs.</w:t>
      </w:r>
    </w:p>
    <w:p w:rsidR="00AD7463" w:rsidRPr="00E60D46" w:rsidRDefault="00AD7463" w:rsidP="00697ED6">
      <w:pPr>
        <w:pStyle w:val="NoSpacing"/>
        <w:spacing w:line="480" w:lineRule="auto"/>
        <w:jc w:val="both"/>
      </w:pPr>
    </w:p>
    <w:p w:rsidR="00AD7463" w:rsidRPr="00E60D46" w:rsidRDefault="00AD7463" w:rsidP="00697ED6">
      <w:pPr>
        <w:pStyle w:val="NoSpacing"/>
        <w:spacing w:line="480" w:lineRule="auto"/>
        <w:jc w:val="both"/>
      </w:pPr>
    </w:p>
    <w:p w:rsidR="00697ED6" w:rsidRPr="00E60D46" w:rsidRDefault="00697ED6" w:rsidP="00697ED6">
      <w:pPr>
        <w:pStyle w:val="NoSpacing"/>
        <w:spacing w:line="480" w:lineRule="auto"/>
        <w:jc w:val="both"/>
      </w:pPr>
      <w:r w:rsidRPr="00E60D46">
        <w:tab/>
      </w:r>
      <w:r w:rsidRPr="00E60D46">
        <w:tab/>
      </w:r>
      <w:r w:rsidRPr="00E60D46">
        <w:rPr>
          <w:b/>
        </w:rPr>
        <w:t>MALABA DCJ</w:t>
      </w:r>
      <w:r w:rsidRPr="00E60D46">
        <w:t>:     I agree</w:t>
      </w:r>
    </w:p>
    <w:p w:rsidR="00697ED6" w:rsidRPr="00E60D46" w:rsidRDefault="00697ED6" w:rsidP="00697ED6">
      <w:pPr>
        <w:pStyle w:val="NoSpacing"/>
        <w:rPr>
          <w:b/>
        </w:rPr>
      </w:pPr>
    </w:p>
    <w:p w:rsidR="00697ED6" w:rsidRPr="00E60D46" w:rsidRDefault="00697ED6" w:rsidP="00697ED6">
      <w:pPr>
        <w:pStyle w:val="NoSpacing"/>
        <w:spacing w:line="480" w:lineRule="auto"/>
        <w:jc w:val="both"/>
      </w:pPr>
    </w:p>
    <w:p w:rsidR="00697ED6" w:rsidRPr="00E60D46" w:rsidRDefault="00697ED6" w:rsidP="00697ED6">
      <w:pPr>
        <w:pStyle w:val="NoSpacing"/>
        <w:spacing w:line="480" w:lineRule="auto"/>
        <w:jc w:val="both"/>
      </w:pPr>
      <w:r w:rsidRPr="00E60D46">
        <w:tab/>
      </w:r>
      <w:r w:rsidRPr="00E60D46">
        <w:tab/>
      </w:r>
      <w:r w:rsidRPr="00E60D46">
        <w:rPr>
          <w:b/>
        </w:rPr>
        <w:t>ZIYAMBI JA</w:t>
      </w:r>
      <w:r w:rsidRPr="00E60D46">
        <w:t>:     I agree</w:t>
      </w:r>
    </w:p>
    <w:p w:rsidR="00697ED6" w:rsidRPr="00E60D46" w:rsidRDefault="00697ED6" w:rsidP="00697ED6">
      <w:pPr>
        <w:pStyle w:val="NoSpacing"/>
        <w:spacing w:line="480" w:lineRule="auto"/>
        <w:jc w:val="both"/>
      </w:pPr>
    </w:p>
    <w:p w:rsidR="00697ED6" w:rsidRPr="00E60D46" w:rsidRDefault="00697ED6" w:rsidP="00697ED6">
      <w:pPr>
        <w:pStyle w:val="NoSpacing"/>
        <w:spacing w:line="480" w:lineRule="auto"/>
        <w:jc w:val="both"/>
      </w:pPr>
    </w:p>
    <w:p w:rsidR="00697ED6" w:rsidRPr="00E60D46" w:rsidRDefault="00697ED6" w:rsidP="00697ED6">
      <w:pPr>
        <w:pStyle w:val="NoSpacing"/>
        <w:spacing w:line="480" w:lineRule="auto"/>
        <w:jc w:val="both"/>
      </w:pPr>
      <w:r w:rsidRPr="00E60D46">
        <w:tab/>
      </w:r>
      <w:r w:rsidRPr="00E60D46">
        <w:tab/>
      </w:r>
      <w:r w:rsidRPr="00E60D46">
        <w:rPr>
          <w:b/>
        </w:rPr>
        <w:t>GARWE JA</w:t>
      </w:r>
      <w:r w:rsidRPr="00E60D46">
        <w:t>:     I agree</w:t>
      </w:r>
    </w:p>
    <w:p w:rsidR="003E5811" w:rsidRPr="00E60D46" w:rsidRDefault="003E5811" w:rsidP="00697ED6">
      <w:pPr>
        <w:pStyle w:val="NoSpacing"/>
        <w:spacing w:line="480" w:lineRule="auto"/>
        <w:jc w:val="both"/>
      </w:pPr>
    </w:p>
    <w:p w:rsidR="003E5811" w:rsidRPr="00E60D46" w:rsidRDefault="003E5811" w:rsidP="00697ED6">
      <w:pPr>
        <w:pStyle w:val="NoSpacing"/>
        <w:spacing w:line="480" w:lineRule="auto"/>
        <w:jc w:val="both"/>
      </w:pPr>
    </w:p>
    <w:p w:rsidR="00F35F1F" w:rsidRPr="00E60D46" w:rsidRDefault="00CA3F71" w:rsidP="00CA3F71">
      <w:pPr>
        <w:pStyle w:val="NoSpacing"/>
        <w:spacing w:line="480" w:lineRule="auto"/>
        <w:ind w:left="720" w:firstLine="720"/>
        <w:jc w:val="both"/>
        <w:rPr>
          <w:b/>
        </w:rPr>
      </w:pPr>
      <w:r>
        <w:rPr>
          <w:b/>
        </w:rPr>
        <w:t>CH</w:t>
      </w:r>
      <w:r w:rsidR="00DB1142" w:rsidRPr="00E60D46">
        <w:rPr>
          <w:b/>
        </w:rPr>
        <w:t>EDA AJA</w:t>
      </w:r>
      <w:r w:rsidR="00F35F1F" w:rsidRPr="00E60D46">
        <w:t xml:space="preserve">:     </w:t>
      </w:r>
      <w:r w:rsidR="00F35F1F" w:rsidRPr="00E60D46">
        <w:rPr>
          <w:b/>
        </w:rPr>
        <w:t>(Retired)</w:t>
      </w:r>
    </w:p>
    <w:p w:rsidR="00DB1142" w:rsidRDefault="00DB1142" w:rsidP="00DB1142">
      <w:pPr>
        <w:pStyle w:val="NoSpacing"/>
        <w:spacing w:line="480" w:lineRule="auto"/>
        <w:jc w:val="both"/>
      </w:pPr>
    </w:p>
    <w:p w:rsidR="00232F9D" w:rsidRPr="00E60D46" w:rsidRDefault="00232F9D" w:rsidP="00DB1142">
      <w:pPr>
        <w:pStyle w:val="NoSpacing"/>
        <w:spacing w:line="480" w:lineRule="auto"/>
        <w:jc w:val="both"/>
      </w:pPr>
    </w:p>
    <w:p w:rsidR="00697ED6" w:rsidRPr="00E60D46" w:rsidRDefault="003E5811" w:rsidP="001932C4">
      <w:pPr>
        <w:pStyle w:val="NoSpacing"/>
      </w:pPr>
      <w:r w:rsidRPr="00E60D46">
        <w:rPr>
          <w:i/>
        </w:rPr>
        <w:t xml:space="preserve">Coghlan, Welsh &amp; </w:t>
      </w:r>
      <w:r w:rsidRPr="00E60D46">
        <w:t>Guest, a</w:t>
      </w:r>
      <w:r w:rsidR="00697ED6" w:rsidRPr="00E60D46">
        <w:t>pplicant’s legal practitioners</w:t>
      </w:r>
    </w:p>
    <w:p w:rsidR="003E5811" w:rsidRPr="00E60D46" w:rsidRDefault="003E5811" w:rsidP="001932C4">
      <w:pPr>
        <w:pStyle w:val="NoSpacing"/>
      </w:pPr>
    </w:p>
    <w:p w:rsidR="003E5811" w:rsidRPr="00E60D46" w:rsidRDefault="003E5811" w:rsidP="001932C4">
      <w:pPr>
        <w:pStyle w:val="NoSpacing"/>
      </w:pPr>
      <w:r w:rsidRPr="00E60D46">
        <w:rPr>
          <w:i/>
        </w:rPr>
        <w:t>The Attorney-General’s Office</w:t>
      </w:r>
      <w:r w:rsidRPr="00E60D46">
        <w:t>, second respondent’s legal practitioners</w:t>
      </w:r>
    </w:p>
    <w:sectPr w:rsidR="003E5811" w:rsidRPr="00E60D46" w:rsidSect="00DB1142">
      <w:head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4677" w:rsidRDefault="008E4677" w:rsidP="00DB1142">
      <w:r>
        <w:separator/>
      </w:r>
    </w:p>
  </w:endnote>
  <w:endnote w:type="continuationSeparator" w:id="0">
    <w:p w:rsidR="008E4677" w:rsidRDefault="008E4677" w:rsidP="00DB11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4677" w:rsidRDefault="008E4677" w:rsidP="00DB1142">
      <w:r>
        <w:separator/>
      </w:r>
    </w:p>
  </w:footnote>
  <w:footnote w:type="continuationSeparator" w:id="0">
    <w:p w:rsidR="008E4677" w:rsidRDefault="008E4677" w:rsidP="00DB11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Ind w:w="1152" w:type="dxa"/>
      <w:tblLook w:val="01E0" w:firstRow="1" w:lastRow="1" w:firstColumn="1" w:lastColumn="1" w:noHBand="0" w:noVBand="0"/>
    </w:tblPr>
    <w:tblGrid>
      <w:gridCol w:w="8090"/>
      <w:gridCol w:w="1152"/>
    </w:tblGrid>
    <w:tr w:rsidR="00B41E37">
      <w:tc>
        <w:tcPr>
          <w:tcW w:w="0" w:type="auto"/>
          <w:tcBorders>
            <w:right w:val="single" w:sz="6" w:space="0" w:color="000000" w:themeColor="text1"/>
          </w:tcBorders>
        </w:tcPr>
        <w:sdt>
          <w:sdtPr>
            <w:alias w:val="Company"/>
            <w:id w:val="78735422"/>
            <w:placeholder>
              <w:docPart w:val="9BDCC582F95149D3B10478B6A64225C7"/>
            </w:placeholder>
            <w:dataBinding w:prefixMappings="xmlns:ns0='http://schemas.openxmlformats.org/officeDocument/2006/extended-properties'" w:xpath="/ns0:Properties[1]/ns0:Company[1]" w:storeItemID="{6668398D-A668-4E3E-A5EB-62B293D839F1}"/>
            <w:text/>
          </w:sdtPr>
          <w:sdtEndPr/>
          <w:sdtContent>
            <w:p w:rsidR="00B41E37" w:rsidRDefault="00B41E37">
              <w:pPr>
                <w:pStyle w:val="Header"/>
                <w:jc w:val="right"/>
              </w:pPr>
              <w:r>
                <w:t xml:space="preserve">Judgment No. CCZ </w:t>
              </w:r>
              <w:r w:rsidR="004D3298">
                <w:t>10</w:t>
              </w:r>
              <w:r>
                <w:t>/14</w:t>
              </w:r>
            </w:p>
          </w:sdtContent>
        </w:sdt>
        <w:sdt>
          <w:sdtPr>
            <w:rPr>
              <w:bCs/>
            </w:rPr>
            <w:alias w:val="Title"/>
            <w:id w:val="78735415"/>
            <w:placeholder>
              <w:docPart w:val="6E3FD496DF0347E3A30259E4B4BC18A0"/>
            </w:placeholder>
            <w:dataBinding w:prefixMappings="xmlns:ns0='http://schemas.openxmlformats.org/package/2006/metadata/core-properties' xmlns:ns1='http://purl.org/dc/elements/1.1/'" w:xpath="/ns0:coreProperties[1]/ns1:title[1]" w:storeItemID="{6C3C8BC8-F283-45AE-878A-BAB7291924A1}"/>
            <w:text/>
          </w:sdtPr>
          <w:sdtEndPr/>
          <w:sdtContent>
            <w:p w:rsidR="00B41E37" w:rsidRDefault="00B41E37">
              <w:pPr>
                <w:pStyle w:val="Header"/>
                <w:jc w:val="right"/>
                <w:rPr>
                  <w:b/>
                  <w:bCs/>
                </w:rPr>
              </w:pPr>
              <w:r w:rsidRPr="00DB1142">
                <w:rPr>
                  <w:bCs/>
                </w:rPr>
                <w:t>Constitutional Application No. SC 226/10</w:t>
              </w:r>
            </w:p>
          </w:sdtContent>
        </w:sdt>
      </w:tc>
      <w:tc>
        <w:tcPr>
          <w:tcW w:w="1152" w:type="dxa"/>
          <w:tcBorders>
            <w:left w:val="single" w:sz="6" w:space="0" w:color="000000" w:themeColor="text1"/>
          </w:tcBorders>
        </w:tcPr>
        <w:p w:rsidR="00B41E37" w:rsidRDefault="00B41E37">
          <w:pPr>
            <w:pStyle w:val="Header"/>
            <w:rPr>
              <w:b/>
              <w:bCs/>
            </w:rPr>
          </w:pPr>
          <w:r>
            <w:fldChar w:fldCharType="begin"/>
          </w:r>
          <w:r>
            <w:instrText xml:space="preserve"> PAGE   \* MERGEFORMAT </w:instrText>
          </w:r>
          <w:r>
            <w:fldChar w:fldCharType="separate"/>
          </w:r>
          <w:r w:rsidR="003C5E53">
            <w:rPr>
              <w:noProof/>
            </w:rPr>
            <w:t>1</w:t>
          </w:r>
          <w:r>
            <w:rPr>
              <w:noProof/>
            </w:rPr>
            <w:fldChar w:fldCharType="end"/>
          </w:r>
        </w:p>
      </w:tc>
    </w:tr>
  </w:tbl>
  <w:p w:rsidR="00B41E37" w:rsidRDefault="00B41E3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2C4"/>
    <w:rsid w:val="000012F0"/>
    <w:rsid w:val="000036D4"/>
    <w:rsid w:val="00011C15"/>
    <w:rsid w:val="0003799D"/>
    <w:rsid w:val="00047A90"/>
    <w:rsid w:val="000522B8"/>
    <w:rsid w:val="00053382"/>
    <w:rsid w:val="00070BE0"/>
    <w:rsid w:val="00092F67"/>
    <w:rsid w:val="00096D4B"/>
    <w:rsid w:val="000B299C"/>
    <w:rsid w:val="000D0B35"/>
    <w:rsid w:val="000E3AB2"/>
    <w:rsid w:val="000F6899"/>
    <w:rsid w:val="00101402"/>
    <w:rsid w:val="00102B83"/>
    <w:rsid w:val="00105418"/>
    <w:rsid w:val="001113B2"/>
    <w:rsid w:val="00114B1D"/>
    <w:rsid w:val="00122213"/>
    <w:rsid w:val="00122AF4"/>
    <w:rsid w:val="00127236"/>
    <w:rsid w:val="00145BB4"/>
    <w:rsid w:val="00146B74"/>
    <w:rsid w:val="00160A17"/>
    <w:rsid w:val="001616A5"/>
    <w:rsid w:val="00161ADF"/>
    <w:rsid w:val="00164C4F"/>
    <w:rsid w:val="00170505"/>
    <w:rsid w:val="0018434F"/>
    <w:rsid w:val="001932C4"/>
    <w:rsid w:val="001A1539"/>
    <w:rsid w:val="001A18ED"/>
    <w:rsid w:val="001A249A"/>
    <w:rsid w:val="001A3927"/>
    <w:rsid w:val="001A39AF"/>
    <w:rsid w:val="001B3B11"/>
    <w:rsid w:val="001C0FE3"/>
    <w:rsid w:val="001C26B6"/>
    <w:rsid w:val="001C58FF"/>
    <w:rsid w:val="001C68FA"/>
    <w:rsid w:val="001D25A2"/>
    <w:rsid w:val="001F0C8F"/>
    <w:rsid w:val="00204B56"/>
    <w:rsid w:val="002057A8"/>
    <w:rsid w:val="00232EA7"/>
    <w:rsid w:val="00232F9D"/>
    <w:rsid w:val="00233D9F"/>
    <w:rsid w:val="00235F2C"/>
    <w:rsid w:val="002374EA"/>
    <w:rsid w:val="002441BB"/>
    <w:rsid w:val="002628AA"/>
    <w:rsid w:val="00263702"/>
    <w:rsid w:val="0028089C"/>
    <w:rsid w:val="00296BFE"/>
    <w:rsid w:val="002A5BAB"/>
    <w:rsid w:val="002B3360"/>
    <w:rsid w:val="002B3BB2"/>
    <w:rsid w:val="002C429A"/>
    <w:rsid w:val="002D252C"/>
    <w:rsid w:val="002D740D"/>
    <w:rsid w:val="002E52AB"/>
    <w:rsid w:val="002F0120"/>
    <w:rsid w:val="002F3DC5"/>
    <w:rsid w:val="0030680C"/>
    <w:rsid w:val="003140FC"/>
    <w:rsid w:val="00332B07"/>
    <w:rsid w:val="0034711F"/>
    <w:rsid w:val="00352B42"/>
    <w:rsid w:val="00383B9F"/>
    <w:rsid w:val="003B1027"/>
    <w:rsid w:val="003B12C6"/>
    <w:rsid w:val="003B58D3"/>
    <w:rsid w:val="003C0220"/>
    <w:rsid w:val="003C2BC0"/>
    <w:rsid w:val="003C5E53"/>
    <w:rsid w:val="003E320A"/>
    <w:rsid w:val="003E5811"/>
    <w:rsid w:val="003F352F"/>
    <w:rsid w:val="00400999"/>
    <w:rsid w:val="00401619"/>
    <w:rsid w:val="0040507F"/>
    <w:rsid w:val="00415179"/>
    <w:rsid w:val="00421A01"/>
    <w:rsid w:val="00430CA0"/>
    <w:rsid w:val="00436512"/>
    <w:rsid w:val="00445E6F"/>
    <w:rsid w:val="0047187A"/>
    <w:rsid w:val="004769FF"/>
    <w:rsid w:val="004915EF"/>
    <w:rsid w:val="004A23FB"/>
    <w:rsid w:val="004A35C3"/>
    <w:rsid w:val="004B57A5"/>
    <w:rsid w:val="004C42EC"/>
    <w:rsid w:val="004D3298"/>
    <w:rsid w:val="004D3FBC"/>
    <w:rsid w:val="004E50E4"/>
    <w:rsid w:val="004E7755"/>
    <w:rsid w:val="00516502"/>
    <w:rsid w:val="00523FB7"/>
    <w:rsid w:val="005326C8"/>
    <w:rsid w:val="00544EBE"/>
    <w:rsid w:val="00553834"/>
    <w:rsid w:val="0057110E"/>
    <w:rsid w:val="005814A6"/>
    <w:rsid w:val="005D55C2"/>
    <w:rsid w:val="005E19B2"/>
    <w:rsid w:val="005F1EFC"/>
    <w:rsid w:val="00603184"/>
    <w:rsid w:val="006045DF"/>
    <w:rsid w:val="0061243D"/>
    <w:rsid w:val="00634609"/>
    <w:rsid w:val="00643E7A"/>
    <w:rsid w:val="006502C9"/>
    <w:rsid w:val="00666554"/>
    <w:rsid w:val="00672E26"/>
    <w:rsid w:val="00675A51"/>
    <w:rsid w:val="00680D47"/>
    <w:rsid w:val="00687D2D"/>
    <w:rsid w:val="00694224"/>
    <w:rsid w:val="00697ED6"/>
    <w:rsid w:val="006A4316"/>
    <w:rsid w:val="006B4ABD"/>
    <w:rsid w:val="006C21D3"/>
    <w:rsid w:val="0070210B"/>
    <w:rsid w:val="00704BCC"/>
    <w:rsid w:val="007146EE"/>
    <w:rsid w:val="007207D3"/>
    <w:rsid w:val="00720804"/>
    <w:rsid w:val="00726BA0"/>
    <w:rsid w:val="007308E9"/>
    <w:rsid w:val="00735D40"/>
    <w:rsid w:val="00754D4D"/>
    <w:rsid w:val="00757AE4"/>
    <w:rsid w:val="0077100F"/>
    <w:rsid w:val="00793FDF"/>
    <w:rsid w:val="00794805"/>
    <w:rsid w:val="007A204B"/>
    <w:rsid w:val="007A4B1A"/>
    <w:rsid w:val="007C782C"/>
    <w:rsid w:val="007F15D2"/>
    <w:rsid w:val="008219A7"/>
    <w:rsid w:val="00826783"/>
    <w:rsid w:val="008339BC"/>
    <w:rsid w:val="00836414"/>
    <w:rsid w:val="00836EF8"/>
    <w:rsid w:val="00836F7F"/>
    <w:rsid w:val="00846988"/>
    <w:rsid w:val="008477ED"/>
    <w:rsid w:val="00855910"/>
    <w:rsid w:val="0086751E"/>
    <w:rsid w:val="00867689"/>
    <w:rsid w:val="00875998"/>
    <w:rsid w:val="008A1AC0"/>
    <w:rsid w:val="008A6E98"/>
    <w:rsid w:val="008B2398"/>
    <w:rsid w:val="008B3559"/>
    <w:rsid w:val="008D183B"/>
    <w:rsid w:val="008D6208"/>
    <w:rsid w:val="008D6D33"/>
    <w:rsid w:val="008D6E69"/>
    <w:rsid w:val="008E4677"/>
    <w:rsid w:val="008F410A"/>
    <w:rsid w:val="008F4D79"/>
    <w:rsid w:val="009071F1"/>
    <w:rsid w:val="00930DAB"/>
    <w:rsid w:val="0093607B"/>
    <w:rsid w:val="00936EA0"/>
    <w:rsid w:val="009435A2"/>
    <w:rsid w:val="00957B9D"/>
    <w:rsid w:val="0096249F"/>
    <w:rsid w:val="00967C97"/>
    <w:rsid w:val="009915C2"/>
    <w:rsid w:val="00996E69"/>
    <w:rsid w:val="00997BB2"/>
    <w:rsid w:val="009B2008"/>
    <w:rsid w:val="009C1195"/>
    <w:rsid w:val="009C5B8F"/>
    <w:rsid w:val="009C7BF7"/>
    <w:rsid w:val="009D7581"/>
    <w:rsid w:val="009F30FB"/>
    <w:rsid w:val="009F6258"/>
    <w:rsid w:val="00A32203"/>
    <w:rsid w:val="00A47F3C"/>
    <w:rsid w:val="00A51BF1"/>
    <w:rsid w:val="00A66859"/>
    <w:rsid w:val="00A91053"/>
    <w:rsid w:val="00AA6447"/>
    <w:rsid w:val="00AA6AD4"/>
    <w:rsid w:val="00AB5F64"/>
    <w:rsid w:val="00AC65B1"/>
    <w:rsid w:val="00AD28E1"/>
    <w:rsid w:val="00AD7463"/>
    <w:rsid w:val="00AE3133"/>
    <w:rsid w:val="00AF285A"/>
    <w:rsid w:val="00B04A57"/>
    <w:rsid w:val="00B05F28"/>
    <w:rsid w:val="00B20E43"/>
    <w:rsid w:val="00B21215"/>
    <w:rsid w:val="00B30F84"/>
    <w:rsid w:val="00B41E37"/>
    <w:rsid w:val="00B618CD"/>
    <w:rsid w:val="00B762C5"/>
    <w:rsid w:val="00B96012"/>
    <w:rsid w:val="00BA685F"/>
    <w:rsid w:val="00BE5596"/>
    <w:rsid w:val="00C07E13"/>
    <w:rsid w:val="00C122C0"/>
    <w:rsid w:val="00C2165B"/>
    <w:rsid w:val="00C27B45"/>
    <w:rsid w:val="00C30A34"/>
    <w:rsid w:val="00C54CB9"/>
    <w:rsid w:val="00C64996"/>
    <w:rsid w:val="00C66D6D"/>
    <w:rsid w:val="00C70F55"/>
    <w:rsid w:val="00C8684D"/>
    <w:rsid w:val="00C86FB3"/>
    <w:rsid w:val="00C908A0"/>
    <w:rsid w:val="00C954D1"/>
    <w:rsid w:val="00C971CF"/>
    <w:rsid w:val="00CA3F71"/>
    <w:rsid w:val="00CA63C6"/>
    <w:rsid w:val="00CB20FA"/>
    <w:rsid w:val="00CC2FD7"/>
    <w:rsid w:val="00CC518E"/>
    <w:rsid w:val="00CE2A51"/>
    <w:rsid w:val="00CE58C0"/>
    <w:rsid w:val="00CF6A86"/>
    <w:rsid w:val="00D13034"/>
    <w:rsid w:val="00D27EC2"/>
    <w:rsid w:val="00D30DD7"/>
    <w:rsid w:val="00D3512E"/>
    <w:rsid w:val="00D36B5E"/>
    <w:rsid w:val="00D5224A"/>
    <w:rsid w:val="00D5241B"/>
    <w:rsid w:val="00D71D06"/>
    <w:rsid w:val="00D75795"/>
    <w:rsid w:val="00D90777"/>
    <w:rsid w:val="00D96892"/>
    <w:rsid w:val="00DA6471"/>
    <w:rsid w:val="00DA659D"/>
    <w:rsid w:val="00DB1142"/>
    <w:rsid w:val="00DF05E0"/>
    <w:rsid w:val="00DF1BF2"/>
    <w:rsid w:val="00DF20F6"/>
    <w:rsid w:val="00DF6F55"/>
    <w:rsid w:val="00DF73BD"/>
    <w:rsid w:val="00E2305D"/>
    <w:rsid w:val="00E23C10"/>
    <w:rsid w:val="00E345DD"/>
    <w:rsid w:val="00E45C46"/>
    <w:rsid w:val="00E502BE"/>
    <w:rsid w:val="00E60D46"/>
    <w:rsid w:val="00E66525"/>
    <w:rsid w:val="00E72F75"/>
    <w:rsid w:val="00E86BFA"/>
    <w:rsid w:val="00E87817"/>
    <w:rsid w:val="00E91806"/>
    <w:rsid w:val="00EB036B"/>
    <w:rsid w:val="00ED537B"/>
    <w:rsid w:val="00ED7821"/>
    <w:rsid w:val="00EE3AB6"/>
    <w:rsid w:val="00EE5A2F"/>
    <w:rsid w:val="00F014BC"/>
    <w:rsid w:val="00F02C4F"/>
    <w:rsid w:val="00F1169A"/>
    <w:rsid w:val="00F126C1"/>
    <w:rsid w:val="00F15302"/>
    <w:rsid w:val="00F3346A"/>
    <w:rsid w:val="00F35F1F"/>
    <w:rsid w:val="00F546EE"/>
    <w:rsid w:val="00F57FC6"/>
    <w:rsid w:val="00F6419B"/>
    <w:rsid w:val="00F800A6"/>
    <w:rsid w:val="00F856AB"/>
    <w:rsid w:val="00F92A56"/>
    <w:rsid w:val="00FE5E99"/>
    <w:rsid w:val="00FE7BE5"/>
    <w:rsid w:val="00FE7D88"/>
    <w:rsid w:val="00FF7C65"/>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A3E16D-3DD0-47B1-AED7-F5DE423C7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ZW"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5D40"/>
    <w:pPr>
      <w:spacing w:after="0" w:line="240" w:lineRule="auto"/>
    </w:pPr>
    <w:rPr>
      <w:rFonts w:eastAsia="Times New Roman"/>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932C4"/>
    <w:pPr>
      <w:spacing w:after="0" w:line="240" w:lineRule="auto"/>
    </w:pPr>
  </w:style>
  <w:style w:type="paragraph" w:styleId="Header">
    <w:name w:val="header"/>
    <w:basedOn w:val="Normal"/>
    <w:link w:val="HeaderChar"/>
    <w:uiPriority w:val="99"/>
    <w:unhideWhenUsed/>
    <w:rsid w:val="001932C4"/>
    <w:pPr>
      <w:tabs>
        <w:tab w:val="center" w:pos="4513"/>
        <w:tab w:val="right" w:pos="9026"/>
      </w:tabs>
    </w:pPr>
    <w:rPr>
      <w:rFonts w:eastAsiaTheme="minorHAnsi"/>
      <w:lang w:val="en-ZW" w:eastAsia="en-US"/>
    </w:rPr>
  </w:style>
  <w:style w:type="character" w:customStyle="1" w:styleId="HeaderChar">
    <w:name w:val="Header Char"/>
    <w:basedOn w:val="DefaultParagraphFont"/>
    <w:link w:val="Header"/>
    <w:uiPriority w:val="99"/>
    <w:rsid w:val="001932C4"/>
  </w:style>
  <w:style w:type="paragraph" w:styleId="BalloonText">
    <w:name w:val="Balloon Text"/>
    <w:basedOn w:val="Normal"/>
    <w:link w:val="BalloonTextChar"/>
    <w:uiPriority w:val="99"/>
    <w:semiHidden/>
    <w:unhideWhenUsed/>
    <w:rsid w:val="001932C4"/>
    <w:rPr>
      <w:rFonts w:ascii="Tahoma" w:eastAsiaTheme="minorHAnsi" w:hAnsi="Tahoma" w:cs="Tahoma"/>
      <w:sz w:val="16"/>
      <w:szCs w:val="16"/>
      <w:lang w:val="en-ZW" w:eastAsia="en-US"/>
    </w:rPr>
  </w:style>
  <w:style w:type="character" w:customStyle="1" w:styleId="BalloonTextChar">
    <w:name w:val="Balloon Text Char"/>
    <w:basedOn w:val="DefaultParagraphFont"/>
    <w:link w:val="BalloonText"/>
    <w:uiPriority w:val="99"/>
    <w:semiHidden/>
    <w:rsid w:val="001932C4"/>
    <w:rPr>
      <w:rFonts w:ascii="Tahoma" w:hAnsi="Tahoma" w:cs="Tahoma"/>
      <w:sz w:val="16"/>
      <w:szCs w:val="16"/>
    </w:rPr>
  </w:style>
  <w:style w:type="paragraph" w:styleId="Footer">
    <w:name w:val="footer"/>
    <w:basedOn w:val="Normal"/>
    <w:link w:val="FooterChar"/>
    <w:uiPriority w:val="99"/>
    <w:unhideWhenUsed/>
    <w:rsid w:val="00DB1142"/>
    <w:pPr>
      <w:tabs>
        <w:tab w:val="center" w:pos="4513"/>
        <w:tab w:val="right" w:pos="9026"/>
      </w:tabs>
    </w:pPr>
    <w:rPr>
      <w:rFonts w:eastAsiaTheme="minorHAnsi"/>
      <w:lang w:val="en-ZW" w:eastAsia="en-US"/>
    </w:rPr>
  </w:style>
  <w:style w:type="character" w:customStyle="1" w:styleId="FooterChar">
    <w:name w:val="Footer Char"/>
    <w:basedOn w:val="DefaultParagraphFont"/>
    <w:link w:val="Footer"/>
    <w:uiPriority w:val="99"/>
    <w:rsid w:val="00DB11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BDCC582F95149D3B10478B6A64225C7"/>
        <w:category>
          <w:name w:val="General"/>
          <w:gallery w:val="placeholder"/>
        </w:category>
        <w:types>
          <w:type w:val="bbPlcHdr"/>
        </w:types>
        <w:behaviors>
          <w:behavior w:val="content"/>
        </w:behaviors>
        <w:guid w:val="{53EC66DE-A407-41A6-AA89-5D9269529AE6}"/>
      </w:docPartPr>
      <w:docPartBody>
        <w:p w:rsidR="00444285" w:rsidRDefault="00D466A4" w:rsidP="00D466A4">
          <w:pPr>
            <w:pStyle w:val="9BDCC582F95149D3B10478B6A64225C7"/>
          </w:pPr>
          <w:r>
            <w:t>[Type the company name]</w:t>
          </w:r>
        </w:p>
      </w:docPartBody>
    </w:docPart>
    <w:docPart>
      <w:docPartPr>
        <w:name w:val="6E3FD496DF0347E3A30259E4B4BC18A0"/>
        <w:category>
          <w:name w:val="General"/>
          <w:gallery w:val="placeholder"/>
        </w:category>
        <w:types>
          <w:type w:val="bbPlcHdr"/>
        </w:types>
        <w:behaviors>
          <w:behavior w:val="content"/>
        </w:behaviors>
        <w:guid w:val="{1B87CC38-078D-44FE-81D5-252B41ED2554}"/>
      </w:docPartPr>
      <w:docPartBody>
        <w:p w:rsidR="00444285" w:rsidRDefault="00D466A4" w:rsidP="00D466A4">
          <w:pPr>
            <w:pStyle w:val="6E3FD496DF0347E3A30259E4B4BC18A0"/>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6A4"/>
    <w:rsid w:val="00047817"/>
    <w:rsid w:val="00064A71"/>
    <w:rsid w:val="000C4AE2"/>
    <w:rsid w:val="00191E66"/>
    <w:rsid w:val="001C1520"/>
    <w:rsid w:val="003828AC"/>
    <w:rsid w:val="00444285"/>
    <w:rsid w:val="005666F6"/>
    <w:rsid w:val="00577055"/>
    <w:rsid w:val="005E6AA7"/>
    <w:rsid w:val="006364C1"/>
    <w:rsid w:val="00742BDE"/>
    <w:rsid w:val="0089631F"/>
    <w:rsid w:val="008A5A84"/>
    <w:rsid w:val="009E7820"/>
    <w:rsid w:val="00A146AA"/>
    <w:rsid w:val="00AA696E"/>
    <w:rsid w:val="00B37810"/>
    <w:rsid w:val="00B540EA"/>
    <w:rsid w:val="00C57F53"/>
    <w:rsid w:val="00C61C1A"/>
    <w:rsid w:val="00CF010B"/>
    <w:rsid w:val="00D26CC1"/>
    <w:rsid w:val="00D466A4"/>
    <w:rsid w:val="00DC0471"/>
    <w:rsid w:val="00E73F4B"/>
    <w:rsid w:val="00E82924"/>
    <w:rsid w:val="00EF32DB"/>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5A87987032408CB79261A8706BAF9E">
    <w:name w:val="EF5A87987032408CB79261A8706BAF9E"/>
    <w:rsid w:val="00D466A4"/>
  </w:style>
  <w:style w:type="paragraph" w:customStyle="1" w:styleId="20FC0BE20C2A438C98B53F41BE42830C">
    <w:name w:val="20FC0BE20C2A438C98B53F41BE42830C"/>
    <w:rsid w:val="00D466A4"/>
  </w:style>
  <w:style w:type="paragraph" w:customStyle="1" w:styleId="36B6A6A4E5204C82855CA8E1086F9260">
    <w:name w:val="36B6A6A4E5204C82855CA8E1086F9260"/>
    <w:rsid w:val="00D466A4"/>
  </w:style>
  <w:style w:type="paragraph" w:customStyle="1" w:styleId="4A40A67C1A574630AEE2A412133E22A1">
    <w:name w:val="4A40A67C1A574630AEE2A412133E22A1"/>
    <w:rsid w:val="00D466A4"/>
  </w:style>
  <w:style w:type="paragraph" w:customStyle="1" w:styleId="859CF5E0CE994FC78C270BB565325DDB">
    <w:name w:val="859CF5E0CE994FC78C270BB565325DDB"/>
    <w:rsid w:val="00D466A4"/>
  </w:style>
  <w:style w:type="paragraph" w:customStyle="1" w:styleId="BF1E08D93E1243EA9BBFB58BD385E978">
    <w:name w:val="BF1E08D93E1243EA9BBFB58BD385E978"/>
    <w:rsid w:val="00D466A4"/>
  </w:style>
  <w:style w:type="paragraph" w:customStyle="1" w:styleId="9BDCC582F95149D3B10478B6A64225C7">
    <w:name w:val="9BDCC582F95149D3B10478B6A64225C7"/>
    <w:rsid w:val="00D466A4"/>
  </w:style>
  <w:style w:type="paragraph" w:customStyle="1" w:styleId="6E3FD496DF0347E3A30259E4B4BC18A0">
    <w:name w:val="6E3FD496DF0347E3A30259E4B4BC18A0"/>
    <w:rsid w:val="00D466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B84556-D717-4838-AFF2-582B38CEC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4845</Words>
  <Characters>27617</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Constitutional Application No. SC 226/10</vt:lpstr>
    </vt:vector>
  </TitlesOfParts>
  <Company>Judgment No. CCZ 10/14</Company>
  <LinksUpToDate>false</LinksUpToDate>
  <CharactersWithSpaces>32398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Constitutional Application No. SC 226/10</dc:title>
  <dc:creator>User</dc:creator>
  <cp:lastModifiedBy>Takudzwa.Chatora</cp:lastModifiedBy>
  <cp:revision>2</cp:revision>
  <cp:lastPrinted>2014-10-03T14:54:00Z</cp:lastPrinted>
  <dcterms:created xsi:type="dcterms:W3CDTF">2016-04-12T02:57:00Z</dcterms:created>
  <dcterms:modified xsi:type="dcterms:W3CDTF">2016-04-12T02:57:00Z</dcterms:modified>
</cp:coreProperties>
</file>