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43E" w:rsidRPr="007562CB" w:rsidRDefault="0074143E" w:rsidP="0074143E">
      <w:pPr>
        <w:pStyle w:val="NoSpacing"/>
      </w:pPr>
    </w:p>
    <w:p w:rsidR="0074143E" w:rsidRPr="007562CB" w:rsidRDefault="0074143E" w:rsidP="0074143E">
      <w:pPr>
        <w:pStyle w:val="NoSpacing"/>
      </w:pPr>
    </w:p>
    <w:p w:rsidR="0074143E" w:rsidRPr="007562CB" w:rsidRDefault="0074143E" w:rsidP="0074143E">
      <w:pPr>
        <w:pStyle w:val="NoSpacing"/>
      </w:pPr>
    </w:p>
    <w:p w:rsidR="00985A8D" w:rsidRPr="007562CB" w:rsidRDefault="00985A8D" w:rsidP="00985A8D">
      <w:pPr>
        <w:pStyle w:val="Header"/>
      </w:pPr>
    </w:p>
    <w:p w:rsidR="0074143E" w:rsidRPr="007562CB" w:rsidRDefault="0074143E" w:rsidP="0074143E">
      <w:pPr>
        <w:pStyle w:val="NoSpacing"/>
      </w:pPr>
    </w:p>
    <w:p w:rsidR="0074143E" w:rsidRPr="007562CB" w:rsidRDefault="0074143E" w:rsidP="0074143E">
      <w:pPr>
        <w:pStyle w:val="NoSpacing"/>
      </w:pPr>
    </w:p>
    <w:p w:rsidR="0074143E" w:rsidRPr="00F9596D" w:rsidRDefault="00F9596D" w:rsidP="00F9596D">
      <w:pPr>
        <w:pStyle w:val="NoSpacing"/>
        <w:rPr>
          <w:b/>
          <w:u w:val="single"/>
        </w:rPr>
      </w:pPr>
      <w:r>
        <w:rPr>
          <w:b/>
          <w:u w:val="single"/>
        </w:rPr>
        <w:t>REPORTABLE (2)</w:t>
      </w:r>
    </w:p>
    <w:p w:rsidR="0074143E" w:rsidRPr="007562CB" w:rsidRDefault="0074143E" w:rsidP="00F9596D">
      <w:pPr>
        <w:pStyle w:val="NoSpacing"/>
        <w:rPr>
          <w:b/>
        </w:rPr>
      </w:pPr>
    </w:p>
    <w:p w:rsidR="0074143E" w:rsidRPr="007562CB" w:rsidRDefault="0074143E" w:rsidP="0074143E">
      <w:pPr>
        <w:pStyle w:val="NoSpacing"/>
        <w:jc w:val="center"/>
        <w:rPr>
          <w:b/>
        </w:rPr>
      </w:pPr>
      <w:r w:rsidRPr="007562CB">
        <w:rPr>
          <w:b/>
        </w:rPr>
        <w:t xml:space="preserve">KENNY     MURRAY </w:t>
      </w:r>
    </w:p>
    <w:p w:rsidR="0074143E" w:rsidRPr="007562CB" w:rsidRDefault="0074143E" w:rsidP="0074143E">
      <w:pPr>
        <w:pStyle w:val="NoSpacing"/>
        <w:jc w:val="center"/>
        <w:rPr>
          <w:b/>
        </w:rPr>
      </w:pPr>
    </w:p>
    <w:p w:rsidR="0074143E" w:rsidRPr="007562CB" w:rsidRDefault="0074143E" w:rsidP="0074143E">
      <w:pPr>
        <w:pStyle w:val="NoSpacing"/>
        <w:jc w:val="center"/>
        <w:rPr>
          <w:b/>
        </w:rPr>
      </w:pPr>
      <w:r w:rsidRPr="007562CB">
        <w:rPr>
          <w:b/>
        </w:rPr>
        <w:t>v</w:t>
      </w:r>
    </w:p>
    <w:p w:rsidR="0074143E" w:rsidRPr="007562CB" w:rsidRDefault="0074143E" w:rsidP="0074143E">
      <w:pPr>
        <w:pStyle w:val="NoSpacing"/>
        <w:jc w:val="center"/>
        <w:rPr>
          <w:b/>
        </w:rPr>
      </w:pPr>
    </w:p>
    <w:p w:rsidR="002B7E72" w:rsidRPr="007562CB" w:rsidRDefault="0074143E" w:rsidP="0074143E">
      <w:pPr>
        <w:pStyle w:val="NoSpacing"/>
        <w:jc w:val="center"/>
        <w:rPr>
          <w:b/>
        </w:rPr>
      </w:pPr>
      <w:r w:rsidRPr="007562CB">
        <w:rPr>
          <w:b/>
        </w:rPr>
        <w:t xml:space="preserve">(1)     DONALD     NDIROWEI     N.O.     </w:t>
      </w:r>
    </w:p>
    <w:p w:rsidR="0074143E" w:rsidRPr="007562CB" w:rsidRDefault="0074143E" w:rsidP="0074143E">
      <w:pPr>
        <w:pStyle w:val="NoSpacing"/>
        <w:jc w:val="center"/>
        <w:rPr>
          <w:b/>
        </w:rPr>
      </w:pPr>
      <w:r w:rsidRPr="007562CB">
        <w:rPr>
          <w:b/>
        </w:rPr>
        <w:t xml:space="preserve">(2)     THE     ATTORNEY-GENERAL     </w:t>
      </w:r>
    </w:p>
    <w:p w:rsidR="0074143E" w:rsidRPr="007562CB" w:rsidRDefault="0074143E" w:rsidP="0074143E">
      <w:pPr>
        <w:pStyle w:val="NoSpacing"/>
        <w:jc w:val="center"/>
        <w:rPr>
          <w:b/>
        </w:rPr>
      </w:pPr>
      <w:r w:rsidRPr="007562CB">
        <w:rPr>
          <w:b/>
        </w:rPr>
        <w:t>(3)</w:t>
      </w:r>
      <w:r w:rsidR="002B7E72" w:rsidRPr="007562CB">
        <w:rPr>
          <w:b/>
        </w:rPr>
        <w:t xml:space="preserve">    </w:t>
      </w:r>
      <w:r w:rsidRPr="007562CB">
        <w:rPr>
          <w:b/>
        </w:rPr>
        <w:t>THE     MINISTER     OF     HOME     AFFAIRS      N.O.</w:t>
      </w:r>
    </w:p>
    <w:p w:rsidR="0074143E" w:rsidRPr="007562CB" w:rsidRDefault="0074143E" w:rsidP="0074143E">
      <w:pPr>
        <w:pStyle w:val="NoSpacing"/>
        <w:jc w:val="center"/>
        <w:rPr>
          <w:b/>
        </w:rPr>
      </w:pPr>
    </w:p>
    <w:p w:rsidR="0074143E" w:rsidRPr="007562CB" w:rsidRDefault="0074143E" w:rsidP="0074143E">
      <w:pPr>
        <w:pStyle w:val="NoSpacing"/>
        <w:rPr>
          <w:b/>
        </w:rPr>
      </w:pPr>
    </w:p>
    <w:p w:rsidR="0074143E" w:rsidRPr="007562CB" w:rsidRDefault="00BA139B" w:rsidP="0074143E">
      <w:pPr>
        <w:pStyle w:val="NoSpacing"/>
        <w:rPr>
          <w:b/>
        </w:rPr>
      </w:pPr>
      <w:r w:rsidRPr="007562CB">
        <w:rPr>
          <w:b/>
        </w:rPr>
        <w:t>CONSTITUTIONAL</w:t>
      </w:r>
      <w:r w:rsidR="0074143E" w:rsidRPr="007562CB">
        <w:rPr>
          <w:b/>
        </w:rPr>
        <w:t xml:space="preserve"> COURT OF ZIMBABWE</w:t>
      </w:r>
    </w:p>
    <w:p w:rsidR="00BC64B6" w:rsidRPr="007562CB" w:rsidRDefault="0074143E" w:rsidP="0074143E">
      <w:pPr>
        <w:pStyle w:val="NoSpacing"/>
        <w:rPr>
          <w:b/>
        </w:rPr>
      </w:pPr>
      <w:bookmarkStart w:id="0" w:name="_GoBack"/>
      <w:bookmarkEnd w:id="0"/>
      <w:r w:rsidRPr="007562CB">
        <w:rPr>
          <w:b/>
        </w:rPr>
        <w:t>CHIDYAUSIKU CJ,</w:t>
      </w:r>
      <w:r w:rsidR="00CA0DD6" w:rsidRPr="007562CB">
        <w:rPr>
          <w:b/>
        </w:rPr>
        <w:t xml:space="preserve"> </w:t>
      </w:r>
      <w:r w:rsidRPr="007562CB">
        <w:rPr>
          <w:b/>
        </w:rPr>
        <w:t xml:space="preserve">ZIYAMBI JCC, GWAUNZA JCC, </w:t>
      </w:r>
    </w:p>
    <w:p w:rsidR="00BC64B6" w:rsidRPr="007562CB" w:rsidRDefault="0074143E" w:rsidP="0074143E">
      <w:pPr>
        <w:pStyle w:val="NoSpacing"/>
        <w:rPr>
          <w:b/>
        </w:rPr>
      </w:pPr>
      <w:r w:rsidRPr="007562CB">
        <w:rPr>
          <w:b/>
        </w:rPr>
        <w:t xml:space="preserve">GARWE JCC, GOWORA JCC, HLATSHWAYO JCC, </w:t>
      </w:r>
    </w:p>
    <w:p w:rsidR="0074143E" w:rsidRPr="007562CB" w:rsidRDefault="00CA0DD6" w:rsidP="0074143E">
      <w:pPr>
        <w:pStyle w:val="NoSpacing"/>
        <w:rPr>
          <w:b/>
        </w:rPr>
      </w:pPr>
      <w:r w:rsidRPr="007562CB">
        <w:rPr>
          <w:b/>
        </w:rPr>
        <w:t>MAVANGIRA</w:t>
      </w:r>
      <w:r w:rsidR="0074143E" w:rsidRPr="007562CB">
        <w:rPr>
          <w:b/>
        </w:rPr>
        <w:t> </w:t>
      </w:r>
      <w:r w:rsidRPr="007562CB">
        <w:rPr>
          <w:b/>
        </w:rPr>
        <w:t>A</w:t>
      </w:r>
      <w:r w:rsidR="0074143E" w:rsidRPr="007562CB">
        <w:rPr>
          <w:b/>
        </w:rPr>
        <w:t>JCC</w:t>
      </w:r>
      <w:r w:rsidR="00BC64B6" w:rsidRPr="007562CB">
        <w:rPr>
          <w:b/>
        </w:rPr>
        <w:t>, CHIWESHE AJCC</w:t>
      </w:r>
      <w:r w:rsidR="0074143E" w:rsidRPr="007562CB">
        <w:rPr>
          <w:b/>
        </w:rPr>
        <w:t xml:space="preserve"> &amp; </w:t>
      </w:r>
      <w:r w:rsidRPr="007562CB">
        <w:rPr>
          <w:b/>
        </w:rPr>
        <w:t>MAKONI A</w:t>
      </w:r>
      <w:r w:rsidR="0074143E" w:rsidRPr="007562CB">
        <w:rPr>
          <w:b/>
        </w:rPr>
        <w:t>JCC</w:t>
      </w:r>
    </w:p>
    <w:p w:rsidR="0074143E" w:rsidRPr="007562CB" w:rsidRDefault="0074143E" w:rsidP="0074143E">
      <w:pPr>
        <w:pStyle w:val="NoSpacing"/>
        <w:rPr>
          <w:b/>
        </w:rPr>
      </w:pPr>
      <w:r w:rsidRPr="007562CB">
        <w:rPr>
          <w:b/>
        </w:rPr>
        <w:t>HARARE, JULY 2, 2014</w:t>
      </w:r>
    </w:p>
    <w:p w:rsidR="0074143E" w:rsidRPr="007562CB" w:rsidRDefault="00730EA2" w:rsidP="0074143E">
      <w:pPr>
        <w:pStyle w:val="NoSpacing"/>
        <w:rPr>
          <w:b/>
        </w:rPr>
      </w:pPr>
      <w:r w:rsidRPr="007562CB">
        <w:rPr>
          <w:b/>
        </w:rPr>
        <w:t>JUDGMENT RELEASED ON</w:t>
      </w:r>
      <w:r w:rsidR="00BC3709" w:rsidRPr="007562CB">
        <w:rPr>
          <w:b/>
        </w:rPr>
        <w:t xml:space="preserve"> 2</w:t>
      </w:r>
      <w:r w:rsidR="007562CB">
        <w:rPr>
          <w:b/>
        </w:rPr>
        <w:t>8</w:t>
      </w:r>
      <w:r w:rsidR="00BC3709" w:rsidRPr="007562CB">
        <w:rPr>
          <w:b/>
        </w:rPr>
        <w:t xml:space="preserve"> </w:t>
      </w:r>
      <w:r w:rsidRPr="007562CB">
        <w:rPr>
          <w:b/>
        </w:rPr>
        <w:t>FEBRUARY 2017</w:t>
      </w:r>
    </w:p>
    <w:p w:rsidR="0074143E" w:rsidRPr="007562CB" w:rsidRDefault="0074143E" w:rsidP="0074143E">
      <w:pPr>
        <w:pStyle w:val="NoSpacing"/>
        <w:rPr>
          <w:b/>
        </w:rPr>
      </w:pPr>
    </w:p>
    <w:p w:rsidR="0074143E" w:rsidRPr="007562CB" w:rsidRDefault="00BC64B6" w:rsidP="0074143E">
      <w:pPr>
        <w:pStyle w:val="NoSpacing"/>
      </w:pPr>
      <w:r w:rsidRPr="007562CB">
        <w:rPr>
          <w:i/>
        </w:rPr>
        <w:t xml:space="preserve">F </w:t>
      </w:r>
      <w:r w:rsidR="00232018" w:rsidRPr="007562CB">
        <w:rPr>
          <w:i/>
        </w:rPr>
        <w:t>Mushoriwa</w:t>
      </w:r>
      <w:r w:rsidR="00232018" w:rsidRPr="007562CB">
        <w:t xml:space="preserve">, </w:t>
      </w:r>
      <w:r w:rsidR="0074143E" w:rsidRPr="007562CB">
        <w:t>for the applicant</w:t>
      </w:r>
    </w:p>
    <w:p w:rsidR="004F3FAD" w:rsidRPr="007562CB" w:rsidRDefault="004F3FAD" w:rsidP="0074143E">
      <w:pPr>
        <w:pStyle w:val="NoSpacing"/>
      </w:pPr>
    </w:p>
    <w:p w:rsidR="004F3FAD" w:rsidRPr="007562CB" w:rsidRDefault="004F3FAD" w:rsidP="004F3FAD">
      <w:pPr>
        <w:pStyle w:val="NoSpacing"/>
      </w:pPr>
      <w:r w:rsidRPr="007562CB">
        <w:t>No appearance for the first respondent</w:t>
      </w:r>
    </w:p>
    <w:p w:rsidR="0074143E" w:rsidRPr="007562CB" w:rsidRDefault="0074143E" w:rsidP="0074143E">
      <w:pPr>
        <w:pStyle w:val="NoSpacing"/>
        <w:rPr>
          <w:b/>
        </w:rPr>
      </w:pPr>
    </w:p>
    <w:p w:rsidR="0074143E" w:rsidRPr="007562CB" w:rsidRDefault="00232018" w:rsidP="0074143E">
      <w:pPr>
        <w:pStyle w:val="NoSpacing"/>
      </w:pPr>
      <w:r w:rsidRPr="007562CB">
        <w:rPr>
          <w:i/>
        </w:rPr>
        <w:t>Ms R Hove</w:t>
      </w:r>
      <w:r w:rsidRPr="007562CB">
        <w:t xml:space="preserve">, </w:t>
      </w:r>
      <w:r w:rsidR="0074143E" w:rsidRPr="007562CB">
        <w:t xml:space="preserve">for the </w:t>
      </w:r>
      <w:r w:rsidR="004F3FAD" w:rsidRPr="007562CB">
        <w:t>second</w:t>
      </w:r>
      <w:r w:rsidR="0074143E" w:rsidRPr="007562CB">
        <w:t xml:space="preserve"> </w:t>
      </w:r>
      <w:r w:rsidRPr="007562CB">
        <w:t xml:space="preserve">and third </w:t>
      </w:r>
      <w:r w:rsidR="0074143E" w:rsidRPr="007562CB">
        <w:t>respondent</w:t>
      </w:r>
      <w:r w:rsidRPr="007562CB">
        <w:t>s</w:t>
      </w:r>
    </w:p>
    <w:p w:rsidR="0074143E" w:rsidRPr="007562CB" w:rsidRDefault="0074143E" w:rsidP="0074143E">
      <w:pPr>
        <w:pStyle w:val="NoSpacing"/>
      </w:pPr>
    </w:p>
    <w:p w:rsidR="0074143E" w:rsidRPr="007562CB" w:rsidRDefault="0074143E" w:rsidP="0074143E">
      <w:pPr>
        <w:pStyle w:val="NoSpacing"/>
        <w:spacing w:line="480" w:lineRule="auto"/>
        <w:jc w:val="both"/>
      </w:pPr>
    </w:p>
    <w:p w:rsidR="006A4316" w:rsidRPr="007562CB" w:rsidRDefault="0074143E" w:rsidP="00985A8D">
      <w:pPr>
        <w:pStyle w:val="NoSpacing"/>
        <w:spacing w:line="480" w:lineRule="auto"/>
        <w:jc w:val="both"/>
      </w:pPr>
      <w:r w:rsidRPr="007562CB">
        <w:tab/>
      </w:r>
      <w:r w:rsidRPr="007562CB">
        <w:rPr>
          <w:b/>
        </w:rPr>
        <w:t>CHIDYAUSIKU CJ:</w:t>
      </w:r>
      <w:r w:rsidRPr="007562CB">
        <w:t xml:space="preserve">   This is an </w:t>
      </w:r>
      <w:r w:rsidR="00985A8D" w:rsidRPr="007562CB">
        <w:t>application in terms of</w:t>
      </w:r>
      <w:r w:rsidR="009627D7" w:rsidRPr="007562CB">
        <w:t xml:space="preserve"> </w:t>
      </w:r>
      <w:r w:rsidR="00985A8D" w:rsidRPr="007562CB">
        <w:t>s 85(1) (a) and (d) of the Constitution of Zimbabwe</w:t>
      </w:r>
      <w:r w:rsidR="0022449C" w:rsidRPr="007562CB">
        <w:t xml:space="preserve"> (hereinafter referred to as “the Constitution”)</w:t>
      </w:r>
      <w:r w:rsidR="00985A8D" w:rsidRPr="007562CB">
        <w:t xml:space="preserve">, in which the applicant seeks the relief set out in the draft order. </w:t>
      </w:r>
      <w:r w:rsidR="00565854" w:rsidRPr="007562CB">
        <w:t>T</w:t>
      </w:r>
      <w:r w:rsidR="00985A8D" w:rsidRPr="007562CB">
        <w:t xml:space="preserve">he draft </w:t>
      </w:r>
      <w:r w:rsidR="00797CC6" w:rsidRPr="007562CB">
        <w:t xml:space="preserve">order </w:t>
      </w:r>
      <w:r w:rsidR="00985A8D" w:rsidRPr="007562CB">
        <w:t xml:space="preserve">seeks </w:t>
      </w:r>
      <w:r w:rsidR="00565854" w:rsidRPr="007562CB">
        <w:t>the</w:t>
      </w:r>
      <w:r w:rsidR="00985A8D" w:rsidRPr="007562CB">
        <w:t xml:space="preserve"> declar</w:t>
      </w:r>
      <w:r w:rsidR="00565854" w:rsidRPr="007562CB">
        <w:t>at</w:t>
      </w:r>
      <w:r w:rsidR="00985A8D" w:rsidRPr="007562CB">
        <w:t>i</w:t>
      </w:r>
      <w:r w:rsidR="00565854" w:rsidRPr="007562CB">
        <w:t>o</w:t>
      </w:r>
      <w:r w:rsidR="00985A8D" w:rsidRPr="007562CB">
        <w:t>n</w:t>
      </w:r>
      <w:r w:rsidR="00565854" w:rsidRPr="007562CB">
        <w:t xml:space="preserve"> </w:t>
      </w:r>
      <w:r w:rsidR="00797CC6" w:rsidRPr="007562CB">
        <w:t>of</w:t>
      </w:r>
      <w:r w:rsidR="00985A8D" w:rsidRPr="007562CB">
        <w:t xml:space="preserve"> s 95(1(a) of the </w:t>
      </w:r>
      <w:r w:rsidR="00E634A9" w:rsidRPr="007562CB">
        <w:t xml:space="preserve">Criminal Law (Codification and Reform) </w:t>
      </w:r>
      <w:r w:rsidR="009F6163" w:rsidRPr="007562CB">
        <w:t>Act</w:t>
      </w:r>
      <w:r w:rsidR="00E634A9" w:rsidRPr="007562CB">
        <w:t xml:space="preserve"> [</w:t>
      </w:r>
      <w:r w:rsidR="00E634A9" w:rsidRPr="007562CB">
        <w:rPr>
          <w:i/>
        </w:rPr>
        <w:t>Chapter 9:23</w:t>
      </w:r>
      <w:r w:rsidR="00E634A9" w:rsidRPr="007562CB">
        <w:t>]</w:t>
      </w:r>
      <w:r w:rsidR="009F6163" w:rsidRPr="007562CB">
        <w:t xml:space="preserve"> (“the Act”) </w:t>
      </w:r>
      <w:r w:rsidR="00797CC6" w:rsidRPr="007562CB">
        <w:t>a</w:t>
      </w:r>
      <w:r w:rsidR="00565854" w:rsidRPr="007562CB">
        <w:t xml:space="preserve">s </w:t>
      </w:r>
      <w:r w:rsidR="00985A8D" w:rsidRPr="007562CB">
        <w:t xml:space="preserve">unconstitutional. The applicant was charged with contravening the </w:t>
      </w:r>
      <w:r w:rsidR="001D5534" w:rsidRPr="007562CB">
        <w:t xml:space="preserve">above </w:t>
      </w:r>
      <w:r w:rsidR="00985A8D" w:rsidRPr="007562CB">
        <w:t>section. The applicant also seeks an order declaring certain conduct of the State unconstitutional.</w:t>
      </w:r>
    </w:p>
    <w:p w:rsidR="0038114A" w:rsidRPr="007562CB" w:rsidRDefault="0038114A" w:rsidP="00985A8D">
      <w:pPr>
        <w:pStyle w:val="NoSpacing"/>
        <w:spacing w:line="480" w:lineRule="auto"/>
        <w:jc w:val="both"/>
      </w:pPr>
    </w:p>
    <w:p w:rsidR="0038114A" w:rsidRPr="007562CB" w:rsidRDefault="0038114A" w:rsidP="00985A8D">
      <w:pPr>
        <w:pStyle w:val="NoSpacing"/>
        <w:spacing w:line="480" w:lineRule="auto"/>
        <w:jc w:val="both"/>
      </w:pPr>
      <w:r w:rsidRPr="007562CB">
        <w:tab/>
      </w:r>
      <w:r w:rsidR="009F6163" w:rsidRPr="007562CB">
        <w:t>It is alleged</w:t>
      </w:r>
      <w:r w:rsidR="00772A82" w:rsidRPr="007562CB">
        <w:t xml:space="preserve"> that</w:t>
      </w:r>
      <w:r w:rsidR="009F6163" w:rsidRPr="007562CB">
        <w:t xml:space="preserve"> t</w:t>
      </w:r>
      <w:r w:rsidRPr="007562CB">
        <w:t xml:space="preserve">he applicant uttered the words “Bullshit, idiot, </w:t>
      </w:r>
      <w:r w:rsidRPr="007562CB">
        <w:rPr>
          <w:i/>
        </w:rPr>
        <w:t>hauna zvaunondiita, hausiwe Parehwa</w:t>
      </w:r>
      <w:r w:rsidRPr="007562CB">
        <w:t xml:space="preserve">”. </w:t>
      </w:r>
      <w:r w:rsidR="009F6163" w:rsidRPr="007562CB">
        <w:t xml:space="preserve">The charge </w:t>
      </w:r>
      <w:r w:rsidR="00F9695F" w:rsidRPr="007562CB">
        <w:t>allege</w:t>
      </w:r>
      <w:r w:rsidR="009F6163" w:rsidRPr="007562CB">
        <w:t>s</w:t>
      </w:r>
      <w:r w:rsidR="00F9695F" w:rsidRPr="007562CB">
        <w:t xml:space="preserve"> that the words were intended to impair the dignity of </w:t>
      </w:r>
      <w:r w:rsidR="00F9695F" w:rsidRPr="007562CB">
        <w:lastRenderedPageBreak/>
        <w:t>the complainant seriously or that there was a real risk or possibility of such impairment</w:t>
      </w:r>
      <w:r w:rsidR="009F6163" w:rsidRPr="007562CB">
        <w:t xml:space="preserve"> in contravention of s 95(1) of the Act</w:t>
      </w:r>
      <w:r w:rsidR="00F9695F" w:rsidRPr="007562CB">
        <w:t>.</w:t>
      </w:r>
    </w:p>
    <w:p w:rsidR="00F9695F" w:rsidRPr="007562CB" w:rsidRDefault="00F9695F" w:rsidP="00985A8D">
      <w:pPr>
        <w:pStyle w:val="NoSpacing"/>
        <w:spacing w:line="480" w:lineRule="auto"/>
        <w:jc w:val="both"/>
      </w:pPr>
    </w:p>
    <w:p w:rsidR="00F9695F" w:rsidRPr="007562CB" w:rsidRDefault="00F9695F" w:rsidP="00985A8D">
      <w:pPr>
        <w:pStyle w:val="NoSpacing"/>
        <w:spacing w:line="480" w:lineRule="auto"/>
        <w:jc w:val="both"/>
      </w:pPr>
      <w:r w:rsidRPr="007562CB">
        <w:tab/>
        <w:t xml:space="preserve">The applicant </w:t>
      </w:r>
      <w:r w:rsidR="004617EF" w:rsidRPr="007562CB">
        <w:t>contends that the words he is alleged to have uttered, even if proven, do not constitute an offence in terms of s 95(1) of the Act</w:t>
      </w:r>
      <w:r w:rsidRPr="007562CB">
        <w:t>. The State concede</w:t>
      </w:r>
      <w:r w:rsidR="004617EF" w:rsidRPr="007562CB">
        <w:t>s</w:t>
      </w:r>
      <w:r w:rsidRPr="007562CB">
        <w:t xml:space="preserve"> that the conduct of the applicant</w:t>
      </w:r>
      <w:r w:rsidR="00797CC6" w:rsidRPr="007562CB">
        <w:t xml:space="preserve">, even if proven, </w:t>
      </w:r>
      <w:r w:rsidRPr="007562CB">
        <w:t>d</w:t>
      </w:r>
      <w:r w:rsidR="00797CC6" w:rsidRPr="007562CB">
        <w:t xml:space="preserve">oes </w:t>
      </w:r>
      <w:r w:rsidRPr="007562CB">
        <w:t>not constitute an offence. Accordingly</w:t>
      </w:r>
      <w:r w:rsidR="007562CB">
        <w:t>,</w:t>
      </w:r>
      <w:r w:rsidRPr="007562CB">
        <w:t xml:space="preserve"> the constitutional challenge in respect of s 95(1)(a) of the </w:t>
      </w:r>
      <w:r w:rsidR="004617EF" w:rsidRPr="007562CB">
        <w:t>Act</w:t>
      </w:r>
      <w:r w:rsidRPr="007562CB">
        <w:t xml:space="preserve"> f</w:t>
      </w:r>
      <w:r w:rsidR="004617EF" w:rsidRPr="007562CB">
        <w:t>a</w:t>
      </w:r>
      <w:r w:rsidRPr="007562CB">
        <w:t>ll</w:t>
      </w:r>
      <w:r w:rsidR="004617EF" w:rsidRPr="007562CB">
        <w:t>s</w:t>
      </w:r>
      <w:r w:rsidRPr="007562CB">
        <w:t xml:space="preserve"> away.</w:t>
      </w:r>
    </w:p>
    <w:p w:rsidR="00F9695F" w:rsidRPr="007562CB" w:rsidRDefault="00F9695F" w:rsidP="00985A8D">
      <w:pPr>
        <w:pStyle w:val="NoSpacing"/>
        <w:spacing w:line="480" w:lineRule="auto"/>
        <w:jc w:val="both"/>
      </w:pPr>
    </w:p>
    <w:p w:rsidR="00F9695F" w:rsidRPr="007562CB" w:rsidRDefault="00F9695F" w:rsidP="00985A8D">
      <w:pPr>
        <w:pStyle w:val="NoSpacing"/>
        <w:spacing w:line="480" w:lineRule="auto"/>
        <w:jc w:val="both"/>
      </w:pPr>
      <w:r w:rsidRPr="007562CB">
        <w:tab/>
        <w:t xml:space="preserve">The applicant, however, </w:t>
      </w:r>
      <w:r w:rsidR="004617EF" w:rsidRPr="007562CB">
        <w:t>urged</w:t>
      </w:r>
      <w:r w:rsidRPr="007562CB">
        <w:t xml:space="preserve"> the Court </w:t>
      </w:r>
      <w:r w:rsidR="004617EF" w:rsidRPr="007562CB">
        <w:t xml:space="preserve">to </w:t>
      </w:r>
      <w:r w:rsidRPr="007562CB">
        <w:t xml:space="preserve">grant the applicant </w:t>
      </w:r>
      <w:r w:rsidR="004617EF" w:rsidRPr="007562CB">
        <w:t xml:space="preserve">the </w:t>
      </w:r>
      <w:r w:rsidRPr="007562CB">
        <w:t xml:space="preserve">relief </w:t>
      </w:r>
      <w:r w:rsidR="004617EF" w:rsidRPr="007562CB">
        <w:t xml:space="preserve">sought </w:t>
      </w:r>
      <w:r w:rsidRPr="007562CB">
        <w:t xml:space="preserve">in paras 2 and 3 of </w:t>
      </w:r>
      <w:r w:rsidR="004617EF" w:rsidRPr="007562CB">
        <w:t>t</w:t>
      </w:r>
      <w:r w:rsidRPr="007562CB">
        <w:t>h</w:t>
      </w:r>
      <w:r w:rsidR="004617EF" w:rsidRPr="007562CB">
        <w:t>e</w:t>
      </w:r>
      <w:r w:rsidRPr="007562CB">
        <w:t xml:space="preserve"> draft order, which read:</w:t>
      </w:r>
    </w:p>
    <w:p w:rsidR="00F9695F" w:rsidRPr="007562CB" w:rsidRDefault="00F9695F" w:rsidP="00F9695F">
      <w:pPr>
        <w:pStyle w:val="NoSpacing"/>
        <w:jc w:val="both"/>
      </w:pPr>
    </w:p>
    <w:p w:rsidR="00F9695F" w:rsidRPr="007562CB" w:rsidRDefault="00F9695F" w:rsidP="00F9695F">
      <w:pPr>
        <w:pStyle w:val="NoSpacing"/>
        <w:ind w:left="720"/>
        <w:jc w:val="both"/>
        <w:rPr>
          <w:sz w:val="22"/>
          <w:szCs w:val="22"/>
        </w:rPr>
      </w:pPr>
      <w:r w:rsidRPr="007562CB">
        <w:rPr>
          <w:sz w:val="22"/>
          <w:szCs w:val="22"/>
        </w:rPr>
        <w:t>“Whereupon after reading the documents filed of record and hearing counsel for the parties, it is declared that –</w:t>
      </w:r>
    </w:p>
    <w:p w:rsidR="00F9695F" w:rsidRPr="007562CB" w:rsidRDefault="00F9695F" w:rsidP="00F9695F">
      <w:pPr>
        <w:pStyle w:val="NoSpacing"/>
        <w:ind w:left="720"/>
        <w:jc w:val="both"/>
        <w:rPr>
          <w:sz w:val="22"/>
          <w:szCs w:val="22"/>
        </w:rPr>
      </w:pPr>
    </w:p>
    <w:p w:rsidR="00F9695F" w:rsidRPr="007562CB" w:rsidRDefault="00F9695F" w:rsidP="00F9695F">
      <w:pPr>
        <w:pStyle w:val="NoSpacing"/>
        <w:ind w:left="1440" w:hanging="720"/>
        <w:jc w:val="both"/>
        <w:rPr>
          <w:sz w:val="22"/>
          <w:szCs w:val="22"/>
        </w:rPr>
      </w:pPr>
      <w:r w:rsidRPr="007562CB">
        <w:rPr>
          <w:sz w:val="22"/>
          <w:szCs w:val="22"/>
        </w:rPr>
        <w:t>2.</w:t>
      </w:r>
      <w:r w:rsidRPr="007562CB">
        <w:rPr>
          <w:sz w:val="22"/>
          <w:szCs w:val="22"/>
        </w:rPr>
        <w:tab/>
        <w:t>That (</w:t>
      </w:r>
      <w:r w:rsidRPr="007562CB">
        <w:rPr>
          <w:i/>
          <w:sz w:val="22"/>
          <w:szCs w:val="22"/>
        </w:rPr>
        <w:t>sic</w:t>
      </w:r>
      <w:r w:rsidRPr="007562CB">
        <w:rPr>
          <w:sz w:val="22"/>
          <w:szCs w:val="22"/>
        </w:rPr>
        <w:t>) the practice by which accused persons who freely attend at court from their homes are arrested at court for purposes of appearing in court from custody is illegal and unconstitutional;</w:t>
      </w:r>
    </w:p>
    <w:p w:rsidR="00F9695F" w:rsidRPr="007562CB" w:rsidRDefault="00F9695F" w:rsidP="00F9695F">
      <w:pPr>
        <w:pStyle w:val="NoSpacing"/>
        <w:ind w:left="1440" w:hanging="720"/>
        <w:jc w:val="both"/>
        <w:rPr>
          <w:sz w:val="22"/>
          <w:szCs w:val="22"/>
        </w:rPr>
      </w:pPr>
    </w:p>
    <w:p w:rsidR="003413D5" w:rsidRPr="007562CB" w:rsidRDefault="00F9695F" w:rsidP="003413D5">
      <w:pPr>
        <w:pStyle w:val="NoSpacing"/>
        <w:ind w:left="1440" w:hanging="720"/>
        <w:jc w:val="both"/>
      </w:pPr>
      <w:r w:rsidRPr="007562CB">
        <w:rPr>
          <w:sz w:val="22"/>
          <w:szCs w:val="22"/>
        </w:rPr>
        <w:t>3.</w:t>
      </w:r>
      <w:r w:rsidRPr="007562CB">
        <w:rPr>
          <w:sz w:val="22"/>
          <w:szCs w:val="22"/>
        </w:rPr>
        <w:tab/>
        <w:t>Consequently, that the applicant’s arrest and detention on 3 December 2013 was illegal and unconstitutional.”</w:t>
      </w:r>
    </w:p>
    <w:p w:rsidR="003413D5" w:rsidRPr="007562CB" w:rsidRDefault="003413D5" w:rsidP="003413D5">
      <w:pPr>
        <w:pStyle w:val="NoSpacing"/>
        <w:spacing w:line="480" w:lineRule="auto"/>
        <w:jc w:val="both"/>
      </w:pPr>
    </w:p>
    <w:p w:rsidR="003413D5" w:rsidRPr="007562CB" w:rsidRDefault="003413D5" w:rsidP="003413D5">
      <w:pPr>
        <w:pStyle w:val="NoSpacing"/>
        <w:spacing w:line="480" w:lineRule="auto"/>
        <w:jc w:val="both"/>
      </w:pPr>
      <w:r w:rsidRPr="007562CB">
        <w:tab/>
        <w:t xml:space="preserve">Counsel for the applicant </w:t>
      </w:r>
      <w:r w:rsidR="002D6BB2" w:rsidRPr="007562CB">
        <w:t>contended</w:t>
      </w:r>
      <w:r w:rsidRPr="007562CB">
        <w:t xml:space="preserve"> that there was need for the Court to make a ruling on these issues to control or put an end to the practice of arresting accused persons at court</w:t>
      </w:r>
      <w:r w:rsidR="008208EA" w:rsidRPr="007562CB">
        <w:t xml:space="preserve"> and lodging</w:t>
      </w:r>
      <w:r w:rsidR="00EB4654" w:rsidRPr="007562CB">
        <w:t xml:space="preserve"> them in the cells pending their appearance in court. This practice, it is common cause, </w:t>
      </w:r>
      <w:r w:rsidR="00797CC6" w:rsidRPr="007562CB">
        <w:t>is</w:t>
      </w:r>
      <w:r w:rsidRPr="007562CB">
        <w:t xml:space="preserve"> common at the magistrates’ courts.</w:t>
      </w:r>
    </w:p>
    <w:p w:rsidR="003413D5" w:rsidRPr="007562CB" w:rsidRDefault="003413D5" w:rsidP="003413D5">
      <w:pPr>
        <w:pStyle w:val="NoSpacing"/>
        <w:spacing w:line="480" w:lineRule="auto"/>
        <w:jc w:val="both"/>
      </w:pPr>
    </w:p>
    <w:p w:rsidR="00835941" w:rsidRPr="007562CB" w:rsidRDefault="00835941" w:rsidP="003413D5">
      <w:pPr>
        <w:pStyle w:val="NoSpacing"/>
        <w:spacing w:line="480" w:lineRule="auto"/>
        <w:jc w:val="both"/>
      </w:pPr>
      <w:r w:rsidRPr="007562CB">
        <w:tab/>
        <w:t>The applicant a</w:t>
      </w:r>
      <w:r w:rsidR="002D6BB2" w:rsidRPr="007562CB">
        <w:t>v</w:t>
      </w:r>
      <w:r w:rsidRPr="007562CB">
        <w:t>e</w:t>
      </w:r>
      <w:r w:rsidR="002D6BB2" w:rsidRPr="007562CB">
        <w:t>rre</w:t>
      </w:r>
      <w:r w:rsidRPr="007562CB">
        <w:t xml:space="preserve">d that on the fateful day he attended at court from his home, having been advised by the police officer in charge of the matter that it would be heard on that day. He attended freely and voluntarily, but was surprised upon arrival at court to be told by the police officer, a Mr Mutonhodzi, that he was to be taken into </w:t>
      </w:r>
      <w:r w:rsidR="00EB4654" w:rsidRPr="007562CB">
        <w:t>the holding cells</w:t>
      </w:r>
      <w:r w:rsidRPr="007562CB">
        <w:t xml:space="preserve"> and </w:t>
      </w:r>
      <w:r w:rsidRPr="007562CB">
        <w:lastRenderedPageBreak/>
        <w:t>would appear in court as a person in custody. He entered t</w:t>
      </w:r>
      <w:r w:rsidR="00772A82" w:rsidRPr="007562CB">
        <w:t>he holding cells at Rotten Row M</w:t>
      </w:r>
      <w:r w:rsidRPr="007562CB">
        <w:t xml:space="preserve">agistrates’ </w:t>
      </w:r>
      <w:r w:rsidR="00772A82" w:rsidRPr="007562CB">
        <w:t>C</w:t>
      </w:r>
      <w:r w:rsidRPr="007562CB">
        <w:t>ourt under protest</w:t>
      </w:r>
      <w:r w:rsidR="00EB4654" w:rsidRPr="007562CB">
        <w:t xml:space="preserve">. He </w:t>
      </w:r>
      <w:r w:rsidRPr="007562CB">
        <w:t>was taken over by the prison officer and appeared in court from the said cells</w:t>
      </w:r>
      <w:r w:rsidR="00EB4654" w:rsidRPr="007562CB">
        <w:t>. In the cells</w:t>
      </w:r>
      <w:r w:rsidRPr="007562CB">
        <w:t xml:space="preserve"> he mixed with accused persons of all types from the remand prison and other police stations. </w:t>
      </w:r>
      <w:r w:rsidR="00215533" w:rsidRPr="007562CB">
        <w:t>T</w:t>
      </w:r>
      <w:r w:rsidRPr="007562CB">
        <w:t xml:space="preserve">he court released </w:t>
      </w:r>
      <w:r w:rsidR="00215533" w:rsidRPr="007562CB">
        <w:t xml:space="preserve">him </w:t>
      </w:r>
      <w:r w:rsidRPr="007562CB">
        <w:t>on free bail and remanded</w:t>
      </w:r>
      <w:r w:rsidR="00215533" w:rsidRPr="007562CB">
        <w:t xml:space="preserve"> him</w:t>
      </w:r>
      <w:r w:rsidRPr="007562CB">
        <w:t xml:space="preserve"> out of custody. Th</w:t>
      </w:r>
      <w:r w:rsidR="00215533" w:rsidRPr="007562CB">
        <w:t xml:space="preserve">e court remanded him </w:t>
      </w:r>
      <w:r w:rsidR="00A8502D" w:rsidRPr="007562CB">
        <w:t xml:space="preserve">on free bail </w:t>
      </w:r>
      <w:r w:rsidRPr="007562CB">
        <w:t>at about 0900 hours</w:t>
      </w:r>
      <w:r w:rsidR="00A8502D" w:rsidRPr="007562CB">
        <w:t>. Despite his being remanded on free bail</w:t>
      </w:r>
      <w:r w:rsidRPr="007562CB">
        <w:t>, he was</w:t>
      </w:r>
      <w:r w:rsidR="00772A82" w:rsidRPr="007562CB">
        <w:t xml:space="preserve"> again</w:t>
      </w:r>
      <w:r w:rsidRPr="007562CB">
        <w:t xml:space="preserve"> led down to the holding cells</w:t>
      </w:r>
      <w:r w:rsidR="00A8502D" w:rsidRPr="007562CB">
        <w:t xml:space="preserve"> </w:t>
      </w:r>
      <w:r w:rsidRPr="007562CB">
        <w:t>and held there for the rest of the day until he was released at about 1600 hours.</w:t>
      </w:r>
      <w:r w:rsidR="002D6BB2" w:rsidRPr="007562CB">
        <w:t xml:space="preserve"> </w:t>
      </w:r>
    </w:p>
    <w:p w:rsidR="00A8502D" w:rsidRPr="007562CB" w:rsidRDefault="00A8502D" w:rsidP="003413D5">
      <w:pPr>
        <w:pStyle w:val="NoSpacing"/>
        <w:spacing w:line="480" w:lineRule="auto"/>
        <w:jc w:val="both"/>
      </w:pPr>
    </w:p>
    <w:p w:rsidR="00835941" w:rsidRPr="007562CB" w:rsidRDefault="00835941" w:rsidP="003413D5">
      <w:pPr>
        <w:pStyle w:val="NoSpacing"/>
        <w:spacing w:line="480" w:lineRule="auto"/>
        <w:jc w:val="both"/>
      </w:pPr>
      <w:r w:rsidRPr="007562CB">
        <w:tab/>
      </w:r>
      <w:r w:rsidR="00D32825" w:rsidRPr="007562CB">
        <w:t>The applicant’s c</w:t>
      </w:r>
      <w:r w:rsidR="00A8502D" w:rsidRPr="007562CB">
        <w:t>ase</w:t>
      </w:r>
      <w:r w:rsidR="00D32825" w:rsidRPr="007562CB">
        <w:t xml:space="preserve"> is that he should never have been deprived of his liberty for the seven hours in </w:t>
      </w:r>
      <w:r w:rsidR="002D6BB2" w:rsidRPr="007562CB">
        <w:t xml:space="preserve">the </w:t>
      </w:r>
      <w:r w:rsidR="00D32825" w:rsidRPr="007562CB">
        <w:t xml:space="preserve">circumstances </w:t>
      </w:r>
      <w:r w:rsidR="002D6BB2" w:rsidRPr="007562CB">
        <w:t>of this case</w:t>
      </w:r>
      <w:r w:rsidR="00D32825" w:rsidRPr="007562CB">
        <w:t xml:space="preserve">. </w:t>
      </w:r>
      <w:r w:rsidR="002D6BB2" w:rsidRPr="007562CB">
        <w:t xml:space="preserve">Put differently, he lost his liberty for seven hours as a result of </w:t>
      </w:r>
      <w:r w:rsidR="00565854" w:rsidRPr="007562CB">
        <w:t xml:space="preserve">the actions by </w:t>
      </w:r>
      <w:r w:rsidR="002D6BB2" w:rsidRPr="007562CB">
        <w:t>the police or the State</w:t>
      </w:r>
      <w:r w:rsidR="00A8502D" w:rsidRPr="007562CB">
        <w:t xml:space="preserve">. The actions of the police </w:t>
      </w:r>
      <w:r w:rsidR="002D6BB2" w:rsidRPr="007562CB">
        <w:t>were arbitrary and without legal basis.</w:t>
      </w:r>
    </w:p>
    <w:p w:rsidR="00D32825" w:rsidRPr="007562CB" w:rsidRDefault="00D32825" w:rsidP="003413D5">
      <w:pPr>
        <w:pStyle w:val="NoSpacing"/>
        <w:spacing w:line="480" w:lineRule="auto"/>
        <w:jc w:val="both"/>
      </w:pPr>
    </w:p>
    <w:p w:rsidR="00D32825" w:rsidRPr="007562CB" w:rsidRDefault="00D32825" w:rsidP="003413D5">
      <w:pPr>
        <w:pStyle w:val="NoSpacing"/>
        <w:spacing w:line="480" w:lineRule="auto"/>
        <w:jc w:val="both"/>
      </w:pPr>
      <w:r w:rsidRPr="007562CB">
        <w:tab/>
      </w:r>
      <w:r w:rsidR="00C3245A" w:rsidRPr="007562CB">
        <w:t xml:space="preserve">The issue </w:t>
      </w:r>
      <w:r w:rsidR="00525DB8" w:rsidRPr="007562CB">
        <w:t>that falls for</w:t>
      </w:r>
      <w:r w:rsidR="00C3245A" w:rsidRPr="007562CB">
        <w:t xml:space="preserve"> determin</w:t>
      </w:r>
      <w:r w:rsidR="00525DB8" w:rsidRPr="007562CB">
        <w:t>ation</w:t>
      </w:r>
      <w:r w:rsidR="00C3245A" w:rsidRPr="007562CB">
        <w:t xml:space="preserve"> is whether or not the </w:t>
      </w:r>
      <w:r w:rsidR="00525DB8" w:rsidRPr="007562CB">
        <w:t xml:space="preserve">deprivation of </w:t>
      </w:r>
      <w:r w:rsidR="00C81648" w:rsidRPr="007562CB">
        <w:t xml:space="preserve">the applicant’s </w:t>
      </w:r>
      <w:r w:rsidR="00525DB8" w:rsidRPr="007562CB">
        <w:t>liberty in the c</w:t>
      </w:r>
      <w:r w:rsidR="00C3245A" w:rsidRPr="007562CB">
        <w:t xml:space="preserve">ircumstances </w:t>
      </w:r>
      <w:r w:rsidR="00525DB8" w:rsidRPr="007562CB">
        <w:t>of this case</w:t>
      </w:r>
      <w:r w:rsidR="00C3245A" w:rsidRPr="007562CB">
        <w:t xml:space="preserve"> constitutes an unlawful arrest and/or detention, </w:t>
      </w:r>
      <w:r w:rsidR="00F913CF" w:rsidRPr="007562CB">
        <w:t>which</w:t>
      </w:r>
      <w:r w:rsidR="00C3245A" w:rsidRPr="007562CB">
        <w:t xml:space="preserve"> violat</w:t>
      </w:r>
      <w:r w:rsidR="00F913CF" w:rsidRPr="007562CB">
        <w:t>ed</w:t>
      </w:r>
      <w:r w:rsidR="00C3245A" w:rsidRPr="007562CB">
        <w:t xml:space="preserve"> his</w:t>
      </w:r>
      <w:r w:rsidR="0022449C" w:rsidRPr="007562CB">
        <w:t xml:space="preserve"> right to liberty as guaranteed by s 49(1)(b) of the Constitution. </w:t>
      </w:r>
      <w:r w:rsidR="00525DB8" w:rsidRPr="007562CB">
        <w:t xml:space="preserve">It is </w:t>
      </w:r>
      <w:r w:rsidR="00F913CF" w:rsidRPr="007562CB">
        <w:t>alleged</w:t>
      </w:r>
      <w:r w:rsidR="00525DB8" w:rsidRPr="007562CB">
        <w:t xml:space="preserve"> that</w:t>
      </w:r>
      <w:r w:rsidR="0022449C" w:rsidRPr="007562CB">
        <w:t xml:space="preserve"> </w:t>
      </w:r>
      <w:r w:rsidR="00F913CF" w:rsidRPr="007562CB">
        <w:t xml:space="preserve">the deprivation of liberty experienced by the applicant is </w:t>
      </w:r>
      <w:r w:rsidR="00EA0FE7" w:rsidRPr="007562CB">
        <w:t xml:space="preserve">routinely meted </w:t>
      </w:r>
      <w:r w:rsidR="00240755" w:rsidRPr="007562CB">
        <w:t>out to accused persons in similar circumstances</w:t>
      </w:r>
      <w:r w:rsidR="0022449C" w:rsidRPr="007562CB">
        <w:t xml:space="preserve"> at the </w:t>
      </w:r>
      <w:r w:rsidR="00BC3709" w:rsidRPr="007562CB">
        <w:t>M</w:t>
      </w:r>
      <w:r w:rsidR="00240755" w:rsidRPr="007562CB">
        <w:t xml:space="preserve">agistrates </w:t>
      </w:r>
      <w:r w:rsidR="00BC3709" w:rsidRPr="007562CB">
        <w:t>C</w:t>
      </w:r>
      <w:r w:rsidR="0022449C" w:rsidRPr="007562CB">
        <w:t>ourt</w:t>
      </w:r>
      <w:r w:rsidR="00525DB8" w:rsidRPr="007562CB">
        <w:t>s throughout the country</w:t>
      </w:r>
      <w:r w:rsidR="0022449C" w:rsidRPr="007562CB">
        <w:t>.</w:t>
      </w:r>
    </w:p>
    <w:p w:rsidR="0022449C" w:rsidRPr="007562CB" w:rsidRDefault="0022449C" w:rsidP="008B5199">
      <w:pPr>
        <w:pStyle w:val="NoSpacing"/>
        <w:jc w:val="both"/>
      </w:pPr>
    </w:p>
    <w:p w:rsidR="001121E4" w:rsidRPr="007562CB" w:rsidRDefault="001121E4" w:rsidP="001121E4">
      <w:pPr>
        <w:pStyle w:val="NoSpacing"/>
        <w:spacing w:line="480" w:lineRule="auto"/>
        <w:jc w:val="both"/>
      </w:pPr>
      <w:r w:rsidRPr="007562CB">
        <w:rPr>
          <w:b/>
          <w:u w:val="single"/>
        </w:rPr>
        <w:t>The Law</w:t>
      </w:r>
    </w:p>
    <w:p w:rsidR="001121E4" w:rsidRPr="007562CB" w:rsidRDefault="001121E4" w:rsidP="001121E4">
      <w:pPr>
        <w:pStyle w:val="NoSpacing"/>
        <w:jc w:val="both"/>
      </w:pPr>
    </w:p>
    <w:p w:rsidR="001121E4" w:rsidRPr="007562CB" w:rsidRDefault="001121E4" w:rsidP="001121E4">
      <w:pPr>
        <w:pStyle w:val="NoSpacing"/>
        <w:spacing w:line="480" w:lineRule="auto"/>
        <w:jc w:val="both"/>
      </w:pPr>
      <w:r w:rsidRPr="007562CB">
        <w:tab/>
        <w:t>The law relating to the right to liberty</w:t>
      </w:r>
      <w:r w:rsidR="006949D7" w:rsidRPr="007562CB">
        <w:t xml:space="preserve"> has been commented on in a number</w:t>
      </w:r>
      <w:r w:rsidRPr="007562CB">
        <w:t xml:space="preserve"> of cases. In the case of </w:t>
      </w:r>
      <w:r w:rsidRPr="007562CB">
        <w:rPr>
          <w:i/>
        </w:rPr>
        <w:t>Allan v Minister of Home Affairs and Anor</w:t>
      </w:r>
      <w:r w:rsidRPr="007562CB">
        <w:t xml:space="preserve"> 1993 (1) ZLR 92 (</w:t>
      </w:r>
      <w:r w:rsidR="006949D7" w:rsidRPr="007562CB">
        <w:t>H</w:t>
      </w:r>
      <w:r w:rsidRPr="007562CB">
        <w:t xml:space="preserve">) </w:t>
      </w:r>
      <w:r w:rsidR="00F772DC" w:rsidRPr="007562CB">
        <w:rPr>
          <w:smallCaps/>
        </w:rPr>
        <w:t xml:space="preserve">REYNOLDS J </w:t>
      </w:r>
      <w:r w:rsidR="00240755" w:rsidRPr="007562CB">
        <w:t>had this to say</w:t>
      </w:r>
      <w:r w:rsidR="00F772DC" w:rsidRPr="007562CB">
        <w:t>:</w:t>
      </w:r>
    </w:p>
    <w:p w:rsidR="00F772DC" w:rsidRPr="007562CB" w:rsidRDefault="00F772DC" w:rsidP="00F772DC">
      <w:pPr>
        <w:pStyle w:val="NoSpacing"/>
        <w:jc w:val="both"/>
      </w:pPr>
    </w:p>
    <w:p w:rsidR="00F772DC" w:rsidRPr="007562CB" w:rsidRDefault="00F772DC" w:rsidP="00F772DC">
      <w:pPr>
        <w:pStyle w:val="NoSpacing"/>
        <w:ind w:left="720"/>
        <w:jc w:val="both"/>
        <w:rPr>
          <w:sz w:val="22"/>
          <w:szCs w:val="22"/>
        </w:rPr>
      </w:pPr>
      <w:r w:rsidRPr="007562CB">
        <w:rPr>
          <w:sz w:val="22"/>
          <w:szCs w:val="22"/>
        </w:rPr>
        <w:t>“</w:t>
      </w:r>
      <w:r w:rsidR="00AD2B95" w:rsidRPr="007562CB">
        <w:rPr>
          <w:sz w:val="22"/>
          <w:szCs w:val="22"/>
        </w:rPr>
        <w:t>Since time immemorial the liberty of the individual has been regarded as one of the fundamental right</w:t>
      </w:r>
      <w:r w:rsidR="008B5199" w:rsidRPr="007562CB">
        <w:rPr>
          <w:sz w:val="22"/>
          <w:szCs w:val="22"/>
        </w:rPr>
        <w:t>s</w:t>
      </w:r>
      <w:r w:rsidR="00AD2B95" w:rsidRPr="007562CB">
        <w:rPr>
          <w:sz w:val="22"/>
          <w:szCs w:val="22"/>
        </w:rPr>
        <w:t xml:space="preserve"> of man in a free society. Long before the </w:t>
      </w:r>
      <w:r w:rsidR="00AD2B95" w:rsidRPr="007562CB">
        <w:rPr>
          <w:i/>
          <w:sz w:val="22"/>
          <w:szCs w:val="22"/>
        </w:rPr>
        <w:t>Magna Carta</w:t>
      </w:r>
      <w:r w:rsidR="00AD2B95" w:rsidRPr="007562CB">
        <w:rPr>
          <w:sz w:val="22"/>
          <w:szCs w:val="22"/>
        </w:rPr>
        <w:t xml:space="preserve"> codified the principle almost eight hundred years ago, man has pursued and jealously</w:t>
      </w:r>
      <w:r w:rsidR="00CA3F92" w:rsidRPr="007562CB">
        <w:rPr>
          <w:sz w:val="22"/>
          <w:szCs w:val="22"/>
        </w:rPr>
        <w:t xml:space="preserve"> guarded his right to </w:t>
      </w:r>
      <w:r w:rsidR="00CA3F92" w:rsidRPr="007562CB">
        <w:rPr>
          <w:sz w:val="22"/>
          <w:szCs w:val="22"/>
        </w:rPr>
        <w:lastRenderedPageBreak/>
        <w:t xml:space="preserve">freedom of person. In the words of Thomas Jefferson: ‘The God who gave us life gave us liberty at the same time.’ </w:t>
      </w:r>
      <w:r w:rsidR="00842A5F" w:rsidRPr="007562CB">
        <w:rPr>
          <w:sz w:val="22"/>
          <w:szCs w:val="22"/>
        </w:rPr>
        <w:t>Revolutions have been staged and wars have been fought in the name of freedom. This includes Zimbabwe’s own long and bitter struggle.</w:t>
      </w:r>
      <w:r w:rsidR="00263B41" w:rsidRPr="007562CB">
        <w:rPr>
          <w:sz w:val="22"/>
          <w:szCs w:val="22"/>
        </w:rPr>
        <w:t xml:space="preserve"> The protection of this right is enshrined in the Constitution of Zimbabwe, and the courts will certainly play their part in preserving this right against all infringements, and all attempts to erode or violate the principle involved.”</w:t>
      </w:r>
    </w:p>
    <w:p w:rsidR="00263B41" w:rsidRPr="007562CB" w:rsidRDefault="00263B41" w:rsidP="00263B41">
      <w:pPr>
        <w:pStyle w:val="NoSpacing"/>
        <w:spacing w:line="480" w:lineRule="auto"/>
        <w:jc w:val="both"/>
      </w:pPr>
    </w:p>
    <w:p w:rsidR="00263B41" w:rsidRPr="007562CB" w:rsidRDefault="000C02C0" w:rsidP="00263B41">
      <w:pPr>
        <w:pStyle w:val="NoSpacing"/>
        <w:spacing w:line="480" w:lineRule="auto"/>
        <w:jc w:val="both"/>
      </w:pPr>
      <w:r w:rsidRPr="007562CB">
        <w:tab/>
        <w:t>The</w:t>
      </w:r>
      <w:r w:rsidR="007F6091" w:rsidRPr="007562CB">
        <w:t xml:space="preserve"> arrest of an accused </w:t>
      </w:r>
      <w:r w:rsidR="00C81648" w:rsidRPr="007562CB">
        <w:t xml:space="preserve">person </w:t>
      </w:r>
      <w:r w:rsidR="007F6091" w:rsidRPr="007562CB">
        <w:t xml:space="preserve">that involves placing the accused in custody invariably involves the deprivation of that </w:t>
      </w:r>
      <w:r w:rsidR="00C81648" w:rsidRPr="007562CB">
        <w:t>person</w:t>
      </w:r>
      <w:r w:rsidR="007F6091" w:rsidRPr="007562CB">
        <w:t>’s right to liberty. For that deprivation of liberty to be constitutional, it must be lawful.</w:t>
      </w:r>
      <w:r w:rsidR="003371DC" w:rsidRPr="007562CB">
        <w:t xml:space="preserve"> </w:t>
      </w:r>
      <w:r w:rsidR="00535FF8" w:rsidRPr="007562CB">
        <w:t xml:space="preserve">If the arrest </w:t>
      </w:r>
      <w:r w:rsidR="003371DC" w:rsidRPr="007562CB">
        <w:t>is un</w:t>
      </w:r>
      <w:r w:rsidR="00535FF8" w:rsidRPr="007562CB">
        <w:t xml:space="preserve">lawful, then </w:t>
      </w:r>
      <w:r w:rsidR="003371DC" w:rsidRPr="007562CB">
        <w:t xml:space="preserve">it must also </w:t>
      </w:r>
      <w:r w:rsidR="00535FF8" w:rsidRPr="007562CB">
        <w:t>be unconstitutional.</w:t>
      </w:r>
    </w:p>
    <w:p w:rsidR="00535FF8" w:rsidRPr="007562CB" w:rsidRDefault="00535FF8" w:rsidP="00263B41">
      <w:pPr>
        <w:pStyle w:val="NoSpacing"/>
        <w:spacing w:line="480" w:lineRule="auto"/>
        <w:jc w:val="both"/>
      </w:pPr>
    </w:p>
    <w:p w:rsidR="00535FF8" w:rsidRPr="007562CB" w:rsidRDefault="00535FF8" w:rsidP="00263B41">
      <w:pPr>
        <w:pStyle w:val="NoSpacing"/>
        <w:spacing w:line="480" w:lineRule="auto"/>
        <w:jc w:val="both"/>
      </w:pPr>
      <w:r w:rsidRPr="007562CB">
        <w:tab/>
      </w:r>
      <w:r w:rsidR="000E18D7" w:rsidRPr="007562CB">
        <w:t>It is common cause that the applicant was arrested at court. Section 49(1)(b) of the Constitution protects the right to liberty against arbitrary</w:t>
      </w:r>
      <w:r w:rsidR="003371DC" w:rsidRPr="007562CB">
        <w:t xml:space="preserve"> or unlawful</w:t>
      </w:r>
      <w:r w:rsidR="000E18D7" w:rsidRPr="007562CB">
        <w:t xml:space="preserve"> arrest. </w:t>
      </w:r>
      <w:r w:rsidR="003371DC" w:rsidRPr="007562CB">
        <w:t>For an arrest to be lawful, it has to be predicated on a just cause.</w:t>
      </w:r>
      <w:r w:rsidR="00D20A93" w:rsidRPr="007562CB">
        <w:t xml:space="preserve"> I</w:t>
      </w:r>
      <w:r w:rsidR="00203952" w:rsidRPr="007562CB">
        <w:t xml:space="preserve">n </w:t>
      </w:r>
      <w:r w:rsidR="00203952" w:rsidRPr="007562CB">
        <w:rPr>
          <w:i/>
        </w:rPr>
        <w:t>Muzondo</w:t>
      </w:r>
      <w:r w:rsidR="00203952" w:rsidRPr="007562CB">
        <w:t xml:space="preserve"> v </w:t>
      </w:r>
      <w:r w:rsidR="00203952" w:rsidRPr="007562CB">
        <w:rPr>
          <w:i/>
        </w:rPr>
        <w:t>Minister of Home Affairs and Anor</w:t>
      </w:r>
      <w:r w:rsidR="00203952" w:rsidRPr="007562CB">
        <w:t xml:space="preserve"> 1993 (1) ZLR 92 (S)</w:t>
      </w:r>
      <w:r w:rsidR="00D20A93" w:rsidRPr="007562CB">
        <w:t xml:space="preserve"> it was stated that</w:t>
      </w:r>
      <w:r w:rsidR="00F157D5" w:rsidRPr="007562CB">
        <w:t xml:space="preserve"> the</w:t>
      </w:r>
      <w:r w:rsidR="00203952" w:rsidRPr="007562CB">
        <w:t xml:space="preserve"> legality of an arrest </w:t>
      </w:r>
      <w:r w:rsidR="003371DC" w:rsidRPr="007562CB">
        <w:t xml:space="preserve">has to be predicated </w:t>
      </w:r>
      <w:r w:rsidR="00D20A93" w:rsidRPr="007562CB">
        <w:t>on the proper exercise of the discretion to arrest</w:t>
      </w:r>
      <w:r w:rsidR="00203952" w:rsidRPr="007562CB">
        <w:t xml:space="preserve">. </w:t>
      </w:r>
      <w:r w:rsidR="00D20A93" w:rsidRPr="007562CB">
        <w:t>Section </w:t>
      </w:r>
      <w:r w:rsidR="00915982" w:rsidRPr="007562CB">
        <w:t>25 of the Criminal Procedure and Evidence Act [</w:t>
      </w:r>
      <w:r w:rsidR="00915982" w:rsidRPr="007562CB">
        <w:rPr>
          <w:i/>
        </w:rPr>
        <w:t>Chapter 9:07</w:t>
      </w:r>
      <w:r w:rsidR="00915982" w:rsidRPr="007562CB">
        <w:t>] authorise</w:t>
      </w:r>
      <w:r w:rsidR="00D20A93" w:rsidRPr="007562CB">
        <w:t xml:space="preserve">s </w:t>
      </w:r>
      <w:r w:rsidR="00915982" w:rsidRPr="007562CB">
        <w:t>arrest</w:t>
      </w:r>
      <w:r w:rsidR="00D20A93" w:rsidRPr="007562CB">
        <w:t>,</w:t>
      </w:r>
      <w:r w:rsidR="00915982" w:rsidRPr="007562CB">
        <w:t xml:space="preserve"> </w:t>
      </w:r>
      <w:r w:rsidR="00D20A93" w:rsidRPr="007562CB">
        <w:t xml:space="preserve">but such an arrest has to be based on a proper exercise of </w:t>
      </w:r>
      <w:r w:rsidR="003371DC" w:rsidRPr="007562CB">
        <w:t>t</w:t>
      </w:r>
      <w:r w:rsidR="00D20A93" w:rsidRPr="007562CB">
        <w:t>h</w:t>
      </w:r>
      <w:r w:rsidR="003371DC" w:rsidRPr="007562CB">
        <w:t>e</w:t>
      </w:r>
      <w:r w:rsidR="00D20A93" w:rsidRPr="007562CB">
        <w:t xml:space="preserve"> discretion</w:t>
      </w:r>
      <w:r w:rsidR="003371DC" w:rsidRPr="007562CB">
        <w:t xml:space="preserve"> to arrest</w:t>
      </w:r>
      <w:r w:rsidR="00915982" w:rsidRPr="007562CB">
        <w:t>.</w:t>
      </w:r>
    </w:p>
    <w:p w:rsidR="00915982" w:rsidRPr="007562CB" w:rsidRDefault="00915982" w:rsidP="00263B41">
      <w:pPr>
        <w:pStyle w:val="NoSpacing"/>
        <w:spacing w:line="480" w:lineRule="auto"/>
        <w:jc w:val="both"/>
      </w:pPr>
    </w:p>
    <w:p w:rsidR="00915982" w:rsidRPr="007562CB" w:rsidRDefault="00915982" w:rsidP="000B08C8">
      <w:pPr>
        <w:pStyle w:val="NoSpacing"/>
        <w:spacing w:line="480" w:lineRule="auto"/>
        <w:jc w:val="both"/>
      </w:pPr>
      <w:r w:rsidRPr="007562CB">
        <w:tab/>
      </w:r>
      <w:r w:rsidR="000B08C8" w:rsidRPr="007562CB">
        <w:t xml:space="preserve">The factors to be considered in deciding whether </w:t>
      </w:r>
      <w:r w:rsidR="00D20A93" w:rsidRPr="007562CB">
        <w:t>the discretion to arrest</w:t>
      </w:r>
      <w:r w:rsidR="000B08C8" w:rsidRPr="007562CB">
        <w:t xml:space="preserve"> </w:t>
      </w:r>
      <w:r w:rsidR="00D20A93" w:rsidRPr="007562CB">
        <w:t>was properly exercised are set out i</w:t>
      </w:r>
      <w:r w:rsidR="000B08C8" w:rsidRPr="007562CB">
        <w:t xml:space="preserve">n </w:t>
      </w:r>
      <w:r w:rsidR="000B08C8" w:rsidRPr="007562CB">
        <w:rPr>
          <w:i/>
        </w:rPr>
        <w:t>Muzondo</w:t>
      </w:r>
      <w:r w:rsidR="00D20A93" w:rsidRPr="007562CB">
        <w:rPr>
          <w:i/>
        </w:rPr>
        <w:t xml:space="preserve">’s </w:t>
      </w:r>
      <w:r w:rsidR="00D20A93" w:rsidRPr="007562CB">
        <w:t>case</w:t>
      </w:r>
      <w:r w:rsidR="000B08C8" w:rsidRPr="007562CB">
        <w:rPr>
          <w:i/>
        </w:rPr>
        <w:t xml:space="preserve"> supra</w:t>
      </w:r>
      <w:r w:rsidR="000B08C8" w:rsidRPr="007562CB">
        <w:t xml:space="preserve"> at p 99 as follows:</w:t>
      </w:r>
    </w:p>
    <w:p w:rsidR="000B08C8" w:rsidRPr="007562CB" w:rsidRDefault="000B08C8" w:rsidP="000B08C8">
      <w:pPr>
        <w:pStyle w:val="NoSpacing"/>
        <w:jc w:val="both"/>
      </w:pPr>
    </w:p>
    <w:p w:rsidR="000B08C8" w:rsidRPr="007562CB" w:rsidRDefault="00422938" w:rsidP="000B08C8">
      <w:pPr>
        <w:pStyle w:val="NoSpacing"/>
        <w:ind w:left="720"/>
        <w:jc w:val="both"/>
        <w:rPr>
          <w:sz w:val="22"/>
          <w:szCs w:val="22"/>
        </w:rPr>
      </w:pPr>
      <w:r w:rsidRPr="007562CB">
        <w:rPr>
          <w:sz w:val="22"/>
          <w:szCs w:val="22"/>
        </w:rPr>
        <w:t>“In making the determination of whether the decision to arrest the plaintiff is open to challenge, several important factors require to be considered. They are –</w:t>
      </w:r>
    </w:p>
    <w:p w:rsidR="00422938" w:rsidRPr="007562CB" w:rsidRDefault="00422938" w:rsidP="000B08C8">
      <w:pPr>
        <w:pStyle w:val="NoSpacing"/>
        <w:ind w:left="720"/>
        <w:jc w:val="both"/>
        <w:rPr>
          <w:sz w:val="22"/>
          <w:szCs w:val="22"/>
        </w:rPr>
      </w:pPr>
    </w:p>
    <w:p w:rsidR="00422938" w:rsidRPr="007562CB" w:rsidRDefault="00422938" w:rsidP="00422938">
      <w:pPr>
        <w:pStyle w:val="NoSpacing"/>
        <w:ind w:left="1440"/>
        <w:jc w:val="both"/>
        <w:rPr>
          <w:sz w:val="22"/>
          <w:szCs w:val="22"/>
        </w:rPr>
      </w:pPr>
      <w:r w:rsidRPr="007562CB">
        <w:rPr>
          <w:sz w:val="22"/>
          <w:szCs w:val="22"/>
        </w:rPr>
        <w:t>(i)</w:t>
      </w:r>
      <w:r w:rsidRPr="007562CB">
        <w:rPr>
          <w:sz w:val="22"/>
          <w:szCs w:val="22"/>
        </w:rPr>
        <w:tab/>
        <w:t>The possibility of escape;</w:t>
      </w:r>
    </w:p>
    <w:p w:rsidR="00422938" w:rsidRPr="007562CB" w:rsidRDefault="00422938" w:rsidP="00422938">
      <w:pPr>
        <w:pStyle w:val="NoSpacing"/>
        <w:ind w:left="1440"/>
        <w:jc w:val="both"/>
        <w:rPr>
          <w:sz w:val="22"/>
          <w:szCs w:val="22"/>
        </w:rPr>
      </w:pPr>
    </w:p>
    <w:p w:rsidR="00422938" w:rsidRPr="007562CB" w:rsidRDefault="00422938" w:rsidP="00422938">
      <w:pPr>
        <w:pStyle w:val="NoSpacing"/>
        <w:ind w:left="1440"/>
        <w:jc w:val="both"/>
        <w:rPr>
          <w:sz w:val="22"/>
          <w:szCs w:val="22"/>
        </w:rPr>
      </w:pPr>
      <w:r w:rsidRPr="007562CB">
        <w:rPr>
          <w:sz w:val="22"/>
          <w:szCs w:val="22"/>
        </w:rPr>
        <w:t>(ii)</w:t>
      </w:r>
      <w:r w:rsidRPr="007562CB">
        <w:rPr>
          <w:sz w:val="22"/>
          <w:szCs w:val="22"/>
        </w:rPr>
        <w:tab/>
        <w:t>The prevention of further crime; and</w:t>
      </w:r>
    </w:p>
    <w:p w:rsidR="00422938" w:rsidRPr="007562CB" w:rsidRDefault="00422938" w:rsidP="00422938">
      <w:pPr>
        <w:pStyle w:val="NoSpacing"/>
        <w:ind w:left="1440"/>
        <w:jc w:val="both"/>
        <w:rPr>
          <w:sz w:val="22"/>
          <w:szCs w:val="22"/>
        </w:rPr>
      </w:pPr>
    </w:p>
    <w:p w:rsidR="00422938" w:rsidRPr="007562CB" w:rsidRDefault="00422938" w:rsidP="00422938">
      <w:pPr>
        <w:pStyle w:val="NoSpacing"/>
        <w:ind w:left="1440"/>
        <w:jc w:val="both"/>
        <w:rPr>
          <w:sz w:val="22"/>
          <w:szCs w:val="22"/>
        </w:rPr>
      </w:pPr>
      <w:r w:rsidRPr="007562CB">
        <w:rPr>
          <w:sz w:val="22"/>
          <w:szCs w:val="22"/>
        </w:rPr>
        <w:t>(iii)</w:t>
      </w:r>
      <w:r w:rsidRPr="007562CB">
        <w:rPr>
          <w:sz w:val="22"/>
          <w:szCs w:val="22"/>
        </w:rPr>
        <w:tab/>
        <w:t>The obstruction of police enquiries.”</w:t>
      </w:r>
    </w:p>
    <w:p w:rsidR="00422938" w:rsidRPr="007562CB" w:rsidRDefault="00422938" w:rsidP="00422938">
      <w:pPr>
        <w:pStyle w:val="NoSpacing"/>
        <w:spacing w:line="480" w:lineRule="auto"/>
        <w:jc w:val="both"/>
      </w:pPr>
    </w:p>
    <w:p w:rsidR="00422938" w:rsidRPr="007562CB" w:rsidRDefault="00A021BE" w:rsidP="001D643B">
      <w:pPr>
        <w:pStyle w:val="NoSpacing"/>
        <w:spacing w:line="480" w:lineRule="auto"/>
        <w:ind w:firstLine="720"/>
        <w:jc w:val="both"/>
      </w:pPr>
      <w:r w:rsidRPr="007562CB">
        <w:lastRenderedPageBreak/>
        <w:t>It is common cause that t</w:t>
      </w:r>
      <w:r w:rsidR="001D643B" w:rsidRPr="007562CB">
        <w:t xml:space="preserve">he applicant attended at the police station prior to the court date and </w:t>
      </w:r>
      <w:r w:rsidR="00C81648" w:rsidRPr="007562CB">
        <w:t xml:space="preserve">during the period that </w:t>
      </w:r>
      <w:r w:rsidR="001D643B" w:rsidRPr="007562CB">
        <w:t xml:space="preserve">investigations were conducted. He was sent home and not </w:t>
      </w:r>
      <w:r w:rsidR="008E4294" w:rsidRPr="007562CB">
        <w:t>placed in custody</w:t>
      </w:r>
      <w:r w:rsidR="001D643B" w:rsidRPr="007562CB">
        <w:t xml:space="preserve">. He was advised of </w:t>
      </w:r>
      <w:r w:rsidR="008E4294" w:rsidRPr="007562CB">
        <w:t>the</w:t>
      </w:r>
      <w:r w:rsidR="001D643B" w:rsidRPr="007562CB">
        <w:t xml:space="preserve"> court date</w:t>
      </w:r>
      <w:r w:rsidR="00860ABA" w:rsidRPr="007562CB">
        <w:t xml:space="preserve"> and </w:t>
      </w:r>
      <w:r w:rsidRPr="007562CB">
        <w:t xml:space="preserve">he </w:t>
      </w:r>
      <w:r w:rsidR="00860ABA" w:rsidRPr="007562CB">
        <w:t>freely attended at court, where his liberty was curtailed</w:t>
      </w:r>
      <w:r w:rsidR="008E4294" w:rsidRPr="007562CB">
        <w:t xml:space="preserve"> by placement into the holding cells.</w:t>
      </w:r>
      <w:r w:rsidR="00860ABA" w:rsidRPr="007562CB">
        <w:t xml:space="preserve"> </w:t>
      </w:r>
      <w:r w:rsidR="00EA6EC6" w:rsidRPr="007562CB">
        <w:t>T</w:t>
      </w:r>
      <w:r w:rsidR="00860ABA" w:rsidRPr="007562CB">
        <w:t>he question of whether he could escape obviously does not arise</w:t>
      </w:r>
      <w:r w:rsidR="008E4294" w:rsidRPr="007562CB">
        <w:t xml:space="preserve"> </w:t>
      </w:r>
      <w:r w:rsidR="00EA6EC6" w:rsidRPr="007562CB">
        <w:t>once it is accepted that</w:t>
      </w:r>
      <w:r w:rsidR="00860ABA" w:rsidRPr="007562CB">
        <w:t xml:space="preserve"> the applicant freely attended court on the day in question</w:t>
      </w:r>
      <w:r w:rsidR="008E4294" w:rsidRPr="007562CB">
        <w:t>. T</w:t>
      </w:r>
      <w:r w:rsidR="00860ABA" w:rsidRPr="007562CB">
        <w:t>he prevention of</w:t>
      </w:r>
      <w:r w:rsidR="008E4294" w:rsidRPr="007562CB">
        <w:t xml:space="preserve"> the commission of</w:t>
      </w:r>
      <w:r w:rsidR="00860ABA" w:rsidRPr="007562CB">
        <w:t xml:space="preserve"> further crime</w:t>
      </w:r>
      <w:r w:rsidR="008E4294" w:rsidRPr="007562CB">
        <w:t>s</w:t>
      </w:r>
      <w:r w:rsidR="00860ABA" w:rsidRPr="007562CB">
        <w:t xml:space="preserve"> </w:t>
      </w:r>
      <w:r w:rsidR="008E4294" w:rsidRPr="007562CB">
        <w:t>or</w:t>
      </w:r>
      <w:r w:rsidR="00860ABA" w:rsidRPr="007562CB">
        <w:t xml:space="preserve"> the obstruction of police enquiries cannot </w:t>
      </w:r>
      <w:r w:rsidR="008E4294" w:rsidRPr="007562CB">
        <w:t>have influenced the arresting police officers on the fact</w:t>
      </w:r>
      <w:r w:rsidR="002323D8" w:rsidRPr="007562CB">
        <w:t>s</w:t>
      </w:r>
      <w:r w:rsidR="008E4294" w:rsidRPr="007562CB">
        <w:t xml:space="preserve"> of this case</w:t>
      </w:r>
      <w:r w:rsidR="00860ABA" w:rsidRPr="007562CB">
        <w:t xml:space="preserve">. These are factors that </w:t>
      </w:r>
      <w:r w:rsidR="008E4294" w:rsidRPr="007562CB">
        <w:t>must</w:t>
      </w:r>
      <w:r w:rsidR="00860ABA" w:rsidRPr="007562CB">
        <w:t xml:space="preserve"> have already been weighed by the police during investigations</w:t>
      </w:r>
      <w:r w:rsidR="00FA0D48" w:rsidRPr="007562CB">
        <w:t xml:space="preserve"> and did </w:t>
      </w:r>
      <w:r w:rsidR="002323D8" w:rsidRPr="007562CB">
        <w:t xml:space="preserve">not </w:t>
      </w:r>
      <w:r w:rsidR="00FA0D48" w:rsidRPr="007562CB">
        <w:t xml:space="preserve">lead to </w:t>
      </w:r>
      <w:r w:rsidR="000C02C0" w:rsidRPr="007562CB">
        <w:t>placement into custody</w:t>
      </w:r>
      <w:r w:rsidR="00860ABA" w:rsidRPr="007562CB">
        <w:t>.</w:t>
      </w:r>
      <w:r w:rsidR="00B40B25" w:rsidRPr="007562CB">
        <w:t xml:space="preserve"> It is quite clear that in this case none of the factors set as necessary for a lawful arrest set out in </w:t>
      </w:r>
      <w:r w:rsidR="00B40B25" w:rsidRPr="007562CB">
        <w:rPr>
          <w:i/>
        </w:rPr>
        <w:t xml:space="preserve">Muzondo’s </w:t>
      </w:r>
      <w:r w:rsidR="00B40B25" w:rsidRPr="007562CB">
        <w:t>case</w:t>
      </w:r>
      <w:r w:rsidR="00B40B25" w:rsidRPr="007562CB">
        <w:rPr>
          <w:i/>
        </w:rPr>
        <w:t xml:space="preserve"> supra</w:t>
      </w:r>
      <w:r w:rsidR="00B40B25" w:rsidRPr="007562CB">
        <w:t xml:space="preserve"> exist</w:t>
      </w:r>
      <w:r w:rsidR="00FA0D48" w:rsidRPr="007562CB">
        <w:t xml:space="preserve">ed before the applicant was arrested </w:t>
      </w:r>
      <w:r w:rsidR="000C02C0" w:rsidRPr="007562CB">
        <w:t xml:space="preserve">and placed into custody </w:t>
      </w:r>
      <w:r w:rsidR="00FA0D48" w:rsidRPr="007562CB">
        <w:t>at the court</w:t>
      </w:r>
      <w:r w:rsidR="00B40B25" w:rsidRPr="007562CB">
        <w:t>.</w:t>
      </w:r>
    </w:p>
    <w:p w:rsidR="00860ABA" w:rsidRPr="007562CB" w:rsidRDefault="00860ABA" w:rsidP="00860ABA">
      <w:pPr>
        <w:pStyle w:val="NoSpacing"/>
        <w:spacing w:line="480" w:lineRule="auto"/>
        <w:jc w:val="both"/>
      </w:pPr>
    </w:p>
    <w:p w:rsidR="003413D5" w:rsidRPr="007562CB" w:rsidRDefault="00860ABA" w:rsidP="003413D5">
      <w:pPr>
        <w:pStyle w:val="NoSpacing"/>
        <w:spacing w:line="480" w:lineRule="auto"/>
        <w:jc w:val="both"/>
      </w:pPr>
      <w:r w:rsidRPr="007562CB">
        <w:tab/>
      </w:r>
      <w:r w:rsidR="00ED6A66" w:rsidRPr="007562CB">
        <w:t xml:space="preserve">Counsel for the </w:t>
      </w:r>
      <w:r w:rsidR="00DD4CBE" w:rsidRPr="007562CB">
        <w:t>second</w:t>
      </w:r>
      <w:r w:rsidR="00ED6A66" w:rsidRPr="007562CB">
        <w:t xml:space="preserve"> and </w:t>
      </w:r>
      <w:r w:rsidR="00232018" w:rsidRPr="007562CB">
        <w:t xml:space="preserve">third </w:t>
      </w:r>
      <w:r w:rsidR="00ED6A66" w:rsidRPr="007562CB">
        <w:t>respondents did not make</w:t>
      </w:r>
      <w:r w:rsidR="00E3587C" w:rsidRPr="007562CB">
        <w:t xml:space="preserve"> </w:t>
      </w:r>
      <w:r w:rsidR="00FA0D48" w:rsidRPr="007562CB">
        <w:t xml:space="preserve">any </w:t>
      </w:r>
      <w:r w:rsidR="00ED6A66" w:rsidRPr="007562CB">
        <w:t>meaningful submissions pertaining to th</w:t>
      </w:r>
      <w:r w:rsidR="00B40B25" w:rsidRPr="007562CB">
        <w:t>e impugned</w:t>
      </w:r>
      <w:r w:rsidR="00ED6A66" w:rsidRPr="007562CB">
        <w:t xml:space="preserve"> practice. The second respondent did not appear before the Court but submitted heads of argument.</w:t>
      </w:r>
      <w:r w:rsidR="00863166" w:rsidRPr="007562CB">
        <w:t xml:space="preserve"> He argued that there was no infringement o</w:t>
      </w:r>
      <w:r w:rsidR="00C81648" w:rsidRPr="007562CB">
        <w:t>f</w:t>
      </w:r>
      <w:r w:rsidR="00863166" w:rsidRPr="007562CB">
        <w:t xml:space="preserve"> the applicant</w:t>
      </w:r>
      <w:r w:rsidR="00C81648" w:rsidRPr="007562CB">
        <w:t>’s personal liberty</w:t>
      </w:r>
      <w:r w:rsidR="00863166" w:rsidRPr="007562CB">
        <w:t xml:space="preserve"> which entitles him to the relief that he is seeking. It appears the second respondent does not d</w:t>
      </w:r>
      <w:r w:rsidR="00B40B25" w:rsidRPr="007562CB">
        <w:t>ispute</w:t>
      </w:r>
      <w:r w:rsidR="00863166" w:rsidRPr="007562CB">
        <w:t xml:space="preserve"> what transpired on the day in question, as </w:t>
      </w:r>
      <w:r w:rsidR="00061702" w:rsidRPr="007562CB">
        <w:t>a</w:t>
      </w:r>
      <w:r w:rsidR="00863166" w:rsidRPr="007562CB">
        <w:t>l</w:t>
      </w:r>
      <w:r w:rsidR="00061702" w:rsidRPr="007562CB">
        <w:t>leg</w:t>
      </w:r>
      <w:r w:rsidR="00863166" w:rsidRPr="007562CB">
        <w:t>ed by the applicant. Basically his argument is that this procedure is lawful because it is the standard procedure.</w:t>
      </w:r>
    </w:p>
    <w:p w:rsidR="00863166" w:rsidRPr="007562CB" w:rsidRDefault="00863166" w:rsidP="003413D5">
      <w:pPr>
        <w:pStyle w:val="NoSpacing"/>
        <w:spacing w:line="480" w:lineRule="auto"/>
        <w:jc w:val="both"/>
      </w:pPr>
    </w:p>
    <w:p w:rsidR="00863166" w:rsidRPr="007562CB" w:rsidRDefault="00E3587C" w:rsidP="003413D5">
      <w:pPr>
        <w:pStyle w:val="NoSpacing"/>
        <w:spacing w:line="480" w:lineRule="auto"/>
        <w:jc w:val="both"/>
      </w:pPr>
      <w:r w:rsidRPr="007562CB">
        <w:tab/>
        <w:t xml:space="preserve">It is trite law that the police </w:t>
      </w:r>
      <w:r w:rsidR="004F3FAD" w:rsidRPr="007562CB">
        <w:t>can only deprive a person of liberty in accordance with the law.</w:t>
      </w:r>
      <w:r w:rsidRPr="007562CB">
        <w:t xml:space="preserve"> A detention </w:t>
      </w:r>
      <w:r w:rsidR="004F3FAD" w:rsidRPr="007562CB">
        <w:t>is a deprivation of</w:t>
      </w:r>
      <w:r w:rsidRPr="007562CB">
        <w:t xml:space="preserve"> a person’s liberty</w:t>
      </w:r>
      <w:r w:rsidR="00E479B7" w:rsidRPr="007562CB">
        <w:t>,</w:t>
      </w:r>
      <w:r w:rsidR="004F3FAD" w:rsidRPr="007562CB">
        <w:t xml:space="preserve"> which is only permissible in terms of the law</w:t>
      </w:r>
      <w:r w:rsidRPr="007562CB">
        <w:t>.</w:t>
      </w:r>
      <w:r w:rsidR="004F3FAD" w:rsidRPr="007562CB">
        <w:t xml:space="preserve"> It is common cause that the applicant was detained. Once that is established, it is for the respondents to establish the legal basis for the</w:t>
      </w:r>
      <w:r w:rsidR="0064540C" w:rsidRPr="007562CB">
        <w:t xml:space="preserve"> </w:t>
      </w:r>
      <w:r w:rsidR="004F3FAD" w:rsidRPr="007562CB">
        <w:t>detention.</w:t>
      </w:r>
    </w:p>
    <w:p w:rsidR="00E3587C" w:rsidRPr="007562CB" w:rsidRDefault="00E3587C" w:rsidP="003413D5">
      <w:pPr>
        <w:pStyle w:val="NoSpacing"/>
        <w:spacing w:line="480" w:lineRule="auto"/>
        <w:jc w:val="both"/>
      </w:pPr>
    </w:p>
    <w:p w:rsidR="00E3587C" w:rsidRPr="007562CB" w:rsidRDefault="00E3587C" w:rsidP="003413D5">
      <w:pPr>
        <w:pStyle w:val="NoSpacing"/>
        <w:spacing w:line="480" w:lineRule="auto"/>
        <w:jc w:val="both"/>
      </w:pPr>
      <w:r w:rsidRPr="007562CB">
        <w:lastRenderedPageBreak/>
        <w:tab/>
      </w:r>
      <w:r w:rsidR="00804D33" w:rsidRPr="007562CB">
        <w:t>In this case, the applicant was not</w:t>
      </w:r>
      <w:r w:rsidR="00061702" w:rsidRPr="007562CB">
        <w:t xml:space="preserve"> verbally</w:t>
      </w:r>
      <w:r w:rsidR="00804D33" w:rsidRPr="007562CB">
        <w:t xml:space="preserve"> arrested. </w:t>
      </w:r>
      <w:r w:rsidR="00061702" w:rsidRPr="007562CB">
        <w:t>H</w:t>
      </w:r>
      <w:r w:rsidR="00804D33" w:rsidRPr="007562CB">
        <w:t xml:space="preserve">e was </w:t>
      </w:r>
      <w:r w:rsidR="00061702" w:rsidRPr="007562CB">
        <w:t>simply</w:t>
      </w:r>
      <w:r w:rsidR="00804D33" w:rsidRPr="007562CB">
        <w:t xml:space="preserve"> told that he was going to be in police custody up until being granted bail by the court </w:t>
      </w:r>
      <w:r w:rsidR="00A9408B" w:rsidRPr="007562CB">
        <w:t>and even after being granted “free bail” he remained in custody up until the end of the day.</w:t>
      </w:r>
      <w:r w:rsidR="0064540C" w:rsidRPr="007562CB">
        <w:t xml:space="preserve"> No legal basis was advanced by the State justifying the detention of the applicant in the circumstances of this case. It follows</w:t>
      </w:r>
      <w:r w:rsidR="00C81648" w:rsidRPr="007562CB">
        <w:t>,</w:t>
      </w:r>
      <w:r w:rsidR="0064540C" w:rsidRPr="007562CB">
        <w:t xml:space="preserve"> therefore</w:t>
      </w:r>
      <w:r w:rsidR="00C81648" w:rsidRPr="007562CB">
        <w:t>,</w:t>
      </w:r>
      <w:r w:rsidR="0064540C" w:rsidRPr="007562CB">
        <w:t xml:space="preserve"> that the detention was unlawful and </w:t>
      </w:r>
      <w:r w:rsidR="00D03815" w:rsidRPr="007562CB">
        <w:t xml:space="preserve">a </w:t>
      </w:r>
      <w:r w:rsidR="0064540C" w:rsidRPr="007562CB">
        <w:t>violat</w:t>
      </w:r>
      <w:r w:rsidR="00061702" w:rsidRPr="007562CB">
        <w:t>ion of</w:t>
      </w:r>
      <w:r w:rsidR="0064540C" w:rsidRPr="007562CB">
        <w:t xml:space="preserve"> the applicant’s </w:t>
      </w:r>
      <w:r w:rsidR="00061702" w:rsidRPr="007562CB">
        <w:t xml:space="preserve">constitutional </w:t>
      </w:r>
      <w:r w:rsidR="0064540C" w:rsidRPr="007562CB">
        <w:t xml:space="preserve">right to </w:t>
      </w:r>
      <w:r w:rsidR="00061702" w:rsidRPr="007562CB">
        <w:t>liberty</w:t>
      </w:r>
      <w:r w:rsidR="0064540C" w:rsidRPr="007562CB">
        <w:t>.</w:t>
      </w:r>
    </w:p>
    <w:p w:rsidR="00A9408B" w:rsidRPr="007562CB" w:rsidRDefault="00A9408B" w:rsidP="003413D5">
      <w:pPr>
        <w:pStyle w:val="NoSpacing"/>
        <w:spacing w:line="480" w:lineRule="auto"/>
        <w:jc w:val="both"/>
      </w:pPr>
    </w:p>
    <w:p w:rsidR="0095482F" w:rsidRPr="007562CB" w:rsidRDefault="0095482F" w:rsidP="00535755">
      <w:pPr>
        <w:pStyle w:val="NoSpacing"/>
        <w:spacing w:line="480" w:lineRule="auto"/>
        <w:jc w:val="both"/>
      </w:pPr>
      <w:r w:rsidRPr="007562CB">
        <w:tab/>
      </w:r>
      <w:r w:rsidR="00F14DB8" w:rsidRPr="007562CB">
        <w:t>I</w:t>
      </w:r>
      <w:r w:rsidR="0001752C" w:rsidRPr="007562CB">
        <w:t>t is</w:t>
      </w:r>
      <w:r w:rsidR="00F14DB8" w:rsidRPr="007562CB">
        <w:t xml:space="preserve"> also</w:t>
      </w:r>
      <w:r w:rsidR="0001752C" w:rsidRPr="007562CB">
        <w:t xml:space="preserve"> not disputed that</w:t>
      </w:r>
      <w:r w:rsidR="00F14DB8" w:rsidRPr="007562CB">
        <w:t xml:space="preserve"> what happened to</w:t>
      </w:r>
      <w:r w:rsidR="0001752C" w:rsidRPr="007562CB">
        <w:t xml:space="preserve"> the applicant </w:t>
      </w:r>
      <w:r w:rsidR="00F14DB8" w:rsidRPr="007562CB">
        <w:t>is</w:t>
      </w:r>
      <w:r w:rsidR="0001752C" w:rsidRPr="007562CB">
        <w:t xml:space="preserve"> common practice at criminal court</w:t>
      </w:r>
      <w:r w:rsidR="00F14DB8" w:rsidRPr="007562CB">
        <w:t>s</w:t>
      </w:r>
      <w:r w:rsidR="0001752C" w:rsidRPr="007562CB">
        <w:t>. The Court is satisfied that this practice is unconstitutional</w:t>
      </w:r>
      <w:r w:rsidR="00F157D5" w:rsidRPr="007562CB">
        <w:t>,</w:t>
      </w:r>
      <w:r w:rsidR="0001752C" w:rsidRPr="007562CB">
        <w:t xml:space="preserve"> in that it interferes with an accused person’s right to liberty </w:t>
      </w:r>
      <w:r w:rsidR="00F14DB8" w:rsidRPr="007562CB">
        <w:t xml:space="preserve">without </w:t>
      </w:r>
      <w:r w:rsidR="0053250B" w:rsidRPr="007562CB">
        <w:t>any regard to the legal requirement</w:t>
      </w:r>
      <w:r w:rsidR="00C81648" w:rsidRPr="007562CB">
        <w:t>s</w:t>
      </w:r>
      <w:r w:rsidR="0053250B" w:rsidRPr="007562CB">
        <w:t xml:space="preserve"> set out in </w:t>
      </w:r>
      <w:r w:rsidR="0053250B" w:rsidRPr="007562CB">
        <w:rPr>
          <w:i/>
        </w:rPr>
        <w:t xml:space="preserve">Muzondo’s </w:t>
      </w:r>
      <w:r w:rsidR="0053250B" w:rsidRPr="007562CB">
        <w:t>case</w:t>
      </w:r>
      <w:r w:rsidR="0053250B" w:rsidRPr="007562CB">
        <w:rPr>
          <w:i/>
        </w:rPr>
        <w:t xml:space="preserve"> supra</w:t>
      </w:r>
      <w:r w:rsidR="0001752C" w:rsidRPr="007562CB">
        <w:t>.</w:t>
      </w:r>
      <w:r w:rsidR="00FA0D48" w:rsidRPr="007562CB">
        <w:t xml:space="preserve"> I must, however, add the </w:t>
      </w:r>
      <w:r w:rsidR="00FA0D48" w:rsidRPr="007562CB">
        <w:rPr>
          <w:i/>
        </w:rPr>
        <w:t>caveat</w:t>
      </w:r>
      <w:r w:rsidR="00FA0D48" w:rsidRPr="007562CB">
        <w:t xml:space="preserve"> that each case has to be determined on its own facts. It is only in those cases where the facts are on </w:t>
      </w:r>
      <w:r w:rsidR="00C81648" w:rsidRPr="007562CB">
        <w:t xml:space="preserve">all </w:t>
      </w:r>
      <w:r w:rsidR="00FA0D48" w:rsidRPr="007562CB">
        <w:t xml:space="preserve">fours with this case that </w:t>
      </w:r>
      <w:r w:rsidR="004A7236" w:rsidRPr="007562CB">
        <w:t>this provides a precedent</w:t>
      </w:r>
      <w:r w:rsidR="00FA0D48" w:rsidRPr="007562CB">
        <w:t>.</w:t>
      </w:r>
    </w:p>
    <w:p w:rsidR="00D1281D" w:rsidRPr="007562CB" w:rsidRDefault="00D1281D" w:rsidP="0001752C">
      <w:pPr>
        <w:pStyle w:val="NoSpacing"/>
        <w:spacing w:line="480" w:lineRule="auto"/>
        <w:jc w:val="both"/>
      </w:pPr>
    </w:p>
    <w:p w:rsidR="003413D5" w:rsidRPr="007562CB" w:rsidRDefault="00F14DB8" w:rsidP="003413D5">
      <w:pPr>
        <w:pStyle w:val="NoSpacing"/>
        <w:spacing w:line="480" w:lineRule="auto"/>
        <w:jc w:val="both"/>
      </w:pPr>
      <w:r w:rsidRPr="007562CB">
        <w:tab/>
      </w:r>
      <w:r w:rsidR="002C38D2" w:rsidRPr="007562CB">
        <w:t>It is for</w:t>
      </w:r>
      <w:r w:rsidRPr="007562CB">
        <w:t xml:space="preserve"> the</w:t>
      </w:r>
      <w:r w:rsidR="002C38D2" w:rsidRPr="007562CB">
        <w:t>se</w:t>
      </w:r>
      <w:r w:rsidRPr="007562CB">
        <w:t xml:space="preserve"> reasons </w:t>
      </w:r>
      <w:r w:rsidR="002C38D2" w:rsidRPr="007562CB">
        <w:t>that</w:t>
      </w:r>
      <w:r w:rsidRPr="007562CB">
        <w:t xml:space="preserve"> the Court</w:t>
      </w:r>
      <w:r w:rsidR="002C38D2" w:rsidRPr="007562CB">
        <w:t xml:space="preserve">, after reading documents filed of record and hearing counsel, </w:t>
      </w:r>
      <w:r w:rsidRPr="007562CB">
        <w:t xml:space="preserve">issued the </w:t>
      </w:r>
      <w:r w:rsidR="002C38D2" w:rsidRPr="007562CB">
        <w:t>following order:</w:t>
      </w:r>
    </w:p>
    <w:p w:rsidR="00EA1885" w:rsidRPr="007562CB" w:rsidRDefault="00EA1885" w:rsidP="00EA1885">
      <w:pPr>
        <w:pStyle w:val="NoSpacing"/>
        <w:jc w:val="center"/>
        <w:rPr>
          <w:sz w:val="22"/>
          <w:szCs w:val="22"/>
        </w:rPr>
      </w:pPr>
      <w:r w:rsidRPr="007562CB">
        <w:rPr>
          <w:sz w:val="22"/>
          <w:szCs w:val="22"/>
        </w:rPr>
        <w:t>“</w:t>
      </w:r>
      <w:r w:rsidRPr="007562CB">
        <w:rPr>
          <w:b/>
          <w:sz w:val="22"/>
          <w:szCs w:val="22"/>
          <w:u w:val="single"/>
        </w:rPr>
        <w:t>IT IS DECLARED THAT</w:t>
      </w:r>
      <w:r w:rsidR="00BC3709" w:rsidRPr="007562CB">
        <w:rPr>
          <w:b/>
          <w:sz w:val="22"/>
          <w:szCs w:val="22"/>
          <w:u w:val="single"/>
        </w:rPr>
        <w:t xml:space="preserve"> (</w:t>
      </w:r>
      <w:r w:rsidR="00BC3709" w:rsidRPr="007562CB">
        <w:rPr>
          <w:b/>
          <w:i/>
          <w:sz w:val="22"/>
          <w:szCs w:val="22"/>
          <w:u w:val="single"/>
        </w:rPr>
        <w:t>sic</w:t>
      </w:r>
      <w:r w:rsidR="00BC3709" w:rsidRPr="007562CB">
        <w:rPr>
          <w:b/>
          <w:sz w:val="22"/>
          <w:szCs w:val="22"/>
          <w:u w:val="single"/>
        </w:rPr>
        <w:t>)</w:t>
      </w:r>
    </w:p>
    <w:p w:rsidR="00EA1885" w:rsidRPr="007562CB" w:rsidRDefault="00EA1885" w:rsidP="00EA1885">
      <w:pPr>
        <w:pStyle w:val="NoSpacing"/>
        <w:jc w:val="both"/>
        <w:rPr>
          <w:sz w:val="22"/>
          <w:szCs w:val="22"/>
        </w:rPr>
      </w:pPr>
    </w:p>
    <w:p w:rsidR="00EA1885" w:rsidRPr="007562CB" w:rsidRDefault="00EA1885" w:rsidP="00EA1885">
      <w:pPr>
        <w:pStyle w:val="NoSpacing"/>
        <w:ind w:left="720" w:hanging="720"/>
        <w:jc w:val="both"/>
        <w:rPr>
          <w:sz w:val="22"/>
          <w:szCs w:val="22"/>
        </w:rPr>
      </w:pPr>
      <w:r w:rsidRPr="007562CB">
        <w:rPr>
          <w:sz w:val="22"/>
          <w:szCs w:val="22"/>
        </w:rPr>
        <w:t>1.</w:t>
      </w:r>
      <w:r w:rsidRPr="007562CB">
        <w:rPr>
          <w:sz w:val="22"/>
          <w:szCs w:val="22"/>
        </w:rPr>
        <w:tab/>
        <w:t>That the facts alleged by the State in this case even if proved do not constitute a criminal offence.</w:t>
      </w:r>
      <w:r w:rsidR="00BC3709" w:rsidRPr="007562CB">
        <w:rPr>
          <w:sz w:val="22"/>
          <w:szCs w:val="22"/>
        </w:rPr>
        <w:t xml:space="preserve"> </w:t>
      </w:r>
      <w:r w:rsidRPr="007562CB">
        <w:rPr>
          <w:sz w:val="22"/>
          <w:szCs w:val="22"/>
        </w:rPr>
        <w:t>Consequently</w:t>
      </w:r>
      <w:r w:rsidR="00BC3709" w:rsidRPr="007562CB">
        <w:rPr>
          <w:sz w:val="22"/>
          <w:szCs w:val="22"/>
        </w:rPr>
        <w:t>,</w:t>
      </w:r>
      <w:r w:rsidRPr="007562CB">
        <w:rPr>
          <w:sz w:val="22"/>
          <w:szCs w:val="22"/>
        </w:rPr>
        <w:t xml:space="preserve"> the first respondent’s refusal to refer this matter to the Constitutional Court violated the applicant’s right guaranteed by section 56(1) of the Constitution of Zimbabwe, as read with section 175(4) of the Constitution.</w:t>
      </w:r>
    </w:p>
    <w:p w:rsidR="00EA1885" w:rsidRPr="007562CB" w:rsidRDefault="00EA1885" w:rsidP="00EA1885">
      <w:pPr>
        <w:pStyle w:val="NoSpacing"/>
        <w:ind w:left="720" w:hanging="720"/>
        <w:jc w:val="both"/>
        <w:rPr>
          <w:sz w:val="22"/>
          <w:szCs w:val="22"/>
        </w:rPr>
      </w:pPr>
    </w:p>
    <w:p w:rsidR="00EA1885" w:rsidRPr="007562CB" w:rsidRDefault="00EA1885" w:rsidP="00EA1885">
      <w:pPr>
        <w:pStyle w:val="NoSpacing"/>
        <w:ind w:left="720" w:hanging="720"/>
        <w:jc w:val="both"/>
        <w:rPr>
          <w:sz w:val="22"/>
          <w:szCs w:val="22"/>
        </w:rPr>
      </w:pPr>
      <w:r w:rsidRPr="007562CB">
        <w:rPr>
          <w:sz w:val="22"/>
          <w:szCs w:val="22"/>
        </w:rPr>
        <w:t>2.</w:t>
      </w:r>
      <w:r w:rsidRPr="007562CB">
        <w:rPr>
          <w:sz w:val="22"/>
          <w:szCs w:val="22"/>
        </w:rPr>
        <w:tab/>
        <w:t>That the applicant’s arrest and detention on 3 December 2013 at court for the purpose of hi</w:t>
      </w:r>
      <w:r w:rsidR="00C81648" w:rsidRPr="007562CB">
        <w:rPr>
          <w:sz w:val="22"/>
          <w:szCs w:val="22"/>
        </w:rPr>
        <w:t>s</w:t>
      </w:r>
      <w:r w:rsidRPr="007562CB">
        <w:rPr>
          <w:sz w:val="22"/>
          <w:szCs w:val="22"/>
        </w:rPr>
        <w:t xml:space="preserve"> appearing in court from custody when he had freely attended at court was unlawful and unconstitutional in terms of section 49(1)(b) of the Constitution of Zimbabwe.</w:t>
      </w:r>
    </w:p>
    <w:p w:rsidR="00EA1885" w:rsidRPr="007562CB" w:rsidRDefault="00EA1885" w:rsidP="00EA1885">
      <w:pPr>
        <w:pStyle w:val="NoSpacing"/>
        <w:ind w:left="720" w:hanging="720"/>
        <w:jc w:val="both"/>
        <w:rPr>
          <w:sz w:val="22"/>
          <w:szCs w:val="22"/>
        </w:rPr>
      </w:pPr>
    </w:p>
    <w:p w:rsidR="00EA1885" w:rsidRPr="007562CB" w:rsidRDefault="00EA1885" w:rsidP="00EA1885">
      <w:pPr>
        <w:pStyle w:val="NoSpacing"/>
        <w:ind w:left="720" w:hanging="720"/>
        <w:jc w:val="both"/>
        <w:rPr>
          <w:sz w:val="22"/>
          <w:szCs w:val="22"/>
        </w:rPr>
      </w:pPr>
    </w:p>
    <w:p w:rsidR="00EA1885" w:rsidRPr="007562CB" w:rsidRDefault="00EA1885" w:rsidP="00EA1885">
      <w:pPr>
        <w:pStyle w:val="NoSpacing"/>
        <w:jc w:val="both"/>
        <w:rPr>
          <w:b/>
          <w:sz w:val="22"/>
          <w:szCs w:val="22"/>
        </w:rPr>
      </w:pPr>
      <w:r w:rsidRPr="007562CB">
        <w:rPr>
          <w:b/>
          <w:sz w:val="22"/>
          <w:szCs w:val="22"/>
        </w:rPr>
        <w:t>IT IS ORDERED THAT:</w:t>
      </w:r>
    </w:p>
    <w:p w:rsidR="00EA1885" w:rsidRPr="007562CB" w:rsidRDefault="00EA1885" w:rsidP="00EA1885">
      <w:pPr>
        <w:pStyle w:val="NoSpacing"/>
        <w:jc w:val="both"/>
        <w:rPr>
          <w:b/>
          <w:sz w:val="22"/>
          <w:szCs w:val="22"/>
        </w:rPr>
      </w:pPr>
    </w:p>
    <w:p w:rsidR="00EA1885" w:rsidRPr="007562CB" w:rsidRDefault="00EA1885" w:rsidP="00EA1885">
      <w:pPr>
        <w:pStyle w:val="NoSpacing"/>
        <w:jc w:val="both"/>
        <w:rPr>
          <w:sz w:val="22"/>
          <w:szCs w:val="22"/>
        </w:rPr>
      </w:pPr>
      <w:r w:rsidRPr="007562CB">
        <w:rPr>
          <w:sz w:val="22"/>
          <w:szCs w:val="22"/>
        </w:rPr>
        <w:t>3.</w:t>
      </w:r>
      <w:r w:rsidRPr="007562CB">
        <w:rPr>
          <w:sz w:val="22"/>
          <w:szCs w:val="22"/>
        </w:rPr>
        <w:tab/>
        <w:t>The prosecution of the accused in this case is permanently stayed.</w:t>
      </w:r>
    </w:p>
    <w:p w:rsidR="00EA1885" w:rsidRPr="007562CB" w:rsidRDefault="00EA1885" w:rsidP="00EA1885">
      <w:pPr>
        <w:pStyle w:val="NoSpacing"/>
        <w:jc w:val="both"/>
        <w:rPr>
          <w:sz w:val="22"/>
          <w:szCs w:val="22"/>
        </w:rPr>
      </w:pPr>
    </w:p>
    <w:p w:rsidR="00EA1885" w:rsidRPr="007562CB" w:rsidRDefault="00EA1885" w:rsidP="00C81648">
      <w:pPr>
        <w:pStyle w:val="NoSpacing"/>
        <w:ind w:left="720" w:hanging="720"/>
        <w:jc w:val="both"/>
      </w:pPr>
      <w:r w:rsidRPr="007562CB">
        <w:rPr>
          <w:sz w:val="22"/>
          <w:szCs w:val="22"/>
        </w:rPr>
        <w:t>4.</w:t>
      </w:r>
      <w:r w:rsidRPr="007562CB">
        <w:rPr>
          <w:sz w:val="22"/>
          <w:szCs w:val="22"/>
        </w:rPr>
        <w:tab/>
        <w:t>The second respondent and the third respondent shall pay the applicant’s costs of suit.”</w:t>
      </w:r>
    </w:p>
    <w:p w:rsidR="00EA1885" w:rsidRPr="007562CB" w:rsidRDefault="00EA1885" w:rsidP="00EA1885">
      <w:pPr>
        <w:pStyle w:val="NoSpacing"/>
        <w:jc w:val="both"/>
      </w:pPr>
    </w:p>
    <w:p w:rsidR="00EA1885" w:rsidRPr="007562CB" w:rsidRDefault="00EA1885" w:rsidP="00EA1885">
      <w:pPr>
        <w:pStyle w:val="NoSpacing"/>
        <w:jc w:val="both"/>
      </w:pPr>
    </w:p>
    <w:p w:rsidR="002C38D2" w:rsidRPr="007562CB" w:rsidRDefault="002C38D2" w:rsidP="003413D5">
      <w:pPr>
        <w:pStyle w:val="NoSpacing"/>
        <w:spacing w:line="480" w:lineRule="auto"/>
        <w:jc w:val="both"/>
      </w:pPr>
    </w:p>
    <w:p w:rsidR="00934D2F" w:rsidRPr="007562CB" w:rsidRDefault="00934D2F" w:rsidP="006C3656">
      <w:pPr>
        <w:pStyle w:val="NoSpacing"/>
        <w:spacing w:line="480" w:lineRule="auto"/>
        <w:ind w:firstLine="720"/>
        <w:rPr>
          <w:b/>
        </w:rPr>
      </w:pPr>
    </w:p>
    <w:p w:rsidR="00934D2F" w:rsidRPr="007562CB" w:rsidRDefault="00934D2F" w:rsidP="006C3656">
      <w:pPr>
        <w:pStyle w:val="NoSpacing"/>
        <w:spacing w:line="480" w:lineRule="auto"/>
        <w:ind w:firstLine="720"/>
        <w:rPr>
          <w:b/>
        </w:rPr>
      </w:pPr>
    </w:p>
    <w:p w:rsidR="00934D2F" w:rsidRPr="007562CB" w:rsidRDefault="00934D2F" w:rsidP="006C3656">
      <w:pPr>
        <w:pStyle w:val="NoSpacing"/>
        <w:spacing w:line="480" w:lineRule="auto"/>
        <w:ind w:firstLine="720"/>
        <w:rPr>
          <w:b/>
        </w:rPr>
      </w:pPr>
    </w:p>
    <w:p w:rsidR="006C3656" w:rsidRPr="007562CB" w:rsidRDefault="006C3656" w:rsidP="006C3656">
      <w:pPr>
        <w:pStyle w:val="NoSpacing"/>
        <w:spacing w:line="480" w:lineRule="auto"/>
        <w:ind w:firstLine="720"/>
        <w:rPr>
          <w:b/>
        </w:rPr>
      </w:pPr>
      <w:r w:rsidRPr="007562CB">
        <w:rPr>
          <w:b/>
        </w:rPr>
        <w:t xml:space="preserve">ZIYAMBI JCC:     </w:t>
      </w:r>
      <w:r w:rsidRPr="007562CB">
        <w:t>I   agree</w:t>
      </w:r>
    </w:p>
    <w:p w:rsidR="006C3656" w:rsidRPr="007562CB" w:rsidRDefault="006C3656" w:rsidP="006C3656">
      <w:pPr>
        <w:pStyle w:val="NoSpacing"/>
        <w:spacing w:line="480" w:lineRule="auto"/>
        <w:ind w:firstLine="720"/>
        <w:rPr>
          <w:b/>
        </w:rPr>
      </w:pPr>
      <w:r w:rsidRPr="007562CB">
        <w:rPr>
          <w:b/>
        </w:rPr>
        <w:t xml:space="preserve"> </w:t>
      </w:r>
    </w:p>
    <w:p w:rsidR="006C3656" w:rsidRPr="007562CB" w:rsidRDefault="006C3656" w:rsidP="006C3656">
      <w:pPr>
        <w:pStyle w:val="NoSpacing"/>
        <w:spacing w:line="480" w:lineRule="auto"/>
        <w:ind w:firstLine="720"/>
        <w:rPr>
          <w:b/>
        </w:rPr>
      </w:pPr>
    </w:p>
    <w:p w:rsidR="006C3656" w:rsidRPr="007562CB" w:rsidRDefault="006C3656" w:rsidP="006C3656">
      <w:pPr>
        <w:pStyle w:val="NoSpacing"/>
        <w:spacing w:line="480" w:lineRule="auto"/>
        <w:ind w:firstLine="720"/>
        <w:rPr>
          <w:b/>
        </w:rPr>
      </w:pPr>
    </w:p>
    <w:p w:rsidR="00934D2F" w:rsidRPr="007562CB" w:rsidRDefault="00934D2F" w:rsidP="006C3656">
      <w:pPr>
        <w:pStyle w:val="NoSpacing"/>
        <w:spacing w:line="480" w:lineRule="auto"/>
        <w:ind w:firstLine="720"/>
        <w:rPr>
          <w:b/>
        </w:rPr>
      </w:pPr>
    </w:p>
    <w:p w:rsidR="006C3656" w:rsidRPr="007562CB" w:rsidRDefault="006C3656" w:rsidP="006C3656">
      <w:pPr>
        <w:pStyle w:val="NoSpacing"/>
        <w:spacing w:line="480" w:lineRule="auto"/>
        <w:ind w:firstLine="720"/>
      </w:pPr>
      <w:r w:rsidRPr="007562CB">
        <w:rPr>
          <w:b/>
        </w:rPr>
        <w:t xml:space="preserve">GWAUNZA JCC:     </w:t>
      </w:r>
      <w:r w:rsidRPr="007562CB">
        <w:t>I   agree</w:t>
      </w:r>
    </w:p>
    <w:p w:rsidR="006C3656" w:rsidRPr="007562CB" w:rsidRDefault="006C3656" w:rsidP="006C3656">
      <w:pPr>
        <w:pStyle w:val="NoSpacing"/>
        <w:spacing w:line="480" w:lineRule="auto"/>
        <w:ind w:firstLine="720"/>
        <w:rPr>
          <w:b/>
        </w:rPr>
      </w:pPr>
      <w:r w:rsidRPr="007562CB">
        <w:rPr>
          <w:b/>
        </w:rPr>
        <w:t xml:space="preserve"> </w:t>
      </w:r>
    </w:p>
    <w:p w:rsidR="006C3656" w:rsidRPr="007562CB" w:rsidRDefault="006C3656" w:rsidP="006C3656">
      <w:pPr>
        <w:pStyle w:val="NoSpacing"/>
        <w:spacing w:line="480" w:lineRule="auto"/>
        <w:ind w:firstLine="720"/>
        <w:rPr>
          <w:b/>
        </w:rPr>
      </w:pPr>
    </w:p>
    <w:p w:rsidR="006C3656" w:rsidRPr="007562CB" w:rsidRDefault="006C3656" w:rsidP="006C3656">
      <w:pPr>
        <w:pStyle w:val="NoSpacing"/>
        <w:spacing w:line="480" w:lineRule="auto"/>
        <w:ind w:firstLine="720"/>
        <w:rPr>
          <w:b/>
        </w:rPr>
      </w:pPr>
    </w:p>
    <w:p w:rsidR="00934D2F" w:rsidRPr="007562CB" w:rsidRDefault="00934D2F" w:rsidP="006C3656">
      <w:pPr>
        <w:pStyle w:val="NoSpacing"/>
        <w:spacing w:line="480" w:lineRule="auto"/>
        <w:ind w:firstLine="720"/>
        <w:rPr>
          <w:b/>
        </w:rPr>
      </w:pPr>
    </w:p>
    <w:p w:rsidR="006C3656" w:rsidRPr="007562CB" w:rsidRDefault="006C3656" w:rsidP="006C3656">
      <w:pPr>
        <w:pStyle w:val="NoSpacing"/>
        <w:spacing w:line="480" w:lineRule="auto"/>
        <w:ind w:firstLine="720"/>
        <w:rPr>
          <w:b/>
        </w:rPr>
      </w:pPr>
      <w:r w:rsidRPr="007562CB">
        <w:rPr>
          <w:b/>
        </w:rPr>
        <w:t xml:space="preserve">GARWE JCC:     </w:t>
      </w:r>
      <w:r w:rsidRPr="007562CB">
        <w:t>I   agree</w:t>
      </w:r>
    </w:p>
    <w:p w:rsidR="006C3656" w:rsidRPr="007562CB" w:rsidRDefault="006C3656" w:rsidP="006C3656">
      <w:pPr>
        <w:pStyle w:val="NoSpacing"/>
        <w:spacing w:line="480" w:lineRule="auto"/>
        <w:ind w:firstLine="720"/>
        <w:rPr>
          <w:b/>
        </w:rPr>
      </w:pPr>
    </w:p>
    <w:p w:rsidR="006C3656" w:rsidRPr="007562CB" w:rsidRDefault="006C3656" w:rsidP="006C3656">
      <w:pPr>
        <w:pStyle w:val="NoSpacing"/>
        <w:spacing w:line="480" w:lineRule="auto"/>
        <w:ind w:firstLine="720"/>
        <w:rPr>
          <w:b/>
        </w:rPr>
      </w:pPr>
    </w:p>
    <w:p w:rsidR="006C3656" w:rsidRPr="007562CB" w:rsidRDefault="006C3656" w:rsidP="006C3656">
      <w:pPr>
        <w:pStyle w:val="NoSpacing"/>
        <w:spacing w:line="480" w:lineRule="auto"/>
        <w:ind w:firstLine="720"/>
        <w:rPr>
          <w:b/>
        </w:rPr>
      </w:pPr>
    </w:p>
    <w:p w:rsidR="00934D2F" w:rsidRPr="007562CB" w:rsidRDefault="00934D2F" w:rsidP="006C3656">
      <w:pPr>
        <w:pStyle w:val="NoSpacing"/>
        <w:spacing w:line="480" w:lineRule="auto"/>
        <w:ind w:firstLine="720"/>
        <w:rPr>
          <w:b/>
        </w:rPr>
      </w:pPr>
    </w:p>
    <w:p w:rsidR="006C3656" w:rsidRPr="007562CB" w:rsidRDefault="006C3656" w:rsidP="006C3656">
      <w:pPr>
        <w:pStyle w:val="NoSpacing"/>
        <w:spacing w:line="480" w:lineRule="auto"/>
        <w:ind w:firstLine="720"/>
      </w:pPr>
      <w:r w:rsidRPr="007562CB">
        <w:rPr>
          <w:b/>
        </w:rPr>
        <w:t xml:space="preserve">GOWORA JCC:     </w:t>
      </w:r>
      <w:r w:rsidRPr="007562CB">
        <w:t>I   agree</w:t>
      </w:r>
    </w:p>
    <w:p w:rsidR="006C3656" w:rsidRPr="007562CB" w:rsidRDefault="006C3656" w:rsidP="006C3656">
      <w:pPr>
        <w:pStyle w:val="NoSpacing"/>
        <w:spacing w:line="480" w:lineRule="auto"/>
        <w:ind w:firstLine="720"/>
        <w:rPr>
          <w:b/>
        </w:rPr>
      </w:pPr>
    </w:p>
    <w:p w:rsidR="006C3656" w:rsidRPr="007562CB" w:rsidRDefault="006C3656" w:rsidP="006C3656">
      <w:pPr>
        <w:pStyle w:val="NoSpacing"/>
        <w:spacing w:line="480" w:lineRule="auto"/>
        <w:ind w:firstLine="720"/>
        <w:rPr>
          <w:b/>
        </w:rPr>
      </w:pPr>
    </w:p>
    <w:p w:rsidR="006C3656" w:rsidRPr="007562CB" w:rsidRDefault="006C3656" w:rsidP="006C3656">
      <w:pPr>
        <w:pStyle w:val="NoSpacing"/>
        <w:spacing w:line="480" w:lineRule="auto"/>
        <w:ind w:firstLine="720"/>
        <w:rPr>
          <w:b/>
        </w:rPr>
      </w:pPr>
    </w:p>
    <w:p w:rsidR="00934D2F" w:rsidRPr="007562CB" w:rsidRDefault="00934D2F" w:rsidP="006C3656">
      <w:pPr>
        <w:pStyle w:val="NoSpacing"/>
        <w:spacing w:line="480" w:lineRule="auto"/>
        <w:ind w:firstLine="720"/>
        <w:rPr>
          <w:b/>
        </w:rPr>
      </w:pPr>
    </w:p>
    <w:p w:rsidR="006C3656" w:rsidRPr="007562CB" w:rsidRDefault="006C3656" w:rsidP="006C3656">
      <w:pPr>
        <w:pStyle w:val="NoSpacing"/>
        <w:spacing w:line="480" w:lineRule="auto"/>
        <w:ind w:firstLine="720"/>
      </w:pPr>
      <w:r w:rsidRPr="007562CB">
        <w:rPr>
          <w:b/>
        </w:rPr>
        <w:t xml:space="preserve">HLATSHWAYO JCC:     </w:t>
      </w:r>
      <w:r w:rsidRPr="007562CB">
        <w:t>I   agree</w:t>
      </w:r>
    </w:p>
    <w:p w:rsidR="006C3656" w:rsidRPr="007562CB" w:rsidRDefault="006C3656" w:rsidP="006C3656">
      <w:pPr>
        <w:pStyle w:val="NoSpacing"/>
        <w:spacing w:line="480" w:lineRule="auto"/>
        <w:ind w:firstLine="720"/>
        <w:rPr>
          <w:b/>
        </w:rPr>
      </w:pPr>
    </w:p>
    <w:p w:rsidR="006C3656" w:rsidRPr="007562CB" w:rsidRDefault="006C3656" w:rsidP="006C3656">
      <w:pPr>
        <w:pStyle w:val="NoSpacing"/>
        <w:spacing w:line="480" w:lineRule="auto"/>
        <w:ind w:firstLine="720"/>
        <w:rPr>
          <w:b/>
        </w:rPr>
      </w:pPr>
    </w:p>
    <w:p w:rsidR="006C3656" w:rsidRPr="007562CB" w:rsidRDefault="006C3656" w:rsidP="006C3656">
      <w:pPr>
        <w:pStyle w:val="NoSpacing"/>
        <w:spacing w:line="480" w:lineRule="auto"/>
        <w:ind w:firstLine="720"/>
        <w:rPr>
          <w:b/>
        </w:rPr>
      </w:pPr>
    </w:p>
    <w:p w:rsidR="00934D2F" w:rsidRPr="007562CB" w:rsidRDefault="00934D2F" w:rsidP="006C3656">
      <w:pPr>
        <w:pStyle w:val="NoSpacing"/>
        <w:spacing w:line="480" w:lineRule="auto"/>
        <w:ind w:firstLine="720"/>
        <w:rPr>
          <w:b/>
        </w:rPr>
      </w:pPr>
    </w:p>
    <w:p w:rsidR="006C3656" w:rsidRPr="007562CB" w:rsidRDefault="006C3656" w:rsidP="006C3656">
      <w:pPr>
        <w:pStyle w:val="NoSpacing"/>
        <w:spacing w:line="480" w:lineRule="auto"/>
        <w:ind w:firstLine="720"/>
      </w:pPr>
      <w:r w:rsidRPr="007562CB">
        <w:rPr>
          <w:b/>
        </w:rPr>
        <w:t xml:space="preserve">MAVANGIRA AJCC:     </w:t>
      </w:r>
      <w:r w:rsidRPr="007562CB">
        <w:t>I   agree</w:t>
      </w:r>
    </w:p>
    <w:p w:rsidR="006A1766" w:rsidRPr="007562CB" w:rsidRDefault="006A1766" w:rsidP="006C3656">
      <w:pPr>
        <w:pStyle w:val="NoSpacing"/>
        <w:spacing w:line="480" w:lineRule="auto"/>
        <w:ind w:firstLine="720"/>
      </w:pPr>
    </w:p>
    <w:p w:rsidR="006A1766" w:rsidRPr="007562CB" w:rsidRDefault="006A1766" w:rsidP="006C3656">
      <w:pPr>
        <w:pStyle w:val="NoSpacing"/>
        <w:spacing w:line="480" w:lineRule="auto"/>
        <w:ind w:firstLine="720"/>
      </w:pPr>
    </w:p>
    <w:p w:rsidR="006A1766" w:rsidRPr="007562CB" w:rsidRDefault="006A1766" w:rsidP="006C3656">
      <w:pPr>
        <w:pStyle w:val="NoSpacing"/>
        <w:spacing w:line="480" w:lineRule="auto"/>
        <w:ind w:firstLine="720"/>
      </w:pPr>
    </w:p>
    <w:p w:rsidR="006A1766" w:rsidRPr="007562CB" w:rsidRDefault="006A1766" w:rsidP="006C3656">
      <w:pPr>
        <w:pStyle w:val="NoSpacing"/>
        <w:spacing w:line="480" w:lineRule="auto"/>
        <w:ind w:firstLine="720"/>
      </w:pPr>
    </w:p>
    <w:p w:rsidR="001A7D74" w:rsidRPr="007562CB" w:rsidRDefault="001A7D74" w:rsidP="006C3656">
      <w:pPr>
        <w:pStyle w:val="NoSpacing"/>
        <w:spacing w:line="480" w:lineRule="auto"/>
        <w:ind w:firstLine="720"/>
      </w:pPr>
      <w:r w:rsidRPr="007562CB">
        <w:rPr>
          <w:b/>
        </w:rPr>
        <w:t>CHIWESHE AJCC:     I   agree</w:t>
      </w:r>
    </w:p>
    <w:p w:rsidR="001A7D74" w:rsidRPr="007562CB" w:rsidRDefault="001A7D74" w:rsidP="006A1766">
      <w:pPr>
        <w:pStyle w:val="NoSpacing"/>
        <w:spacing w:line="480" w:lineRule="auto"/>
        <w:ind w:firstLine="720"/>
        <w:rPr>
          <w:b/>
        </w:rPr>
      </w:pPr>
    </w:p>
    <w:p w:rsidR="001A7D74" w:rsidRPr="007562CB" w:rsidRDefault="001A7D74" w:rsidP="006A1766">
      <w:pPr>
        <w:pStyle w:val="NoSpacing"/>
        <w:spacing w:line="480" w:lineRule="auto"/>
        <w:ind w:firstLine="720"/>
        <w:rPr>
          <w:b/>
        </w:rPr>
      </w:pPr>
    </w:p>
    <w:p w:rsidR="001A7D74" w:rsidRPr="007562CB" w:rsidRDefault="001A7D74" w:rsidP="006A1766">
      <w:pPr>
        <w:pStyle w:val="NoSpacing"/>
        <w:spacing w:line="480" w:lineRule="auto"/>
        <w:ind w:firstLine="720"/>
        <w:rPr>
          <w:b/>
        </w:rPr>
      </w:pPr>
    </w:p>
    <w:p w:rsidR="001A7D74" w:rsidRPr="007562CB" w:rsidRDefault="001A7D74" w:rsidP="006A1766">
      <w:pPr>
        <w:pStyle w:val="NoSpacing"/>
        <w:spacing w:line="480" w:lineRule="auto"/>
        <w:ind w:firstLine="720"/>
        <w:rPr>
          <w:b/>
        </w:rPr>
      </w:pPr>
    </w:p>
    <w:p w:rsidR="006A1766" w:rsidRPr="007562CB" w:rsidRDefault="006A1766" w:rsidP="006A1766">
      <w:pPr>
        <w:pStyle w:val="NoSpacing"/>
        <w:spacing w:line="480" w:lineRule="auto"/>
        <w:ind w:firstLine="720"/>
      </w:pPr>
      <w:r w:rsidRPr="007562CB">
        <w:rPr>
          <w:b/>
        </w:rPr>
        <w:t xml:space="preserve">MAKONI AJCC:     </w:t>
      </w:r>
      <w:r w:rsidRPr="007562CB">
        <w:t>I   agree</w:t>
      </w:r>
    </w:p>
    <w:p w:rsidR="006A1766" w:rsidRPr="007562CB" w:rsidRDefault="006A1766" w:rsidP="006C3656">
      <w:pPr>
        <w:pStyle w:val="NoSpacing"/>
        <w:spacing w:line="480" w:lineRule="auto"/>
        <w:ind w:firstLine="720"/>
        <w:rPr>
          <w:b/>
        </w:rPr>
      </w:pPr>
    </w:p>
    <w:p w:rsidR="006C3656" w:rsidRPr="007562CB" w:rsidRDefault="006C3656" w:rsidP="006C3656">
      <w:pPr>
        <w:pStyle w:val="NoSpacing"/>
        <w:spacing w:line="480" w:lineRule="auto"/>
        <w:jc w:val="both"/>
      </w:pPr>
    </w:p>
    <w:p w:rsidR="006C3656" w:rsidRPr="007562CB" w:rsidRDefault="006C3656" w:rsidP="006C3656">
      <w:pPr>
        <w:pStyle w:val="NoSpacing"/>
        <w:spacing w:line="480" w:lineRule="auto"/>
        <w:jc w:val="both"/>
      </w:pPr>
    </w:p>
    <w:p w:rsidR="00C81648" w:rsidRPr="007562CB" w:rsidRDefault="00C81648" w:rsidP="006C3656">
      <w:pPr>
        <w:pStyle w:val="NoSpacing"/>
        <w:spacing w:line="480" w:lineRule="auto"/>
        <w:jc w:val="both"/>
        <w:rPr>
          <w:i/>
        </w:rPr>
      </w:pPr>
    </w:p>
    <w:p w:rsidR="006C3656" w:rsidRPr="007562CB" w:rsidRDefault="00934D2F" w:rsidP="006C3656">
      <w:pPr>
        <w:pStyle w:val="NoSpacing"/>
        <w:spacing w:line="480" w:lineRule="auto"/>
        <w:jc w:val="both"/>
      </w:pPr>
      <w:r w:rsidRPr="007562CB">
        <w:rPr>
          <w:i/>
        </w:rPr>
        <w:t>Mawere &amp; Sibanda</w:t>
      </w:r>
      <w:r w:rsidR="006C3656" w:rsidRPr="007562CB">
        <w:t>, applicant’s legal practitioners</w:t>
      </w:r>
    </w:p>
    <w:p w:rsidR="003413D5" w:rsidRPr="007562CB" w:rsidRDefault="00934D2F" w:rsidP="003413D5">
      <w:pPr>
        <w:pStyle w:val="NoSpacing"/>
        <w:spacing w:line="480" w:lineRule="auto"/>
        <w:jc w:val="both"/>
      </w:pPr>
      <w:r w:rsidRPr="007562CB">
        <w:rPr>
          <w:i/>
        </w:rPr>
        <w:t>Civil Division of the Attorney-General’s Office</w:t>
      </w:r>
      <w:r w:rsidR="006C3656" w:rsidRPr="007562CB">
        <w:t xml:space="preserve">, </w:t>
      </w:r>
      <w:r w:rsidR="006F7E09" w:rsidRPr="007562CB">
        <w:t>second</w:t>
      </w:r>
      <w:r w:rsidR="006C3656" w:rsidRPr="007562CB">
        <w:t xml:space="preserve"> </w:t>
      </w:r>
      <w:r w:rsidRPr="007562CB">
        <w:t>and</w:t>
      </w:r>
      <w:r w:rsidR="006C3656" w:rsidRPr="007562CB">
        <w:t xml:space="preserve"> third respondent’s legal practitioners</w:t>
      </w:r>
    </w:p>
    <w:sectPr w:rsidR="003413D5" w:rsidRPr="007562CB">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2FC" w:rsidRDefault="00AB32FC" w:rsidP="005E43C0">
      <w:pPr>
        <w:spacing w:after="0" w:line="240" w:lineRule="auto"/>
      </w:pPr>
      <w:r>
        <w:separator/>
      </w:r>
    </w:p>
  </w:endnote>
  <w:endnote w:type="continuationSeparator" w:id="0">
    <w:p w:rsidR="00AB32FC" w:rsidRDefault="00AB32FC" w:rsidP="005E4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2FC" w:rsidRDefault="00AB32FC" w:rsidP="005E43C0">
      <w:pPr>
        <w:spacing w:after="0" w:line="240" w:lineRule="auto"/>
      </w:pPr>
      <w:r>
        <w:separator/>
      </w:r>
    </w:p>
  </w:footnote>
  <w:footnote w:type="continuationSeparator" w:id="0">
    <w:p w:rsidR="00AB32FC" w:rsidRDefault="00AB32FC" w:rsidP="005E4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152" w:type="dxa"/>
      <w:tblLook w:val="01E0" w:firstRow="1" w:lastRow="1" w:firstColumn="1" w:lastColumn="1" w:noHBand="0" w:noVBand="0"/>
    </w:tblPr>
    <w:tblGrid>
      <w:gridCol w:w="7874"/>
      <w:gridCol w:w="1152"/>
    </w:tblGrid>
    <w:tr w:rsidR="003413D5">
      <w:tc>
        <w:tcPr>
          <w:tcW w:w="0" w:type="auto"/>
          <w:tcBorders>
            <w:right w:val="single" w:sz="6" w:space="0" w:color="000000" w:themeColor="text1"/>
          </w:tcBorders>
        </w:tcPr>
        <w:sdt>
          <w:sdtPr>
            <w:alias w:val="Company"/>
            <w:id w:val="78735422"/>
            <w:placeholder>
              <w:docPart w:val="85C67CEBC4554D3C92676F37F294FBD1"/>
            </w:placeholder>
            <w:dataBinding w:prefixMappings="xmlns:ns0='http://schemas.openxmlformats.org/officeDocument/2006/extended-properties'" w:xpath="/ns0:Properties[1]/ns0:Company[1]" w:storeItemID="{6668398D-A668-4E3E-A5EB-62B293D839F1}"/>
            <w:text/>
          </w:sdtPr>
          <w:sdtEndPr/>
          <w:sdtContent>
            <w:p w:rsidR="003413D5" w:rsidRDefault="00AD75FF">
              <w:pPr>
                <w:pStyle w:val="Header"/>
                <w:jc w:val="right"/>
              </w:pPr>
              <w:r>
                <w:rPr>
                  <w:lang w:val="en-US"/>
                </w:rPr>
                <w:t>Judgment No CCZ 2/17</w:t>
              </w:r>
            </w:p>
          </w:sdtContent>
        </w:sdt>
        <w:sdt>
          <w:sdtPr>
            <w:rPr>
              <w:b/>
              <w:bCs/>
            </w:rPr>
            <w:alias w:val="Title"/>
            <w:id w:val="78735415"/>
            <w:placeholder>
              <w:docPart w:val="5D9A358C94BA46D683CBF90B497E12AD"/>
            </w:placeholder>
            <w:dataBinding w:prefixMappings="xmlns:ns0='http://schemas.openxmlformats.org/package/2006/metadata/core-properties' xmlns:ns1='http://purl.org/dc/elements/1.1/'" w:xpath="/ns0:coreProperties[1]/ns1:title[1]" w:storeItemID="{6C3C8BC8-F283-45AE-878A-BAB7291924A1}"/>
            <w:text/>
          </w:sdtPr>
          <w:sdtEndPr/>
          <w:sdtContent>
            <w:p w:rsidR="003413D5" w:rsidRDefault="003413D5">
              <w:pPr>
                <w:pStyle w:val="Header"/>
                <w:jc w:val="right"/>
                <w:rPr>
                  <w:b/>
                  <w:bCs/>
                </w:rPr>
              </w:pPr>
              <w:r>
                <w:rPr>
                  <w:b/>
                  <w:bCs/>
                </w:rPr>
                <w:t>Constitutional Court Application No. CCZ 11/14</w:t>
              </w:r>
            </w:p>
          </w:sdtContent>
        </w:sdt>
      </w:tc>
      <w:tc>
        <w:tcPr>
          <w:tcW w:w="1152" w:type="dxa"/>
          <w:tcBorders>
            <w:left w:val="single" w:sz="6" w:space="0" w:color="000000" w:themeColor="text1"/>
          </w:tcBorders>
        </w:tcPr>
        <w:p w:rsidR="003413D5" w:rsidRDefault="003413D5">
          <w:pPr>
            <w:pStyle w:val="Header"/>
            <w:rPr>
              <w:b/>
              <w:bCs/>
            </w:rPr>
          </w:pPr>
          <w:r>
            <w:fldChar w:fldCharType="begin"/>
          </w:r>
          <w:r>
            <w:instrText xml:space="preserve"> PAGE   \* MERGEFORMAT </w:instrText>
          </w:r>
          <w:r>
            <w:fldChar w:fldCharType="separate"/>
          </w:r>
          <w:r w:rsidR="00875CE7">
            <w:rPr>
              <w:noProof/>
            </w:rPr>
            <w:t>1</w:t>
          </w:r>
          <w:r>
            <w:rPr>
              <w:noProof/>
            </w:rPr>
            <w:fldChar w:fldCharType="end"/>
          </w:r>
        </w:p>
      </w:tc>
    </w:tr>
  </w:tbl>
  <w:p w:rsidR="003413D5" w:rsidRDefault="003413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43E"/>
    <w:rsid w:val="0001752C"/>
    <w:rsid w:val="00022634"/>
    <w:rsid w:val="00061702"/>
    <w:rsid w:val="000B08C8"/>
    <w:rsid w:val="000C02C0"/>
    <w:rsid w:val="000E18D7"/>
    <w:rsid w:val="000F5E58"/>
    <w:rsid w:val="00107433"/>
    <w:rsid w:val="001121E4"/>
    <w:rsid w:val="00143935"/>
    <w:rsid w:val="001A7D74"/>
    <w:rsid w:val="001D5534"/>
    <w:rsid w:val="001D643B"/>
    <w:rsid w:val="00203952"/>
    <w:rsid w:val="00215533"/>
    <w:rsid w:val="00215E98"/>
    <w:rsid w:val="0022449C"/>
    <w:rsid w:val="002311B0"/>
    <w:rsid w:val="00232018"/>
    <w:rsid w:val="002323D8"/>
    <w:rsid w:val="00240755"/>
    <w:rsid w:val="00263B41"/>
    <w:rsid w:val="002B7E72"/>
    <w:rsid w:val="002C38D2"/>
    <w:rsid w:val="002D6BB2"/>
    <w:rsid w:val="003371DC"/>
    <w:rsid w:val="003412D5"/>
    <w:rsid w:val="003413D5"/>
    <w:rsid w:val="00344E8D"/>
    <w:rsid w:val="00371E38"/>
    <w:rsid w:val="0038114A"/>
    <w:rsid w:val="00422938"/>
    <w:rsid w:val="0042315E"/>
    <w:rsid w:val="004617EF"/>
    <w:rsid w:val="004A7236"/>
    <w:rsid w:val="004D4584"/>
    <w:rsid w:val="004F3FAD"/>
    <w:rsid w:val="00525DB8"/>
    <w:rsid w:val="0053250B"/>
    <w:rsid w:val="00535755"/>
    <w:rsid w:val="00535FF8"/>
    <w:rsid w:val="00565854"/>
    <w:rsid w:val="005E43C0"/>
    <w:rsid w:val="005F072C"/>
    <w:rsid w:val="005F728A"/>
    <w:rsid w:val="0064540C"/>
    <w:rsid w:val="006949D7"/>
    <w:rsid w:val="006A1766"/>
    <w:rsid w:val="006A4316"/>
    <w:rsid w:val="006C3656"/>
    <w:rsid w:val="006F7E09"/>
    <w:rsid w:val="00730EA2"/>
    <w:rsid w:val="007413AF"/>
    <w:rsid w:val="0074143E"/>
    <w:rsid w:val="007562CB"/>
    <w:rsid w:val="00765CA3"/>
    <w:rsid w:val="007701C2"/>
    <w:rsid w:val="00772A0E"/>
    <w:rsid w:val="00772A82"/>
    <w:rsid w:val="00797CC6"/>
    <w:rsid w:val="007A208A"/>
    <w:rsid w:val="007E6568"/>
    <w:rsid w:val="007F6091"/>
    <w:rsid w:val="00804D33"/>
    <w:rsid w:val="00804E62"/>
    <w:rsid w:val="008208EA"/>
    <w:rsid w:val="00830FCE"/>
    <w:rsid w:val="00833631"/>
    <w:rsid w:val="00835941"/>
    <w:rsid w:val="00842A5F"/>
    <w:rsid w:val="00860ABA"/>
    <w:rsid w:val="00863166"/>
    <w:rsid w:val="00875CE7"/>
    <w:rsid w:val="00890922"/>
    <w:rsid w:val="008A2923"/>
    <w:rsid w:val="008B5199"/>
    <w:rsid w:val="008E0820"/>
    <w:rsid w:val="008E4294"/>
    <w:rsid w:val="009006E8"/>
    <w:rsid w:val="00915982"/>
    <w:rsid w:val="00934D2F"/>
    <w:rsid w:val="0095482F"/>
    <w:rsid w:val="009627D7"/>
    <w:rsid w:val="00981424"/>
    <w:rsid w:val="00985A8D"/>
    <w:rsid w:val="009F6163"/>
    <w:rsid w:val="00A021BE"/>
    <w:rsid w:val="00A8502D"/>
    <w:rsid w:val="00A9408B"/>
    <w:rsid w:val="00AB32FC"/>
    <w:rsid w:val="00AD2B95"/>
    <w:rsid w:val="00AD75FF"/>
    <w:rsid w:val="00B12A11"/>
    <w:rsid w:val="00B40B25"/>
    <w:rsid w:val="00BA139B"/>
    <w:rsid w:val="00BC3709"/>
    <w:rsid w:val="00BC64B6"/>
    <w:rsid w:val="00BE0195"/>
    <w:rsid w:val="00BE595D"/>
    <w:rsid w:val="00C03486"/>
    <w:rsid w:val="00C30A34"/>
    <w:rsid w:val="00C3245A"/>
    <w:rsid w:val="00C43423"/>
    <w:rsid w:val="00C643D9"/>
    <w:rsid w:val="00C65351"/>
    <w:rsid w:val="00C81648"/>
    <w:rsid w:val="00CA0DD6"/>
    <w:rsid w:val="00CA1A6F"/>
    <w:rsid w:val="00CA3F92"/>
    <w:rsid w:val="00D03815"/>
    <w:rsid w:val="00D1281D"/>
    <w:rsid w:val="00D20A93"/>
    <w:rsid w:val="00D2203D"/>
    <w:rsid w:val="00D27963"/>
    <w:rsid w:val="00D32825"/>
    <w:rsid w:val="00DA51DE"/>
    <w:rsid w:val="00DB6CE0"/>
    <w:rsid w:val="00DD4CBE"/>
    <w:rsid w:val="00E32E90"/>
    <w:rsid w:val="00E3587C"/>
    <w:rsid w:val="00E479B7"/>
    <w:rsid w:val="00E634A9"/>
    <w:rsid w:val="00EA0FE7"/>
    <w:rsid w:val="00EA1885"/>
    <w:rsid w:val="00EA6342"/>
    <w:rsid w:val="00EA6EC6"/>
    <w:rsid w:val="00EA7EEE"/>
    <w:rsid w:val="00EB4654"/>
    <w:rsid w:val="00EC4EFF"/>
    <w:rsid w:val="00ED6A66"/>
    <w:rsid w:val="00F14DB8"/>
    <w:rsid w:val="00F157D5"/>
    <w:rsid w:val="00F3493C"/>
    <w:rsid w:val="00F51851"/>
    <w:rsid w:val="00F772DC"/>
    <w:rsid w:val="00F913CF"/>
    <w:rsid w:val="00F9596D"/>
    <w:rsid w:val="00F9695F"/>
    <w:rsid w:val="00FA0D4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FEA3EF73-42AA-4C48-B8EA-5B62FCA66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43E"/>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143E"/>
    <w:pPr>
      <w:spacing w:after="0" w:line="240" w:lineRule="auto"/>
    </w:pPr>
  </w:style>
  <w:style w:type="paragraph" w:styleId="Header">
    <w:name w:val="header"/>
    <w:basedOn w:val="Normal"/>
    <w:link w:val="HeaderChar"/>
    <w:uiPriority w:val="99"/>
    <w:unhideWhenUsed/>
    <w:rsid w:val="00985A8D"/>
    <w:pPr>
      <w:tabs>
        <w:tab w:val="center" w:pos="4513"/>
        <w:tab w:val="right" w:pos="9026"/>
      </w:tabs>
      <w:spacing w:after="0" w:line="240" w:lineRule="auto"/>
    </w:pPr>
    <w:rPr>
      <w:rFonts w:ascii="Times New Roman" w:hAnsi="Times New Roman" w:cs="Times New Roman"/>
      <w:sz w:val="24"/>
      <w:szCs w:val="24"/>
    </w:rPr>
  </w:style>
  <w:style w:type="character" w:customStyle="1" w:styleId="HeaderChar">
    <w:name w:val="Header Char"/>
    <w:basedOn w:val="DefaultParagraphFont"/>
    <w:link w:val="Header"/>
    <w:uiPriority w:val="99"/>
    <w:rsid w:val="00985A8D"/>
  </w:style>
  <w:style w:type="paragraph" w:styleId="BalloonText">
    <w:name w:val="Balloon Text"/>
    <w:basedOn w:val="Normal"/>
    <w:link w:val="BalloonTextChar"/>
    <w:uiPriority w:val="99"/>
    <w:semiHidden/>
    <w:unhideWhenUsed/>
    <w:rsid w:val="00985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A8D"/>
    <w:rPr>
      <w:rFonts w:ascii="Tahoma" w:hAnsi="Tahoma" w:cs="Tahoma"/>
      <w:sz w:val="16"/>
      <w:szCs w:val="16"/>
    </w:rPr>
  </w:style>
  <w:style w:type="paragraph" w:styleId="Footer">
    <w:name w:val="footer"/>
    <w:basedOn w:val="Normal"/>
    <w:link w:val="FooterChar"/>
    <w:uiPriority w:val="99"/>
    <w:unhideWhenUsed/>
    <w:rsid w:val="005E4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3C0"/>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25625">
      <w:bodyDiv w:val="1"/>
      <w:marLeft w:val="0"/>
      <w:marRight w:val="0"/>
      <w:marTop w:val="0"/>
      <w:marBottom w:val="0"/>
      <w:divBdr>
        <w:top w:val="none" w:sz="0" w:space="0" w:color="auto"/>
        <w:left w:val="none" w:sz="0" w:space="0" w:color="auto"/>
        <w:bottom w:val="none" w:sz="0" w:space="0" w:color="auto"/>
        <w:right w:val="none" w:sz="0" w:space="0" w:color="auto"/>
      </w:divBdr>
    </w:div>
    <w:div w:id="547306894">
      <w:bodyDiv w:val="1"/>
      <w:marLeft w:val="0"/>
      <w:marRight w:val="0"/>
      <w:marTop w:val="0"/>
      <w:marBottom w:val="0"/>
      <w:divBdr>
        <w:top w:val="none" w:sz="0" w:space="0" w:color="auto"/>
        <w:left w:val="none" w:sz="0" w:space="0" w:color="auto"/>
        <w:bottom w:val="none" w:sz="0" w:space="0" w:color="auto"/>
        <w:right w:val="none" w:sz="0" w:space="0" w:color="auto"/>
      </w:divBdr>
    </w:div>
    <w:div w:id="102571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5C67CEBC4554D3C92676F37F294FBD1"/>
        <w:category>
          <w:name w:val="General"/>
          <w:gallery w:val="placeholder"/>
        </w:category>
        <w:types>
          <w:type w:val="bbPlcHdr"/>
        </w:types>
        <w:behaviors>
          <w:behavior w:val="content"/>
        </w:behaviors>
        <w:guid w:val="{C1521BA6-FE66-430C-8346-D207AA5F1A88}"/>
      </w:docPartPr>
      <w:docPartBody>
        <w:p w:rsidR="00B37A67" w:rsidRDefault="00E5238F" w:rsidP="00E5238F">
          <w:pPr>
            <w:pStyle w:val="85C67CEBC4554D3C92676F37F294FBD1"/>
          </w:pPr>
          <w:r>
            <w:t>[Type the company name]</w:t>
          </w:r>
        </w:p>
      </w:docPartBody>
    </w:docPart>
    <w:docPart>
      <w:docPartPr>
        <w:name w:val="5D9A358C94BA46D683CBF90B497E12AD"/>
        <w:category>
          <w:name w:val="General"/>
          <w:gallery w:val="placeholder"/>
        </w:category>
        <w:types>
          <w:type w:val="bbPlcHdr"/>
        </w:types>
        <w:behaviors>
          <w:behavior w:val="content"/>
        </w:behaviors>
        <w:guid w:val="{283157FA-2E25-4B92-B162-BAF8D4FDCE66}"/>
      </w:docPartPr>
      <w:docPartBody>
        <w:p w:rsidR="00B37A67" w:rsidRDefault="00E5238F" w:rsidP="00E5238F">
          <w:pPr>
            <w:pStyle w:val="5D9A358C94BA46D683CBF90B497E12AD"/>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38F"/>
    <w:rsid w:val="00087C0E"/>
    <w:rsid w:val="00187FA2"/>
    <w:rsid w:val="001E10CC"/>
    <w:rsid w:val="0021364C"/>
    <w:rsid w:val="00366022"/>
    <w:rsid w:val="003E0C8F"/>
    <w:rsid w:val="004F61E6"/>
    <w:rsid w:val="005946F8"/>
    <w:rsid w:val="00602580"/>
    <w:rsid w:val="006468C8"/>
    <w:rsid w:val="006C25F2"/>
    <w:rsid w:val="00773899"/>
    <w:rsid w:val="008E466E"/>
    <w:rsid w:val="009002B9"/>
    <w:rsid w:val="00917798"/>
    <w:rsid w:val="00B11859"/>
    <w:rsid w:val="00B37A67"/>
    <w:rsid w:val="00BB6575"/>
    <w:rsid w:val="00CF75E8"/>
    <w:rsid w:val="00DD5004"/>
    <w:rsid w:val="00E5238F"/>
    <w:rsid w:val="00EF3FA2"/>
    <w:rsid w:val="00F70C4B"/>
    <w:rsid w:val="00FB2B79"/>
    <w:rsid w:val="00FE523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F280EB59994BC0B74426D805804ADB">
    <w:name w:val="47F280EB59994BC0B74426D805804ADB"/>
    <w:rsid w:val="00E5238F"/>
  </w:style>
  <w:style w:type="paragraph" w:customStyle="1" w:styleId="0F367D9999D94828BD3D5A5374336C72">
    <w:name w:val="0F367D9999D94828BD3D5A5374336C72"/>
    <w:rsid w:val="00E5238F"/>
  </w:style>
  <w:style w:type="paragraph" w:customStyle="1" w:styleId="33207A033A1B4AF88778F862A92D064C">
    <w:name w:val="33207A033A1B4AF88778F862A92D064C"/>
    <w:rsid w:val="00E5238F"/>
  </w:style>
  <w:style w:type="paragraph" w:customStyle="1" w:styleId="BFDC0CAA04ED411185FB1C8EA48BAB4E">
    <w:name w:val="BFDC0CAA04ED411185FB1C8EA48BAB4E"/>
    <w:rsid w:val="00E5238F"/>
  </w:style>
  <w:style w:type="paragraph" w:customStyle="1" w:styleId="85C67CEBC4554D3C92676F37F294FBD1">
    <w:name w:val="85C67CEBC4554D3C92676F37F294FBD1"/>
    <w:rsid w:val="00E5238F"/>
  </w:style>
  <w:style w:type="paragraph" w:customStyle="1" w:styleId="5D9A358C94BA46D683CBF90B497E12AD">
    <w:name w:val="5D9A358C94BA46D683CBF90B497E12AD"/>
    <w:rsid w:val="00E5238F"/>
  </w:style>
  <w:style w:type="paragraph" w:customStyle="1" w:styleId="45D8C89A354945409AE41439F592EA07">
    <w:name w:val="45D8C89A354945409AE41439F592EA07"/>
    <w:rsid w:val="007738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238E0-1911-4640-BAA6-7CA5190BC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1618</Words>
  <Characters>9227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Constitutional Court Application No. CCZ 11/14</vt:lpstr>
    </vt:vector>
  </TitlesOfParts>
  <Company>Judgment No CCZ 2/17</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Constitutional Court Application No. CCZ 11/14</dc:title>
  <dc:creator>User</dc:creator>
  <cp:lastModifiedBy>JSC</cp:lastModifiedBy>
  <cp:revision>2</cp:revision>
  <cp:lastPrinted>2017-03-06T08:58:00Z</cp:lastPrinted>
  <dcterms:created xsi:type="dcterms:W3CDTF">2017-05-05T08:10:00Z</dcterms:created>
  <dcterms:modified xsi:type="dcterms:W3CDTF">2017-05-05T08:10:00Z</dcterms:modified>
</cp:coreProperties>
</file>