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4A" w:rsidRDefault="00214A4A" w:rsidP="00214A4A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3132F" w:rsidRPr="00214A4A" w:rsidRDefault="00214A4A" w:rsidP="00214A4A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14A4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DISTRIBUTABLE (5)</w:t>
      </w:r>
    </w:p>
    <w:p w:rsidR="00A240D8" w:rsidRDefault="00A240D8" w:rsidP="0043132F">
      <w:pPr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4434AF" w:rsidRPr="00A240D8" w:rsidRDefault="0043132F" w:rsidP="0043132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ARTWELL CHIKUMBU</w:t>
      </w:r>
    </w:p>
    <w:p w:rsidR="0043132F" w:rsidRPr="00A240D8" w:rsidRDefault="00BD172C" w:rsidP="0043132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</w:t>
      </w:r>
      <w:proofErr w:type="gramEnd"/>
    </w:p>
    <w:p w:rsidR="0043132F" w:rsidRPr="00A240D8" w:rsidRDefault="0043132F" w:rsidP="0043132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STATE</w:t>
      </w:r>
    </w:p>
    <w:p w:rsidR="00823E27" w:rsidRPr="00A240D8" w:rsidRDefault="00823E27" w:rsidP="00823E27">
      <w:pPr>
        <w:spacing w:line="480" w:lineRule="auto"/>
        <w:ind w:left="28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0D8" w:rsidRPr="00A240D8" w:rsidRDefault="00A240D8" w:rsidP="0043132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434AF" w:rsidRPr="00A240D8" w:rsidRDefault="004434AF" w:rsidP="0043132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CONSTITUTIONAL COURT OF ZIMBABWE</w:t>
      </w:r>
    </w:p>
    <w:p w:rsidR="0043132F" w:rsidRPr="00A240D8" w:rsidRDefault="004434AF" w:rsidP="0043132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CHIDYAUSIKU CJ, MALABA DCJ, ZIYAMBI JA, GWAUNZA JA, GARWE JA</w:t>
      </w:r>
      <w:r w:rsidR="002413D9"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</w:p>
    <w:p w:rsidR="00017393" w:rsidRPr="00A240D8" w:rsidRDefault="002413D9" w:rsidP="0043132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GOWORA</w:t>
      </w:r>
      <w:r w:rsidR="004434AF"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JA, </w:t>
      </w:r>
      <w:r w:rsidR="00E54757"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HLATSHWAYO JA</w:t>
      </w:r>
      <w:r w:rsidR="00E547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4434AF"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PATEL JA</w:t>
      </w:r>
      <w:r w:rsidR="00017393"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4434AF"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GUVAVA JA</w:t>
      </w: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</w:p>
    <w:p w:rsidR="00EA7103" w:rsidRPr="00A240D8" w:rsidRDefault="0043132F" w:rsidP="0043132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HARARE, FEBRUARY 19,</w:t>
      </w:r>
      <w:r w:rsidR="00EA7103"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2014 &amp;</w:t>
      </w:r>
      <w:r w:rsidR="00A240D8"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FEBRUARY 17</w:t>
      </w:r>
      <w:r w:rsidR="00017393"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="00A05322"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2015</w:t>
      </w:r>
    </w:p>
    <w:p w:rsidR="00FA52EE" w:rsidRPr="00A240D8" w:rsidRDefault="00FA52EE" w:rsidP="004313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132F" w:rsidRPr="00A240D8" w:rsidRDefault="0043132F" w:rsidP="004313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19DD" w:rsidRPr="00A240D8" w:rsidRDefault="00FA52EE" w:rsidP="004313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W.</w:t>
      </w:r>
      <w:r w:rsidR="00EA7103"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EA7103"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Bherebende</w:t>
      </w:r>
      <w:proofErr w:type="spellEnd"/>
      <w:r w:rsidR="00EA710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, for the applicant</w:t>
      </w:r>
    </w:p>
    <w:p w:rsidR="00EA7103" w:rsidRPr="00A240D8" w:rsidRDefault="00EA7103" w:rsidP="004313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T. </w:t>
      </w:r>
      <w:proofErr w:type="spellStart"/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</w:t>
      </w:r>
      <w:r w:rsidR="004D502A"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fuwa</w:t>
      </w:r>
      <w:proofErr w:type="spellEnd"/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, for the respondent</w:t>
      </w:r>
    </w:p>
    <w:p w:rsidR="0043132F" w:rsidRPr="00A240D8" w:rsidRDefault="0043132F" w:rsidP="004313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7103" w:rsidRPr="00A240D8" w:rsidRDefault="00EA7103" w:rsidP="0043132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1EC3" w:rsidRPr="00A240D8" w:rsidRDefault="00EA7103" w:rsidP="007E3AB2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GUVAVA JA: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3E2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is an application referred to this </w:t>
      </w:r>
      <w:r w:rsidR="005D20F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ourt in terms of s 24 (2) </w:t>
      </w:r>
      <w:r w:rsidR="00D71CA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of the o</w:t>
      </w:r>
      <w:r w:rsidR="005D20F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ld Constitution.  </w:t>
      </w:r>
      <w:r w:rsidR="00A01EC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applicant seeks an order for a permanent stay of </w:t>
      </w:r>
      <w:r w:rsidR="00D71CA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his </w:t>
      </w:r>
      <w:r w:rsidR="00A01EC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prosecution o</w:t>
      </w:r>
      <w:r w:rsidR="00D71CA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the basis that his rights in </w:t>
      </w:r>
      <w:r w:rsidR="00823E2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terms of</w:t>
      </w:r>
      <w:r w:rsidR="00240F1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5D20F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0F1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18 (1) and (2) of the old C</w:t>
      </w:r>
      <w:r w:rsidR="00A01EC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onstitution </w:t>
      </w:r>
      <w:r w:rsidR="00D71CA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have been violated owing</w:t>
      </w:r>
      <w:r w:rsidR="00A01EC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delay in finali</w:t>
      </w:r>
      <w:r w:rsidR="00E813C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01EC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ing his trial.</w:t>
      </w:r>
    </w:p>
    <w:p w:rsidR="005D20F3" w:rsidRPr="00A240D8" w:rsidRDefault="005D20F3" w:rsidP="000F3FB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E241E" w:rsidRPr="00A240D8" w:rsidRDefault="00917060" w:rsidP="003258B8">
      <w:pPr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FACTUAL </w:t>
      </w:r>
      <w:r w:rsidR="006E241E" w:rsidRPr="00A240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BACKGROUND</w:t>
      </w:r>
    </w:p>
    <w:p w:rsidR="00DE49F5" w:rsidRPr="00A240D8" w:rsidRDefault="00B76EAA" w:rsidP="003258B8">
      <w:pPr>
        <w:spacing w:after="0"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facts </w:t>
      </w:r>
      <w:r w:rsidR="006E241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which gave rise to this application are these</w:t>
      </w:r>
      <w:r w:rsidR="003258B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240F1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n 18 April 2005 the applicant attended th</w:t>
      </w:r>
      <w:r w:rsidR="007A41A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e Independence</w:t>
      </w:r>
      <w:r w:rsidR="00D71CA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Day</w:t>
      </w:r>
      <w:r w:rsidR="007A41A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Celebrations at a</w:t>
      </w:r>
      <w:r w:rsidR="00240F1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41A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arm homestead</w:t>
      </w:r>
      <w:r w:rsidR="000434C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Feather</w:t>
      </w:r>
      <w:r w:rsidR="00823E2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tone</w:t>
      </w:r>
      <w:r w:rsidR="003258B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0434C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At around 14.00 hours</w:t>
      </w:r>
      <w:r w:rsidR="00D71CA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same day</w:t>
      </w:r>
      <w:r w:rsidR="000434C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applicant had a mi</w:t>
      </w:r>
      <w:r w:rsidR="00D71CA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sunderstanding with</w:t>
      </w:r>
      <w:r w:rsidR="007A41A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deceased</w:t>
      </w:r>
      <w:r w:rsidR="00AA100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Wilbert </w:t>
      </w:r>
      <w:proofErr w:type="spellStart"/>
      <w:r w:rsidR="00AA100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Mapurisa</w:t>
      </w:r>
      <w:proofErr w:type="spellEnd"/>
      <w:r w:rsidR="00AA100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A41A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concerning</w:t>
      </w:r>
      <w:r w:rsidR="000434C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contributions towards the </w:t>
      </w:r>
      <w:r w:rsidR="006E241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Independence</w:t>
      </w:r>
      <w:r w:rsidR="00D71CA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Day c</w:t>
      </w:r>
      <w:r w:rsidR="003258B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elebrations.  </w:t>
      </w:r>
      <w:r w:rsidR="000434C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At about 19.00</w:t>
      </w:r>
      <w:r w:rsidR="003258B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hours,</w:t>
      </w:r>
      <w:r w:rsidR="000434C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applicant approached the d</w:t>
      </w:r>
      <w:r w:rsidR="006E241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ecea</w:t>
      </w:r>
      <w:r w:rsidR="00DE49F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sed where he was </w:t>
      </w:r>
      <w:r w:rsidR="00DE49F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seated</w:t>
      </w:r>
      <w:r w:rsidR="00240F1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0434C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eating so</w:t>
      </w:r>
      <w:r w:rsidR="006E241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me f</w:t>
      </w:r>
      <w:r w:rsidR="003258B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ood.  </w:t>
      </w:r>
      <w:r w:rsidR="00DE49F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Without saying anything to him h</w:t>
      </w:r>
      <w:r w:rsidR="00240F1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258B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suddenly attacked him.  </w:t>
      </w:r>
      <w:r w:rsidR="00DE49F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="00240F1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kicked</w:t>
      </w:r>
      <w:r w:rsidR="000434C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him on his back and st</w:t>
      </w:r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omach</w:t>
      </w:r>
      <w:r w:rsidR="00240F1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several times</w:t>
      </w:r>
      <w:r w:rsidR="003258B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The deceased fell to the ground</w:t>
      </w:r>
      <w:r w:rsidR="006E241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started </w:t>
      </w:r>
      <w:r w:rsidR="00CE47D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vomiting</w:t>
      </w:r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E241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became unconscious.</w:t>
      </w:r>
    </w:p>
    <w:p w:rsidR="003258B8" w:rsidRPr="00A240D8" w:rsidRDefault="003258B8" w:rsidP="003258B8">
      <w:pPr>
        <w:spacing w:after="0"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A0D16" w:rsidRPr="00A240D8" w:rsidRDefault="007A41AB" w:rsidP="003258B8">
      <w:pPr>
        <w:spacing w:line="480" w:lineRule="auto"/>
        <w:ind w:left="90" w:firstLine="13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D502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deceased</w:t>
      </w:r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carried into one of th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e rooms at the homestead by</w:t>
      </w:r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 who were</w:t>
      </w:r>
      <w:r w:rsidR="006E241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attending the celebrations. The</w:t>
      </w:r>
      <w:r w:rsidR="00240F1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6E241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rendered some first aid and he</w:t>
      </w:r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regain</w:t>
      </w:r>
      <w:r w:rsidR="006E241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1AD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consciousness during the night.  </w:t>
      </w:r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the following day at about 07.00 hours the deceased was ferried </w:t>
      </w:r>
      <w:r w:rsidR="00FA630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to St</w:t>
      </w:r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630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Michael’s</w:t>
      </w:r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hospital in </w:t>
      </w:r>
      <w:proofErr w:type="spellStart"/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Mamina</w:t>
      </w:r>
      <w:proofErr w:type="spellEnd"/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treatment</w:t>
      </w:r>
      <w:r w:rsidR="00240F1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he was admitted due to the seriousness of his condition</w:t>
      </w:r>
      <w:r w:rsidR="008F1AD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934534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On 21 April the deceased died</w:t>
      </w:r>
      <w:r w:rsidR="00F257A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F1ADE" w:rsidRPr="00A240D8" w:rsidRDefault="008F1ADE" w:rsidP="003314CD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0F15" w:rsidRPr="00A240D8" w:rsidRDefault="00FA6302" w:rsidP="008F1ADE">
      <w:pPr>
        <w:spacing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4534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post mortem </w:t>
      </w:r>
      <w:r w:rsidR="00817059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examination </w:t>
      </w:r>
      <w:r w:rsidR="00934534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conducted and the doctor found that the death </w:t>
      </w:r>
      <w:r w:rsidR="00817059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caused by </w:t>
      </w:r>
      <w:r w:rsidR="00934534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severe </w:t>
      </w:r>
      <w:r w:rsidR="009A0D1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peritonitis</w:t>
      </w:r>
      <w:r w:rsidR="0091236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perforated colon and </w:t>
      </w:r>
      <w:r w:rsidR="00934534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blunt trauma consistent with a kick</w:t>
      </w:r>
      <w:r w:rsidR="009A0D1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76EAA" w:rsidRDefault="00240F15" w:rsidP="00025A7B">
      <w:pPr>
        <w:spacing w:line="48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The applicant was arrested and charged with the crime of murder on 21 April 2005 and placed on remand at</w:t>
      </w:r>
      <w:r w:rsidR="001826C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26C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Chivhu</w:t>
      </w:r>
      <w:proofErr w:type="spellEnd"/>
      <w:r w:rsidR="001826C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Magistrates Court. 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was </w:t>
      </w:r>
      <w:r w:rsidR="00FA630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granted bail after spending twenty days in custody.</w:t>
      </w:r>
    </w:p>
    <w:p w:rsidR="000F3FB0" w:rsidRPr="00A240D8" w:rsidRDefault="000F3FB0" w:rsidP="000F3FB0">
      <w:pPr>
        <w:spacing w:after="0" w:line="24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7D32" w:rsidRPr="00A240D8" w:rsidRDefault="00FA6302" w:rsidP="001826C2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826C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4 April 2006 the murder charge was reduced to culpable homicide. </w:t>
      </w:r>
      <w:r w:rsidR="001826C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Attorney General’s Office directed that the matter be tried </w:t>
      </w:r>
      <w:r w:rsidR="009A0D1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before a </w:t>
      </w:r>
      <w:r w:rsidR="001826C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9A0D1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egio</w:t>
      </w:r>
      <w:r w:rsidR="00DE49F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nal </w:t>
      </w:r>
      <w:r w:rsidR="001826C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DE49F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agistrate at </w:t>
      </w:r>
      <w:proofErr w:type="spellStart"/>
      <w:r w:rsidR="00DE49F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Chitungwiza</w:t>
      </w:r>
      <w:proofErr w:type="spellEnd"/>
      <w:r w:rsidR="00DE49F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Magistrates Court</w:t>
      </w:r>
      <w:r w:rsidR="007A41A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there was no regional court at </w:t>
      </w:r>
      <w:proofErr w:type="spellStart"/>
      <w:r w:rsidR="007A41A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Chivhu</w:t>
      </w:r>
      <w:proofErr w:type="spellEnd"/>
      <w:r w:rsidR="007A41A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E49F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41A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The trial failed to commence on a number of occasions.</w:t>
      </w:r>
      <w:r w:rsidR="001826C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F7AC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On 9 February 2009</w:t>
      </w:r>
      <w:r w:rsidR="00050AE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, when the matter was set down for trial,</w:t>
      </w:r>
      <w:r w:rsidR="003F7AC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applicant made an application for the </w:t>
      </w:r>
      <w:r w:rsidR="00F57D3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matter</w:t>
      </w:r>
      <w:r w:rsidR="003F7AC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referred to the Supreme Court in </w:t>
      </w:r>
      <w:r w:rsidR="00D71CA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terms of s</w:t>
      </w:r>
      <w:r w:rsidR="001826C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1CA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24 (2) of the o</w:t>
      </w:r>
      <w:r w:rsidR="003F7AC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ld Constitution on the basis that there had been an inordinate delay in </w:t>
      </w:r>
      <w:r w:rsidR="001826C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finalising the trial.  </w:t>
      </w:r>
      <w:r w:rsidR="00934534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7719D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applicant</w:t>
      </w:r>
      <w:r w:rsidR="00D71CA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sought</w:t>
      </w:r>
      <w:r w:rsidR="00050AE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following relief:-</w:t>
      </w:r>
    </w:p>
    <w:p w:rsidR="00EB0F36" w:rsidRPr="00A240D8" w:rsidRDefault="000850F1" w:rsidP="000850F1">
      <w:pPr>
        <w:spacing w:line="240" w:lineRule="auto"/>
        <w:ind w:left="144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“1. </w:t>
      </w:r>
      <w:r w:rsidR="005A27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D71CA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 declaration</w:t>
      </w:r>
      <w:r w:rsidR="004C504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the respondent</w:t>
      </w:r>
      <w:r w:rsidR="007855B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had </w:t>
      </w:r>
      <w:r w:rsidR="004C504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failed to prosecute </w:t>
      </w:r>
      <w:r w:rsidR="007855B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matter against him </w:t>
      </w:r>
      <w:r w:rsidR="004C504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timeously and w</w:t>
      </w:r>
      <w:r w:rsidR="007855B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ithin a reaso</w:t>
      </w:r>
      <w:r w:rsidR="007719D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nable period in violation of his</w:t>
      </w:r>
      <w:r w:rsidR="004C504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right as set out in section 18</w:t>
      </w:r>
      <w:r w:rsidR="00EB0F3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(2) of the Constitution of Zimbabwe.</w:t>
      </w:r>
    </w:p>
    <w:p w:rsidR="00EB0F36" w:rsidRPr="00A240D8" w:rsidRDefault="00E745D7" w:rsidP="005A27D9">
      <w:pPr>
        <w:tabs>
          <w:tab w:val="left" w:pos="720"/>
          <w:tab w:val="left" w:pos="1530"/>
        </w:tabs>
        <w:spacing w:line="240" w:lineRule="auto"/>
        <w:ind w:left="1440" w:hanging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 </w:t>
      </w:r>
      <w:r w:rsidR="002A1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7855B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order </w:t>
      </w:r>
      <w:r w:rsidR="00EB0F3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7855B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EB0F3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</w:t>
      </w:r>
      <w:r w:rsidR="000850F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ecution of the applicant by the respondent</w:t>
      </w:r>
      <w:r w:rsidR="005A27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stayed </w:t>
      </w:r>
      <w:r w:rsidR="00EB0F3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permanently.</w:t>
      </w:r>
      <w:r w:rsidR="000850F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proofErr w:type="gramEnd"/>
    </w:p>
    <w:p w:rsidR="000850F1" w:rsidRPr="00A240D8" w:rsidRDefault="000850F1" w:rsidP="0008513C">
      <w:pPr>
        <w:spacing w:after="0" w:line="240" w:lineRule="auto"/>
        <w:ind w:left="1260" w:hanging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0AEE" w:rsidRPr="00A240D8" w:rsidRDefault="00050AEE" w:rsidP="000850F1">
      <w:pPr>
        <w:spacing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trial magistrate determined that the application had merit and duly referred the matter to this </w:t>
      </w:r>
      <w:r w:rsidR="00E745D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ourt.</w:t>
      </w:r>
    </w:p>
    <w:p w:rsidR="00AE5FCA" w:rsidRPr="00A240D8" w:rsidRDefault="00793ABB" w:rsidP="009C2C41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RELEVANT </w:t>
      </w:r>
      <w:r w:rsidR="00AE5FCA" w:rsidRPr="00A240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CONSTITUTIONAL PROVISIONS</w:t>
      </w:r>
    </w:p>
    <w:p w:rsidR="00AE5FCA" w:rsidRPr="00A240D8" w:rsidRDefault="00050AEE" w:rsidP="009C2C41">
      <w:pPr>
        <w:spacing w:after="0" w:line="480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Section 18 of the old C</w:t>
      </w:r>
      <w:r w:rsidR="00AE5FC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onstitution provides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equal protec</w:t>
      </w:r>
      <w:r w:rsidR="005329D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tion of the law to all persons. 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The relevant provisions state</w:t>
      </w:r>
      <w:r w:rsidR="0078547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follows:-</w:t>
      </w:r>
    </w:p>
    <w:p w:rsidR="00AE5FCA" w:rsidRPr="00A240D8" w:rsidRDefault="00AE5FCA" w:rsidP="002076ED">
      <w:pPr>
        <w:spacing w:line="480" w:lineRule="auto"/>
        <w:ind w:left="1710" w:hanging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“(1) </w:t>
      </w:r>
      <w:r w:rsidR="000F3F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Subject to the provisions of this Constitution every person is entitled to the protection of the law.</w:t>
      </w:r>
    </w:p>
    <w:p w:rsidR="00AE5FCA" w:rsidRPr="00A240D8" w:rsidRDefault="00050AEE" w:rsidP="002076ED">
      <w:pPr>
        <w:spacing w:line="480" w:lineRule="auto"/>
        <w:ind w:left="1710" w:hanging="9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(2</w:t>
      </w:r>
      <w:r w:rsidR="005329D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  <w:r w:rsidR="000F3F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5329D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any person</w:t>
      </w:r>
      <w:r w:rsidR="00AE5FC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0CC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AE5FC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329D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harged with a criminal offence, then</w:t>
      </w:r>
      <w:r w:rsidR="00AE5FC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, unless the charge is withdrawn, the case shall be afforded a fair hearing within a reasonable time by an independent and impartial court established by law.”</w:t>
      </w:r>
    </w:p>
    <w:p w:rsidR="00785473" w:rsidRPr="00A240D8" w:rsidRDefault="00785473" w:rsidP="00451BD0">
      <w:pPr>
        <w:spacing w:after="0" w:line="240" w:lineRule="auto"/>
        <w:ind w:left="2250" w:hanging="8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177" w:rsidRPr="00A240D8" w:rsidRDefault="00A24177" w:rsidP="00785473">
      <w:pPr>
        <w:spacing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 v </w:t>
      </w:r>
      <w:proofErr w:type="spellStart"/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Nhando</w:t>
      </w:r>
      <w:proofErr w:type="spellEnd"/>
      <w:r w:rsidR="003166A1"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 </w:t>
      </w:r>
      <w:proofErr w:type="spellStart"/>
      <w:r w:rsidR="003166A1"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Ors</w:t>
      </w:r>
      <w:proofErr w:type="spellEnd"/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</w:t>
      </w:r>
      <w:r w:rsidR="003166A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01 (2) ZLR 84 at 86 A-B (S) </w:t>
      </w:r>
      <w:r w:rsidR="00E147D0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CHIDYAUSIKU ACJ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(as he then was)</w:t>
      </w:r>
      <w:r w:rsidR="003166A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quoting </w:t>
      </w:r>
      <w:r w:rsidR="0052091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case of </w:t>
      </w:r>
      <w:r w:rsidR="0052091B"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In Re </w:t>
      </w:r>
      <w:proofErr w:type="spellStart"/>
      <w:r w:rsidR="0052091B"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Mlambo</w:t>
      </w:r>
      <w:proofErr w:type="spellEnd"/>
      <w:r w:rsidR="003166A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1991 (2) ZLR 339 (SC)</w:t>
      </w:r>
      <w:r w:rsidR="0008095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other cases decided by this </w:t>
      </w:r>
      <w:r w:rsidR="00E147D0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08095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ourt,</w:t>
      </w:r>
      <w:r w:rsidR="003166A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reaffirmed</w:t>
      </w:r>
      <w:r w:rsidR="00A0532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the factors to</w:t>
      </w:r>
      <w:r w:rsidR="003166A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taken into account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in determining whether or not an applicant has been deprived of his right to a fair and speedy trial</w:t>
      </w:r>
      <w:r w:rsidR="00E147D0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3166A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He set these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 as follows:</w:t>
      </w:r>
    </w:p>
    <w:p w:rsidR="00A24177" w:rsidRPr="00A240D8" w:rsidRDefault="002F0591" w:rsidP="002F059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147D0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“(a)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="00A2417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="00A2417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length of the</w:t>
      </w:r>
      <w:r w:rsidR="003166A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delay</w:t>
      </w:r>
      <w:r w:rsidR="00A2417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A24177" w:rsidRPr="00A240D8" w:rsidRDefault="00A24177" w:rsidP="002F0591">
      <w:pPr>
        <w:pStyle w:val="ListParagraph"/>
        <w:numPr>
          <w:ilvl w:val="0"/>
          <w:numId w:val="5"/>
        </w:numPr>
        <w:spacing w:line="360" w:lineRule="auto"/>
        <w:ind w:hanging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The reason</w:t>
      </w:r>
      <w:r w:rsidR="003166A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s for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delay;</w:t>
      </w:r>
    </w:p>
    <w:p w:rsidR="00A24177" w:rsidRPr="002F0591" w:rsidRDefault="00A24177" w:rsidP="002F0591">
      <w:pPr>
        <w:pStyle w:val="ListParagraph"/>
        <w:numPr>
          <w:ilvl w:val="0"/>
          <w:numId w:val="5"/>
        </w:numPr>
        <w:spacing w:line="480" w:lineRule="auto"/>
        <w:ind w:hanging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059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3166A1" w:rsidRPr="002F0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assertion by the </w:t>
      </w:r>
      <w:r w:rsidRPr="002F0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3166A1" w:rsidRPr="002F0591">
        <w:rPr>
          <w:rFonts w:ascii="Times New Roman" w:hAnsi="Times New Roman" w:cs="Times New Roman"/>
          <w:color w:val="000000" w:themeColor="text1"/>
          <w:sz w:val="24"/>
          <w:szCs w:val="24"/>
        </w:rPr>
        <w:t>ccused of his or her right to a</w:t>
      </w:r>
      <w:r w:rsidRPr="002F0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03B0" w:rsidRPr="002F0591">
        <w:rPr>
          <w:rFonts w:ascii="Times New Roman" w:hAnsi="Times New Roman" w:cs="Times New Roman"/>
          <w:color w:val="000000" w:themeColor="text1"/>
          <w:sz w:val="24"/>
          <w:szCs w:val="24"/>
        </w:rPr>
        <w:t>trial</w:t>
      </w:r>
      <w:r w:rsidRPr="002F0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and </w:t>
      </w:r>
    </w:p>
    <w:p w:rsidR="00A24177" w:rsidRPr="00A240D8" w:rsidRDefault="003166A1" w:rsidP="002F0591">
      <w:pPr>
        <w:pStyle w:val="ListParagraph"/>
        <w:numPr>
          <w:ilvl w:val="0"/>
          <w:numId w:val="5"/>
        </w:numPr>
        <w:tabs>
          <w:tab w:val="left" w:pos="1170"/>
        </w:tabs>
        <w:spacing w:line="480" w:lineRule="auto"/>
        <w:ind w:left="630" w:firstLine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prejudice </w:t>
      </w:r>
      <w:r w:rsidR="00A2417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to the accused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095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caused by</w:t>
      </w:r>
      <w:r w:rsidR="00A2417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delay.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E147D0" w:rsidRPr="00A240D8" w:rsidRDefault="00E147D0" w:rsidP="00E147D0">
      <w:pPr>
        <w:pStyle w:val="ListParagraph"/>
        <w:tabs>
          <w:tab w:val="left" w:pos="1170"/>
        </w:tabs>
        <w:spacing w:line="24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502A" w:rsidRPr="00A240D8" w:rsidRDefault="004D502A" w:rsidP="00E147D0">
      <w:pPr>
        <w:spacing w:line="48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 will examine each of the above factors in turn.</w:t>
      </w:r>
    </w:p>
    <w:p w:rsidR="00E147D0" w:rsidRPr="00A240D8" w:rsidRDefault="00E147D0" w:rsidP="00451BD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841B97" w:rsidRPr="00A240D8" w:rsidRDefault="00C76ACB" w:rsidP="00BB0BDC">
      <w:pPr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THE LENGTH OF</w:t>
      </w:r>
      <w:r w:rsidR="00841B97" w:rsidRPr="00A240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THE DELAY</w:t>
      </w:r>
    </w:p>
    <w:p w:rsidR="00A05322" w:rsidRPr="00A240D8" w:rsidRDefault="00C97483" w:rsidP="00BB0BDC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B0BD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right to a hearing within a reasonable time is enshrined in the Constitution. </w:t>
      </w:r>
      <w:r w:rsidR="006E78F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Although the term </w:t>
      </w:r>
      <w:r w:rsidR="0008095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reasonable time</w:t>
      </w:r>
      <w:r w:rsidR="0008095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defined in the </w:t>
      </w:r>
      <w:r w:rsidR="00823E2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Constitution this depends </w:t>
      </w:r>
      <w:r w:rsidR="0000671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on the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circumstances of each case. </w:t>
      </w:r>
    </w:p>
    <w:p w:rsidR="00BB0BDC" w:rsidRPr="00A240D8" w:rsidRDefault="00BB0BDC" w:rsidP="00BB0BDC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0955" w:rsidRPr="00A240D8" w:rsidRDefault="00A24177" w:rsidP="00BB0BDC">
      <w:pPr>
        <w:spacing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A0532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case of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 </w:t>
      </w:r>
      <w:proofErr w:type="spellStart"/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Mlambo</w:t>
      </w:r>
      <w:proofErr w:type="spellEnd"/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(supra) a delay of </w:t>
      </w:r>
      <w:r w:rsidR="006E78F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four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years and </w:t>
      </w:r>
      <w:r w:rsidR="006E78F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seven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months was held t</w:t>
      </w:r>
      <w:r w:rsidR="006E78F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be presumptively prejudicial. 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It was further held that the time frame commences from the date of arrest and that a withdrawal of charges before plea does not interrupt the time frame.</w:t>
      </w:r>
    </w:p>
    <w:p w:rsidR="006E78FC" w:rsidRPr="00A240D8" w:rsidRDefault="006E78FC" w:rsidP="002F0591">
      <w:pPr>
        <w:spacing w:after="0" w:line="24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78FC" w:rsidRPr="00A240D8" w:rsidRDefault="00C57280" w:rsidP="006E78FC">
      <w:pPr>
        <w:spacing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case of </w:t>
      </w:r>
      <w:proofErr w:type="spellStart"/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Shumba</w:t>
      </w:r>
      <w:proofErr w:type="spellEnd"/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v Attorney General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1997 (1) ZLR 589 (S) a delay of six months was held to be too short to give rise to an enquiry.</w:t>
      </w:r>
    </w:p>
    <w:p w:rsidR="00DC5F7A" w:rsidRPr="00A240D8" w:rsidRDefault="00C57280" w:rsidP="00A70B7D">
      <w:pPr>
        <w:spacing w:after="0" w:line="24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36CB2" w:rsidRPr="00A240D8" w:rsidRDefault="00A24177" w:rsidP="006E78FC">
      <w:pPr>
        <w:spacing w:line="480" w:lineRule="auto"/>
        <w:ind w:left="60" w:firstLine="14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08095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n this case it was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common cause that at the time that the application for referral was made there had been a delay of </w:t>
      </w:r>
      <w:r w:rsidR="006E78F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years and </w:t>
      </w:r>
      <w:r w:rsidR="006E78F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ten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months.</w:t>
      </w:r>
      <w:r w:rsidR="006E78F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8095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Taking into account that this was not a particularly complicated case, the</w:t>
      </w:r>
      <w:r w:rsidR="009376F0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matter sh</w:t>
      </w:r>
      <w:r w:rsidR="00E938F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ould have been finalised in a </w:t>
      </w:r>
      <w:r w:rsidR="00211BB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much shorter period.</w:t>
      </w:r>
      <w:r w:rsidR="006E78F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8095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In the circumstances,</w:t>
      </w:r>
      <w:r w:rsidR="00C9748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532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it is</w:t>
      </w:r>
      <w:r w:rsidR="00C9748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 view</w:t>
      </w:r>
      <w:r w:rsidR="0008095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the delay in this case was presumptively prejudicial</w:t>
      </w:r>
      <w:r w:rsidR="00C9748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11BB8" w:rsidRPr="00A240D8" w:rsidRDefault="00C76ACB" w:rsidP="006E78FC">
      <w:pPr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THE EXPLANATION FOR THE </w:t>
      </w:r>
      <w:r w:rsidR="00211BB8" w:rsidRPr="00A240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DELAY</w:t>
      </w:r>
    </w:p>
    <w:p w:rsidR="007215DA" w:rsidRPr="00A240D8" w:rsidRDefault="00A332A3" w:rsidP="006E78FC">
      <w:pPr>
        <w:spacing w:after="0"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The applicant was on remand from 21 April 2005 to</w:t>
      </w:r>
      <w:r w:rsidR="0098037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December 2007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091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when the</w:t>
      </w:r>
      <w:r w:rsidR="0098037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charge</w:t>
      </w:r>
      <w:r w:rsidR="00C9748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13C2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</w:t>
      </w:r>
      <w:r w:rsidR="0098037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withdrawn before plea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66AC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78F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532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It is</w:t>
      </w:r>
      <w:r w:rsidR="00913C2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in dispute that t</w:t>
      </w:r>
      <w:r w:rsidR="00823E2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he S</w:t>
      </w:r>
      <w:r w:rsidR="00866AC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tate failed</w:t>
      </w:r>
      <w:r w:rsidR="0045091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proceed to </w:t>
      </w:r>
      <w:r w:rsidR="00866AC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trial on 10 December 2007 because the witnesses </w:t>
      </w:r>
      <w:r w:rsidR="0098037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failed to attend court.</w:t>
      </w:r>
      <w:r w:rsidR="00913C2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Thereafter </w:t>
      </w:r>
      <w:r w:rsidR="00A0532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 warrant</w:t>
      </w:r>
      <w:r w:rsidR="00866AC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their arrest was issued and th</w:t>
      </w:r>
      <w:r w:rsidR="00913C2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8697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y were subsequently arrested and brought to court</w:t>
      </w:r>
      <w:r w:rsidR="00866AC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E78F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697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</w:t>
      </w:r>
      <w:r w:rsidR="0028697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common cause that b</w:t>
      </w:r>
      <w:r w:rsidR="00866AC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etween 16 </w:t>
      </w:r>
      <w:r w:rsidR="00E916F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October 2008 and 10 November 2008</w:t>
      </w:r>
      <w:r w:rsidR="00866AC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matter could not proceed as the</w:t>
      </w:r>
      <w:r w:rsidR="0028697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police could not locate the applicant</w:t>
      </w:r>
      <w:r w:rsidR="00E916F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his residence</w:t>
      </w:r>
      <w:r w:rsidR="00211BB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8697E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78F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16F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On 8 December 2008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applicant’s legal practitioners sought a postponement of the </w:t>
      </w:r>
      <w:r w:rsidR="00823E2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case as they had misplaced the S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tate papers that they had been served</w:t>
      </w:r>
      <w:r w:rsidR="00823E2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</w:t>
      </w:r>
      <w:r w:rsidR="006E78F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The matter was postponed</w:t>
      </w:r>
      <w:r w:rsidR="006E78F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20 January 2009 for trial.  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20 January 2009 the matter did not </w:t>
      </w:r>
      <w:proofErr w:type="gramStart"/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proceed</w:t>
      </w:r>
      <w:proofErr w:type="gramEnd"/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applicant’s legal </w:t>
      </w:r>
      <w:r w:rsidR="007A41A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pr</w:t>
      </w:r>
      <w:r w:rsidR="00823E2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actitioner was not present necessitating the postponement of the matter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="00E916F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February 2009.</w:t>
      </w:r>
    </w:p>
    <w:p w:rsidR="006E78FC" w:rsidRPr="00A240D8" w:rsidRDefault="006E78FC" w:rsidP="00094252">
      <w:pPr>
        <w:spacing w:after="0" w:line="24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0A8B" w:rsidRPr="00A240D8" w:rsidRDefault="00823E27" w:rsidP="00756CD4">
      <w:pPr>
        <w:spacing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On the</w:t>
      </w:r>
      <w:r w:rsidR="00ED40B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vidence that is on the record, t</w:t>
      </w:r>
      <w:r w:rsidR="0000671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he S</w:t>
      </w:r>
      <w:r w:rsidR="00ED40B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tate </w:t>
      </w:r>
      <w:r w:rsidR="00400A8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alleges that the delay is attributable to the </w:t>
      </w:r>
      <w:r w:rsidR="00ED40B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applicant while the applicant alleges that</w:t>
      </w:r>
      <w:r w:rsidR="00400A8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was the</w:t>
      </w:r>
      <w:r w:rsidR="00ED40B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671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D40B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tate</w:t>
      </w:r>
      <w:r w:rsidR="00400A8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</w:t>
      </w:r>
      <w:r w:rsidR="00ED40B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 w:rsidR="00914D6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ailed to prosecute him on time.  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It should be noted that</w:t>
      </w:r>
      <w:r w:rsidR="00ED40B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although the police stated in their evidence that the matter failed to commence on a number of occasions because they could not locate the applicant, an examination of the evidence does not disclo</w:t>
      </w:r>
      <w:r w:rsidR="00914D6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why he could not be located.  </w:t>
      </w:r>
      <w:r w:rsidR="00400A8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This issue was not considered</w:t>
      </w:r>
      <w:r w:rsidR="0011062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the hearing before the court </w:t>
      </w:r>
      <w:r w:rsidR="0011062C"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 quo</w:t>
      </w:r>
      <w:r w:rsidR="0011062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14D6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40B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he p</w:t>
      </w:r>
      <w:r w:rsidR="00ED40B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olice diary logs do</w:t>
      </w:r>
      <w:r w:rsidR="00400A8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indicate what efforts were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made to serve the applicant with the summons</w:t>
      </w:r>
      <w:r w:rsidR="00ED40B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1062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0F14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062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left open to conjecture </w:t>
      </w:r>
      <w:r w:rsidR="00ED40B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40B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E916F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 could very well be that the applicant was merely not at his place of residence when they arrived</w:t>
      </w:r>
      <w:r w:rsidR="00ED40B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serve him</w:t>
      </w:r>
      <w:r w:rsidR="00E916F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8660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16F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is no indication on the papers that the </w:t>
      </w:r>
      <w:r w:rsidR="00400A8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applicant had put himself beyond the</w:t>
      </w:r>
      <w:r w:rsidR="00E916F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reach of the police.</w:t>
      </w:r>
    </w:p>
    <w:p w:rsidR="00B8660C" w:rsidRPr="00A240D8" w:rsidRDefault="00B8660C" w:rsidP="00201F2D">
      <w:pPr>
        <w:spacing w:after="0" w:line="24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062C" w:rsidRPr="00A240D8" w:rsidRDefault="00400A8B" w:rsidP="00B8660C">
      <w:pPr>
        <w:spacing w:line="480" w:lineRule="auto"/>
        <w:ind w:left="90" w:firstLine="13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From the record it is also clear that the S</w:t>
      </w:r>
      <w:r w:rsidR="0011062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tate failed to prosecute the applicant be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cause on several occasions the S</w:t>
      </w:r>
      <w:r w:rsidR="0011062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tate witnesses failed to turn up even though the applicant was present. </w:t>
      </w:r>
      <w:r w:rsidR="00B8660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062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common </w:t>
      </w:r>
      <w:proofErr w:type="gramStart"/>
      <w:r w:rsidR="0011062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cau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proofErr w:type="gramEnd"/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at some stage the S</w:t>
      </w:r>
      <w:r w:rsidR="004D502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tate</w:t>
      </w:r>
      <w:r w:rsidR="0011062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had to have a warrant of arrest issued against its own witnesses because they failed to attend court.</w:t>
      </w:r>
    </w:p>
    <w:p w:rsidR="00B8660C" w:rsidRPr="00A240D8" w:rsidRDefault="00B8660C" w:rsidP="00201F2D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2916" w:rsidRPr="00A240D8" w:rsidRDefault="00400A8B" w:rsidP="00B8660C">
      <w:pPr>
        <w:spacing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On 9</w:t>
      </w:r>
      <w:r w:rsidR="00B8660C" w:rsidRPr="00A240D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February 2009 when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trial was supposed to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commence the</w:t>
      </w:r>
      <w:r w:rsidR="00BC198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applicant then made an application to have the matter referred to this </w:t>
      </w:r>
      <w:r w:rsidR="00B8660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BC198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ourt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arguing that his rights to a 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speedy trial had been violated</w:t>
      </w:r>
      <w:r w:rsidR="00B8660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DE3B44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It took the trial magistrate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several months to determine t</w:t>
      </w:r>
      <w:r w:rsidR="00BC198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he application</w:t>
      </w:r>
      <w:r w:rsidR="00B8660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7215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The application</w:t>
      </w:r>
      <w:r w:rsidR="00211BB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referral </w:t>
      </w:r>
      <w:r w:rsidR="00BC198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</w:t>
      </w:r>
      <w:r w:rsidR="00211BB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only granted on</w:t>
      </w:r>
      <w:r w:rsidR="0069291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September 2009.</w:t>
      </w:r>
    </w:p>
    <w:p w:rsidR="00B8660C" w:rsidRPr="00A240D8" w:rsidRDefault="00B8660C" w:rsidP="00264B7E">
      <w:pPr>
        <w:spacing w:after="0" w:line="24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1B97" w:rsidRPr="00A240D8" w:rsidRDefault="00400A8B" w:rsidP="00B8660C">
      <w:pPr>
        <w:spacing w:line="480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a </w:t>
      </w:r>
      <w:r w:rsidR="001972F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careful examination</w:t>
      </w:r>
      <w:r w:rsidR="009376F0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r</w:t>
      </w:r>
      <w:r w:rsidR="001972F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easons given for the delay in commencing the trial, it seems to me that the delay may</w:t>
      </w:r>
      <w:r w:rsidR="009376F0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ascribed to</w:t>
      </w:r>
      <w:r w:rsidR="00BC1985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both the applicant and </w:t>
      </w:r>
      <w:r w:rsidR="009376F0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the respondent.</w:t>
      </w:r>
      <w:r w:rsidR="00B8660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972F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In these circumstances the applicant cannot</w:t>
      </w:r>
      <w:r w:rsidR="0042593F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rely on the delay as a reason for seeking </w:t>
      </w:r>
      <w:r w:rsidR="001972F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 permanent stay of the criminal proceedings</w:t>
      </w:r>
      <w:r w:rsidR="0042593F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8660C" w:rsidRPr="00A240D8" w:rsidRDefault="00B8660C" w:rsidP="00B8660C">
      <w:pPr>
        <w:spacing w:after="0" w:line="240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2916" w:rsidRPr="00A240D8" w:rsidRDefault="00692916" w:rsidP="00B8660C">
      <w:pPr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WHETHER THE APPLICANT</w:t>
      </w:r>
      <w:r w:rsidR="009376F0" w:rsidRPr="00A240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ASSERTED HIS CONSTITUTIONAL RIGHTS TO A SPEEDY TRIAL</w:t>
      </w:r>
    </w:p>
    <w:p w:rsidR="00E740E7" w:rsidRPr="00A240D8" w:rsidRDefault="00D42BCA" w:rsidP="00B8660C">
      <w:pPr>
        <w:spacing w:after="0"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In order for this C</w:t>
      </w:r>
      <w:r w:rsidR="0042593F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ourt to properly determine wheth</w:t>
      </w:r>
      <w:r w:rsidR="001C55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er or not the applicant is</w:t>
      </w:r>
      <w:r w:rsidR="0042593F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entitled to the relief that he seeks he must show that he asserte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his rights to a speedy trial.  </w:t>
      </w:r>
      <w:r w:rsidR="00E740E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E740E7"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 v </w:t>
      </w:r>
      <w:proofErr w:type="spellStart"/>
      <w:r w:rsidR="00E740E7"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Banga</w:t>
      </w:r>
      <w:proofErr w:type="spellEnd"/>
      <w:r w:rsidR="00E740E7"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E740E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1995(2) ZLR</w:t>
      </w:r>
      <w:r w:rsidR="0042593F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297 (S)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2593F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was held as follows:-</w:t>
      </w:r>
    </w:p>
    <w:p w:rsidR="00747B9B" w:rsidRPr="00A240D8" w:rsidRDefault="003D1332" w:rsidP="00D42BCA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“….the applicant must assert his right to a trial within a reasonable time. A</w:t>
      </w:r>
      <w:r w:rsidR="00E740E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failure to object along the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way </w:t>
      </w:r>
      <w:r w:rsidR="00E740E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until</w:t>
      </w:r>
      <w:r w:rsidR="009A61A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stage is reached when the State is able to </w:t>
      </w:r>
      <w:r w:rsidR="00D42BC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commence the</w:t>
      </w:r>
      <w:r w:rsidR="00E740E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trial will lead to the inevitable inference that the accused was quite content to leave the situation in abeyance in the hope that somehow the charge would be forgotten; and that his </w:t>
      </w:r>
      <w:r w:rsidR="00747B9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eleventh</w:t>
      </w:r>
      <w:r w:rsidR="00E740E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hour protest was nothing more than a desperate tactic to avoid the outcome of the trial”</w:t>
      </w:r>
    </w:p>
    <w:p w:rsidR="000078E3" w:rsidRPr="00A240D8" w:rsidRDefault="00A1623C" w:rsidP="00A1623C">
      <w:pPr>
        <w:tabs>
          <w:tab w:val="left" w:pos="1125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078E3" w:rsidRPr="00A240D8" w:rsidRDefault="000078E3" w:rsidP="000078E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38FF" w:rsidRPr="00A240D8" w:rsidRDefault="00E740E7" w:rsidP="007E3AB2">
      <w:pPr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78E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C0E9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apparent that throughout this period the applicant did not demand a trial. </w:t>
      </w:r>
      <w:r w:rsidR="001D2D4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7B9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No evidence was led on</w:t>
      </w:r>
      <w:r w:rsidR="009A61A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any attempts made </w:t>
      </w:r>
      <w:r w:rsidR="008A34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="001C55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8A34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applicant to object to</w:t>
      </w:r>
      <w:r w:rsidR="00747B9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delay to bring him to trial. </w:t>
      </w:r>
      <w:r w:rsidR="001D2D4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7B9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All he did was to make an application for</w:t>
      </w:r>
      <w:r w:rsidR="004C0E9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refusal for further remand </w:t>
      </w:r>
      <w:r w:rsidR="0000671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until the S</w:t>
      </w:r>
      <w:r w:rsidR="004C0E9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tate withdrew the matter before plea on 10 December 2007.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170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is no indication on the papers that he ever demanded that</w:t>
      </w:r>
      <w:r w:rsidR="00B33F7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matt</w:t>
      </w:r>
      <w:r w:rsidR="008A34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 be heard. </w:t>
      </w:r>
      <w:r w:rsidR="001D2D4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34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the contrary, it appears </w:t>
      </w:r>
      <w:r w:rsidR="001C55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8A34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 was more concerned </w:t>
      </w:r>
      <w:r w:rsidR="00B33F7B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about the demands upon his time when he attended court and therefore wanted the charges withdrawn against him.</w:t>
      </w:r>
    </w:p>
    <w:p w:rsidR="001D2D43" w:rsidRPr="00A240D8" w:rsidRDefault="001D2D43" w:rsidP="001D2D43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F7B" w:rsidRPr="00A240D8" w:rsidRDefault="00B33F7B" w:rsidP="001D2D43">
      <w:pPr>
        <w:spacing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It </w:t>
      </w:r>
      <w:r w:rsidR="008A34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appears that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38FF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="008A34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applicant may have been under the impression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once the charges against him were withdrawn </w:t>
      </w:r>
      <w:r w:rsidR="000728B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such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charges would </w:t>
      </w:r>
      <w:r w:rsidR="000728BC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</w:t>
      </w:r>
      <w:r w:rsidR="008A34D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be forgotten.</w:t>
      </w:r>
    </w:p>
    <w:p w:rsidR="00DB4CE8" w:rsidRPr="00A240D8" w:rsidRDefault="00DB4CE8" w:rsidP="00DB4CE8">
      <w:pPr>
        <w:spacing w:after="0" w:line="24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0E96" w:rsidRPr="00A240D8" w:rsidRDefault="00B33F7B" w:rsidP="00DB4CE8">
      <w:pPr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WHETHER THE DELAY HAS PREJUDICED THE APPLICANT </w:t>
      </w:r>
    </w:p>
    <w:p w:rsidR="00350739" w:rsidRPr="00A240D8" w:rsidRDefault="00410762" w:rsidP="00DB4CE8">
      <w:pPr>
        <w:spacing w:after="0" w:line="48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When the app</w:t>
      </w:r>
      <w:r w:rsidR="00350739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licant gave evidence on the possible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prejudice he would suffer as a result of the delay</w:t>
      </w:r>
      <w:r w:rsidR="00350739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, he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stated that one of his defence witnesses had died and the other two could not be located.</w:t>
      </w:r>
      <w:r w:rsidR="007A7F6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4CE8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F6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However there was no evidence placed on the record as to what efforts had been made to find these two witnesses.</w:t>
      </w:r>
    </w:p>
    <w:p w:rsidR="00DB4CE8" w:rsidRPr="00A240D8" w:rsidRDefault="00DB4CE8" w:rsidP="00B7296A">
      <w:pPr>
        <w:spacing w:after="0" w:line="24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7F66" w:rsidRPr="00A240D8" w:rsidRDefault="00410762" w:rsidP="00DB4CE8">
      <w:pPr>
        <w:spacing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F6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He also testi</w:t>
      </w:r>
      <w:r w:rsidR="0028735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fied that the anxiety</w:t>
      </w:r>
      <w:r w:rsidR="007A7F6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had affected him</w:t>
      </w:r>
      <w:r w:rsidR="0028735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="007A7F6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</w:t>
      </w:r>
      <w:r w:rsidR="0028735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extent</w:t>
      </w:r>
      <w:r w:rsidR="007A7F6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</w:t>
      </w:r>
      <w:r w:rsidR="00350739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one stage he</w:t>
      </w:r>
      <w:r w:rsidR="007A7F6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attempted to commit suicide by taking poison.</w:t>
      </w:r>
    </w:p>
    <w:p w:rsidR="00DB4CE8" w:rsidRPr="00A240D8" w:rsidRDefault="00DB4CE8" w:rsidP="00DB4CE8">
      <w:pPr>
        <w:spacing w:after="0" w:line="24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0762" w:rsidRPr="00A240D8" w:rsidRDefault="00350739" w:rsidP="00DB4CE8">
      <w:pPr>
        <w:spacing w:line="480" w:lineRule="auto"/>
        <w:ind w:firstLine="16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The delay in prosecuting a case will inevitably affect an accused person</w:t>
      </w:r>
      <w:r w:rsidR="0041076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he will have forgotten some of the evidence. </w:t>
      </w:r>
      <w:r w:rsidR="00B7142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076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Indeed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41076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applicant in this case</w:t>
      </w:r>
      <w:r w:rsidR="00410762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stated that it was difficult for him to remember the events of the case due to lapse of time.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142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That this may be possible was conceded by the S</w:t>
      </w:r>
      <w:r w:rsidR="005B38FF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tate.</w:t>
      </w:r>
      <w:r w:rsidR="007A7F6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1427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F6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However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this is not unique to the applicant as the same difficulty will affect the State </w:t>
      </w:r>
      <w:r w:rsidR="005B38FF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witnesses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50739" w:rsidRPr="00A240D8" w:rsidRDefault="00350739" w:rsidP="00B71427">
      <w:pPr>
        <w:spacing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On the claim that it may be difficult to locate the two remaining defence witnesses no detail was given on the efforts that had been made to locate them.</w:t>
      </w:r>
    </w:p>
    <w:p w:rsidR="00D411E6" w:rsidRPr="00A240D8" w:rsidRDefault="00350739" w:rsidP="0054111A">
      <w:pPr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DISPOSITION</w:t>
      </w:r>
    </w:p>
    <w:p w:rsidR="008E1B73" w:rsidRPr="00A240D8" w:rsidRDefault="00017BCD" w:rsidP="0054111A">
      <w:pPr>
        <w:spacing w:after="0"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D411E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n deciding wh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ether or not to grant a stay in proceedings the </w:t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ourt must consider the various factors together.</w:t>
      </w:r>
      <w:r w:rsidR="005B38FF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411E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he app</w:t>
      </w:r>
      <w:r w:rsidR="008E1B7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licant</w:t>
      </w:r>
      <w:r w:rsidR="00D411E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faces a very serious offence.</w:t>
      </w:r>
      <w:r w:rsidR="008E1B7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B7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It is not in dispute that a</w:t>
      </w:r>
      <w:r w:rsidR="004D502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life was</w:t>
      </w:r>
      <w:r w:rsidR="00D411E6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lost at the hands of the applicant.</w:t>
      </w:r>
    </w:p>
    <w:p w:rsidR="00A0127D" w:rsidRPr="00A240D8" w:rsidRDefault="00A0127D" w:rsidP="0054111A">
      <w:pPr>
        <w:spacing w:after="0"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1B73" w:rsidRPr="00A240D8" w:rsidRDefault="007A7F66" w:rsidP="00A0127D">
      <w:pPr>
        <w:spacing w:line="48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The delay in prosecuting the matter </w:t>
      </w:r>
      <w:r w:rsidR="008E1B7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partly the fault of the applicant. </w:t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B73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He also did not</w:t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assert his constitutional right to a speedy trial.</w:t>
      </w:r>
      <w:r w:rsidR="004D502A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Although Mr </w:t>
      </w:r>
      <w:proofErr w:type="spellStart"/>
      <w:r w:rsidR="004D502A"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Bherebhende</w:t>
      </w:r>
      <w:proofErr w:type="spellEnd"/>
      <w:r w:rsidR="00580A2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, for the applicant, submitted that the applicant would be prejudiced by the delay in prosecuting this matter</w:t>
      </w:r>
      <w:r w:rsidR="00017BC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, in</w:t>
      </w:r>
      <w:r w:rsidR="00580A2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 view</w:t>
      </w:r>
      <w:r w:rsidR="00017BC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, he</w:t>
      </w:r>
      <w:r w:rsidR="00580A2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did not show that</w:t>
      </w:r>
      <w:r w:rsidR="00017BC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 rights under s 18 of the old Constitution have been violated. </w:t>
      </w:r>
    </w:p>
    <w:p w:rsidR="00A0127D" w:rsidRPr="00A240D8" w:rsidRDefault="00A0127D" w:rsidP="00A0127D">
      <w:pPr>
        <w:spacing w:after="0" w:line="240" w:lineRule="auto"/>
        <w:ind w:firstLine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1B73" w:rsidRPr="00A240D8" w:rsidRDefault="00287351" w:rsidP="00A0127D">
      <w:pPr>
        <w:tabs>
          <w:tab w:val="left" w:pos="1620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According</w:t>
      </w:r>
      <w:r w:rsidR="003744B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ly the application</w:t>
      </w:r>
      <w:r w:rsidR="00017BC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fail. </w:t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7BC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It i</w:t>
      </w:r>
      <w:r w:rsidR="003744B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17BC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hereby</w:t>
      </w:r>
      <w:r w:rsidR="003744B1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dismissed with no order as to costs.</w:t>
      </w:r>
    </w:p>
    <w:p w:rsidR="00B7296A" w:rsidRDefault="003744B1" w:rsidP="004016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29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463C5" w:rsidRDefault="003463C5" w:rsidP="003463C5">
      <w:pPr>
        <w:spacing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87351" w:rsidRPr="00A240D8" w:rsidRDefault="00287351" w:rsidP="00B7296A">
      <w:pPr>
        <w:spacing w:line="60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CHIDYAUSIKU CJ:</w:t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 agree</w:t>
      </w:r>
    </w:p>
    <w:p w:rsidR="003463C5" w:rsidRDefault="00287351" w:rsidP="003463C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87351" w:rsidRPr="00A240D8" w:rsidRDefault="00287351" w:rsidP="003463C5">
      <w:pPr>
        <w:spacing w:after="0" w:line="72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MALABA DCJ:</w:t>
      </w: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 agree</w:t>
      </w:r>
    </w:p>
    <w:p w:rsidR="003463C5" w:rsidRDefault="00287351" w:rsidP="003463C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87351" w:rsidRPr="00A240D8" w:rsidRDefault="00287351" w:rsidP="003463C5">
      <w:pPr>
        <w:spacing w:after="0" w:line="72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ZIYAMBI JA:</w:t>
      </w: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 agree</w:t>
      </w:r>
    </w:p>
    <w:p w:rsidR="003463C5" w:rsidRDefault="00287351" w:rsidP="003463C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87351" w:rsidRPr="00A240D8" w:rsidRDefault="00287351" w:rsidP="003463C5">
      <w:pPr>
        <w:spacing w:line="72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GWAUNZA JA:</w:t>
      </w: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 agree</w:t>
      </w:r>
      <w:bookmarkStart w:id="0" w:name="_GoBack"/>
      <w:bookmarkEnd w:id="0"/>
    </w:p>
    <w:p w:rsidR="00287351" w:rsidRPr="00A240D8" w:rsidRDefault="00287351" w:rsidP="003463C5">
      <w:pPr>
        <w:spacing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GARWE JA:</w:t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 agree</w:t>
      </w:r>
    </w:p>
    <w:p w:rsidR="00E30140" w:rsidRPr="00A240D8" w:rsidRDefault="00E30140" w:rsidP="00B7296A">
      <w:pPr>
        <w:spacing w:line="60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GOWORA JA:</w:t>
      </w:r>
      <w:r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 agree</w:t>
      </w:r>
    </w:p>
    <w:p w:rsidR="00E30140" w:rsidRPr="00A240D8" w:rsidRDefault="00E30140" w:rsidP="003463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01621"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HLATSHWAYO JA:</w:t>
      </w:r>
      <w:r w:rsidR="0040162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0162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 agree</w:t>
      </w:r>
    </w:p>
    <w:p w:rsidR="003463C5" w:rsidRDefault="00E30140" w:rsidP="003463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30140" w:rsidRPr="00A240D8" w:rsidRDefault="00401621" w:rsidP="003463C5">
      <w:pPr>
        <w:spacing w:line="60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PATEL</w:t>
      </w:r>
      <w:r w:rsidR="00E30140" w:rsidRPr="00A240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JA:</w:t>
      </w:r>
      <w:r w:rsid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40D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30140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I agree</w:t>
      </w:r>
    </w:p>
    <w:p w:rsidR="00401621" w:rsidRDefault="00401621" w:rsidP="00A240D8">
      <w:pPr>
        <w:spacing w:after="0" w:line="48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E30140" w:rsidRPr="00A240D8" w:rsidRDefault="00E30140" w:rsidP="00A240D8">
      <w:pPr>
        <w:spacing w:after="0" w:line="48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Bherebende</w:t>
      </w:r>
      <w:proofErr w:type="spellEnd"/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Law Chambers, </w:t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applicant’s legal practitioners</w:t>
      </w:r>
    </w:p>
    <w:p w:rsidR="00E30140" w:rsidRPr="00A240D8" w:rsidRDefault="00E30140" w:rsidP="00A240D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National P</w:t>
      </w:r>
      <w:r w:rsidR="00925E1B" w:rsidRPr="00A240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rosecuting Authority, </w:t>
      </w:r>
      <w:r w:rsidR="00A0127D" w:rsidRPr="00A240D8">
        <w:rPr>
          <w:rFonts w:ascii="Times New Roman" w:hAnsi="Times New Roman" w:cs="Times New Roman"/>
          <w:color w:val="000000" w:themeColor="text1"/>
          <w:sz w:val="24"/>
          <w:szCs w:val="24"/>
        </w:rPr>
        <w:t>respondent’s legal practitioners</w:t>
      </w:r>
    </w:p>
    <w:p w:rsidR="004434AF" w:rsidRPr="00A240D8" w:rsidRDefault="00EA7103" w:rsidP="004313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4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4434AF" w:rsidRPr="00A240D8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174" w:rsidRDefault="00AC0174" w:rsidP="0043132F">
      <w:pPr>
        <w:spacing w:after="0" w:line="240" w:lineRule="auto"/>
      </w:pPr>
      <w:r>
        <w:separator/>
      </w:r>
    </w:p>
  </w:endnote>
  <w:endnote w:type="continuationSeparator" w:id="0">
    <w:p w:rsidR="00AC0174" w:rsidRDefault="00AC0174" w:rsidP="00431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174" w:rsidRDefault="00AC0174" w:rsidP="0043132F">
      <w:pPr>
        <w:spacing w:after="0" w:line="240" w:lineRule="auto"/>
      </w:pPr>
      <w:r>
        <w:separator/>
      </w:r>
    </w:p>
  </w:footnote>
  <w:footnote w:type="continuationSeparator" w:id="0">
    <w:p w:rsidR="00AC0174" w:rsidRDefault="00AC0174" w:rsidP="00431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A240D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B28FE45628694B169172C2854DFFF46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240D8" w:rsidRDefault="00A240D8">
              <w:pPr>
                <w:pStyle w:val="Header"/>
                <w:jc w:val="right"/>
              </w:pPr>
              <w:r>
                <w:rPr>
                  <w:lang w:val="en-US"/>
                </w:rPr>
                <w:t>Judgment No CCZ 1/2015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8D0099D0B77E4DDEAC59BEC371B4D47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240D8" w:rsidRDefault="00A240D8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US"/>
                </w:rPr>
                <w:t>Const. Application No SC 54/11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240D8" w:rsidRDefault="00A240D8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463C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43132F" w:rsidRDefault="004313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EC6"/>
    <w:multiLevelType w:val="hybridMultilevel"/>
    <w:tmpl w:val="5CA004AE"/>
    <w:lvl w:ilvl="0" w:tplc="3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E1430"/>
    <w:multiLevelType w:val="hybridMultilevel"/>
    <w:tmpl w:val="44140132"/>
    <w:lvl w:ilvl="0" w:tplc="3F46C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23757F"/>
    <w:multiLevelType w:val="hybridMultilevel"/>
    <w:tmpl w:val="D580215E"/>
    <w:lvl w:ilvl="0" w:tplc="3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64A69"/>
    <w:multiLevelType w:val="hybridMultilevel"/>
    <w:tmpl w:val="789672C0"/>
    <w:lvl w:ilvl="0" w:tplc="56706664">
      <w:start w:val="2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C69E6"/>
    <w:multiLevelType w:val="hybridMultilevel"/>
    <w:tmpl w:val="ADB8061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3F"/>
    <w:rsid w:val="00006716"/>
    <w:rsid w:val="000078E3"/>
    <w:rsid w:val="00017393"/>
    <w:rsid w:val="00017BCD"/>
    <w:rsid w:val="00025A7B"/>
    <w:rsid w:val="000434CE"/>
    <w:rsid w:val="00050AEE"/>
    <w:rsid w:val="000678EB"/>
    <w:rsid w:val="000728BC"/>
    <w:rsid w:val="00080955"/>
    <w:rsid w:val="000850F1"/>
    <w:rsid w:val="0008513C"/>
    <w:rsid w:val="00094252"/>
    <w:rsid w:val="000D0707"/>
    <w:rsid w:val="000D16A4"/>
    <w:rsid w:val="000D5C49"/>
    <w:rsid w:val="000E1159"/>
    <w:rsid w:val="000F3FB0"/>
    <w:rsid w:val="0011062C"/>
    <w:rsid w:val="001509BC"/>
    <w:rsid w:val="001826C2"/>
    <w:rsid w:val="001972F6"/>
    <w:rsid w:val="001C557D"/>
    <w:rsid w:val="001D2D43"/>
    <w:rsid w:val="00201F2D"/>
    <w:rsid w:val="002076ED"/>
    <w:rsid w:val="00211BB8"/>
    <w:rsid w:val="00214A4A"/>
    <w:rsid w:val="00215C75"/>
    <w:rsid w:val="002333C5"/>
    <w:rsid w:val="00240F15"/>
    <w:rsid w:val="002413D9"/>
    <w:rsid w:val="00264B7E"/>
    <w:rsid w:val="0028697E"/>
    <w:rsid w:val="00287351"/>
    <w:rsid w:val="002A19C3"/>
    <w:rsid w:val="002F0591"/>
    <w:rsid w:val="003166A1"/>
    <w:rsid w:val="003258B8"/>
    <w:rsid w:val="00330264"/>
    <w:rsid w:val="003314CD"/>
    <w:rsid w:val="0033376B"/>
    <w:rsid w:val="00341903"/>
    <w:rsid w:val="003463C5"/>
    <w:rsid w:val="00350739"/>
    <w:rsid w:val="00373C27"/>
    <w:rsid w:val="003744B1"/>
    <w:rsid w:val="003D1332"/>
    <w:rsid w:val="003F3E3D"/>
    <w:rsid w:val="003F7ACA"/>
    <w:rsid w:val="00400A8B"/>
    <w:rsid w:val="00401621"/>
    <w:rsid w:val="00410762"/>
    <w:rsid w:val="00423F93"/>
    <w:rsid w:val="0042593F"/>
    <w:rsid w:val="0043132F"/>
    <w:rsid w:val="00443421"/>
    <w:rsid w:val="004434AF"/>
    <w:rsid w:val="0045091B"/>
    <w:rsid w:val="00451BD0"/>
    <w:rsid w:val="004C0E96"/>
    <w:rsid w:val="004C498A"/>
    <w:rsid w:val="004C5048"/>
    <w:rsid w:val="004D502A"/>
    <w:rsid w:val="00512AFA"/>
    <w:rsid w:val="0052091B"/>
    <w:rsid w:val="005329D5"/>
    <w:rsid w:val="0054111A"/>
    <w:rsid w:val="00550CC8"/>
    <w:rsid w:val="0056318C"/>
    <w:rsid w:val="00580A21"/>
    <w:rsid w:val="005A27D9"/>
    <w:rsid w:val="005B38FF"/>
    <w:rsid w:val="005B5DB0"/>
    <w:rsid w:val="005D20F3"/>
    <w:rsid w:val="00634FF7"/>
    <w:rsid w:val="00692916"/>
    <w:rsid w:val="006C2270"/>
    <w:rsid w:val="006C6E29"/>
    <w:rsid w:val="006E241E"/>
    <w:rsid w:val="006E78FC"/>
    <w:rsid w:val="0070170A"/>
    <w:rsid w:val="00720298"/>
    <w:rsid w:val="007215DA"/>
    <w:rsid w:val="00727304"/>
    <w:rsid w:val="00736CB2"/>
    <w:rsid w:val="00747B9B"/>
    <w:rsid w:val="00756CD4"/>
    <w:rsid w:val="00762E70"/>
    <w:rsid w:val="00763DBC"/>
    <w:rsid w:val="007719DD"/>
    <w:rsid w:val="00785473"/>
    <w:rsid w:val="007855B1"/>
    <w:rsid w:val="00793ABB"/>
    <w:rsid w:val="007A41AB"/>
    <w:rsid w:val="007A7F66"/>
    <w:rsid w:val="007B03B0"/>
    <w:rsid w:val="007B0F14"/>
    <w:rsid w:val="007B51A1"/>
    <w:rsid w:val="007D380C"/>
    <w:rsid w:val="007E3AB2"/>
    <w:rsid w:val="007F24B1"/>
    <w:rsid w:val="00816364"/>
    <w:rsid w:val="00817059"/>
    <w:rsid w:val="00823E27"/>
    <w:rsid w:val="00826A31"/>
    <w:rsid w:val="00841B97"/>
    <w:rsid w:val="00866ACC"/>
    <w:rsid w:val="008948F3"/>
    <w:rsid w:val="008979AC"/>
    <w:rsid w:val="008A34DA"/>
    <w:rsid w:val="008E1B73"/>
    <w:rsid w:val="008F1ADE"/>
    <w:rsid w:val="00912363"/>
    <w:rsid w:val="00913C26"/>
    <w:rsid w:val="00914D6D"/>
    <w:rsid w:val="00917060"/>
    <w:rsid w:val="00925E1B"/>
    <w:rsid w:val="00934534"/>
    <w:rsid w:val="00935C9F"/>
    <w:rsid w:val="009376F0"/>
    <w:rsid w:val="00952574"/>
    <w:rsid w:val="0096183F"/>
    <w:rsid w:val="0098037A"/>
    <w:rsid w:val="009A0D16"/>
    <w:rsid w:val="009A61AB"/>
    <w:rsid w:val="009C2C41"/>
    <w:rsid w:val="00A0127D"/>
    <w:rsid w:val="00A01EC3"/>
    <w:rsid w:val="00A05322"/>
    <w:rsid w:val="00A0763F"/>
    <w:rsid w:val="00A1623C"/>
    <w:rsid w:val="00A240D8"/>
    <w:rsid w:val="00A24177"/>
    <w:rsid w:val="00A332A3"/>
    <w:rsid w:val="00A563A9"/>
    <w:rsid w:val="00A70B7D"/>
    <w:rsid w:val="00AA100C"/>
    <w:rsid w:val="00AC0174"/>
    <w:rsid w:val="00AE5FCA"/>
    <w:rsid w:val="00AF60CF"/>
    <w:rsid w:val="00B02485"/>
    <w:rsid w:val="00B33F7B"/>
    <w:rsid w:val="00B34A5A"/>
    <w:rsid w:val="00B548EF"/>
    <w:rsid w:val="00B71427"/>
    <w:rsid w:val="00B72803"/>
    <w:rsid w:val="00B7296A"/>
    <w:rsid w:val="00B76B2D"/>
    <w:rsid w:val="00B76EAA"/>
    <w:rsid w:val="00B8660C"/>
    <w:rsid w:val="00BB05C8"/>
    <w:rsid w:val="00BB0BDC"/>
    <w:rsid w:val="00BB5E6C"/>
    <w:rsid w:val="00BC1985"/>
    <w:rsid w:val="00BD172C"/>
    <w:rsid w:val="00C56F42"/>
    <w:rsid w:val="00C57280"/>
    <w:rsid w:val="00C76ACB"/>
    <w:rsid w:val="00C85D05"/>
    <w:rsid w:val="00C861FF"/>
    <w:rsid w:val="00C97483"/>
    <w:rsid w:val="00CE47D3"/>
    <w:rsid w:val="00D01D3F"/>
    <w:rsid w:val="00D2703C"/>
    <w:rsid w:val="00D411E6"/>
    <w:rsid w:val="00D42BCA"/>
    <w:rsid w:val="00D5740C"/>
    <w:rsid w:val="00D71CA5"/>
    <w:rsid w:val="00DB4CE8"/>
    <w:rsid w:val="00DC5F7A"/>
    <w:rsid w:val="00DE3B44"/>
    <w:rsid w:val="00DE49F5"/>
    <w:rsid w:val="00DE76E0"/>
    <w:rsid w:val="00E01171"/>
    <w:rsid w:val="00E12E78"/>
    <w:rsid w:val="00E147D0"/>
    <w:rsid w:val="00E30140"/>
    <w:rsid w:val="00E54757"/>
    <w:rsid w:val="00E740E7"/>
    <w:rsid w:val="00E745D7"/>
    <w:rsid w:val="00E813CE"/>
    <w:rsid w:val="00E916FA"/>
    <w:rsid w:val="00E938F6"/>
    <w:rsid w:val="00EA7103"/>
    <w:rsid w:val="00EB0F36"/>
    <w:rsid w:val="00EC3894"/>
    <w:rsid w:val="00ED40BB"/>
    <w:rsid w:val="00EE79A0"/>
    <w:rsid w:val="00EF07FE"/>
    <w:rsid w:val="00F257A7"/>
    <w:rsid w:val="00F3160C"/>
    <w:rsid w:val="00F319B1"/>
    <w:rsid w:val="00F45CE2"/>
    <w:rsid w:val="00F500CC"/>
    <w:rsid w:val="00F5065C"/>
    <w:rsid w:val="00F57D32"/>
    <w:rsid w:val="00F614AE"/>
    <w:rsid w:val="00F9111E"/>
    <w:rsid w:val="00FA52EE"/>
    <w:rsid w:val="00FA6302"/>
    <w:rsid w:val="00F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E79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D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32F"/>
  </w:style>
  <w:style w:type="paragraph" w:styleId="Footer">
    <w:name w:val="footer"/>
    <w:basedOn w:val="Normal"/>
    <w:link w:val="FooterChar"/>
    <w:uiPriority w:val="99"/>
    <w:unhideWhenUsed/>
    <w:rsid w:val="00431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3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E79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D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32F"/>
  </w:style>
  <w:style w:type="paragraph" w:styleId="Footer">
    <w:name w:val="footer"/>
    <w:basedOn w:val="Normal"/>
    <w:link w:val="FooterChar"/>
    <w:uiPriority w:val="99"/>
    <w:unhideWhenUsed/>
    <w:rsid w:val="00431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8FE45628694B169172C2854DFFF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5F4C6-D6EC-4CDE-B292-449BC704B451}"/>
      </w:docPartPr>
      <w:docPartBody>
        <w:p w:rsidR="00E162C4" w:rsidRDefault="00831529" w:rsidP="00831529">
          <w:pPr>
            <w:pStyle w:val="B28FE45628694B169172C2854DFFF463"/>
          </w:pPr>
          <w:r>
            <w:t>[Type the company name]</w:t>
          </w:r>
        </w:p>
      </w:docPartBody>
    </w:docPart>
    <w:docPart>
      <w:docPartPr>
        <w:name w:val="8D0099D0B77E4DDEAC59BEC371B4D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B9CBF-D971-436E-92E2-F14BFB0C436E}"/>
      </w:docPartPr>
      <w:docPartBody>
        <w:p w:rsidR="00E162C4" w:rsidRDefault="00831529" w:rsidP="00831529">
          <w:pPr>
            <w:pStyle w:val="8D0099D0B77E4DDEAC59BEC371B4D47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0E"/>
    <w:rsid w:val="002C2B3E"/>
    <w:rsid w:val="00312FFC"/>
    <w:rsid w:val="00452A66"/>
    <w:rsid w:val="004F4841"/>
    <w:rsid w:val="00512FE7"/>
    <w:rsid w:val="00775D3D"/>
    <w:rsid w:val="00831529"/>
    <w:rsid w:val="009E550E"/>
    <w:rsid w:val="00C115C0"/>
    <w:rsid w:val="00E1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957DC251BD4475B4473D246934DA6D">
    <w:name w:val="31957DC251BD4475B4473D246934DA6D"/>
    <w:rsid w:val="009E550E"/>
  </w:style>
  <w:style w:type="paragraph" w:customStyle="1" w:styleId="D83F24C0F3F242F99029761EFFDB4962">
    <w:name w:val="D83F24C0F3F242F99029761EFFDB4962"/>
    <w:rsid w:val="009E550E"/>
  </w:style>
  <w:style w:type="paragraph" w:customStyle="1" w:styleId="B28FE45628694B169172C2854DFFF463">
    <w:name w:val="B28FE45628694B169172C2854DFFF463"/>
    <w:rsid w:val="00831529"/>
  </w:style>
  <w:style w:type="paragraph" w:customStyle="1" w:styleId="8D0099D0B77E4DDEAC59BEC371B4D47A">
    <w:name w:val="8D0099D0B77E4DDEAC59BEC371B4D47A"/>
    <w:rsid w:val="008315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957DC251BD4475B4473D246934DA6D">
    <w:name w:val="31957DC251BD4475B4473D246934DA6D"/>
    <w:rsid w:val="009E550E"/>
  </w:style>
  <w:style w:type="paragraph" w:customStyle="1" w:styleId="D83F24C0F3F242F99029761EFFDB4962">
    <w:name w:val="D83F24C0F3F242F99029761EFFDB4962"/>
    <w:rsid w:val="009E550E"/>
  </w:style>
  <w:style w:type="paragraph" w:customStyle="1" w:styleId="B28FE45628694B169172C2854DFFF463">
    <w:name w:val="B28FE45628694B169172C2854DFFF463"/>
    <w:rsid w:val="00831529"/>
  </w:style>
  <w:style w:type="paragraph" w:customStyle="1" w:styleId="8D0099D0B77E4DDEAC59BEC371B4D47A">
    <w:name w:val="8D0099D0B77E4DDEAC59BEC371B4D47A"/>
    <w:rsid w:val="008315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EE020-95B0-4707-88AF-35C2C26C5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Const. Application No SC 54/11</vt:lpstr>
    </vt:vector>
  </TitlesOfParts>
  <Company>Judgment No CCZ 1/2015</Company>
  <LinksUpToDate>false</LinksUpToDate>
  <CharactersWithSpaces>11568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Const. Application No SC 54/11</dc:title>
  <dc:creator>user</dc:creator>
  <cp:lastModifiedBy>judge</cp:lastModifiedBy>
  <cp:revision>22</cp:revision>
  <cp:lastPrinted>2015-03-16T09:20:00Z</cp:lastPrinted>
  <dcterms:created xsi:type="dcterms:W3CDTF">2015-01-29T12:57:00Z</dcterms:created>
  <dcterms:modified xsi:type="dcterms:W3CDTF">2015-03-16T09:23:00Z</dcterms:modified>
</cp:coreProperties>
</file>