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7C80C" w14:textId="77777777" w:rsidR="00CE6065" w:rsidRDefault="00CE6065" w:rsidP="00C828AC">
      <w:pPr>
        <w:spacing w:after="0" w:line="480" w:lineRule="auto"/>
        <w:rPr>
          <w:rFonts w:ascii="Times New Roman" w:hAnsi="Times New Roman" w:cs="Times New Roman"/>
          <w:bCs/>
          <w:sz w:val="24"/>
          <w:szCs w:val="24"/>
        </w:rPr>
      </w:pPr>
      <w:bookmarkStart w:id="0" w:name="_GoBack"/>
      <w:bookmarkEnd w:id="0"/>
    </w:p>
    <w:p w14:paraId="4D9F5CF9" w14:textId="338E9107" w:rsidR="00C828AC" w:rsidRPr="00F126C0" w:rsidRDefault="00F126C0" w:rsidP="00C828AC">
      <w:pPr>
        <w:spacing w:after="0" w:line="480" w:lineRule="auto"/>
        <w:rPr>
          <w:rFonts w:ascii="Times New Roman" w:hAnsi="Times New Roman" w:cs="Times New Roman"/>
          <w:bCs/>
          <w:sz w:val="24"/>
          <w:szCs w:val="24"/>
        </w:rPr>
      </w:pPr>
      <w:r>
        <w:rPr>
          <w:rFonts w:ascii="Times New Roman" w:hAnsi="Times New Roman" w:cs="Times New Roman"/>
          <w:b/>
          <w:sz w:val="24"/>
          <w:szCs w:val="24"/>
          <w:u w:val="single"/>
        </w:rPr>
        <w:t>REPORTABLE</w:t>
      </w:r>
      <w:r>
        <w:rPr>
          <w:rFonts w:ascii="Times New Roman" w:hAnsi="Times New Roman" w:cs="Times New Roman"/>
          <w:b/>
          <w:sz w:val="24"/>
          <w:szCs w:val="24"/>
        </w:rPr>
        <w:t xml:space="preserve"> (</w:t>
      </w:r>
      <w:r w:rsidR="00DC713E">
        <w:rPr>
          <w:rFonts w:ascii="Times New Roman" w:hAnsi="Times New Roman" w:cs="Times New Roman"/>
          <w:b/>
          <w:sz w:val="24"/>
          <w:szCs w:val="24"/>
        </w:rPr>
        <w:t>13</w:t>
      </w:r>
      <w:r>
        <w:rPr>
          <w:rFonts w:ascii="Times New Roman" w:hAnsi="Times New Roman" w:cs="Times New Roman"/>
          <w:b/>
          <w:sz w:val="24"/>
          <w:szCs w:val="24"/>
        </w:rPr>
        <w:t>)</w:t>
      </w:r>
    </w:p>
    <w:p w14:paraId="16F959EC" w14:textId="77777777" w:rsidR="00D0276A" w:rsidRDefault="00D0276A" w:rsidP="00F126C0">
      <w:pPr>
        <w:spacing w:after="0" w:line="240" w:lineRule="auto"/>
        <w:jc w:val="center"/>
        <w:rPr>
          <w:rFonts w:ascii="Times New Roman" w:hAnsi="Times New Roman" w:cs="Times New Roman"/>
          <w:b/>
          <w:bCs/>
          <w:sz w:val="24"/>
          <w:szCs w:val="24"/>
        </w:rPr>
      </w:pPr>
    </w:p>
    <w:p w14:paraId="6580BF21" w14:textId="77777777" w:rsidR="00D0276A" w:rsidRDefault="00D0276A" w:rsidP="00F126C0">
      <w:pPr>
        <w:spacing w:after="0" w:line="240" w:lineRule="auto"/>
        <w:jc w:val="center"/>
        <w:rPr>
          <w:rFonts w:ascii="Times New Roman" w:hAnsi="Times New Roman" w:cs="Times New Roman"/>
          <w:b/>
          <w:bCs/>
          <w:sz w:val="24"/>
          <w:szCs w:val="24"/>
        </w:rPr>
      </w:pPr>
    </w:p>
    <w:p w14:paraId="295B6B73" w14:textId="77777777" w:rsidR="00D0276A" w:rsidRDefault="00D0276A" w:rsidP="00F126C0">
      <w:pPr>
        <w:spacing w:after="0" w:line="240" w:lineRule="auto"/>
        <w:jc w:val="center"/>
        <w:rPr>
          <w:rFonts w:ascii="Times New Roman" w:hAnsi="Times New Roman" w:cs="Times New Roman"/>
          <w:b/>
          <w:bCs/>
          <w:sz w:val="24"/>
          <w:szCs w:val="24"/>
        </w:rPr>
      </w:pPr>
    </w:p>
    <w:p w14:paraId="2F496BD4" w14:textId="77777777" w:rsidR="00CE6065" w:rsidRDefault="00CE6065" w:rsidP="00F126C0">
      <w:pPr>
        <w:spacing w:after="0" w:line="240" w:lineRule="auto"/>
        <w:jc w:val="center"/>
        <w:rPr>
          <w:rFonts w:ascii="Times New Roman" w:hAnsi="Times New Roman" w:cs="Times New Roman"/>
          <w:b/>
          <w:bCs/>
          <w:sz w:val="24"/>
          <w:szCs w:val="24"/>
        </w:rPr>
      </w:pPr>
    </w:p>
    <w:p w14:paraId="3494267C" w14:textId="77777777" w:rsidR="00D0276A" w:rsidRDefault="00D0276A" w:rsidP="00F126C0">
      <w:pPr>
        <w:spacing w:after="0" w:line="240" w:lineRule="auto"/>
        <w:jc w:val="center"/>
        <w:rPr>
          <w:rFonts w:ascii="Times New Roman" w:hAnsi="Times New Roman" w:cs="Times New Roman"/>
          <w:b/>
          <w:bCs/>
          <w:sz w:val="24"/>
          <w:szCs w:val="24"/>
        </w:rPr>
      </w:pPr>
    </w:p>
    <w:p w14:paraId="4E0B8E94" w14:textId="5AE1795A" w:rsidR="000B4D4E" w:rsidRDefault="00435122" w:rsidP="00F126C0">
      <w:pPr>
        <w:spacing w:after="0" w:line="240" w:lineRule="auto"/>
        <w:jc w:val="center"/>
        <w:rPr>
          <w:rFonts w:ascii="Times New Roman" w:hAnsi="Times New Roman" w:cs="Times New Roman"/>
          <w:b/>
          <w:bCs/>
          <w:sz w:val="24"/>
          <w:szCs w:val="24"/>
        </w:rPr>
      </w:pPr>
      <w:r w:rsidRPr="00F126C0">
        <w:rPr>
          <w:rFonts w:ascii="Times New Roman" w:hAnsi="Times New Roman" w:cs="Times New Roman"/>
          <w:b/>
          <w:bCs/>
          <w:sz w:val="24"/>
          <w:szCs w:val="24"/>
        </w:rPr>
        <w:t>UNIFREIGHT AFRICA LIMITED</w:t>
      </w:r>
    </w:p>
    <w:p w14:paraId="2EE8AD22" w14:textId="685B7B10" w:rsidR="00C828AC" w:rsidRPr="00F126C0" w:rsidRDefault="00435122" w:rsidP="00F126C0">
      <w:pPr>
        <w:spacing w:after="0" w:line="240" w:lineRule="auto"/>
        <w:jc w:val="center"/>
        <w:rPr>
          <w:rFonts w:ascii="Times New Roman" w:hAnsi="Times New Roman" w:cs="Times New Roman"/>
          <w:b/>
          <w:sz w:val="24"/>
          <w:szCs w:val="24"/>
        </w:rPr>
      </w:pPr>
      <w:r w:rsidRPr="00F126C0">
        <w:rPr>
          <w:rFonts w:ascii="Times New Roman" w:hAnsi="Times New Roman" w:cs="Times New Roman"/>
          <w:b/>
          <w:bCs/>
          <w:sz w:val="24"/>
          <w:szCs w:val="24"/>
        </w:rPr>
        <w:t>(</w:t>
      </w:r>
      <w:r w:rsidR="00EC654E">
        <w:rPr>
          <w:rFonts w:ascii="Times New Roman" w:hAnsi="Times New Roman" w:cs="Times New Roman"/>
          <w:b/>
          <w:bCs/>
          <w:sz w:val="24"/>
          <w:szCs w:val="24"/>
        </w:rPr>
        <w:t>Formerly</w:t>
      </w:r>
      <w:r w:rsidRPr="00F126C0">
        <w:rPr>
          <w:rFonts w:ascii="Times New Roman" w:hAnsi="Times New Roman" w:cs="Times New Roman"/>
          <w:b/>
          <w:bCs/>
          <w:sz w:val="24"/>
          <w:szCs w:val="24"/>
        </w:rPr>
        <w:t xml:space="preserve"> Pioneer Corporation Africa Limited)</w:t>
      </w:r>
    </w:p>
    <w:p w14:paraId="2F46B05E" w14:textId="77777777" w:rsidR="00C828AC" w:rsidRPr="00F126C0" w:rsidRDefault="00C828AC" w:rsidP="00F126C0">
      <w:pPr>
        <w:spacing w:after="0" w:line="240" w:lineRule="auto"/>
        <w:jc w:val="center"/>
        <w:rPr>
          <w:rFonts w:ascii="Times New Roman" w:hAnsi="Times New Roman" w:cs="Times New Roman"/>
          <w:b/>
          <w:sz w:val="24"/>
          <w:szCs w:val="24"/>
        </w:rPr>
      </w:pPr>
      <w:r w:rsidRPr="00F126C0">
        <w:rPr>
          <w:rFonts w:ascii="Times New Roman" w:hAnsi="Times New Roman" w:cs="Times New Roman"/>
          <w:b/>
          <w:sz w:val="24"/>
          <w:szCs w:val="24"/>
        </w:rPr>
        <w:t>v</w:t>
      </w:r>
    </w:p>
    <w:p w14:paraId="39F852F8" w14:textId="5933082E" w:rsidR="00C828AC" w:rsidRPr="002959CF" w:rsidRDefault="00F126C0" w:rsidP="00F126C0">
      <w:pPr>
        <w:spacing w:after="0" w:line="480" w:lineRule="auto"/>
        <w:jc w:val="center"/>
        <w:rPr>
          <w:rFonts w:ascii="Times New Roman" w:hAnsi="Times New Roman" w:cs="Times New Roman"/>
          <w:bCs/>
          <w:sz w:val="24"/>
          <w:szCs w:val="24"/>
        </w:rPr>
      </w:pPr>
      <w:r>
        <w:rPr>
          <w:rFonts w:ascii="Times New Roman" w:hAnsi="Times New Roman" w:cs="Times New Roman"/>
          <w:b/>
          <w:sz w:val="24"/>
          <w:szCs w:val="24"/>
        </w:rPr>
        <w:t>EMILY MASHINYA</w:t>
      </w:r>
    </w:p>
    <w:p w14:paraId="2B81D1AD" w14:textId="77777777" w:rsidR="00F72E82" w:rsidRDefault="00F72E82" w:rsidP="00C828AC">
      <w:pPr>
        <w:spacing w:after="0" w:line="240" w:lineRule="auto"/>
        <w:jc w:val="both"/>
        <w:rPr>
          <w:rFonts w:ascii="Times New Roman" w:hAnsi="Times New Roman" w:cs="Times New Roman"/>
          <w:b/>
          <w:sz w:val="24"/>
          <w:szCs w:val="24"/>
        </w:rPr>
      </w:pPr>
    </w:p>
    <w:p w14:paraId="428C76F7" w14:textId="77777777" w:rsidR="00CE6065" w:rsidRDefault="00CE6065" w:rsidP="00C828AC">
      <w:pPr>
        <w:spacing w:after="0" w:line="240" w:lineRule="auto"/>
        <w:jc w:val="both"/>
        <w:rPr>
          <w:rFonts w:ascii="Times New Roman" w:hAnsi="Times New Roman" w:cs="Times New Roman"/>
          <w:b/>
          <w:sz w:val="24"/>
          <w:szCs w:val="24"/>
        </w:rPr>
      </w:pPr>
    </w:p>
    <w:p w14:paraId="56D2762F" w14:textId="77777777" w:rsidR="00D0276A" w:rsidRDefault="00D0276A" w:rsidP="00C828AC">
      <w:pPr>
        <w:spacing w:after="0" w:line="240" w:lineRule="auto"/>
        <w:jc w:val="both"/>
        <w:rPr>
          <w:rFonts w:ascii="Times New Roman" w:hAnsi="Times New Roman" w:cs="Times New Roman"/>
          <w:b/>
          <w:sz w:val="24"/>
          <w:szCs w:val="24"/>
        </w:rPr>
      </w:pPr>
    </w:p>
    <w:p w14:paraId="204279AD" w14:textId="77777777" w:rsidR="00D0276A" w:rsidRDefault="00D0276A" w:rsidP="00C828AC">
      <w:pPr>
        <w:spacing w:after="0" w:line="240" w:lineRule="auto"/>
        <w:jc w:val="both"/>
        <w:rPr>
          <w:rFonts w:ascii="Times New Roman" w:hAnsi="Times New Roman" w:cs="Times New Roman"/>
          <w:b/>
          <w:sz w:val="24"/>
          <w:szCs w:val="24"/>
        </w:rPr>
      </w:pPr>
    </w:p>
    <w:p w14:paraId="35837F44" w14:textId="77777777" w:rsidR="00D0276A" w:rsidRDefault="00D0276A" w:rsidP="00C828AC">
      <w:pPr>
        <w:spacing w:after="0" w:line="240" w:lineRule="auto"/>
        <w:jc w:val="both"/>
        <w:rPr>
          <w:rFonts w:ascii="Times New Roman" w:hAnsi="Times New Roman" w:cs="Times New Roman"/>
          <w:b/>
          <w:sz w:val="24"/>
          <w:szCs w:val="24"/>
        </w:rPr>
      </w:pPr>
    </w:p>
    <w:p w14:paraId="0693BA9B" w14:textId="4282B5B6" w:rsidR="00C828AC" w:rsidRPr="00F126C0" w:rsidRDefault="00C828AC" w:rsidP="00C828AC">
      <w:pPr>
        <w:spacing w:after="0" w:line="240" w:lineRule="auto"/>
        <w:jc w:val="both"/>
        <w:rPr>
          <w:rFonts w:ascii="Times New Roman" w:hAnsi="Times New Roman" w:cs="Times New Roman"/>
          <w:b/>
          <w:sz w:val="24"/>
          <w:szCs w:val="24"/>
        </w:rPr>
      </w:pPr>
      <w:r w:rsidRPr="00F126C0">
        <w:rPr>
          <w:rFonts w:ascii="Times New Roman" w:hAnsi="Times New Roman" w:cs="Times New Roman"/>
          <w:b/>
          <w:sz w:val="24"/>
          <w:szCs w:val="24"/>
        </w:rPr>
        <w:t>CONSTITUTIONAL COURT OF ZIMBABWE</w:t>
      </w:r>
    </w:p>
    <w:p w14:paraId="6C6A7CDC" w14:textId="72313B51" w:rsidR="00C828AC" w:rsidRPr="00F126C0" w:rsidRDefault="00EC4413" w:rsidP="0003577F">
      <w:pPr>
        <w:spacing w:after="0" w:line="240" w:lineRule="auto"/>
        <w:rPr>
          <w:rFonts w:ascii="Times New Roman" w:hAnsi="Times New Roman" w:cs="Times New Roman"/>
          <w:b/>
          <w:sz w:val="24"/>
          <w:szCs w:val="24"/>
        </w:rPr>
      </w:pPr>
      <w:r w:rsidRPr="00F126C0">
        <w:rPr>
          <w:rFonts w:ascii="Times New Roman" w:hAnsi="Times New Roman" w:cs="Times New Roman"/>
          <w:b/>
          <w:sz w:val="24"/>
          <w:szCs w:val="24"/>
        </w:rPr>
        <w:t xml:space="preserve">MAKARAU JCC, </w:t>
      </w:r>
      <w:r w:rsidR="0003577F" w:rsidRPr="00F126C0">
        <w:rPr>
          <w:rFonts w:ascii="Times New Roman" w:hAnsi="Times New Roman" w:cs="Times New Roman"/>
          <w:b/>
          <w:sz w:val="24"/>
          <w:szCs w:val="24"/>
        </w:rPr>
        <w:t>H</w:t>
      </w:r>
      <w:r w:rsidRPr="00F126C0">
        <w:rPr>
          <w:rFonts w:ascii="Times New Roman" w:hAnsi="Times New Roman" w:cs="Times New Roman"/>
          <w:b/>
          <w:sz w:val="24"/>
          <w:szCs w:val="24"/>
        </w:rPr>
        <w:t>LATSHWAYO JCC</w:t>
      </w:r>
      <w:r w:rsidR="0072596C" w:rsidRPr="00F126C0">
        <w:rPr>
          <w:rFonts w:ascii="Times New Roman" w:hAnsi="Times New Roman" w:cs="Times New Roman"/>
          <w:b/>
          <w:sz w:val="24"/>
          <w:szCs w:val="24"/>
        </w:rPr>
        <w:t xml:space="preserve"> </w:t>
      </w:r>
      <w:r w:rsidR="000B4D4E">
        <w:rPr>
          <w:rFonts w:ascii="Times New Roman" w:hAnsi="Times New Roman" w:cs="Times New Roman"/>
          <w:b/>
          <w:sz w:val="24"/>
          <w:szCs w:val="24"/>
        </w:rPr>
        <w:t>&amp;</w:t>
      </w:r>
      <w:r w:rsidR="0072596C" w:rsidRPr="00F126C0">
        <w:rPr>
          <w:rFonts w:ascii="Times New Roman" w:hAnsi="Times New Roman" w:cs="Times New Roman"/>
          <w:b/>
          <w:sz w:val="24"/>
          <w:szCs w:val="24"/>
        </w:rPr>
        <w:t xml:space="preserve"> </w:t>
      </w:r>
      <w:r w:rsidR="007A7B1B" w:rsidRPr="00F126C0">
        <w:rPr>
          <w:rFonts w:ascii="Times New Roman" w:hAnsi="Times New Roman" w:cs="Times New Roman"/>
          <w:b/>
          <w:sz w:val="24"/>
          <w:szCs w:val="24"/>
        </w:rPr>
        <w:t>PATEL JCC</w:t>
      </w:r>
    </w:p>
    <w:p w14:paraId="4C44F8BC" w14:textId="08F49F65" w:rsidR="00C828AC" w:rsidRPr="00F126C0" w:rsidRDefault="00C828AC" w:rsidP="00C828AC">
      <w:pPr>
        <w:spacing w:after="0" w:line="240" w:lineRule="auto"/>
        <w:jc w:val="both"/>
        <w:rPr>
          <w:rFonts w:ascii="Times New Roman" w:hAnsi="Times New Roman" w:cs="Times New Roman"/>
          <w:sz w:val="24"/>
          <w:szCs w:val="24"/>
        </w:rPr>
      </w:pPr>
      <w:r w:rsidRPr="00F126C0">
        <w:rPr>
          <w:rFonts w:ascii="Times New Roman" w:hAnsi="Times New Roman" w:cs="Times New Roman"/>
          <w:b/>
          <w:sz w:val="24"/>
          <w:szCs w:val="24"/>
        </w:rPr>
        <w:t>HARARE</w:t>
      </w:r>
      <w:r w:rsidR="00AE10E9" w:rsidRPr="00F126C0">
        <w:rPr>
          <w:rFonts w:ascii="Times New Roman" w:hAnsi="Times New Roman" w:cs="Times New Roman"/>
          <w:b/>
          <w:sz w:val="24"/>
          <w:szCs w:val="24"/>
        </w:rPr>
        <w:t>:</w:t>
      </w:r>
      <w:r w:rsidRPr="00F126C0">
        <w:rPr>
          <w:rFonts w:ascii="Times New Roman" w:hAnsi="Times New Roman" w:cs="Times New Roman"/>
          <w:b/>
          <w:sz w:val="24"/>
          <w:szCs w:val="24"/>
        </w:rPr>
        <w:t xml:space="preserve"> </w:t>
      </w:r>
      <w:r w:rsidR="007563D8" w:rsidRPr="00F126C0">
        <w:rPr>
          <w:rFonts w:ascii="Times New Roman" w:hAnsi="Times New Roman" w:cs="Times New Roman"/>
          <w:b/>
          <w:sz w:val="24"/>
          <w:szCs w:val="24"/>
        </w:rPr>
        <w:t xml:space="preserve">11 JUNE </w:t>
      </w:r>
      <w:r w:rsidR="00DC713E">
        <w:rPr>
          <w:rFonts w:ascii="Times New Roman" w:hAnsi="Times New Roman" w:cs="Times New Roman"/>
          <w:b/>
          <w:sz w:val="24"/>
          <w:szCs w:val="24"/>
        </w:rPr>
        <w:t>&amp; 17 SEPTEMBER 2024</w:t>
      </w:r>
    </w:p>
    <w:p w14:paraId="61624874" w14:textId="77777777" w:rsidR="004172AC" w:rsidRDefault="004172AC" w:rsidP="000B4D4E">
      <w:pPr>
        <w:spacing w:after="0" w:line="480" w:lineRule="auto"/>
        <w:jc w:val="both"/>
        <w:rPr>
          <w:rFonts w:ascii="Times New Roman" w:hAnsi="Times New Roman" w:cs="Times New Roman"/>
          <w:sz w:val="24"/>
          <w:szCs w:val="24"/>
        </w:rPr>
      </w:pPr>
    </w:p>
    <w:p w14:paraId="479907DF" w14:textId="77777777" w:rsidR="00F16D62" w:rsidRPr="00F126C0" w:rsidRDefault="00F16D62" w:rsidP="000B4D4E">
      <w:pPr>
        <w:spacing w:after="0" w:line="480" w:lineRule="auto"/>
        <w:jc w:val="both"/>
        <w:rPr>
          <w:rFonts w:ascii="Times New Roman" w:hAnsi="Times New Roman" w:cs="Times New Roman"/>
          <w:sz w:val="24"/>
          <w:szCs w:val="24"/>
        </w:rPr>
      </w:pPr>
    </w:p>
    <w:p w14:paraId="1E161B4C" w14:textId="324D97A7" w:rsidR="00C828AC" w:rsidRPr="00F126C0" w:rsidRDefault="004F188A" w:rsidP="000B4D4E">
      <w:pPr>
        <w:spacing w:after="0" w:line="480" w:lineRule="auto"/>
        <w:rPr>
          <w:rFonts w:ascii="Times New Roman" w:hAnsi="Times New Roman" w:cs="Times New Roman"/>
          <w:sz w:val="24"/>
          <w:szCs w:val="24"/>
        </w:rPr>
      </w:pPr>
      <w:r w:rsidRPr="00F126C0">
        <w:rPr>
          <w:rFonts w:ascii="Times New Roman" w:hAnsi="Times New Roman" w:cs="Times New Roman"/>
          <w:i/>
          <w:iCs/>
          <w:sz w:val="24"/>
          <w:szCs w:val="24"/>
        </w:rPr>
        <w:t>L</w:t>
      </w:r>
      <w:r w:rsidR="000B4D4E">
        <w:rPr>
          <w:rFonts w:ascii="Times New Roman" w:hAnsi="Times New Roman" w:cs="Times New Roman"/>
          <w:i/>
          <w:iCs/>
          <w:sz w:val="24"/>
          <w:szCs w:val="24"/>
        </w:rPr>
        <w:t>.</w:t>
      </w:r>
      <w:r w:rsidRPr="00F126C0">
        <w:rPr>
          <w:rFonts w:ascii="Times New Roman" w:hAnsi="Times New Roman" w:cs="Times New Roman"/>
          <w:i/>
          <w:iCs/>
          <w:sz w:val="24"/>
          <w:szCs w:val="24"/>
        </w:rPr>
        <w:t xml:space="preserve"> Uriri </w:t>
      </w:r>
      <w:r w:rsidR="007563D8" w:rsidRPr="00F126C0">
        <w:rPr>
          <w:rFonts w:ascii="Times New Roman" w:hAnsi="Times New Roman" w:cs="Times New Roman"/>
          <w:sz w:val="24"/>
          <w:szCs w:val="24"/>
        </w:rPr>
        <w:t xml:space="preserve">with </w:t>
      </w:r>
      <w:r w:rsidR="004835F5" w:rsidRPr="00F126C0">
        <w:rPr>
          <w:rFonts w:ascii="Times New Roman" w:hAnsi="Times New Roman" w:cs="Times New Roman"/>
          <w:i/>
          <w:iCs/>
          <w:sz w:val="24"/>
          <w:szCs w:val="24"/>
        </w:rPr>
        <w:t>B</w:t>
      </w:r>
      <w:r w:rsidR="000B4D4E">
        <w:rPr>
          <w:rFonts w:ascii="Times New Roman" w:hAnsi="Times New Roman" w:cs="Times New Roman"/>
          <w:i/>
          <w:iCs/>
          <w:sz w:val="24"/>
          <w:szCs w:val="24"/>
        </w:rPr>
        <w:t>.</w:t>
      </w:r>
      <w:r w:rsidR="004835F5" w:rsidRPr="00F126C0">
        <w:rPr>
          <w:rFonts w:ascii="Times New Roman" w:hAnsi="Times New Roman" w:cs="Times New Roman"/>
          <w:i/>
          <w:iCs/>
          <w:sz w:val="24"/>
          <w:szCs w:val="24"/>
        </w:rPr>
        <w:t xml:space="preserve"> Mudhau</w:t>
      </w:r>
      <w:r w:rsidR="004835F5" w:rsidRPr="00F126C0">
        <w:rPr>
          <w:rFonts w:ascii="Times New Roman" w:hAnsi="Times New Roman" w:cs="Times New Roman"/>
          <w:sz w:val="24"/>
          <w:szCs w:val="24"/>
        </w:rPr>
        <w:t>, for the applicant</w:t>
      </w:r>
    </w:p>
    <w:p w14:paraId="1FF16439" w14:textId="34435871" w:rsidR="00C828AC" w:rsidRDefault="004835F5" w:rsidP="000B4D4E">
      <w:pPr>
        <w:spacing w:after="0" w:line="480" w:lineRule="auto"/>
        <w:rPr>
          <w:rFonts w:ascii="Times New Roman" w:hAnsi="Times New Roman" w:cs="Times New Roman"/>
          <w:b/>
          <w:sz w:val="24"/>
          <w:szCs w:val="24"/>
        </w:rPr>
      </w:pPr>
      <w:r w:rsidRPr="00F126C0">
        <w:rPr>
          <w:rFonts w:ascii="Times New Roman" w:hAnsi="Times New Roman" w:cs="Times New Roman"/>
          <w:i/>
          <w:iCs/>
          <w:sz w:val="24"/>
          <w:szCs w:val="24"/>
        </w:rPr>
        <w:t>V</w:t>
      </w:r>
      <w:r w:rsidR="000B4D4E">
        <w:rPr>
          <w:rFonts w:ascii="Times New Roman" w:hAnsi="Times New Roman" w:cs="Times New Roman"/>
          <w:i/>
          <w:iCs/>
          <w:sz w:val="24"/>
          <w:szCs w:val="24"/>
        </w:rPr>
        <w:t>.</w:t>
      </w:r>
      <w:r w:rsidRPr="00F126C0">
        <w:rPr>
          <w:rFonts w:ascii="Times New Roman" w:hAnsi="Times New Roman" w:cs="Times New Roman"/>
          <w:i/>
          <w:iCs/>
          <w:sz w:val="24"/>
          <w:szCs w:val="24"/>
        </w:rPr>
        <w:t xml:space="preserve"> Mu</w:t>
      </w:r>
      <w:r w:rsidR="00D15BC7">
        <w:rPr>
          <w:rFonts w:ascii="Times New Roman" w:hAnsi="Times New Roman" w:cs="Times New Roman"/>
          <w:i/>
          <w:iCs/>
          <w:sz w:val="24"/>
          <w:szCs w:val="24"/>
        </w:rPr>
        <w:t>g</w:t>
      </w:r>
      <w:r w:rsidRPr="00F126C0">
        <w:rPr>
          <w:rFonts w:ascii="Times New Roman" w:hAnsi="Times New Roman" w:cs="Times New Roman"/>
          <w:i/>
          <w:iCs/>
          <w:sz w:val="24"/>
          <w:szCs w:val="24"/>
        </w:rPr>
        <w:t xml:space="preserve">umba </w:t>
      </w:r>
      <w:r w:rsidRPr="00F126C0">
        <w:rPr>
          <w:rFonts w:ascii="Times New Roman" w:hAnsi="Times New Roman" w:cs="Times New Roman"/>
          <w:iCs/>
          <w:sz w:val="24"/>
          <w:szCs w:val="24"/>
        </w:rPr>
        <w:t xml:space="preserve">with </w:t>
      </w:r>
      <w:r w:rsidRPr="00F126C0">
        <w:rPr>
          <w:rFonts w:ascii="Times New Roman" w:hAnsi="Times New Roman" w:cs="Times New Roman"/>
          <w:i/>
          <w:iCs/>
          <w:sz w:val="24"/>
          <w:szCs w:val="24"/>
        </w:rPr>
        <w:t>V</w:t>
      </w:r>
      <w:r w:rsidR="000B4D4E">
        <w:rPr>
          <w:rFonts w:ascii="Times New Roman" w:hAnsi="Times New Roman" w:cs="Times New Roman"/>
          <w:i/>
          <w:iCs/>
          <w:sz w:val="24"/>
          <w:szCs w:val="24"/>
        </w:rPr>
        <w:t>.</w:t>
      </w:r>
      <w:r w:rsidRPr="00F126C0">
        <w:rPr>
          <w:rFonts w:ascii="Times New Roman" w:hAnsi="Times New Roman" w:cs="Times New Roman"/>
          <w:i/>
          <w:iCs/>
          <w:sz w:val="24"/>
          <w:szCs w:val="24"/>
        </w:rPr>
        <w:t xml:space="preserve"> Ndagurwa</w:t>
      </w:r>
      <w:r w:rsidR="004E6099" w:rsidRPr="00F126C0">
        <w:rPr>
          <w:rFonts w:ascii="Times New Roman" w:hAnsi="Times New Roman" w:cs="Times New Roman"/>
          <w:sz w:val="24"/>
          <w:szCs w:val="24"/>
        </w:rPr>
        <w:t>, for the respondent</w:t>
      </w:r>
      <w:r w:rsidR="0087042D" w:rsidRPr="00F126C0">
        <w:rPr>
          <w:rFonts w:ascii="Times New Roman" w:hAnsi="Times New Roman" w:cs="Times New Roman"/>
          <w:sz w:val="24"/>
          <w:szCs w:val="24"/>
        </w:rPr>
        <w:br/>
      </w:r>
    </w:p>
    <w:p w14:paraId="75247FC3" w14:textId="77777777" w:rsidR="00531D5C" w:rsidRPr="00F126C0" w:rsidRDefault="00531D5C" w:rsidP="000B4D4E">
      <w:pPr>
        <w:spacing w:after="0" w:line="480" w:lineRule="auto"/>
        <w:rPr>
          <w:rFonts w:ascii="Times New Roman" w:hAnsi="Times New Roman" w:cs="Times New Roman"/>
          <w:b/>
          <w:sz w:val="24"/>
          <w:szCs w:val="24"/>
        </w:rPr>
      </w:pPr>
    </w:p>
    <w:p w14:paraId="0A9E9ACE" w14:textId="6B2B7799" w:rsidR="00C828AC" w:rsidRPr="00F126C0" w:rsidRDefault="004835F5" w:rsidP="00397CD4">
      <w:pPr>
        <w:spacing w:after="0" w:line="480" w:lineRule="auto"/>
        <w:jc w:val="both"/>
        <w:rPr>
          <w:rFonts w:ascii="Times New Roman" w:hAnsi="Times New Roman" w:cs="Times New Roman"/>
          <w:sz w:val="24"/>
          <w:szCs w:val="24"/>
        </w:rPr>
      </w:pPr>
      <w:r w:rsidRPr="00F126C0">
        <w:rPr>
          <w:rFonts w:ascii="Times New Roman" w:hAnsi="Times New Roman" w:cs="Times New Roman"/>
          <w:b/>
          <w:sz w:val="24"/>
          <w:szCs w:val="24"/>
        </w:rPr>
        <w:t>PATEL</w:t>
      </w:r>
      <w:r w:rsidR="00C828AC" w:rsidRPr="00F126C0">
        <w:rPr>
          <w:rFonts w:ascii="Times New Roman" w:hAnsi="Times New Roman" w:cs="Times New Roman"/>
          <w:b/>
          <w:sz w:val="24"/>
          <w:szCs w:val="24"/>
        </w:rPr>
        <w:t xml:space="preserve"> JCC:  </w:t>
      </w:r>
    </w:p>
    <w:p w14:paraId="4D7A7BEA" w14:textId="7F50EF62" w:rsidR="003E51A0" w:rsidRDefault="004835F5" w:rsidP="00774F6D">
      <w:pPr>
        <w:spacing w:after="0" w:line="480" w:lineRule="auto"/>
        <w:jc w:val="both"/>
        <w:rPr>
          <w:rFonts w:ascii="Times New Roman" w:hAnsi="Times New Roman" w:cs="Times New Roman"/>
          <w:sz w:val="24"/>
          <w:szCs w:val="24"/>
        </w:rPr>
      </w:pPr>
      <w:r w:rsidRPr="00F126C0">
        <w:rPr>
          <w:rFonts w:ascii="Times New Roman" w:hAnsi="Times New Roman" w:cs="Times New Roman"/>
          <w:i/>
          <w:sz w:val="24"/>
          <w:szCs w:val="24"/>
        </w:rPr>
        <w:tab/>
      </w:r>
      <w:r w:rsidRPr="00F126C0">
        <w:rPr>
          <w:rFonts w:ascii="Times New Roman" w:hAnsi="Times New Roman" w:cs="Times New Roman"/>
          <w:sz w:val="24"/>
          <w:szCs w:val="24"/>
        </w:rPr>
        <w:t xml:space="preserve">This is an application </w:t>
      </w:r>
      <w:r w:rsidR="00896860" w:rsidRPr="00F126C0">
        <w:rPr>
          <w:rFonts w:ascii="Times New Roman" w:hAnsi="Times New Roman" w:cs="Times New Roman"/>
          <w:sz w:val="24"/>
          <w:szCs w:val="24"/>
        </w:rPr>
        <w:t>for direct access brought in terms of s 167(5) of the Constitution of Zimbabwe</w:t>
      </w:r>
      <w:r w:rsidR="000B4D4E">
        <w:rPr>
          <w:rFonts w:ascii="Times New Roman" w:hAnsi="Times New Roman" w:cs="Times New Roman"/>
          <w:sz w:val="24"/>
          <w:szCs w:val="24"/>
        </w:rPr>
        <w:t>,</w:t>
      </w:r>
      <w:r w:rsidR="00896860" w:rsidRPr="00F126C0">
        <w:rPr>
          <w:rFonts w:ascii="Times New Roman" w:hAnsi="Times New Roman" w:cs="Times New Roman"/>
          <w:sz w:val="24"/>
          <w:szCs w:val="24"/>
        </w:rPr>
        <w:t xml:space="preserve"> as read with r 21 of the Constitutional Court Rules, 2016</w:t>
      </w:r>
      <w:r w:rsidR="008638B3">
        <w:rPr>
          <w:rFonts w:ascii="Times New Roman" w:hAnsi="Times New Roman" w:cs="Times New Roman"/>
          <w:sz w:val="24"/>
          <w:szCs w:val="24"/>
        </w:rPr>
        <w:t xml:space="preserve"> (the Rules)</w:t>
      </w:r>
      <w:r w:rsidR="00896860" w:rsidRPr="00F126C0">
        <w:rPr>
          <w:rFonts w:ascii="Times New Roman" w:hAnsi="Times New Roman" w:cs="Times New Roman"/>
          <w:sz w:val="24"/>
          <w:szCs w:val="24"/>
        </w:rPr>
        <w:t>.</w:t>
      </w:r>
      <w:r w:rsidR="00A3081C" w:rsidRPr="00F126C0">
        <w:rPr>
          <w:rFonts w:ascii="Times New Roman" w:hAnsi="Times New Roman" w:cs="Times New Roman"/>
          <w:sz w:val="24"/>
          <w:szCs w:val="24"/>
        </w:rPr>
        <w:t xml:space="preserve"> The applicant seeks an order allowing </w:t>
      </w:r>
      <w:r w:rsidR="00F441D7" w:rsidRPr="00F126C0">
        <w:rPr>
          <w:rFonts w:ascii="Times New Roman" w:hAnsi="Times New Roman" w:cs="Times New Roman"/>
          <w:sz w:val="24"/>
          <w:szCs w:val="24"/>
        </w:rPr>
        <w:t xml:space="preserve">it to </w:t>
      </w:r>
      <w:r w:rsidR="00A3081C" w:rsidRPr="00F126C0">
        <w:rPr>
          <w:rFonts w:ascii="Times New Roman" w:hAnsi="Times New Roman" w:cs="Times New Roman"/>
          <w:sz w:val="24"/>
          <w:szCs w:val="24"/>
        </w:rPr>
        <w:t>approach this Court directly so as to challenge the decision by the Supreme Court</w:t>
      </w:r>
      <w:r w:rsidR="004B45A0">
        <w:rPr>
          <w:rFonts w:ascii="Times New Roman" w:hAnsi="Times New Roman" w:cs="Times New Roman"/>
          <w:sz w:val="24"/>
          <w:szCs w:val="24"/>
        </w:rPr>
        <w:t>, under SC 11-24,</w:t>
      </w:r>
      <w:r w:rsidR="00F441D7" w:rsidRPr="00F126C0">
        <w:rPr>
          <w:rFonts w:ascii="Times New Roman" w:hAnsi="Times New Roman" w:cs="Times New Roman"/>
          <w:sz w:val="24"/>
          <w:szCs w:val="24"/>
        </w:rPr>
        <w:t xml:space="preserve"> wherein it ordered the applicant to pay the respondent damages arising from </w:t>
      </w:r>
      <w:r w:rsidR="004B45A0">
        <w:rPr>
          <w:rFonts w:ascii="Times New Roman" w:hAnsi="Times New Roman" w:cs="Times New Roman"/>
          <w:sz w:val="24"/>
          <w:szCs w:val="24"/>
        </w:rPr>
        <w:t>the</w:t>
      </w:r>
      <w:r w:rsidR="00F441D7" w:rsidRPr="00F126C0">
        <w:rPr>
          <w:rFonts w:ascii="Times New Roman" w:hAnsi="Times New Roman" w:cs="Times New Roman"/>
          <w:sz w:val="24"/>
          <w:szCs w:val="24"/>
        </w:rPr>
        <w:t xml:space="preserve"> unlawful termination of her employment</w:t>
      </w:r>
      <w:r w:rsidR="004B45A0">
        <w:rPr>
          <w:rFonts w:ascii="Times New Roman" w:hAnsi="Times New Roman" w:cs="Times New Roman"/>
          <w:sz w:val="24"/>
          <w:szCs w:val="24"/>
        </w:rPr>
        <w:t>, such damages to be paid</w:t>
      </w:r>
      <w:r w:rsidR="00F441D7" w:rsidRPr="00F126C0">
        <w:rPr>
          <w:rFonts w:ascii="Times New Roman" w:hAnsi="Times New Roman" w:cs="Times New Roman"/>
          <w:sz w:val="24"/>
          <w:szCs w:val="24"/>
        </w:rPr>
        <w:t xml:space="preserve"> at the prevailing interbank rate.</w:t>
      </w:r>
    </w:p>
    <w:p w14:paraId="6479A817" w14:textId="77777777" w:rsidR="00774F6D" w:rsidRDefault="00774F6D" w:rsidP="00774F6D">
      <w:pPr>
        <w:spacing w:after="0" w:line="480" w:lineRule="auto"/>
        <w:jc w:val="both"/>
        <w:rPr>
          <w:rFonts w:ascii="Times New Roman" w:hAnsi="Times New Roman" w:cs="Times New Roman"/>
          <w:sz w:val="24"/>
          <w:szCs w:val="24"/>
        </w:rPr>
      </w:pPr>
    </w:p>
    <w:p w14:paraId="270B5D14" w14:textId="337F93EE" w:rsidR="004B45A0" w:rsidRPr="004B45A0" w:rsidRDefault="008638B3" w:rsidP="00774F6D">
      <w:pPr>
        <w:spacing w:after="0" w:line="480" w:lineRule="auto"/>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lastRenderedPageBreak/>
        <w:t xml:space="preserve">The </w:t>
      </w:r>
      <w:r w:rsidR="004B45A0">
        <w:rPr>
          <w:rFonts w:ascii="Times New Roman" w:eastAsia="Calibri" w:hAnsi="Times New Roman" w:cs="Times New Roman"/>
          <w:b/>
          <w:bCs/>
          <w:sz w:val="24"/>
          <w:szCs w:val="24"/>
        </w:rPr>
        <w:t>Factual Background</w:t>
      </w:r>
    </w:p>
    <w:p w14:paraId="77F21197" w14:textId="39DDAA04" w:rsidR="00896860" w:rsidRDefault="00896860" w:rsidP="00774F6D">
      <w:pPr>
        <w:spacing w:after="0" w:line="480" w:lineRule="auto"/>
        <w:ind w:firstLine="720"/>
        <w:jc w:val="both"/>
        <w:rPr>
          <w:rFonts w:ascii="Times New Roman" w:eastAsia="Calibri" w:hAnsi="Times New Roman" w:cs="Times New Roman"/>
          <w:sz w:val="24"/>
          <w:szCs w:val="24"/>
        </w:rPr>
      </w:pPr>
      <w:r w:rsidRPr="00F126C0">
        <w:rPr>
          <w:rFonts w:ascii="Times New Roman" w:eastAsia="Calibri" w:hAnsi="Times New Roman" w:cs="Times New Roman"/>
          <w:sz w:val="24"/>
          <w:szCs w:val="24"/>
        </w:rPr>
        <w:t xml:space="preserve">The </w:t>
      </w:r>
      <w:r w:rsidR="00731752" w:rsidRPr="00F126C0">
        <w:rPr>
          <w:rFonts w:ascii="Times New Roman" w:eastAsia="Calibri" w:hAnsi="Times New Roman" w:cs="Times New Roman"/>
          <w:sz w:val="24"/>
          <w:szCs w:val="24"/>
        </w:rPr>
        <w:t>a</w:t>
      </w:r>
      <w:r w:rsidRPr="00F126C0">
        <w:rPr>
          <w:rFonts w:ascii="Times New Roman" w:eastAsia="Calibri" w:hAnsi="Times New Roman" w:cs="Times New Roman"/>
          <w:sz w:val="24"/>
          <w:szCs w:val="24"/>
        </w:rPr>
        <w:t>pplicant is a company duly registered in accordance with the laws of Zimbabwe.</w:t>
      </w:r>
      <w:r w:rsidR="009A6936" w:rsidRPr="00F126C0">
        <w:rPr>
          <w:rFonts w:ascii="Times New Roman" w:eastAsia="Calibri" w:hAnsi="Times New Roman" w:cs="Times New Roman"/>
          <w:sz w:val="24"/>
          <w:szCs w:val="24"/>
        </w:rPr>
        <w:t xml:space="preserve"> </w:t>
      </w:r>
      <w:r w:rsidR="00731752" w:rsidRPr="00F126C0">
        <w:rPr>
          <w:rFonts w:ascii="Times New Roman" w:eastAsia="Calibri" w:hAnsi="Times New Roman" w:cs="Times New Roman"/>
          <w:sz w:val="24"/>
          <w:szCs w:val="24"/>
        </w:rPr>
        <w:t xml:space="preserve">The respondent is a former employee of the applicant.  </w:t>
      </w:r>
      <w:r w:rsidR="00AA45CD">
        <w:rPr>
          <w:rFonts w:ascii="Times New Roman" w:eastAsia="Calibri" w:hAnsi="Times New Roman" w:cs="Times New Roman"/>
          <w:sz w:val="24"/>
          <w:szCs w:val="24"/>
        </w:rPr>
        <w:t>She</w:t>
      </w:r>
      <w:r w:rsidR="009A6936" w:rsidRPr="00F126C0">
        <w:rPr>
          <w:rFonts w:ascii="Times New Roman" w:eastAsia="Calibri" w:hAnsi="Times New Roman" w:cs="Times New Roman"/>
          <w:sz w:val="24"/>
          <w:szCs w:val="24"/>
        </w:rPr>
        <w:t xml:space="preserve"> </w:t>
      </w:r>
      <w:r w:rsidRPr="00F126C0">
        <w:rPr>
          <w:rFonts w:ascii="Times New Roman" w:eastAsia="Calibri" w:hAnsi="Times New Roman" w:cs="Times New Roman"/>
          <w:sz w:val="24"/>
          <w:szCs w:val="24"/>
        </w:rPr>
        <w:t>was employed as the group internal audit manager. On 6 December 2013</w:t>
      </w:r>
      <w:r w:rsidR="009A6936" w:rsidRPr="00F126C0">
        <w:rPr>
          <w:rFonts w:ascii="Times New Roman" w:eastAsia="Calibri" w:hAnsi="Times New Roman" w:cs="Times New Roman"/>
          <w:sz w:val="24"/>
          <w:szCs w:val="24"/>
        </w:rPr>
        <w:t>,</w:t>
      </w:r>
      <w:r w:rsidRPr="00F126C0">
        <w:rPr>
          <w:rFonts w:ascii="Times New Roman" w:eastAsia="Calibri" w:hAnsi="Times New Roman" w:cs="Times New Roman"/>
          <w:sz w:val="24"/>
          <w:szCs w:val="24"/>
        </w:rPr>
        <w:t xml:space="preserve"> after a disciplinary hearing, the respondent was found guilty </w:t>
      </w:r>
      <w:r w:rsidR="00AA45CD">
        <w:rPr>
          <w:rFonts w:ascii="Times New Roman" w:eastAsia="Calibri" w:hAnsi="Times New Roman" w:cs="Times New Roman"/>
          <w:sz w:val="24"/>
          <w:szCs w:val="24"/>
        </w:rPr>
        <w:t xml:space="preserve">of misconduct </w:t>
      </w:r>
      <w:r w:rsidRPr="00F126C0">
        <w:rPr>
          <w:rFonts w:ascii="Times New Roman" w:eastAsia="Calibri" w:hAnsi="Times New Roman" w:cs="Times New Roman"/>
          <w:sz w:val="24"/>
          <w:szCs w:val="24"/>
        </w:rPr>
        <w:t xml:space="preserve">and dismissed from employment. The </w:t>
      </w:r>
      <w:r w:rsidR="00AA45CD">
        <w:rPr>
          <w:rFonts w:ascii="Times New Roman" w:eastAsia="Calibri" w:hAnsi="Times New Roman" w:cs="Times New Roman"/>
          <w:sz w:val="24"/>
          <w:szCs w:val="24"/>
        </w:rPr>
        <w:t xml:space="preserve">ensuing </w:t>
      </w:r>
      <w:r w:rsidR="009A6936" w:rsidRPr="00F126C0">
        <w:rPr>
          <w:rFonts w:ascii="Times New Roman" w:eastAsia="Calibri" w:hAnsi="Times New Roman" w:cs="Times New Roman"/>
          <w:sz w:val="24"/>
          <w:szCs w:val="24"/>
        </w:rPr>
        <w:t xml:space="preserve">dispute between the parties was submitted for arbitration and the arbitrator ruled in favour of the </w:t>
      </w:r>
      <w:r w:rsidR="007160D6" w:rsidRPr="00F126C0">
        <w:rPr>
          <w:rFonts w:ascii="Times New Roman" w:eastAsia="Calibri" w:hAnsi="Times New Roman" w:cs="Times New Roman"/>
          <w:sz w:val="24"/>
          <w:szCs w:val="24"/>
        </w:rPr>
        <w:t>applicant</w:t>
      </w:r>
      <w:r w:rsidRPr="00F126C0">
        <w:rPr>
          <w:rFonts w:ascii="Times New Roman" w:eastAsia="Calibri" w:hAnsi="Times New Roman" w:cs="Times New Roman"/>
          <w:sz w:val="24"/>
          <w:szCs w:val="24"/>
        </w:rPr>
        <w:t xml:space="preserve">. </w:t>
      </w:r>
      <w:r w:rsidR="007160D6" w:rsidRPr="00F126C0">
        <w:rPr>
          <w:rFonts w:ascii="Times New Roman" w:eastAsia="Calibri" w:hAnsi="Times New Roman" w:cs="Times New Roman"/>
          <w:sz w:val="24"/>
          <w:szCs w:val="24"/>
        </w:rPr>
        <w:t>Irked by the decision of the arbitrator</w:t>
      </w:r>
      <w:r w:rsidR="00731752" w:rsidRPr="00F126C0">
        <w:rPr>
          <w:rFonts w:ascii="Times New Roman" w:eastAsia="Calibri" w:hAnsi="Times New Roman" w:cs="Times New Roman"/>
          <w:sz w:val="24"/>
          <w:szCs w:val="24"/>
        </w:rPr>
        <w:t>,</w:t>
      </w:r>
      <w:r w:rsidR="007160D6" w:rsidRPr="00F126C0">
        <w:rPr>
          <w:rFonts w:ascii="Times New Roman" w:eastAsia="Calibri" w:hAnsi="Times New Roman" w:cs="Times New Roman"/>
          <w:sz w:val="24"/>
          <w:szCs w:val="24"/>
        </w:rPr>
        <w:t xml:space="preserve"> the respondent</w:t>
      </w:r>
      <w:r w:rsidRPr="00F126C0">
        <w:rPr>
          <w:rFonts w:ascii="Times New Roman" w:eastAsia="Calibri" w:hAnsi="Times New Roman" w:cs="Times New Roman"/>
          <w:sz w:val="24"/>
          <w:szCs w:val="24"/>
        </w:rPr>
        <w:t xml:space="preserve"> appealed to the Labour Court</w:t>
      </w:r>
      <w:r w:rsidR="00AA45CD">
        <w:rPr>
          <w:rFonts w:ascii="Times New Roman" w:eastAsia="Calibri" w:hAnsi="Times New Roman" w:cs="Times New Roman"/>
          <w:sz w:val="24"/>
          <w:szCs w:val="24"/>
        </w:rPr>
        <w:t>,</w:t>
      </w:r>
      <w:r w:rsidRPr="00F126C0">
        <w:rPr>
          <w:rFonts w:ascii="Times New Roman" w:eastAsia="Calibri" w:hAnsi="Times New Roman" w:cs="Times New Roman"/>
          <w:sz w:val="24"/>
          <w:szCs w:val="24"/>
        </w:rPr>
        <w:t xml:space="preserve"> which </w:t>
      </w:r>
      <w:r w:rsidR="00AA45CD">
        <w:rPr>
          <w:rFonts w:ascii="Times New Roman" w:eastAsia="Calibri" w:hAnsi="Times New Roman" w:cs="Times New Roman"/>
          <w:sz w:val="24"/>
          <w:szCs w:val="24"/>
        </w:rPr>
        <w:t>also</w:t>
      </w:r>
      <w:r w:rsidRPr="00F126C0">
        <w:rPr>
          <w:rFonts w:ascii="Times New Roman" w:eastAsia="Calibri" w:hAnsi="Times New Roman" w:cs="Times New Roman"/>
          <w:sz w:val="24"/>
          <w:szCs w:val="24"/>
        </w:rPr>
        <w:t xml:space="preserve"> ruled in favour of the applicant. The respondent </w:t>
      </w:r>
      <w:r w:rsidR="00AA45CD">
        <w:rPr>
          <w:rFonts w:ascii="Times New Roman" w:eastAsia="Calibri" w:hAnsi="Times New Roman" w:cs="Times New Roman"/>
          <w:sz w:val="24"/>
          <w:szCs w:val="24"/>
        </w:rPr>
        <w:t xml:space="preserve">then </w:t>
      </w:r>
      <w:r w:rsidRPr="00F126C0">
        <w:rPr>
          <w:rFonts w:ascii="Times New Roman" w:eastAsia="Calibri" w:hAnsi="Times New Roman" w:cs="Times New Roman"/>
          <w:sz w:val="24"/>
          <w:szCs w:val="24"/>
        </w:rPr>
        <w:t>appealed to the Supreme Court on 6 July 2018</w:t>
      </w:r>
      <w:r w:rsidR="00AA45CD">
        <w:rPr>
          <w:rFonts w:ascii="Times New Roman" w:eastAsia="Calibri" w:hAnsi="Times New Roman" w:cs="Times New Roman"/>
          <w:sz w:val="24"/>
          <w:szCs w:val="24"/>
        </w:rPr>
        <w:t>,</w:t>
      </w:r>
      <w:r w:rsidRPr="00F126C0">
        <w:rPr>
          <w:rFonts w:ascii="Times New Roman" w:eastAsia="Calibri" w:hAnsi="Times New Roman" w:cs="Times New Roman"/>
          <w:sz w:val="24"/>
          <w:szCs w:val="24"/>
        </w:rPr>
        <w:t xml:space="preserve"> under SC 1100/17</w:t>
      </w:r>
      <w:r w:rsidR="00AA45CD">
        <w:rPr>
          <w:rFonts w:ascii="Times New Roman" w:eastAsia="Calibri" w:hAnsi="Times New Roman" w:cs="Times New Roman"/>
          <w:sz w:val="24"/>
          <w:szCs w:val="24"/>
        </w:rPr>
        <w:t>. The court</w:t>
      </w:r>
      <w:r w:rsidRPr="00F126C0">
        <w:rPr>
          <w:rFonts w:ascii="Times New Roman" w:eastAsia="Calibri" w:hAnsi="Times New Roman" w:cs="Times New Roman"/>
          <w:sz w:val="24"/>
          <w:szCs w:val="24"/>
        </w:rPr>
        <w:t xml:space="preserve"> allowed her appeal </w:t>
      </w:r>
      <w:r w:rsidR="00AA45CD">
        <w:rPr>
          <w:rFonts w:ascii="Times New Roman" w:eastAsia="Calibri" w:hAnsi="Times New Roman" w:cs="Times New Roman"/>
          <w:sz w:val="24"/>
          <w:szCs w:val="24"/>
        </w:rPr>
        <w:t xml:space="preserve">and remitted </w:t>
      </w:r>
      <w:r w:rsidRPr="00F126C0">
        <w:rPr>
          <w:rFonts w:ascii="Times New Roman" w:eastAsia="Calibri" w:hAnsi="Times New Roman" w:cs="Times New Roman"/>
          <w:sz w:val="24"/>
          <w:szCs w:val="24"/>
        </w:rPr>
        <w:t>the matter to the Labour Court. Pursuant to the order in SC 1100/17, the Labour Court</w:t>
      </w:r>
      <w:r w:rsidR="00AA45CD">
        <w:rPr>
          <w:rFonts w:ascii="Times New Roman" w:eastAsia="Calibri" w:hAnsi="Times New Roman" w:cs="Times New Roman"/>
          <w:sz w:val="24"/>
          <w:szCs w:val="24"/>
        </w:rPr>
        <w:t>,</w:t>
      </w:r>
      <w:r w:rsidRPr="00F126C0">
        <w:rPr>
          <w:rFonts w:ascii="Times New Roman" w:eastAsia="Calibri" w:hAnsi="Times New Roman" w:cs="Times New Roman"/>
          <w:sz w:val="24"/>
          <w:szCs w:val="24"/>
        </w:rPr>
        <w:t xml:space="preserve"> in LC/H/ORD/112/22</w:t>
      </w:r>
      <w:r w:rsidR="00AA45CD">
        <w:rPr>
          <w:rFonts w:ascii="Times New Roman" w:eastAsia="Calibri" w:hAnsi="Times New Roman" w:cs="Times New Roman"/>
          <w:sz w:val="24"/>
          <w:szCs w:val="24"/>
        </w:rPr>
        <w:t>,</w:t>
      </w:r>
      <w:r w:rsidRPr="00F126C0">
        <w:rPr>
          <w:rFonts w:ascii="Times New Roman" w:eastAsia="Calibri" w:hAnsi="Times New Roman" w:cs="Times New Roman"/>
          <w:sz w:val="24"/>
          <w:szCs w:val="24"/>
        </w:rPr>
        <w:t xml:space="preserve"> handed down a default judgment reinstating the respondent to the employment of the applicant.</w:t>
      </w:r>
    </w:p>
    <w:p w14:paraId="199CC6C4" w14:textId="77777777" w:rsidR="00774F6D" w:rsidRDefault="00774F6D" w:rsidP="00774F6D">
      <w:pPr>
        <w:spacing w:after="0" w:line="480" w:lineRule="auto"/>
        <w:ind w:firstLine="720"/>
        <w:jc w:val="both"/>
        <w:rPr>
          <w:rFonts w:ascii="Times New Roman" w:eastAsia="Calibri" w:hAnsi="Times New Roman" w:cs="Times New Roman"/>
          <w:sz w:val="24"/>
          <w:szCs w:val="24"/>
        </w:rPr>
      </w:pPr>
    </w:p>
    <w:p w14:paraId="52B955C4" w14:textId="0AC5FB8F" w:rsidR="00D173E1" w:rsidRDefault="006E296C" w:rsidP="00774F6D">
      <w:pPr>
        <w:spacing w:after="0" w:line="480" w:lineRule="auto"/>
        <w:ind w:firstLine="720"/>
        <w:jc w:val="both"/>
        <w:rPr>
          <w:rFonts w:ascii="Times New Roman" w:eastAsia="Calibri" w:hAnsi="Times New Roman" w:cs="Times New Roman"/>
          <w:sz w:val="24"/>
          <w:szCs w:val="24"/>
        </w:rPr>
      </w:pPr>
      <w:r w:rsidRPr="00F126C0">
        <w:rPr>
          <w:rFonts w:ascii="Times New Roman" w:eastAsia="Calibri" w:hAnsi="Times New Roman" w:cs="Times New Roman"/>
          <w:sz w:val="24"/>
          <w:szCs w:val="24"/>
        </w:rPr>
        <w:t>Following the order by the Labour Court</w:t>
      </w:r>
      <w:r w:rsidR="00E9248C" w:rsidRPr="00F126C0">
        <w:rPr>
          <w:rFonts w:ascii="Times New Roman" w:eastAsia="Calibri" w:hAnsi="Times New Roman" w:cs="Times New Roman"/>
          <w:sz w:val="24"/>
          <w:szCs w:val="24"/>
        </w:rPr>
        <w:t>,</w:t>
      </w:r>
      <w:r w:rsidRPr="00F126C0">
        <w:rPr>
          <w:rFonts w:ascii="Times New Roman" w:eastAsia="Calibri" w:hAnsi="Times New Roman" w:cs="Times New Roman"/>
          <w:sz w:val="24"/>
          <w:szCs w:val="24"/>
        </w:rPr>
        <w:t xml:space="preserve"> t</w:t>
      </w:r>
      <w:r w:rsidR="00896860" w:rsidRPr="00F126C0">
        <w:rPr>
          <w:rFonts w:ascii="Times New Roman" w:eastAsia="Calibri" w:hAnsi="Times New Roman" w:cs="Times New Roman"/>
          <w:sz w:val="24"/>
          <w:szCs w:val="24"/>
        </w:rPr>
        <w:t xml:space="preserve">he respondent wrote a letter to the applicant seeking </w:t>
      </w:r>
      <w:r w:rsidR="00AA45CD">
        <w:rPr>
          <w:rFonts w:ascii="Times New Roman" w:eastAsia="Calibri" w:hAnsi="Times New Roman" w:cs="Times New Roman"/>
          <w:sz w:val="24"/>
          <w:szCs w:val="24"/>
        </w:rPr>
        <w:t>her</w:t>
      </w:r>
      <w:r w:rsidR="00D57D23" w:rsidRPr="00F126C0">
        <w:rPr>
          <w:rFonts w:ascii="Times New Roman" w:eastAsia="Calibri" w:hAnsi="Times New Roman" w:cs="Times New Roman"/>
          <w:sz w:val="24"/>
          <w:szCs w:val="24"/>
        </w:rPr>
        <w:t xml:space="preserve"> </w:t>
      </w:r>
      <w:r w:rsidR="00896860" w:rsidRPr="00F126C0">
        <w:rPr>
          <w:rFonts w:ascii="Times New Roman" w:eastAsia="Calibri" w:hAnsi="Times New Roman" w:cs="Times New Roman"/>
          <w:sz w:val="24"/>
          <w:szCs w:val="24"/>
        </w:rPr>
        <w:t>reinstatement</w:t>
      </w:r>
      <w:r w:rsidR="00AA45CD">
        <w:rPr>
          <w:rFonts w:ascii="Times New Roman" w:eastAsia="Calibri" w:hAnsi="Times New Roman" w:cs="Times New Roman"/>
          <w:sz w:val="24"/>
          <w:szCs w:val="24"/>
        </w:rPr>
        <w:t>,</w:t>
      </w:r>
      <w:r w:rsidR="00896860" w:rsidRPr="00F126C0">
        <w:rPr>
          <w:rFonts w:ascii="Times New Roman" w:eastAsia="Calibri" w:hAnsi="Times New Roman" w:cs="Times New Roman"/>
          <w:sz w:val="24"/>
          <w:szCs w:val="24"/>
        </w:rPr>
        <w:t xml:space="preserve"> which </w:t>
      </w:r>
      <w:r w:rsidR="00AA45CD">
        <w:rPr>
          <w:rFonts w:ascii="Times New Roman" w:eastAsia="Calibri" w:hAnsi="Times New Roman" w:cs="Times New Roman"/>
          <w:sz w:val="24"/>
          <w:szCs w:val="24"/>
        </w:rPr>
        <w:t xml:space="preserve">request </w:t>
      </w:r>
      <w:r w:rsidR="00896860" w:rsidRPr="00F126C0">
        <w:rPr>
          <w:rFonts w:ascii="Times New Roman" w:eastAsia="Calibri" w:hAnsi="Times New Roman" w:cs="Times New Roman"/>
          <w:sz w:val="24"/>
          <w:szCs w:val="24"/>
        </w:rPr>
        <w:t xml:space="preserve">the applicant </w:t>
      </w:r>
      <w:r w:rsidR="001B0CFC">
        <w:rPr>
          <w:rFonts w:ascii="Times New Roman" w:eastAsia="Calibri" w:hAnsi="Times New Roman" w:cs="Times New Roman"/>
          <w:sz w:val="24"/>
          <w:szCs w:val="24"/>
        </w:rPr>
        <w:t>refused to grant</w:t>
      </w:r>
      <w:r w:rsidR="00896860" w:rsidRPr="00F126C0">
        <w:rPr>
          <w:rFonts w:ascii="Times New Roman" w:eastAsia="Calibri" w:hAnsi="Times New Roman" w:cs="Times New Roman"/>
          <w:sz w:val="24"/>
          <w:szCs w:val="24"/>
        </w:rPr>
        <w:t xml:space="preserve">. </w:t>
      </w:r>
      <w:r w:rsidR="00D57D23" w:rsidRPr="00F126C0">
        <w:rPr>
          <w:rFonts w:ascii="Times New Roman" w:eastAsia="Calibri" w:hAnsi="Times New Roman" w:cs="Times New Roman"/>
          <w:sz w:val="24"/>
          <w:szCs w:val="24"/>
        </w:rPr>
        <w:t>Amid</w:t>
      </w:r>
      <w:r w:rsidR="00896860" w:rsidRPr="00F126C0">
        <w:rPr>
          <w:rFonts w:ascii="Times New Roman" w:eastAsia="Calibri" w:hAnsi="Times New Roman" w:cs="Times New Roman"/>
          <w:sz w:val="24"/>
          <w:szCs w:val="24"/>
        </w:rPr>
        <w:t xml:space="preserve"> negotiations</w:t>
      </w:r>
      <w:r w:rsidR="001B0CFC">
        <w:rPr>
          <w:rFonts w:ascii="Times New Roman" w:eastAsia="Calibri" w:hAnsi="Times New Roman" w:cs="Times New Roman"/>
          <w:sz w:val="24"/>
          <w:szCs w:val="24"/>
        </w:rPr>
        <w:t xml:space="preserve"> between the parties</w:t>
      </w:r>
      <w:r w:rsidR="00896860" w:rsidRPr="00F126C0">
        <w:rPr>
          <w:rFonts w:ascii="Times New Roman" w:eastAsia="Calibri" w:hAnsi="Times New Roman" w:cs="Times New Roman"/>
          <w:sz w:val="24"/>
          <w:szCs w:val="24"/>
        </w:rPr>
        <w:t xml:space="preserve">, </w:t>
      </w:r>
      <w:r w:rsidR="00D57D23" w:rsidRPr="00F126C0">
        <w:rPr>
          <w:rFonts w:ascii="Times New Roman" w:eastAsia="Calibri" w:hAnsi="Times New Roman" w:cs="Times New Roman"/>
          <w:sz w:val="24"/>
          <w:szCs w:val="24"/>
        </w:rPr>
        <w:t xml:space="preserve">the </w:t>
      </w:r>
      <w:r w:rsidR="007F454E" w:rsidRPr="00F126C0">
        <w:rPr>
          <w:rFonts w:ascii="Times New Roman" w:eastAsia="Calibri" w:hAnsi="Times New Roman" w:cs="Times New Roman"/>
          <w:sz w:val="24"/>
          <w:szCs w:val="24"/>
        </w:rPr>
        <w:t xml:space="preserve">Presidential Powers (Temporary Measures) (Amendment of Reserve Bank of Zimbabwe Act and Issue of Real Time Gross Settlement Electronic Dollars (RTGS Dollars)) Regulations, </w:t>
      </w:r>
      <w:r w:rsidR="009A1C16" w:rsidRPr="00F126C0">
        <w:rPr>
          <w:rFonts w:ascii="Times New Roman" w:eastAsia="Calibri" w:hAnsi="Times New Roman" w:cs="Times New Roman"/>
          <w:sz w:val="24"/>
          <w:szCs w:val="24"/>
        </w:rPr>
        <w:t>S.I.</w:t>
      </w:r>
      <w:r w:rsidR="00896860" w:rsidRPr="00F126C0">
        <w:rPr>
          <w:rFonts w:ascii="Times New Roman" w:eastAsia="Calibri" w:hAnsi="Times New Roman" w:cs="Times New Roman"/>
          <w:sz w:val="24"/>
          <w:szCs w:val="24"/>
        </w:rPr>
        <w:t xml:space="preserve"> 33 of 2019</w:t>
      </w:r>
      <w:r w:rsidR="001B0CFC">
        <w:rPr>
          <w:rFonts w:ascii="Times New Roman" w:eastAsia="Calibri" w:hAnsi="Times New Roman" w:cs="Times New Roman"/>
          <w:sz w:val="24"/>
          <w:szCs w:val="24"/>
        </w:rPr>
        <w:t xml:space="preserve">, </w:t>
      </w:r>
      <w:r w:rsidR="00DB7442">
        <w:rPr>
          <w:rFonts w:ascii="Times New Roman" w:eastAsia="Calibri" w:hAnsi="Times New Roman" w:cs="Times New Roman"/>
          <w:sz w:val="24"/>
          <w:szCs w:val="24"/>
        </w:rPr>
        <w:t>were</w:t>
      </w:r>
      <w:r w:rsidR="00896860" w:rsidRPr="00F126C0">
        <w:rPr>
          <w:rFonts w:ascii="Times New Roman" w:eastAsia="Calibri" w:hAnsi="Times New Roman" w:cs="Times New Roman"/>
          <w:sz w:val="24"/>
          <w:szCs w:val="24"/>
        </w:rPr>
        <w:t xml:space="preserve"> promulgated</w:t>
      </w:r>
      <w:r w:rsidR="001B0CFC">
        <w:rPr>
          <w:rFonts w:ascii="Times New Roman" w:eastAsia="Calibri" w:hAnsi="Times New Roman" w:cs="Times New Roman"/>
          <w:sz w:val="24"/>
          <w:szCs w:val="24"/>
        </w:rPr>
        <w:t xml:space="preserve"> on 22 February 2019.</w:t>
      </w:r>
      <w:r w:rsidR="00896860" w:rsidRPr="00F126C0">
        <w:rPr>
          <w:rFonts w:ascii="Times New Roman" w:eastAsia="Calibri" w:hAnsi="Times New Roman" w:cs="Times New Roman"/>
          <w:sz w:val="24"/>
          <w:szCs w:val="24"/>
        </w:rPr>
        <w:t xml:space="preserve"> </w:t>
      </w:r>
      <w:r w:rsidR="001B0CFC">
        <w:rPr>
          <w:rFonts w:ascii="Times New Roman" w:eastAsia="Calibri" w:hAnsi="Times New Roman" w:cs="Times New Roman"/>
          <w:sz w:val="24"/>
          <w:szCs w:val="24"/>
        </w:rPr>
        <w:t>By dint of the Regulations,</w:t>
      </w:r>
      <w:r w:rsidR="00896860" w:rsidRPr="00F126C0">
        <w:rPr>
          <w:rFonts w:ascii="Times New Roman" w:eastAsia="Calibri" w:hAnsi="Times New Roman" w:cs="Times New Roman"/>
          <w:sz w:val="24"/>
          <w:szCs w:val="24"/>
        </w:rPr>
        <w:t xml:space="preserve"> all debts and liabilities incurred before </w:t>
      </w:r>
      <w:r w:rsidR="00D57D23" w:rsidRPr="00F126C0">
        <w:rPr>
          <w:rFonts w:ascii="Times New Roman" w:eastAsia="Calibri" w:hAnsi="Times New Roman" w:cs="Times New Roman"/>
          <w:sz w:val="24"/>
          <w:szCs w:val="24"/>
        </w:rPr>
        <w:t>the</w:t>
      </w:r>
      <w:r w:rsidR="00896860" w:rsidRPr="00F126C0">
        <w:rPr>
          <w:rFonts w:ascii="Times New Roman" w:eastAsia="Calibri" w:hAnsi="Times New Roman" w:cs="Times New Roman"/>
          <w:sz w:val="24"/>
          <w:szCs w:val="24"/>
        </w:rPr>
        <w:t xml:space="preserve"> effective date</w:t>
      </w:r>
      <w:r w:rsidR="001B0CFC">
        <w:rPr>
          <w:rFonts w:ascii="Times New Roman" w:eastAsia="Calibri" w:hAnsi="Times New Roman" w:cs="Times New Roman"/>
          <w:sz w:val="24"/>
          <w:szCs w:val="24"/>
        </w:rPr>
        <w:t xml:space="preserve">, </w:t>
      </w:r>
      <w:r w:rsidR="001B0CFC">
        <w:rPr>
          <w:rFonts w:ascii="Times New Roman" w:eastAsia="Calibri" w:hAnsi="Times New Roman" w:cs="Times New Roman"/>
          <w:i/>
          <w:iCs/>
          <w:sz w:val="24"/>
          <w:szCs w:val="24"/>
        </w:rPr>
        <w:t>i.e.</w:t>
      </w:r>
      <w:r w:rsidR="001B0CFC">
        <w:rPr>
          <w:rFonts w:ascii="Times New Roman" w:eastAsia="Calibri" w:hAnsi="Times New Roman" w:cs="Times New Roman"/>
          <w:sz w:val="24"/>
          <w:szCs w:val="24"/>
        </w:rPr>
        <w:t xml:space="preserve"> </w:t>
      </w:r>
      <w:r w:rsidR="00AC72E7">
        <w:rPr>
          <w:rFonts w:ascii="Times New Roman" w:eastAsia="Calibri" w:hAnsi="Times New Roman" w:cs="Times New Roman"/>
          <w:sz w:val="24"/>
          <w:szCs w:val="24"/>
        </w:rPr>
        <w:t>22 February 2019,</w:t>
      </w:r>
      <w:r w:rsidR="00896860" w:rsidRPr="00F126C0">
        <w:rPr>
          <w:rFonts w:ascii="Times New Roman" w:eastAsia="Calibri" w:hAnsi="Times New Roman" w:cs="Times New Roman"/>
          <w:sz w:val="24"/>
          <w:szCs w:val="24"/>
        </w:rPr>
        <w:t xml:space="preserve"> </w:t>
      </w:r>
      <w:r w:rsidR="00AC72E7">
        <w:rPr>
          <w:rFonts w:ascii="Times New Roman" w:eastAsia="Calibri" w:hAnsi="Times New Roman" w:cs="Times New Roman"/>
          <w:sz w:val="24"/>
          <w:szCs w:val="24"/>
        </w:rPr>
        <w:t xml:space="preserve">were </w:t>
      </w:r>
      <w:r w:rsidR="00896860" w:rsidRPr="00F126C0">
        <w:rPr>
          <w:rFonts w:ascii="Times New Roman" w:eastAsia="Calibri" w:hAnsi="Times New Roman" w:cs="Times New Roman"/>
          <w:sz w:val="24"/>
          <w:szCs w:val="24"/>
        </w:rPr>
        <w:t xml:space="preserve">dischargeable at the rate of one United States </w:t>
      </w:r>
      <w:r w:rsidR="00DB7442">
        <w:rPr>
          <w:rFonts w:ascii="Times New Roman" w:eastAsia="Calibri" w:hAnsi="Times New Roman" w:cs="Times New Roman"/>
          <w:sz w:val="24"/>
          <w:szCs w:val="24"/>
        </w:rPr>
        <w:t>dollar</w:t>
      </w:r>
      <w:r w:rsidR="00896860" w:rsidRPr="00F126C0">
        <w:rPr>
          <w:rFonts w:ascii="Times New Roman" w:eastAsia="Calibri" w:hAnsi="Times New Roman" w:cs="Times New Roman"/>
          <w:sz w:val="24"/>
          <w:szCs w:val="24"/>
        </w:rPr>
        <w:t xml:space="preserve"> to one</w:t>
      </w:r>
      <w:r w:rsidR="00DB7442">
        <w:rPr>
          <w:rFonts w:ascii="Times New Roman" w:eastAsia="Calibri" w:hAnsi="Times New Roman" w:cs="Times New Roman"/>
          <w:sz w:val="24"/>
          <w:szCs w:val="24"/>
        </w:rPr>
        <w:t xml:space="preserve"> RTGS</w:t>
      </w:r>
      <w:r w:rsidR="00896860" w:rsidRPr="00F126C0">
        <w:rPr>
          <w:rFonts w:ascii="Times New Roman" w:eastAsia="Calibri" w:hAnsi="Times New Roman" w:cs="Times New Roman"/>
          <w:sz w:val="24"/>
          <w:szCs w:val="24"/>
        </w:rPr>
        <w:t xml:space="preserve"> </w:t>
      </w:r>
      <w:r w:rsidR="00DB7442">
        <w:rPr>
          <w:rFonts w:ascii="Times New Roman" w:eastAsia="Calibri" w:hAnsi="Times New Roman" w:cs="Times New Roman"/>
          <w:sz w:val="24"/>
          <w:szCs w:val="24"/>
        </w:rPr>
        <w:t>(Zimbabwean)</w:t>
      </w:r>
      <w:r w:rsidR="00896860" w:rsidRPr="00F126C0">
        <w:rPr>
          <w:rFonts w:ascii="Times New Roman" w:eastAsia="Calibri" w:hAnsi="Times New Roman" w:cs="Times New Roman"/>
          <w:sz w:val="24"/>
          <w:szCs w:val="24"/>
        </w:rPr>
        <w:t xml:space="preserve"> </w:t>
      </w:r>
      <w:r w:rsidR="00DB7442">
        <w:rPr>
          <w:rFonts w:ascii="Times New Roman" w:eastAsia="Calibri" w:hAnsi="Times New Roman" w:cs="Times New Roman"/>
          <w:sz w:val="24"/>
          <w:szCs w:val="24"/>
        </w:rPr>
        <w:t>d</w:t>
      </w:r>
      <w:r w:rsidR="00896860" w:rsidRPr="00F126C0">
        <w:rPr>
          <w:rFonts w:ascii="Times New Roman" w:eastAsia="Calibri" w:hAnsi="Times New Roman" w:cs="Times New Roman"/>
          <w:sz w:val="24"/>
          <w:szCs w:val="24"/>
        </w:rPr>
        <w:t xml:space="preserve">ollar. As a result, </w:t>
      </w:r>
      <w:r w:rsidR="00D57D23" w:rsidRPr="00F126C0">
        <w:rPr>
          <w:rFonts w:ascii="Times New Roman" w:eastAsia="Calibri" w:hAnsi="Times New Roman" w:cs="Times New Roman"/>
          <w:sz w:val="24"/>
          <w:szCs w:val="24"/>
        </w:rPr>
        <w:t xml:space="preserve">the issue of </w:t>
      </w:r>
      <w:r w:rsidR="00AC72E7">
        <w:rPr>
          <w:rFonts w:ascii="Times New Roman" w:eastAsia="Calibri" w:hAnsi="Times New Roman" w:cs="Times New Roman"/>
          <w:sz w:val="24"/>
          <w:szCs w:val="24"/>
        </w:rPr>
        <w:t xml:space="preserve">the applicable </w:t>
      </w:r>
      <w:r w:rsidR="00D57D23" w:rsidRPr="00F126C0">
        <w:rPr>
          <w:rFonts w:ascii="Times New Roman" w:eastAsia="Calibri" w:hAnsi="Times New Roman" w:cs="Times New Roman"/>
          <w:sz w:val="24"/>
          <w:szCs w:val="24"/>
        </w:rPr>
        <w:t xml:space="preserve">currency to settle the debt became contentious and </w:t>
      </w:r>
      <w:r w:rsidR="00896860" w:rsidRPr="00F126C0">
        <w:rPr>
          <w:rFonts w:ascii="Times New Roman" w:eastAsia="Calibri" w:hAnsi="Times New Roman" w:cs="Times New Roman"/>
          <w:sz w:val="24"/>
          <w:szCs w:val="24"/>
        </w:rPr>
        <w:t>a further dispute arose</w:t>
      </w:r>
      <w:r w:rsidR="00D57D23" w:rsidRPr="00F126C0">
        <w:rPr>
          <w:rFonts w:ascii="Times New Roman" w:eastAsia="Calibri" w:hAnsi="Times New Roman" w:cs="Times New Roman"/>
          <w:sz w:val="24"/>
          <w:szCs w:val="24"/>
        </w:rPr>
        <w:t>.</w:t>
      </w:r>
    </w:p>
    <w:p w14:paraId="39F83D38" w14:textId="77777777" w:rsidR="00774F6D" w:rsidRPr="00F126C0" w:rsidRDefault="00774F6D" w:rsidP="00774F6D">
      <w:pPr>
        <w:spacing w:after="0" w:line="480" w:lineRule="auto"/>
        <w:ind w:firstLine="720"/>
        <w:jc w:val="both"/>
        <w:rPr>
          <w:rFonts w:ascii="Times New Roman" w:eastAsia="Calibri" w:hAnsi="Times New Roman" w:cs="Times New Roman"/>
          <w:sz w:val="24"/>
          <w:szCs w:val="24"/>
        </w:rPr>
      </w:pPr>
    </w:p>
    <w:p w14:paraId="1C99CA3D" w14:textId="2462CDFD" w:rsidR="00896860" w:rsidRDefault="00D57D23" w:rsidP="00774F6D">
      <w:pPr>
        <w:spacing w:after="0" w:line="480" w:lineRule="auto"/>
        <w:ind w:firstLine="720"/>
        <w:jc w:val="both"/>
        <w:rPr>
          <w:rFonts w:ascii="Times New Roman" w:eastAsia="Calibri" w:hAnsi="Times New Roman" w:cs="Times New Roman"/>
          <w:sz w:val="24"/>
          <w:szCs w:val="24"/>
        </w:rPr>
      </w:pPr>
      <w:r w:rsidRPr="00F126C0">
        <w:rPr>
          <w:rFonts w:ascii="Times New Roman" w:eastAsia="Calibri" w:hAnsi="Times New Roman" w:cs="Times New Roman"/>
          <w:sz w:val="24"/>
          <w:szCs w:val="24"/>
        </w:rPr>
        <w:t xml:space="preserve">Subsequently, </w:t>
      </w:r>
      <w:r w:rsidR="00896860" w:rsidRPr="00F126C0">
        <w:rPr>
          <w:rFonts w:ascii="Times New Roman" w:eastAsia="Calibri" w:hAnsi="Times New Roman" w:cs="Times New Roman"/>
          <w:sz w:val="24"/>
          <w:szCs w:val="24"/>
        </w:rPr>
        <w:t xml:space="preserve">the respondent </w:t>
      </w:r>
      <w:r w:rsidRPr="00F126C0">
        <w:rPr>
          <w:rFonts w:ascii="Times New Roman" w:eastAsia="Calibri" w:hAnsi="Times New Roman" w:cs="Times New Roman"/>
          <w:sz w:val="24"/>
          <w:szCs w:val="24"/>
        </w:rPr>
        <w:t xml:space="preserve">filed an application in </w:t>
      </w:r>
      <w:r w:rsidR="00896860" w:rsidRPr="00F126C0">
        <w:rPr>
          <w:rFonts w:ascii="Times New Roman" w:eastAsia="Calibri" w:hAnsi="Times New Roman" w:cs="Times New Roman"/>
          <w:sz w:val="24"/>
          <w:szCs w:val="24"/>
        </w:rPr>
        <w:t>the Labour Court for quantification</w:t>
      </w:r>
      <w:r w:rsidR="00AC72E7">
        <w:rPr>
          <w:rFonts w:ascii="Times New Roman" w:eastAsia="Calibri" w:hAnsi="Times New Roman" w:cs="Times New Roman"/>
          <w:sz w:val="24"/>
          <w:szCs w:val="24"/>
        </w:rPr>
        <w:t xml:space="preserve"> of damages,</w:t>
      </w:r>
      <w:r w:rsidR="00896860" w:rsidRPr="00F126C0">
        <w:rPr>
          <w:rFonts w:ascii="Times New Roman" w:eastAsia="Calibri" w:hAnsi="Times New Roman" w:cs="Times New Roman"/>
          <w:sz w:val="24"/>
          <w:szCs w:val="24"/>
        </w:rPr>
        <w:t xml:space="preserve"> under LC/H/601/22. The applicant’s position in </w:t>
      </w:r>
      <w:r w:rsidR="00AC72E7">
        <w:rPr>
          <w:rFonts w:ascii="Times New Roman" w:eastAsia="Calibri" w:hAnsi="Times New Roman" w:cs="Times New Roman"/>
          <w:sz w:val="24"/>
          <w:szCs w:val="24"/>
        </w:rPr>
        <w:t>its</w:t>
      </w:r>
      <w:r w:rsidR="00896860" w:rsidRPr="00F126C0">
        <w:rPr>
          <w:rFonts w:ascii="Times New Roman" w:eastAsia="Calibri" w:hAnsi="Times New Roman" w:cs="Times New Roman"/>
          <w:sz w:val="24"/>
          <w:szCs w:val="24"/>
        </w:rPr>
        <w:t xml:space="preserve"> notice of opposition was that </w:t>
      </w:r>
      <w:r w:rsidR="00AC72E7">
        <w:rPr>
          <w:rFonts w:ascii="Times New Roman" w:eastAsia="Calibri" w:hAnsi="Times New Roman" w:cs="Times New Roman"/>
          <w:sz w:val="24"/>
          <w:szCs w:val="24"/>
        </w:rPr>
        <w:t xml:space="preserve">the </w:t>
      </w:r>
      <w:r w:rsidR="00896860" w:rsidRPr="00F126C0">
        <w:rPr>
          <w:rFonts w:ascii="Times New Roman" w:eastAsia="Calibri" w:hAnsi="Times New Roman" w:cs="Times New Roman"/>
          <w:sz w:val="24"/>
          <w:szCs w:val="24"/>
        </w:rPr>
        <w:t xml:space="preserve">damages payable to the respondent were </w:t>
      </w:r>
      <w:r w:rsidRPr="00F126C0">
        <w:rPr>
          <w:rFonts w:ascii="Times New Roman" w:eastAsia="Calibri" w:hAnsi="Times New Roman" w:cs="Times New Roman"/>
          <w:sz w:val="24"/>
          <w:szCs w:val="24"/>
        </w:rPr>
        <w:t xml:space="preserve">to be </w:t>
      </w:r>
      <w:r w:rsidR="00896860" w:rsidRPr="00F126C0">
        <w:rPr>
          <w:rFonts w:ascii="Times New Roman" w:eastAsia="Calibri" w:hAnsi="Times New Roman" w:cs="Times New Roman"/>
          <w:sz w:val="24"/>
          <w:szCs w:val="24"/>
        </w:rPr>
        <w:t xml:space="preserve">calculated from the date of </w:t>
      </w:r>
      <w:r w:rsidRPr="00F126C0">
        <w:rPr>
          <w:rFonts w:ascii="Times New Roman" w:eastAsia="Calibri" w:hAnsi="Times New Roman" w:cs="Times New Roman"/>
          <w:sz w:val="24"/>
          <w:szCs w:val="24"/>
        </w:rPr>
        <w:t xml:space="preserve">the </w:t>
      </w:r>
      <w:r w:rsidR="005C4171" w:rsidRPr="00F126C0">
        <w:rPr>
          <w:rFonts w:ascii="Times New Roman" w:eastAsia="Calibri" w:hAnsi="Times New Roman" w:cs="Times New Roman"/>
          <w:sz w:val="24"/>
          <w:szCs w:val="24"/>
        </w:rPr>
        <w:t xml:space="preserve">wrongful </w:t>
      </w:r>
      <w:r w:rsidR="005C4171" w:rsidRPr="00F126C0">
        <w:rPr>
          <w:rFonts w:ascii="Times New Roman" w:eastAsia="Calibri" w:hAnsi="Times New Roman" w:cs="Times New Roman"/>
          <w:sz w:val="24"/>
          <w:szCs w:val="24"/>
        </w:rPr>
        <w:lastRenderedPageBreak/>
        <w:t>dismissal</w:t>
      </w:r>
      <w:r w:rsidR="00AC72E7">
        <w:rPr>
          <w:rFonts w:ascii="Times New Roman" w:eastAsia="Calibri" w:hAnsi="Times New Roman" w:cs="Times New Roman"/>
          <w:sz w:val="24"/>
          <w:szCs w:val="24"/>
        </w:rPr>
        <w:t>,</w:t>
      </w:r>
      <w:r w:rsidR="00896860" w:rsidRPr="00F126C0">
        <w:rPr>
          <w:rFonts w:ascii="Times New Roman" w:eastAsia="Calibri" w:hAnsi="Times New Roman" w:cs="Times New Roman"/>
          <w:sz w:val="24"/>
          <w:szCs w:val="24"/>
        </w:rPr>
        <w:t xml:space="preserve"> at the rate of one United States </w:t>
      </w:r>
      <w:r w:rsidR="00DB7442">
        <w:rPr>
          <w:rFonts w:ascii="Times New Roman" w:eastAsia="Calibri" w:hAnsi="Times New Roman" w:cs="Times New Roman"/>
          <w:sz w:val="24"/>
          <w:szCs w:val="24"/>
        </w:rPr>
        <w:t>d</w:t>
      </w:r>
      <w:r w:rsidR="00896860" w:rsidRPr="00F126C0">
        <w:rPr>
          <w:rFonts w:ascii="Times New Roman" w:eastAsia="Calibri" w:hAnsi="Times New Roman" w:cs="Times New Roman"/>
          <w:sz w:val="24"/>
          <w:szCs w:val="24"/>
        </w:rPr>
        <w:t xml:space="preserve">ollar to one </w:t>
      </w:r>
      <w:r w:rsidR="00DB7442">
        <w:rPr>
          <w:rFonts w:ascii="Times New Roman" w:eastAsia="Calibri" w:hAnsi="Times New Roman" w:cs="Times New Roman"/>
          <w:sz w:val="24"/>
          <w:szCs w:val="24"/>
        </w:rPr>
        <w:t>Zimbabwean d</w:t>
      </w:r>
      <w:r w:rsidR="00896860" w:rsidRPr="00F126C0">
        <w:rPr>
          <w:rFonts w:ascii="Times New Roman" w:eastAsia="Calibri" w:hAnsi="Times New Roman" w:cs="Times New Roman"/>
          <w:sz w:val="24"/>
          <w:szCs w:val="24"/>
        </w:rPr>
        <w:t>ollar. The Labour Court agreed with the applicant and ordered the payment of US</w:t>
      </w:r>
      <w:r w:rsidR="00DB7442">
        <w:rPr>
          <w:rFonts w:ascii="Times New Roman" w:eastAsia="Calibri" w:hAnsi="Times New Roman" w:cs="Times New Roman"/>
          <w:sz w:val="24"/>
          <w:szCs w:val="24"/>
        </w:rPr>
        <w:t>$</w:t>
      </w:r>
      <w:r w:rsidR="00896860" w:rsidRPr="00F126C0">
        <w:rPr>
          <w:rFonts w:ascii="Times New Roman" w:eastAsia="Calibri" w:hAnsi="Times New Roman" w:cs="Times New Roman"/>
          <w:sz w:val="24"/>
          <w:szCs w:val="24"/>
        </w:rPr>
        <w:t xml:space="preserve"> 153 300</w:t>
      </w:r>
      <w:r w:rsidR="00DB7442">
        <w:rPr>
          <w:rFonts w:ascii="Times New Roman" w:eastAsia="Calibri" w:hAnsi="Times New Roman" w:cs="Times New Roman"/>
          <w:sz w:val="24"/>
          <w:szCs w:val="24"/>
        </w:rPr>
        <w:t>,</w:t>
      </w:r>
      <w:r w:rsidR="00896860" w:rsidRPr="00F126C0">
        <w:rPr>
          <w:rFonts w:ascii="Times New Roman" w:eastAsia="Calibri" w:hAnsi="Times New Roman" w:cs="Times New Roman"/>
          <w:sz w:val="24"/>
          <w:szCs w:val="24"/>
        </w:rPr>
        <w:t xml:space="preserve"> at the rate of one United States </w:t>
      </w:r>
      <w:r w:rsidR="00DB7442">
        <w:rPr>
          <w:rFonts w:ascii="Times New Roman" w:eastAsia="Calibri" w:hAnsi="Times New Roman" w:cs="Times New Roman"/>
          <w:sz w:val="24"/>
          <w:szCs w:val="24"/>
        </w:rPr>
        <w:t>d</w:t>
      </w:r>
      <w:r w:rsidR="00896860" w:rsidRPr="00F126C0">
        <w:rPr>
          <w:rFonts w:ascii="Times New Roman" w:eastAsia="Calibri" w:hAnsi="Times New Roman" w:cs="Times New Roman"/>
          <w:sz w:val="24"/>
          <w:szCs w:val="24"/>
        </w:rPr>
        <w:t xml:space="preserve">ollar to one Zimbabwean </w:t>
      </w:r>
      <w:r w:rsidR="00DB7442">
        <w:rPr>
          <w:rFonts w:ascii="Times New Roman" w:eastAsia="Calibri" w:hAnsi="Times New Roman" w:cs="Times New Roman"/>
          <w:sz w:val="24"/>
          <w:szCs w:val="24"/>
        </w:rPr>
        <w:t>d</w:t>
      </w:r>
      <w:r w:rsidR="00896860" w:rsidRPr="00F126C0">
        <w:rPr>
          <w:rFonts w:ascii="Times New Roman" w:eastAsia="Calibri" w:hAnsi="Times New Roman" w:cs="Times New Roman"/>
          <w:sz w:val="24"/>
          <w:szCs w:val="24"/>
        </w:rPr>
        <w:t>ollar</w:t>
      </w:r>
      <w:r w:rsidR="00DB7442">
        <w:rPr>
          <w:rFonts w:ascii="Times New Roman" w:eastAsia="Calibri" w:hAnsi="Times New Roman" w:cs="Times New Roman"/>
          <w:sz w:val="24"/>
          <w:szCs w:val="24"/>
        </w:rPr>
        <w:t>,</w:t>
      </w:r>
      <w:r w:rsidR="00896860" w:rsidRPr="00F126C0">
        <w:rPr>
          <w:rFonts w:ascii="Times New Roman" w:eastAsia="Calibri" w:hAnsi="Times New Roman" w:cs="Times New Roman"/>
          <w:sz w:val="24"/>
          <w:szCs w:val="24"/>
        </w:rPr>
        <w:t xml:space="preserve"> in line with the position </w:t>
      </w:r>
      <w:r w:rsidR="00DB7442">
        <w:rPr>
          <w:rFonts w:ascii="Times New Roman" w:eastAsia="Calibri" w:hAnsi="Times New Roman" w:cs="Times New Roman"/>
          <w:sz w:val="24"/>
          <w:szCs w:val="24"/>
        </w:rPr>
        <w:t xml:space="preserve">set out </w:t>
      </w:r>
      <w:r w:rsidR="00896860" w:rsidRPr="00F126C0">
        <w:rPr>
          <w:rFonts w:ascii="Times New Roman" w:eastAsia="Calibri" w:hAnsi="Times New Roman" w:cs="Times New Roman"/>
          <w:sz w:val="24"/>
          <w:szCs w:val="24"/>
        </w:rPr>
        <w:t>in s</w:t>
      </w:r>
      <w:r w:rsidR="009A1C16" w:rsidRPr="00F126C0">
        <w:rPr>
          <w:rFonts w:ascii="Times New Roman" w:eastAsia="Calibri" w:hAnsi="Times New Roman" w:cs="Times New Roman"/>
          <w:sz w:val="24"/>
          <w:szCs w:val="24"/>
        </w:rPr>
        <w:t xml:space="preserve"> 4(1)(d) of S.I.</w:t>
      </w:r>
      <w:r w:rsidR="00896860" w:rsidRPr="00F126C0">
        <w:rPr>
          <w:rFonts w:ascii="Times New Roman" w:eastAsia="Calibri" w:hAnsi="Times New Roman" w:cs="Times New Roman"/>
          <w:sz w:val="24"/>
          <w:szCs w:val="24"/>
        </w:rPr>
        <w:t xml:space="preserve"> 33 of 2019.</w:t>
      </w:r>
    </w:p>
    <w:p w14:paraId="2E97D4F3" w14:textId="77777777" w:rsidR="00774F6D" w:rsidRPr="00F126C0" w:rsidRDefault="00774F6D" w:rsidP="00774F6D">
      <w:pPr>
        <w:spacing w:after="0" w:line="480" w:lineRule="auto"/>
        <w:ind w:firstLine="720"/>
        <w:jc w:val="both"/>
        <w:rPr>
          <w:rFonts w:ascii="Times New Roman" w:eastAsia="Calibri" w:hAnsi="Times New Roman" w:cs="Times New Roman"/>
          <w:sz w:val="24"/>
          <w:szCs w:val="24"/>
        </w:rPr>
      </w:pPr>
    </w:p>
    <w:p w14:paraId="7219D2E7" w14:textId="3560765F" w:rsidR="00D173E1" w:rsidRDefault="00896860" w:rsidP="00774F6D">
      <w:pPr>
        <w:spacing w:after="0" w:line="480" w:lineRule="auto"/>
        <w:ind w:firstLine="720"/>
        <w:jc w:val="both"/>
        <w:rPr>
          <w:rFonts w:ascii="Times New Roman" w:eastAsia="Calibri" w:hAnsi="Times New Roman" w:cs="Times New Roman"/>
          <w:sz w:val="24"/>
          <w:szCs w:val="24"/>
        </w:rPr>
      </w:pPr>
      <w:r w:rsidRPr="00F126C0">
        <w:rPr>
          <w:rFonts w:ascii="Times New Roman" w:eastAsia="Calibri" w:hAnsi="Times New Roman" w:cs="Times New Roman"/>
          <w:sz w:val="24"/>
          <w:szCs w:val="24"/>
        </w:rPr>
        <w:t>Aggrieved</w:t>
      </w:r>
      <w:r w:rsidR="00DB7442">
        <w:rPr>
          <w:rFonts w:ascii="Times New Roman" w:eastAsia="Calibri" w:hAnsi="Times New Roman" w:cs="Times New Roman"/>
          <w:sz w:val="24"/>
          <w:szCs w:val="24"/>
        </w:rPr>
        <w:t xml:space="preserve"> by the decision of the Labour Court</w:t>
      </w:r>
      <w:r w:rsidRPr="00F126C0">
        <w:rPr>
          <w:rFonts w:ascii="Times New Roman" w:eastAsia="Calibri" w:hAnsi="Times New Roman" w:cs="Times New Roman"/>
          <w:sz w:val="24"/>
          <w:szCs w:val="24"/>
        </w:rPr>
        <w:t>, the respondent appealed to the Supreme Court</w:t>
      </w:r>
      <w:r w:rsidR="00DB7442">
        <w:rPr>
          <w:rFonts w:ascii="Times New Roman" w:eastAsia="Calibri" w:hAnsi="Times New Roman" w:cs="Times New Roman"/>
          <w:sz w:val="24"/>
          <w:szCs w:val="24"/>
        </w:rPr>
        <w:t xml:space="preserve"> in</w:t>
      </w:r>
      <w:r w:rsidRPr="00F126C0">
        <w:rPr>
          <w:rFonts w:ascii="Times New Roman" w:eastAsia="Calibri" w:hAnsi="Times New Roman" w:cs="Times New Roman"/>
          <w:sz w:val="24"/>
          <w:szCs w:val="24"/>
        </w:rPr>
        <w:t xml:space="preserve"> SC 216/23</w:t>
      </w:r>
      <w:r w:rsidR="00DB7442">
        <w:rPr>
          <w:rFonts w:ascii="Times New Roman" w:eastAsia="Calibri" w:hAnsi="Times New Roman" w:cs="Times New Roman"/>
          <w:sz w:val="24"/>
          <w:szCs w:val="24"/>
        </w:rPr>
        <w:t>.</w:t>
      </w:r>
      <w:r w:rsidRPr="00F126C0">
        <w:rPr>
          <w:rFonts w:ascii="Times New Roman" w:eastAsia="Calibri" w:hAnsi="Times New Roman" w:cs="Times New Roman"/>
          <w:sz w:val="24"/>
          <w:szCs w:val="24"/>
        </w:rPr>
        <w:t xml:space="preserve"> </w:t>
      </w:r>
      <w:r w:rsidR="00DB7442">
        <w:rPr>
          <w:rFonts w:ascii="Times New Roman" w:eastAsia="Calibri" w:hAnsi="Times New Roman" w:cs="Times New Roman"/>
          <w:sz w:val="24"/>
          <w:szCs w:val="24"/>
        </w:rPr>
        <w:t>The judgment and order of the court,</w:t>
      </w:r>
      <w:r w:rsidR="00DB7442" w:rsidRPr="00DB7442">
        <w:rPr>
          <w:rFonts w:ascii="Times New Roman" w:hAnsi="Times New Roman" w:cs="Times New Roman"/>
          <w:sz w:val="24"/>
          <w:szCs w:val="24"/>
        </w:rPr>
        <w:t xml:space="preserve"> </w:t>
      </w:r>
      <w:r w:rsidR="00DB7442">
        <w:rPr>
          <w:rFonts w:ascii="Times New Roman" w:hAnsi="Times New Roman" w:cs="Times New Roman"/>
          <w:sz w:val="24"/>
          <w:szCs w:val="24"/>
        </w:rPr>
        <w:t>under SC 11-24,</w:t>
      </w:r>
      <w:r w:rsidR="00DB7442" w:rsidRPr="00F126C0">
        <w:rPr>
          <w:rFonts w:ascii="Times New Roman" w:hAnsi="Times New Roman" w:cs="Times New Roman"/>
          <w:sz w:val="24"/>
          <w:szCs w:val="24"/>
        </w:rPr>
        <w:t xml:space="preserve"> </w:t>
      </w:r>
      <w:r w:rsidR="00DB7442">
        <w:rPr>
          <w:rFonts w:ascii="Times New Roman" w:hAnsi="Times New Roman" w:cs="Times New Roman"/>
          <w:sz w:val="24"/>
          <w:szCs w:val="24"/>
        </w:rPr>
        <w:t xml:space="preserve">are </w:t>
      </w:r>
      <w:r w:rsidRPr="00F126C0">
        <w:rPr>
          <w:rFonts w:ascii="Times New Roman" w:eastAsia="Calibri" w:hAnsi="Times New Roman" w:cs="Times New Roman"/>
          <w:sz w:val="24"/>
          <w:szCs w:val="24"/>
        </w:rPr>
        <w:t xml:space="preserve">the subject of </w:t>
      </w:r>
      <w:r w:rsidR="002717DA">
        <w:rPr>
          <w:rFonts w:ascii="Times New Roman" w:eastAsia="Calibri" w:hAnsi="Times New Roman" w:cs="Times New Roman"/>
          <w:sz w:val="24"/>
          <w:szCs w:val="24"/>
        </w:rPr>
        <w:t>the present</w:t>
      </w:r>
      <w:r w:rsidR="00DB7442">
        <w:rPr>
          <w:rFonts w:ascii="Times New Roman" w:eastAsia="Calibri" w:hAnsi="Times New Roman" w:cs="Times New Roman"/>
          <w:sz w:val="24"/>
          <w:szCs w:val="24"/>
        </w:rPr>
        <w:t xml:space="preserve"> application</w:t>
      </w:r>
      <w:r w:rsidRPr="00F126C0">
        <w:rPr>
          <w:rFonts w:ascii="Times New Roman" w:eastAsia="Calibri" w:hAnsi="Times New Roman" w:cs="Times New Roman"/>
          <w:sz w:val="24"/>
          <w:szCs w:val="24"/>
        </w:rPr>
        <w:t>. The applicant’s argument remain</w:t>
      </w:r>
      <w:r w:rsidR="002717DA">
        <w:rPr>
          <w:rFonts w:ascii="Times New Roman" w:eastAsia="Calibri" w:hAnsi="Times New Roman" w:cs="Times New Roman"/>
          <w:sz w:val="24"/>
          <w:szCs w:val="24"/>
        </w:rPr>
        <w:t>ed</w:t>
      </w:r>
      <w:r w:rsidRPr="00F126C0">
        <w:rPr>
          <w:rFonts w:ascii="Times New Roman" w:eastAsia="Calibri" w:hAnsi="Times New Roman" w:cs="Times New Roman"/>
          <w:sz w:val="24"/>
          <w:szCs w:val="24"/>
        </w:rPr>
        <w:t xml:space="preserve"> that the respondent </w:t>
      </w:r>
      <w:r w:rsidR="002717DA">
        <w:rPr>
          <w:rFonts w:ascii="Times New Roman" w:eastAsia="Calibri" w:hAnsi="Times New Roman" w:cs="Times New Roman"/>
          <w:sz w:val="24"/>
          <w:szCs w:val="24"/>
        </w:rPr>
        <w:t>was</w:t>
      </w:r>
      <w:r w:rsidRPr="00F126C0">
        <w:rPr>
          <w:rFonts w:ascii="Times New Roman" w:eastAsia="Calibri" w:hAnsi="Times New Roman" w:cs="Times New Roman"/>
          <w:sz w:val="24"/>
          <w:szCs w:val="24"/>
        </w:rPr>
        <w:t xml:space="preserve"> entitled to damages </w:t>
      </w:r>
      <w:r w:rsidRPr="00DB7442">
        <w:rPr>
          <w:rFonts w:ascii="Times New Roman" w:eastAsia="Calibri" w:hAnsi="Times New Roman" w:cs="Times New Roman"/>
          <w:i/>
          <w:iCs/>
          <w:sz w:val="24"/>
          <w:szCs w:val="24"/>
        </w:rPr>
        <w:t xml:space="preserve">in </w:t>
      </w:r>
      <w:r w:rsidRPr="00F126C0">
        <w:rPr>
          <w:rFonts w:ascii="Times New Roman" w:eastAsia="Calibri" w:hAnsi="Times New Roman" w:cs="Times New Roman"/>
          <w:i/>
          <w:sz w:val="24"/>
          <w:szCs w:val="24"/>
        </w:rPr>
        <w:t>lieu</w:t>
      </w:r>
      <w:r w:rsidRPr="00F126C0">
        <w:rPr>
          <w:rFonts w:ascii="Times New Roman" w:eastAsia="Calibri" w:hAnsi="Times New Roman" w:cs="Times New Roman"/>
          <w:sz w:val="24"/>
          <w:szCs w:val="24"/>
        </w:rPr>
        <w:t xml:space="preserve"> of reinstatement at the rate of one United States </w:t>
      </w:r>
      <w:r w:rsidR="002717DA">
        <w:rPr>
          <w:rFonts w:ascii="Times New Roman" w:eastAsia="Calibri" w:hAnsi="Times New Roman" w:cs="Times New Roman"/>
          <w:sz w:val="24"/>
          <w:szCs w:val="24"/>
        </w:rPr>
        <w:t>d</w:t>
      </w:r>
      <w:r w:rsidRPr="00F126C0">
        <w:rPr>
          <w:rFonts w:ascii="Times New Roman" w:eastAsia="Calibri" w:hAnsi="Times New Roman" w:cs="Times New Roman"/>
          <w:sz w:val="24"/>
          <w:szCs w:val="24"/>
        </w:rPr>
        <w:t>ollar to one</w:t>
      </w:r>
      <w:r w:rsidR="002717DA">
        <w:rPr>
          <w:rFonts w:ascii="Times New Roman" w:eastAsia="Calibri" w:hAnsi="Times New Roman" w:cs="Times New Roman"/>
          <w:sz w:val="24"/>
          <w:szCs w:val="24"/>
        </w:rPr>
        <w:t xml:space="preserve"> Z</w:t>
      </w:r>
      <w:r w:rsidRPr="00F126C0">
        <w:rPr>
          <w:rFonts w:ascii="Times New Roman" w:eastAsia="Calibri" w:hAnsi="Times New Roman" w:cs="Times New Roman"/>
          <w:sz w:val="24"/>
          <w:szCs w:val="24"/>
        </w:rPr>
        <w:t xml:space="preserve">imbabwean </w:t>
      </w:r>
      <w:r w:rsidR="002717DA">
        <w:rPr>
          <w:rFonts w:ascii="Times New Roman" w:eastAsia="Calibri" w:hAnsi="Times New Roman" w:cs="Times New Roman"/>
          <w:sz w:val="24"/>
          <w:szCs w:val="24"/>
        </w:rPr>
        <w:t>d</w:t>
      </w:r>
      <w:r w:rsidRPr="00F126C0">
        <w:rPr>
          <w:rFonts w:ascii="Times New Roman" w:eastAsia="Calibri" w:hAnsi="Times New Roman" w:cs="Times New Roman"/>
          <w:sz w:val="24"/>
          <w:szCs w:val="24"/>
        </w:rPr>
        <w:t xml:space="preserve">ollar, while the respondent </w:t>
      </w:r>
      <w:r w:rsidR="002717DA">
        <w:rPr>
          <w:rFonts w:ascii="Times New Roman" w:eastAsia="Calibri" w:hAnsi="Times New Roman" w:cs="Times New Roman"/>
          <w:sz w:val="24"/>
          <w:szCs w:val="24"/>
        </w:rPr>
        <w:t>took the</w:t>
      </w:r>
      <w:r w:rsidRPr="00F126C0">
        <w:rPr>
          <w:rFonts w:ascii="Times New Roman" w:eastAsia="Calibri" w:hAnsi="Times New Roman" w:cs="Times New Roman"/>
          <w:sz w:val="24"/>
          <w:szCs w:val="24"/>
        </w:rPr>
        <w:t xml:space="preserve"> view that she </w:t>
      </w:r>
      <w:r w:rsidR="002717DA">
        <w:rPr>
          <w:rFonts w:ascii="Times New Roman" w:eastAsia="Calibri" w:hAnsi="Times New Roman" w:cs="Times New Roman"/>
          <w:sz w:val="24"/>
          <w:szCs w:val="24"/>
        </w:rPr>
        <w:t>was</w:t>
      </w:r>
      <w:r w:rsidRPr="00F126C0">
        <w:rPr>
          <w:rFonts w:ascii="Times New Roman" w:eastAsia="Calibri" w:hAnsi="Times New Roman" w:cs="Times New Roman"/>
          <w:sz w:val="24"/>
          <w:szCs w:val="24"/>
        </w:rPr>
        <w:t xml:space="preserve"> entitled to damages in United States </w:t>
      </w:r>
      <w:r w:rsidR="002717DA">
        <w:rPr>
          <w:rFonts w:ascii="Times New Roman" w:eastAsia="Calibri" w:hAnsi="Times New Roman" w:cs="Times New Roman"/>
          <w:sz w:val="24"/>
          <w:szCs w:val="24"/>
        </w:rPr>
        <w:t>d</w:t>
      </w:r>
      <w:r w:rsidRPr="00F126C0">
        <w:rPr>
          <w:rFonts w:ascii="Times New Roman" w:eastAsia="Calibri" w:hAnsi="Times New Roman" w:cs="Times New Roman"/>
          <w:sz w:val="24"/>
          <w:szCs w:val="24"/>
        </w:rPr>
        <w:t>ollars</w:t>
      </w:r>
      <w:r w:rsidR="002717DA">
        <w:rPr>
          <w:rFonts w:ascii="Times New Roman" w:eastAsia="Calibri" w:hAnsi="Times New Roman" w:cs="Times New Roman"/>
          <w:sz w:val="24"/>
          <w:szCs w:val="24"/>
        </w:rPr>
        <w:t>,</w:t>
      </w:r>
      <w:r w:rsidRPr="00F126C0">
        <w:rPr>
          <w:rFonts w:ascii="Times New Roman" w:eastAsia="Calibri" w:hAnsi="Times New Roman" w:cs="Times New Roman"/>
          <w:sz w:val="24"/>
          <w:szCs w:val="24"/>
        </w:rPr>
        <w:t xml:space="preserve"> payable in Zimbabwean </w:t>
      </w:r>
      <w:r w:rsidR="002717DA">
        <w:rPr>
          <w:rFonts w:ascii="Times New Roman" w:eastAsia="Calibri" w:hAnsi="Times New Roman" w:cs="Times New Roman"/>
          <w:sz w:val="24"/>
          <w:szCs w:val="24"/>
        </w:rPr>
        <w:t>do</w:t>
      </w:r>
      <w:r w:rsidRPr="00F126C0">
        <w:rPr>
          <w:rFonts w:ascii="Times New Roman" w:eastAsia="Calibri" w:hAnsi="Times New Roman" w:cs="Times New Roman"/>
          <w:sz w:val="24"/>
          <w:szCs w:val="24"/>
        </w:rPr>
        <w:t xml:space="preserve">llars at the United States </w:t>
      </w:r>
      <w:r w:rsidR="002717DA">
        <w:rPr>
          <w:rFonts w:ascii="Times New Roman" w:eastAsia="Calibri" w:hAnsi="Times New Roman" w:cs="Times New Roman"/>
          <w:sz w:val="24"/>
          <w:szCs w:val="24"/>
        </w:rPr>
        <w:t>d</w:t>
      </w:r>
      <w:r w:rsidRPr="00F126C0">
        <w:rPr>
          <w:rFonts w:ascii="Times New Roman" w:eastAsia="Calibri" w:hAnsi="Times New Roman" w:cs="Times New Roman"/>
          <w:sz w:val="24"/>
          <w:szCs w:val="24"/>
        </w:rPr>
        <w:t>ollar interbank rate applicable on the date of payment.</w:t>
      </w:r>
    </w:p>
    <w:p w14:paraId="0E964369" w14:textId="77777777" w:rsidR="00774F6D" w:rsidRPr="00F126C0" w:rsidRDefault="00774F6D" w:rsidP="00774F6D">
      <w:pPr>
        <w:spacing w:after="0" w:line="480" w:lineRule="auto"/>
        <w:ind w:firstLine="720"/>
        <w:jc w:val="both"/>
        <w:rPr>
          <w:rFonts w:ascii="Times New Roman" w:eastAsia="Calibri" w:hAnsi="Times New Roman" w:cs="Times New Roman"/>
          <w:sz w:val="24"/>
          <w:szCs w:val="24"/>
        </w:rPr>
      </w:pPr>
    </w:p>
    <w:p w14:paraId="20073D32" w14:textId="5CB1B62C" w:rsidR="00BB04EE" w:rsidRDefault="00896860" w:rsidP="00774F6D">
      <w:pPr>
        <w:spacing w:after="0" w:line="480" w:lineRule="auto"/>
        <w:ind w:firstLine="720"/>
        <w:jc w:val="both"/>
        <w:rPr>
          <w:rFonts w:ascii="Times New Roman" w:eastAsia="Calibri" w:hAnsi="Times New Roman" w:cs="Times New Roman"/>
          <w:sz w:val="24"/>
          <w:szCs w:val="24"/>
        </w:rPr>
      </w:pPr>
      <w:r w:rsidRPr="00F126C0">
        <w:rPr>
          <w:rFonts w:ascii="Times New Roman" w:eastAsia="Calibri" w:hAnsi="Times New Roman" w:cs="Times New Roman"/>
          <w:sz w:val="24"/>
          <w:szCs w:val="24"/>
        </w:rPr>
        <w:t xml:space="preserve">The Supreme Court found </w:t>
      </w:r>
      <w:r w:rsidR="002717DA">
        <w:rPr>
          <w:rFonts w:ascii="Times New Roman" w:eastAsia="Calibri" w:hAnsi="Times New Roman" w:cs="Times New Roman"/>
          <w:sz w:val="24"/>
          <w:szCs w:val="24"/>
        </w:rPr>
        <w:t xml:space="preserve">for the respondent. It held </w:t>
      </w:r>
      <w:r w:rsidRPr="00F126C0">
        <w:rPr>
          <w:rFonts w:ascii="Times New Roman" w:eastAsia="Calibri" w:hAnsi="Times New Roman" w:cs="Times New Roman"/>
          <w:sz w:val="24"/>
          <w:szCs w:val="24"/>
        </w:rPr>
        <w:t>that the applicant was liable to pay damages for a period of three years and that the damages were to be expressed in United States Dollars and payable in Zimbabwean Dollars</w:t>
      </w:r>
      <w:r w:rsidR="002717DA">
        <w:rPr>
          <w:rFonts w:ascii="Times New Roman" w:eastAsia="Calibri" w:hAnsi="Times New Roman" w:cs="Times New Roman"/>
          <w:sz w:val="24"/>
          <w:szCs w:val="24"/>
        </w:rPr>
        <w:t>,</w:t>
      </w:r>
      <w:r w:rsidRPr="00F126C0">
        <w:rPr>
          <w:rFonts w:ascii="Times New Roman" w:eastAsia="Calibri" w:hAnsi="Times New Roman" w:cs="Times New Roman"/>
          <w:sz w:val="24"/>
          <w:szCs w:val="24"/>
        </w:rPr>
        <w:t xml:space="preserve"> using the interbank rate applicable on the date of payment. In reaching that </w:t>
      </w:r>
      <w:r w:rsidR="00BB04EE" w:rsidRPr="00F126C0">
        <w:rPr>
          <w:rFonts w:ascii="Times New Roman" w:eastAsia="Calibri" w:hAnsi="Times New Roman" w:cs="Times New Roman"/>
          <w:sz w:val="24"/>
          <w:szCs w:val="24"/>
        </w:rPr>
        <w:t>decision,</w:t>
      </w:r>
      <w:r w:rsidRPr="00F126C0">
        <w:rPr>
          <w:rFonts w:ascii="Times New Roman" w:eastAsia="Calibri" w:hAnsi="Times New Roman" w:cs="Times New Roman"/>
          <w:sz w:val="24"/>
          <w:szCs w:val="24"/>
        </w:rPr>
        <w:t xml:space="preserve"> </w:t>
      </w:r>
      <w:r w:rsidR="00E52BAE" w:rsidRPr="00F126C0">
        <w:rPr>
          <w:rFonts w:ascii="Times New Roman" w:eastAsia="Calibri" w:hAnsi="Times New Roman" w:cs="Times New Roman"/>
          <w:sz w:val="24"/>
          <w:szCs w:val="24"/>
        </w:rPr>
        <w:t xml:space="preserve">the court </w:t>
      </w:r>
      <w:r w:rsidRPr="00F126C0">
        <w:rPr>
          <w:rFonts w:ascii="Times New Roman" w:eastAsia="Calibri" w:hAnsi="Times New Roman" w:cs="Times New Roman"/>
          <w:sz w:val="24"/>
          <w:szCs w:val="24"/>
        </w:rPr>
        <w:t xml:space="preserve">reasoned that the origin of the liability </w:t>
      </w:r>
      <w:r w:rsidR="002717DA">
        <w:rPr>
          <w:rFonts w:ascii="Times New Roman" w:eastAsia="Calibri" w:hAnsi="Times New Roman" w:cs="Times New Roman"/>
          <w:sz w:val="24"/>
          <w:szCs w:val="24"/>
        </w:rPr>
        <w:t xml:space="preserve">in question </w:t>
      </w:r>
      <w:r w:rsidR="005A2E57">
        <w:rPr>
          <w:rFonts w:ascii="Times New Roman" w:eastAsia="Calibri" w:hAnsi="Times New Roman" w:cs="Times New Roman"/>
          <w:sz w:val="24"/>
          <w:szCs w:val="24"/>
        </w:rPr>
        <w:t>was</w:t>
      </w:r>
      <w:r w:rsidRPr="00F126C0">
        <w:rPr>
          <w:rFonts w:ascii="Times New Roman" w:eastAsia="Calibri" w:hAnsi="Times New Roman" w:cs="Times New Roman"/>
          <w:sz w:val="24"/>
          <w:szCs w:val="24"/>
        </w:rPr>
        <w:t xml:space="preserve"> not the </w:t>
      </w:r>
      <w:r w:rsidR="002717DA">
        <w:rPr>
          <w:rFonts w:ascii="Times New Roman" w:eastAsia="Calibri" w:hAnsi="Times New Roman" w:cs="Times New Roman"/>
          <w:sz w:val="24"/>
          <w:szCs w:val="24"/>
        </w:rPr>
        <w:t xml:space="preserve">correct </w:t>
      </w:r>
      <w:r w:rsidRPr="00F126C0">
        <w:rPr>
          <w:rFonts w:ascii="Times New Roman" w:eastAsia="Calibri" w:hAnsi="Times New Roman" w:cs="Times New Roman"/>
          <w:sz w:val="24"/>
          <w:szCs w:val="24"/>
        </w:rPr>
        <w:t xml:space="preserve">criterion </w:t>
      </w:r>
      <w:r w:rsidR="002717DA">
        <w:rPr>
          <w:rFonts w:ascii="Times New Roman" w:eastAsia="Calibri" w:hAnsi="Times New Roman" w:cs="Times New Roman"/>
          <w:sz w:val="24"/>
          <w:szCs w:val="24"/>
        </w:rPr>
        <w:t xml:space="preserve">to be applied in the </w:t>
      </w:r>
      <w:r w:rsidR="005A2E57">
        <w:rPr>
          <w:rFonts w:ascii="Times New Roman" w:eastAsia="Calibri" w:hAnsi="Times New Roman" w:cs="Times New Roman"/>
          <w:sz w:val="24"/>
          <w:szCs w:val="24"/>
        </w:rPr>
        <w:t xml:space="preserve">application of </w:t>
      </w:r>
      <w:r w:rsidR="005A2E57" w:rsidRPr="00F126C0">
        <w:rPr>
          <w:rFonts w:ascii="Times New Roman" w:eastAsia="Calibri" w:hAnsi="Times New Roman" w:cs="Times New Roman"/>
          <w:sz w:val="24"/>
          <w:szCs w:val="24"/>
        </w:rPr>
        <w:t>S.I. 33 of 2019</w:t>
      </w:r>
      <w:r w:rsidR="005A2E57">
        <w:rPr>
          <w:rFonts w:ascii="Times New Roman" w:eastAsia="Calibri" w:hAnsi="Times New Roman" w:cs="Times New Roman"/>
          <w:sz w:val="24"/>
          <w:szCs w:val="24"/>
        </w:rPr>
        <w:t>.</w:t>
      </w:r>
      <w:r w:rsidR="002717DA">
        <w:rPr>
          <w:rFonts w:ascii="Times New Roman" w:eastAsia="Calibri" w:hAnsi="Times New Roman" w:cs="Times New Roman"/>
          <w:sz w:val="24"/>
          <w:szCs w:val="24"/>
        </w:rPr>
        <w:t xml:space="preserve"> Instead,</w:t>
      </w:r>
      <w:r w:rsidRPr="00F126C0">
        <w:rPr>
          <w:rFonts w:ascii="Times New Roman" w:eastAsia="Calibri" w:hAnsi="Times New Roman" w:cs="Times New Roman"/>
          <w:sz w:val="24"/>
          <w:szCs w:val="24"/>
        </w:rPr>
        <w:t xml:space="preserve"> what brings the asset or liability within the provision</w:t>
      </w:r>
      <w:r w:rsidR="005A2E57">
        <w:rPr>
          <w:rFonts w:ascii="Times New Roman" w:eastAsia="Calibri" w:hAnsi="Times New Roman" w:cs="Times New Roman"/>
          <w:sz w:val="24"/>
          <w:szCs w:val="24"/>
        </w:rPr>
        <w:t>s</w:t>
      </w:r>
      <w:r w:rsidRPr="00F126C0">
        <w:rPr>
          <w:rFonts w:ascii="Times New Roman" w:eastAsia="Calibri" w:hAnsi="Times New Roman" w:cs="Times New Roman"/>
          <w:sz w:val="24"/>
          <w:szCs w:val="24"/>
        </w:rPr>
        <w:t xml:space="preserve"> of s </w:t>
      </w:r>
      <w:r w:rsidR="00D173E1" w:rsidRPr="00F126C0">
        <w:rPr>
          <w:rFonts w:ascii="Times New Roman" w:eastAsia="Calibri" w:hAnsi="Times New Roman" w:cs="Times New Roman"/>
          <w:sz w:val="24"/>
          <w:szCs w:val="24"/>
        </w:rPr>
        <w:t xml:space="preserve">4 (1) (d) of </w:t>
      </w:r>
      <w:r w:rsidR="005A2E57">
        <w:rPr>
          <w:rFonts w:ascii="Times New Roman" w:eastAsia="Calibri" w:hAnsi="Times New Roman" w:cs="Times New Roman"/>
          <w:sz w:val="24"/>
          <w:szCs w:val="24"/>
        </w:rPr>
        <w:t>the Regulations</w:t>
      </w:r>
      <w:r w:rsidRPr="00F126C0">
        <w:rPr>
          <w:rFonts w:ascii="Times New Roman" w:eastAsia="Calibri" w:hAnsi="Times New Roman" w:cs="Times New Roman"/>
          <w:sz w:val="24"/>
          <w:szCs w:val="24"/>
        </w:rPr>
        <w:t xml:space="preserve"> is the fact that its value was expressed in United States </w:t>
      </w:r>
      <w:r w:rsidR="005A2E57">
        <w:rPr>
          <w:rFonts w:ascii="Times New Roman" w:eastAsia="Calibri" w:hAnsi="Times New Roman" w:cs="Times New Roman"/>
          <w:sz w:val="24"/>
          <w:szCs w:val="24"/>
        </w:rPr>
        <w:t>d</w:t>
      </w:r>
      <w:r w:rsidRPr="00F126C0">
        <w:rPr>
          <w:rFonts w:ascii="Times New Roman" w:eastAsia="Calibri" w:hAnsi="Times New Roman" w:cs="Times New Roman"/>
          <w:sz w:val="24"/>
          <w:szCs w:val="24"/>
        </w:rPr>
        <w:t>ollars immediately before the effective date, namely</w:t>
      </w:r>
      <w:r w:rsidR="005A2E57">
        <w:rPr>
          <w:rFonts w:ascii="Times New Roman" w:eastAsia="Calibri" w:hAnsi="Times New Roman" w:cs="Times New Roman"/>
          <w:sz w:val="24"/>
          <w:szCs w:val="24"/>
        </w:rPr>
        <w:t>,</w:t>
      </w:r>
      <w:r w:rsidRPr="00F126C0">
        <w:rPr>
          <w:rFonts w:ascii="Times New Roman" w:eastAsia="Calibri" w:hAnsi="Times New Roman" w:cs="Times New Roman"/>
          <w:sz w:val="24"/>
          <w:szCs w:val="24"/>
        </w:rPr>
        <w:t xml:space="preserve"> 22 February 2019.</w:t>
      </w:r>
    </w:p>
    <w:p w14:paraId="4AC4FCC7" w14:textId="77777777" w:rsidR="00774F6D" w:rsidRPr="00F126C0" w:rsidRDefault="00774F6D" w:rsidP="00774F6D">
      <w:pPr>
        <w:spacing w:after="0" w:line="480" w:lineRule="auto"/>
        <w:ind w:firstLine="720"/>
        <w:jc w:val="both"/>
        <w:rPr>
          <w:rFonts w:ascii="Times New Roman" w:eastAsia="Calibri" w:hAnsi="Times New Roman" w:cs="Times New Roman"/>
          <w:sz w:val="24"/>
          <w:szCs w:val="24"/>
        </w:rPr>
      </w:pPr>
    </w:p>
    <w:p w14:paraId="52F04DB7" w14:textId="71E16141" w:rsidR="00896860" w:rsidRDefault="005A2E57" w:rsidP="00774F6D">
      <w:pPr>
        <w:spacing w:after="0"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The court </w:t>
      </w:r>
      <w:r>
        <w:rPr>
          <w:rFonts w:ascii="Times New Roman" w:eastAsia="Calibri" w:hAnsi="Times New Roman" w:cs="Times New Roman"/>
          <w:i/>
          <w:iCs/>
          <w:sz w:val="24"/>
          <w:szCs w:val="24"/>
        </w:rPr>
        <w:t>a quo</w:t>
      </w:r>
      <w:r w:rsidR="00896860" w:rsidRPr="00F126C0">
        <w:rPr>
          <w:rFonts w:ascii="Times New Roman" w:eastAsia="Calibri" w:hAnsi="Times New Roman" w:cs="Times New Roman"/>
          <w:sz w:val="24"/>
          <w:szCs w:val="24"/>
        </w:rPr>
        <w:t xml:space="preserve"> further held that the value of the damages claimed by the respondent was expressed </w:t>
      </w:r>
      <w:r>
        <w:rPr>
          <w:rFonts w:ascii="Times New Roman" w:eastAsia="Calibri" w:hAnsi="Times New Roman" w:cs="Times New Roman"/>
          <w:sz w:val="24"/>
          <w:szCs w:val="24"/>
        </w:rPr>
        <w:t xml:space="preserve">in the decision of the Labour Court handed down </w:t>
      </w:r>
      <w:r w:rsidR="00896860" w:rsidRPr="00F126C0">
        <w:rPr>
          <w:rFonts w:ascii="Times New Roman" w:eastAsia="Calibri" w:hAnsi="Times New Roman" w:cs="Times New Roman"/>
          <w:sz w:val="24"/>
          <w:szCs w:val="24"/>
        </w:rPr>
        <w:t>on 21 October 2022</w:t>
      </w:r>
      <w:r>
        <w:rPr>
          <w:rFonts w:ascii="Times New Roman" w:eastAsia="Calibri" w:hAnsi="Times New Roman" w:cs="Times New Roman"/>
          <w:sz w:val="24"/>
          <w:szCs w:val="24"/>
        </w:rPr>
        <w:t>,</w:t>
      </w:r>
      <w:r w:rsidR="00896860" w:rsidRPr="00F126C0">
        <w:rPr>
          <w:rFonts w:ascii="Times New Roman" w:eastAsia="Calibri" w:hAnsi="Times New Roman" w:cs="Times New Roman"/>
          <w:sz w:val="24"/>
          <w:szCs w:val="24"/>
        </w:rPr>
        <w:t xml:space="preserve"> after the effective date. In that vein, </w:t>
      </w:r>
      <w:r>
        <w:rPr>
          <w:rFonts w:ascii="Times New Roman" w:eastAsia="Calibri" w:hAnsi="Times New Roman" w:cs="Times New Roman"/>
          <w:sz w:val="24"/>
          <w:szCs w:val="24"/>
        </w:rPr>
        <w:t>the court</w:t>
      </w:r>
      <w:r w:rsidR="00896860" w:rsidRPr="00F126C0">
        <w:rPr>
          <w:rFonts w:ascii="Times New Roman" w:eastAsia="Calibri" w:hAnsi="Times New Roman" w:cs="Times New Roman"/>
          <w:sz w:val="24"/>
          <w:szCs w:val="24"/>
        </w:rPr>
        <w:t xml:space="preserve"> held that the applicant’s argument that the date of dismissal </w:t>
      </w:r>
      <w:r w:rsidR="00896860" w:rsidRPr="00F126C0">
        <w:rPr>
          <w:rFonts w:ascii="Times New Roman" w:eastAsia="Calibri" w:hAnsi="Times New Roman" w:cs="Times New Roman"/>
          <w:sz w:val="24"/>
          <w:szCs w:val="24"/>
        </w:rPr>
        <w:lastRenderedPageBreak/>
        <w:t>determine</w:t>
      </w:r>
      <w:r>
        <w:rPr>
          <w:rFonts w:ascii="Times New Roman" w:eastAsia="Calibri" w:hAnsi="Times New Roman" w:cs="Times New Roman"/>
          <w:sz w:val="24"/>
          <w:szCs w:val="24"/>
        </w:rPr>
        <w:t>d</w:t>
      </w:r>
      <w:r w:rsidR="00896860" w:rsidRPr="00F126C0">
        <w:rPr>
          <w:rFonts w:ascii="Times New Roman" w:eastAsia="Calibri" w:hAnsi="Times New Roman" w:cs="Times New Roman"/>
          <w:sz w:val="24"/>
          <w:szCs w:val="24"/>
        </w:rPr>
        <w:t xml:space="preserve"> the conversion rate was unreasonable. The </w:t>
      </w:r>
      <w:r>
        <w:rPr>
          <w:rFonts w:ascii="Times New Roman" w:eastAsia="Calibri" w:hAnsi="Times New Roman" w:cs="Times New Roman"/>
          <w:sz w:val="24"/>
          <w:szCs w:val="24"/>
        </w:rPr>
        <w:t>court</w:t>
      </w:r>
      <w:r w:rsidR="00896860" w:rsidRPr="00F126C0">
        <w:rPr>
          <w:rFonts w:ascii="Times New Roman" w:eastAsia="Calibri" w:hAnsi="Times New Roman" w:cs="Times New Roman"/>
          <w:sz w:val="24"/>
          <w:szCs w:val="24"/>
        </w:rPr>
        <w:t xml:space="preserve"> also concluded that the correct </w:t>
      </w:r>
      <w:r w:rsidRPr="008638B3">
        <w:rPr>
          <w:rFonts w:ascii="Times New Roman" w:eastAsia="Calibri" w:hAnsi="Times New Roman" w:cs="Times New Roman"/>
          <w:sz w:val="24"/>
          <w:szCs w:val="24"/>
        </w:rPr>
        <w:t xml:space="preserve">exchange </w:t>
      </w:r>
      <w:r w:rsidR="00896860" w:rsidRPr="008638B3">
        <w:rPr>
          <w:rFonts w:ascii="Times New Roman" w:eastAsia="Calibri" w:hAnsi="Times New Roman" w:cs="Times New Roman"/>
          <w:sz w:val="24"/>
          <w:szCs w:val="24"/>
        </w:rPr>
        <w:t xml:space="preserve">rate to be applied </w:t>
      </w:r>
      <w:r w:rsidRPr="008638B3">
        <w:rPr>
          <w:rFonts w:ascii="Times New Roman" w:eastAsia="Calibri" w:hAnsi="Times New Roman" w:cs="Times New Roman"/>
          <w:sz w:val="24"/>
          <w:szCs w:val="24"/>
        </w:rPr>
        <w:t>was</w:t>
      </w:r>
      <w:r w:rsidR="00896860" w:rsidRPr="008638B3">
        <w:rPr>
          <w:rFonts w:ascii="Times New Roman" w:eastAsia="Calibri" w:hAnsi="Times New Roman" w:cs="Times New Roman"/>
          <w:sz w:val="24"/>
          <w:szCs w:val="24"/>
        </w:rPr>
        <w:t xml:space="preserve"> the interbank rate prevailing at the time of payment.</w:t>
      </w:r>
    </w:p>
    <w:p w14:paraId="38083916" w14:textId="77777777" w:rsidR="00774F6D" w:rsidRPr="008638B3" w:rsidRDefault="00774F6D" w:rsidP="00B74DC5">
      <w:pPr>
        <w:spacing w:after="0" w:line="480" w:lineRule="auto"/>
        <w:jc w:val="both"/>
        <w:rPr>
          <w:rFonts w:ascii="Times New Roman" w:eastAsia="Calibri" w:hAnsi="Times New Roman" w:cs="Times New Roman"/>
          <w:sz w:val="24"/>
          <w:szCs w:val="24"/>
        </w:rPr>
      </w:pPr>
    </w:p>
    <w:p w14:paraId="57A1630E" w14:textId="023183F9" w:rsidR="008638B3" w:rsidRPr="008638B3" w:rsidRDefault="008638B3" w:rsidP="008638B3">
      <w:pPr>
        <w:spacing w:after="0" w:line="480" w:lineRule="auto"/>
        <w:jc w:val="both"/>
        <w:rPr>
          <w:rFonts w:ascii="Times New Roman" w:eastAsia="Calibri" w:hAnsi="Times New Roman" w:cs="Times New Roman"/>
          <w:sz w:val="24"/>
          <w:szCs w:val="24"/>
        </w:rPr>
      </w:pPr>
      <w:r>
        <w:rPr>
          <w:rFonts w:ascii="Times New Roman" w:eastAsia="Calibri" w:hAnsi="Times New Roman" w:cs="Times New Roman"/>
          <w:b/>
          <w:bCs/>
          <w:sz w:val="24"/>
          <w:szCs w:val="24"/>
        </w:rPr>
        <w:t>The Relief Sought</w:t>
      </w:r>
    </w:p>
    <w:p w14:paraId="520D06AE" w14:textId="66647092" w:rsidR="00385917" w:rsidRDefault="00896860" w:rsidP="00774F6D">
      <w:pPr>
        <w:spacing w:after="0" w:line="480" w:lineRule="auto"/>
        <w:ind w:firstLine="720"/>
        <w:jc w:val="both"/>
        <w:rPr>
          <w:rFonts w:ascii="Times New Roman" w:eastAsia="Calibri" w:hAnsi="Times New Roman" w:cs="Times New Roman"/>
          <w:sz w:val="24"/>
          <w:szCs w:val="24"/>
        </w:rPr>
      </w:pPr>
      <w:r w:rsidRPr="00F126C0">
        <w:rPr>
          <w:rFonts w:ascii="Times New Roman" w:eastAsia="Calibri" w:hAnsi="Times New Roman" w:cs="Times New Roman"/>
          <w:sz w:val="24"/>
          <w:szCs w:val="24"/>
        </w:rPr>
        <w:t>Aggrieved</w:t>
      </w:r>
      <w:r w:rsidR="005A2E57">
        <w:rPr>
          <w:rFonts w:ascii="Times New Roman" w:eastAsia="Calibri" w:hAnsi="Times New Roman" w:cs="Times New Roman"/>
          <w:sz w:val="24"/>
          <w:szCs w:val="24"/>
        </w:rPr>
        <w:t xml:space="preserve"> by the decision of the court </w:t>
      </w:r>
      <w:r w:rsidR="005A2E57">
        <w:rPr>
          <w:rFonts w:ascii="Times New Roman" w:eastAsia="Calibri" w:hAnsi="Times New Roman" w:cs="Times New Roman"/>
          <w:i/>
          <w:iCs/>
          <w:sz w:val="24"/>
          <w:szCs w:val="24"/>
        </w:rPr>
        <w:t>a quo</w:t>
      </w:r>
      <w:r w:rsidRPr="00F126C0">
        <w:rPr>
          <w:rFonts w:ascii="Times New Roman" w:eastAsia="Calibri" w:hAnsi="Times New Roman" w:cs="Times New Roman"/>
          <w:sz w:val="24"/>
          <w:szCs w:val="24"/>
        </w:rPr>
        <w:t>, the applicant</w:t>
      </w:r>
      <w:r w:rsidR="00E52BAE" w:rsidRPr="00F126C0">
        <w:rPr>
          <w:rFonts w:ascii="Times New Roman" w:eastAsia="Calibri" w:hAnsi="Times New Roman" w:cs="Times New Roman"/>
          <w:sz w:val="24"/>
          <w:szCs w:val="24"/>
        </w:rPr>
        <w:t xml:space="preserve"> has approached this Court </w:t>
      </w:r>
      <w:r w:rsidR="008638B3">
        <w:rPr>
          <w:rFonts w:ascii="Times New Roman" w:eastAsia="Calibri" w:hAnsi="Times New Roman" w:cs="Times New Roman"/>
          <w:sz w:val="24"/>
          <w:szCs w:val="24"/>
        </w:rPr>
        <w:t>for</w:t>
      </w:r>
      <w:r w:rsidR="00E52BAE" w:rsidRPr="00F126C0">
        <w:rPr>
          <w:rFonts w:ascii="Times New Roman" w:eastAsia="Calibri" w:hAnsi="Times New Roman" w:cs="Times New Roman"/>
          <w:sz w:val="24"/>
          <w:szCs w:val="24"/>
        </w:rPr>
        <w:t xml:space="preserve"> an order allowing it to approach </w:t>
      </w:r>
      <w:r w:rsidR="005A2E57">
        <w:rPr>
          <w:rFonts w:ascii="Times New Roman" w:eastAsia="Calibri" w:hAnsi="Times New Roman" w:cs="Times New Roman"/>
          <w:sz w:val="24"/>
          <w:szCs w:val="24"/>
        </w:rPr>
        <w:t>the</w:t>
      </w:r>
      <w:r w:rsidR="00E52BAE" w:rsidRPr="00F126C0">
        <w:rPr>
          <w:rFonts w:ascii="Times New Roman" w:eastAsia="Calibri" w:hAnsi="Times New Roman" w:cs="Times New Roman"/>
          <w:sz w:val="24"/>
          <w:szCs w:val="24"/>
        </w:rPr>
        <w:t xml:space="preserve"> Court directly</w:t>
      </w:r>
      <w:r w:rsidR="00FE624C">
        <w:rPr>
          <w:rFonts w:ascii="Times New Roman" w:eastAsia="Calibri" w:hAnsi="Times New Roman" w:cs="Times New Roman"/>
          <w:sz w:val="24"/>
          <w:szCs w:val="24"/>
        </w:rPr>
        <w:t>,</w:t>
      </w:r>
      <w:r w:rsidR="00E52BAE" w:rsidRPr="00F126C0">
        <w:rPr>
          <w:rFonts w:ascii="Times New Roman" w:eastAsia="Calibri" w:hAnsi="Times New Roman" w:cs="Times New Roman"/>
          <w:sz w:val="24"/>
          <w:szCs w:val="24"/>
        </w:rPr>
        <w:t xml:space="preserve"> </w:t>
      </w:r>
      <w:r w:rsidRPr="00F126C0">
        <w:rPr>
          <w:rFonts w:ascii="Times New Roman" w:eastAsia="Calibri" w:hAnsi="Times New Roman" w:cs="Times New Roman"/>
          <w:sz w:val="24"/>
          <w:szCs w:val="24"/>
        </w:rPr>
        <w:t>on the basis that the Supreme Court violated its right to the benefit and protection of the law</w:t>
      </w:r>
      <w:r w:rsidR="008638B3">
        <w:rPr>
          <w:rFonts w:ascii="Times New Roman" w:eastAsia="Calibri" w:hAnsi="Times New Roman" w:cs="Times New Roman"/>
          <w:sz w:val="24"/>
          <w:szCs w:val="24"/>
        </w:rPr>
        <w:t>. In the event that direct access is granted, the</w:t>
      </w:r>
      <w:r w:rsidR="00B51C48" w:rsidRPr="00F126C0">
        <w:rPr>
          <w:rFonts w:ascii="Times New Roman" w:eastAsia="Calibri" w:hAnsi="Times New Roman" w:cs="Times New Roman"/>
          <w:sz w:val="24"/>
          <w:szCs w:val="24"/>
        </w:rPr>
        <w:t xml:space="preserve"> applicant seeks leave to file an application in terms of section 85(1)(a) of the Constitution</w:t>
      </w:r>
      <w:r w:rsidR="008638B3">
        <w:rPr>
          <w:rFonts w:ascii="Times New Roman" w:eastAsia="Calibri" w:hAnsi="Times New Roman" w:cs="Times New Roman"/>
          <w:sz w:val="24"/>
          <w:szCs w:val="24"/>
        </w:rPr>
        <w:t>,</w:t>
      </w:r>
      <w:r w:rsidR="00B51C48" w:rsidRPr="00F126C0">
        <w:rPr>
          <w:rFonts w:ascii="Times New Roman" w:eastAsia="Calibri" w:hAnsi="Times New Roman" w:cs="Times New Roman"/>
          <w:sz w:val="24"/>
          <w:szCs w:val="24"/>
        </w:rPr>
        <w:t xml:space="preserve"> as read with rule 21 of the Rules</w:t>
      </w:r>
      <w:r w:rsidR="008638B3">
        <w:rPr>
          <w:rFonts w:ascii="Times New Roman" w:eastAsia="Calibri" w:hAnsi="Times New Roman" w:cs="Times New Roman"/>
          <w:sz w:val="24"/>
          <w:szCs w:val="24"/>
        </w:rPr>
        <w:t>.</w:t>
      </w:r>
    </w:p>
    <w:p w14:paraId="388AA9E5" w14:textId="77777777" w:rsidR="00774F6D" w:rsidRDefault="00774F6D" w:rsidP="00774F6D">
      <w:pPr>
        <w:spacing w:after="0" w:line="480" w:lineRule="auto"/>
        <w:ind w:firstLine="720"/>
        <w:jc w:val="both"/>
        <w:rPr>
          <w:rFonts w:ascii="Times New Roman" w:eastAsia="Calibri" w:hAnsi="Times New Roman" w:cs="Times New Roman"/>
          <w:sz w:val="24"/>
          <w:szCs w:val="24"/>
        </w:rPr>
      </w:pPr>
    </w:p>
    <w:p w14:paraId="428AE79C" w14:textId="2E8298D6" w:rsidR="00B51C48" w:rsidRDefault="00634804" w:rsidP="00774F6D">
      <w:pPr>
        <w:spacing w:after="0"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The </w:t>
      </w:r>
      <w:r w:rsidR="00385917">
        <w:rPr>
          <w:rFonts w:ascii="Times New Roman" w:eastAsia="Calibri" w:hAnsi="Times New Roman" w:cs="Times New Roman"/>
          <w:sz w:val="24"/>
          <w:szCs w:val="24"/>
        </w:rPr>
        <w:t xml:space="preserve">specific </w:t>
      </w:r>
      <w:r>
        <w:rPr>
          <w:rFonts w:ascii="Times New Roman" w:eastAsia="Calibri" w:hAnsi="Times New Roman" w:cs="Times New Roman"/>
          <w:sz w:val="24"/>
          <w:szCs w:val="24"/>
        </w:rPr>
        <w:t xml:space="preserve">relief </w:t>
      </w:r>
      <w:r w:rsidR="00385917">
        <w:rPr>
          <w:rFonts w:ascii="Times New Roman" w:eastAsia="Calibri" w:hAnsi="Times New Roman" w:cs="Times New Roman"/>
          <w:sz w:val="24"/>
          <w:szCs w:val="24"/>
        </w:rPr>
        <w:t xml:space="preserve">sought in the intended substantive application is four-fold: (i) a declarator that the order of the </w:t>
      </w:r>
      <w:r w:rsidR="00C13DAF">
        <w:rPr>
          <w:rFonts w:ascii="Times New Roman" w:eastAsia="Calibri" w:hAnsi="Times New Roman" w:cs="Times New Roman"/>
          <w:sz w:val="24"/>
          <w:szCs w:val="24"/>
        </w:rPr>
        <w:t>Supreme Court</w:t>
      </w:r>
      <w:r w:rsidR="00385917">
        <w:rPr>
          <w:rFonts w:ascii="Times New Roman" w:eastAsia="Calibri" w:hAnsi="Times New Roman" w:cs="Times New Roman"/>
          <w:sz w:val="24"/>
          <w:szCs w:val="24"/>
        </w:rPr>
        <w:t xml:space="preserve"> breaches the applicant’s right to equal protection and benefit of the law as prescribed in s 56(1) of the Constitution</w:t>
      </w:r>
      <w:r w:rsidR="00C13DAF">
        <w:rPr>
          <w:rFonts w:ascii="Times New Roman" w:eastAsia="Calibri" w:hAnsi="Times New Roman" w:cs="Times New Roman"/>
          <w:sz w:val="24"/>
          <w:szCs w:val="24"/>
        </w:rPr>
        <w:t xml:space="preserve">; (ii) an order setting aside the </w:t>
      </w:r>
      <w:r w:rsidR="00485C6D">
        <w:rPr>
          <w:rFonts w:ascii="Times New Roman" w:eastAsia="Calibri" w:hAnsi="Times New Roman" w:cs="Times New Roman"/>
          <w:sz w:val="24"/>
          <w:szCs w:val="24"/>
        </w:rPr>
        <w:t xml:space="preserve">Supreme Court </w:t>
      </w:r>
      <w:r w:rsidR="00C13DAF">
        <w:rPr>
          <w:rFonts w:ascii="Times New Roman" w:eastAsia="Calibri" w:hAnsi="Times New Roman" w:cs="Times New Roman"/>
          <w:sz w:val="24"/>
          <w:szCs w:val="24"/>
        </w:rPr>
        <w:t xml:space="preserve">order to pay damages in the sum of US$ 153,300 at the interbank rate applicable on the date of payment; (iii) a consequent order requiring the applicant to pay the respondent the sum of ZW$ 153,500 as damages </w:t>
      </w:r>
      <w:r w:rsidR="00C13DAF">
        <w:rPr>
          <w:rFonts w:ascii="Times New Roman" w:eastAsia="Calibri" w:hAnsi="Times New Roman" w:cs="Times New Roman"/>
          <w:i/>
          <w:iCs/>
          <w:sz w:val="24"/>
          <w:szCs w:val="24"/>
        </w:rPr>
        <w:t>in lieu</w:t>
      </w:r>
      <w:r w:rsidR="00C13DAF">
        <w:rPr>
          <w:rFonts w:ascii="Times New Roman" w:eastAsia="Calibri" w:hAnsi="Times New Roman" w:cs="Times New Roman"/>
          <w:sz w:val="24"/>
          <w:szCs w:val="24"/>
        </w:rPr>
        <w:t xml:space="preserve"> of reinstatement; (iv) an order </w:t>
      </w:r>
      <w:r w:rsidR="00485C6D">
        <w:rPr>
          <w:rFonts w:ascii="Times New Roman" w:eastAsia="Calibri" w:hAnsi="Times New Roman" w:cs="Times New Roman"/>
          <w:sz w:val="24"/>
          <w:szCs w:val="24"/>
        </w:rPr>
        <w:t>for</w:t>
      </w:r>
      <w:r w:rsidR="00C13DAF">
        <w:rPr>
          <w:rFonts w:ascii="Times New Roman" w:eastAsia="Calibri" w:hAnsi="Times New Roman" w:cs="Times New Roman"/>
          <w:sz w:val="24"/>
          <w:szCs w:val="24"/>
        </w:rPr>
        <w:t xml:space="preserve"> the respondent to pay costs at the legal practitioner and client scale.</w:t>
      </w:r>
    </w:p>
    <w:p w14:paraId="6C7FDF58" w14:textId="77777777" w:rsidR="00774F6D" w:rsidRPr="00C13DAF" w:rsidRDefault="00774F6D" w:rsidP="00774F6D">
      <w:pPr>
        <w:spacing w:after="0" w:line="480" w:lineRule="auto"/>
        <w:ind w:firstLine="720"/>
        <w:jc w:val="both"/>
        <w:rPr>
          <w:rFonts w:ascii="Times New Roman" w:eastAsia="Calibri" w:hAnsi="Times New Roman" w:cs="Times New Roman"/>
          <w:sz w:val="24"/>
          <w:szCs w:val="24"/>
        </w:rPr>
      </w:pPr>
    </w:p>
    <w:p w14:paraId="75823765" w14:textId="241600FC" w:rsidR="00485C6D" w:rsidRPr="00485C6D" w:rsidRDefault="00485C6D" w:rsidP="00485C6D">
      <w:pPr>
        <w:spacing w:after="0" w:line="480" w:lineRule="auto"/>
        <w:jc w:val="both"/>
        <w:rPr>
          <w:rFonts w:ascii="Times New Roman" w:eastAsia="Calibri" w:hAnsi="Times New Roman" w:cs="Times New Roman"/>
          <w:sz w:val="24"/>
          <w:szCs w:val="24"/>
        </w:rPr>
      </w:pPr>
      <w:r>
        <w:rPr>
          <w:rFonts w:ascii="Times New Roman" w:eastAsia="Calibri" w:hAnsi="Times New Roman" w:cs="Times New Roman"/>
          <w:b/>
          <w:bCs/>
          <w:sz w:val="24"/>
          <w:szCs w:val="24"/>
        </w:rPr>
        <w:t>Submissions by Counsel</w:t>
      </w:r>
    </w:p>
    <w:p w14:paraId="118C58D0" w14:textId="5D0956F4" w:rsidR="00C812FB" w:rsidRDefault="005E5DBC" w:rsidP="00774F6D">
      <w:pPr>
        <w:spacing w:after="0"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Mr</w:t>
      </w:r>
      <w:r w:rsidR="00485C6D">
        <w:rPr>
          <w:rFonts w:ascii="Times New Roman" w:eastAsia="Calibri" w:hAnsi="Times New Roman" w:cs="Times New Roman"/>
          <w:sz w:val="24"/>
          <w:szCs w:val="24"/>
        </w:rPr>
        <w:t xml:space="preserve"> </w:t>
      </w:r>
      <w:r w:rsidR="00485C6D">
        <w:rPr>
          <w:rFonts w:ascii="Times New Roman" w:eastAsia="Calibri" w:hAnsi="Times New Roman" w:cs="Times New Roman"/>
          <w:i/>
          <w:iCs/>
          <w:sz w:val="24"/>
          <w:szCs w:val="24"/>
        </w:rPr>
        <w:t>Mudhau</w:t>
      </w:r>
      <w:r>
        <w:rPr>
          <w:rFonts w:ascii="Times New Roman" w:eastAsia="Calibri" w:hAnsi="Times New Roman" w:cs="Times New Roman"/>
          <w:sz w:val="24"/>
          <w:szCs w:val="24"/>
        </w:rPr>
        <w:t xml:space="preserve"> and Mr </w:t>
      </w:r>
      <w:r>
        <w:rPr>
          <w:rFonts w:ascii="Times New Roman" w:eastAsia="Calibri" w:hAnsi="Times New Roman" w:cs="Times New Roman"/>
          <w:i/>
          <w:iCs/>
          <w:sz w:val="24"/>
          <w:szCs w:val="24"/>
        </w:rPr>
        <w:t>Uriri</w:t>
      </w:r>
      <w:r>
        <w:rPr>
          <w:rFonts w:ascii="Times New Roman" w:eastAsia="Calibri" w:hAnsi="Times New Roman" w:cs="Times New Roman"/>
          <w:sz w:val="24"/>
          <w:szCs w:val="24"/>
        </w:rPr>
        <w:t>,</w:t>
      </w:r>
      <w:r w:rsidR="004A769A" w:rsidRPr="00F126C0">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counsel for the applicant, </w:t>
      </w:r>
      <w:r w:rsidR="00485C6D">
        <w:rPr>
          <w:rFonts w:ascii="Times New Roman" w:eastAsia="Calibri" w:hAnsi="Times New Roman" w:cs="Times New Roman"/>
          <w:sz w:val="24"/>
          <w:szCs w:val="24"/>
        </w:rPr>
        <w:t>note</w:t>
      </w:r>
      <w:r w:rsidR="00B51C48" w:rsidRPr="00F126C0">
        <w:rPr>
          <w:rFonts w:ascii="Times New Roman" w:eastAsia="Calibri" w:hAnsi="Times New Roman" w:cs="Times New Roman"/>
          <w:sz w:val="24"/>
          <w:szCs w:val="24"/>
        </w:rPr>
        <w:t xml:space="preserve"> that the issue before the court </w:t>
      </w:r>
      <w:r w:rsidR="00B51C48" w:rsidRPr="00F126C0">
        <w:rPr>
          <w:rFonts w:ascii="Times New Roman" w:eastAsia="Calibri" w:hAnsi="Times New Roman" w:cs="Times New Roman"/>
          <w:i/>
          <w:sz w:val="24"/>
          <w:szCs w:val="24"/>
        </w:rPr>
        <w:t>a quo</w:t>
      </w:r>
      <w:r w:rsidR="00B51C48" w:rsidRPr="00F126C0">
        <w:rPr>
          <w:rFonts w:ascii="Times New Roman" w:eastAsia="Calibri" w:hAnsi="Times New Roman" w:cs="Times New Roman"/>
          <w:sz w:val="24"/>
          <w:szCs w:val="24"/>
        </w:rPr>
        <w:t xml:space="preserve"> involved the quantification of damages </w:t>
      </w:r>
      <w:r w:rsidR="00B51C48" w:rsidRPr="004B3678">
        <w:rPr>
          <w:rFonts w:ascii="Times New Roman" w:eastAsia="Calibri" w:hAnsi="Times New Roman" w:cs="Times New Roman"/>
          <w:i/>
          <w:iCs/>
          <w:sz w:val="24"/>
          <w:szCs w:val="24"/>
        </w:rPr>
        <w:t xml:space="preserve">in </w:t>
      </w:r>
      <w:r w:rsidR="00B51C48" w:rsidRPr="00F126C0">
        <w:rPr>
          <w:rFonts w:ascii="Times New Roman" w:eastAsia="Calibri" w:hAnsi="Times New Roman" w:cs="Times New Roman"/>
          <w:i/>
          <w:sz w:val="24"/>
          <w:szCs w:val="24"/>
        </w:rPr>
        <w:t>lieu</w:t>
      </w:r>
      <w:r w:rsidR="004A769A" w:rsidRPr="00F126C0">
        <w:rPr>
          <w:rFonts w:ascii="Times New Roman" w:eastAsia="Calibri" w:hAnsi="Times New Roman" w:cs="Times New Roman"/>
          <w:sz w:val="24"/>
          <w:szCs w:val="24"/>
        </w:rPr>
        <w:t xml:space="preserve"> of reinstatement. </w:t>
      </w:r>
      <w:r>
        <w:rPr>
          <w:rFonts w:ascii="Times New Roman" w:eastAsia="Calibri" w:hAnsi="Times New Roman" w:cs="Times New Roman"/>
          <w:sz w:val="24"/>
          <w:szCs w:val="24"/>
        </w:rPr>
        <w:t xml:space="preserve">They </w:t>
      </w:r>
      <w:r w:rsidR="004A769A" w:rsidRPr="00F126C0">
        <w:rPr>
          <w:rFonts w:ascii="Times New Roman" w:eastAsia="Calibri" w:hAnsi="Times New Roman" w:cs="Times New Roman"/>
          <w:sz w:val="24"/>
          <w:szCs w:val="24"/>
        </w:rPr>
        <w:t xml:space="preserve">contend </w:t>
      </w:r>
      <w:r w:rsidR="00B51C48" w:rsidRPr="00F126C0">
        <w:rPr>
          <w:rFonts w:ascii="Times New Roman" w:eastAsia="Calibri" w:hAnsi="Times New Roman" w:cs="Times New Roman"/>
          <w:sz w:val="24"/>
          <w:szCs w:val="24"/>
        </w:rPr>
        <w:t xml:space="preserve">that damages </w:t>
      </w:r>
      <w:r w:rsidR="00B51C48" w:rsidRPr="004B3678">
        <w:rPr>
          <w:rFonts w:ascii="Times New Roman" w:eastAsia="Calibri" w:hAnsi="Times New Roman" w:cs="Times New Roman"/>
          <w:i/>
          <w:iCs/>
          <w:sz w:val="24"/>
          <w:szCs w:val="24"/>
        </w:rPr>
        <w:t xml:space="preserve">in </w:t>
      </w:r>
      <w:r w:rsidR="00B51C48" w:rsidRPr="00F126C0">
        <w:rPr>
          <w:rFonts w:ascii="Times New Roman" w:eastAsia="Calibri" w:hAnsi="Times New Roman" w:cs="Times New Roman"/>
          <w:i/>
          <w:sz w:val="24"/>
          <w:szCs w:val="24"/>
        </w:rPr>
        <w:t>lieu</w:t>
      </w:r>
      <w:r w:rsidR="00B51C48" w:rsidRPr="00F126C0">
        <w:rPr>
          <w:rFonts w:ascii="Times New Roman" w:eastAsia="Calibri" w:hAnsi="Times New Roman" w:cs="Times New Roman"/>
          <w:sz w:val="24"/>
          <w:szCs w:val="24"/>
        </w:rPr>
        <w:t xml:space="preserve"> of reinstatement </w:t>
      </w:r>
      <w:r w:rsidR="00C812FB" w:rsidRPr="00F126C0">
        <w:rPr>
          <w:rFonts w:ascii="Times New Roman" w:eastAsia="Calibri" w:hAnsi="Times New Roman" w:cs="Times New Roman"/>
          <w:sz w:val="24"/>
          <w:szCs w:val="24"/>
        </w:rPr>
        <w:t>ought to be</w:t>
      </w:r>
      <w:r w:rsidR="00B51C48" w:rsidRPr="00F126C0">
        <w:rPr>
          <w:rFonts w:ascii="Times New Roman" w:eastAsia="Calibri" w:hAnsi="Times New Roman" w:cs="Times New Roman"/>
          <w:sz w:val="24"/>
          <w:szCs w:val="24"/>
        </w:rPr>
        <w:t xml:space="preserve"> calculated as at the date of the wrongful dismissal and not at the date when qu</w:t>
      </w:r>
      <w:r w:rsidR="004A769A" w:rsidRPr="00F126C0">
        <w:rPr>
          <w:rFonts w:ascii="Times New Roman" w:eastAsia="Calibri" w:hAnsi="Times New Roman" w:cs="Times New Roman"/>
          <w:sz w:val="24"/>
          <w:szCs w:val="24"/>
        </w:rPr>
        <w:t xml:space="preserve">antification </w:t>
      </w:r>
      <w:r>
        <w:rPr>
          <w:rFonts w:ascii="Times New Roman" w:eastAsia="Calibri" w:hAnsi="Times New Roman" w:cs="Times New Roman"/>
          <w:sz w:val="24"/>
          <w:szCs w:val="24"/>
        </w:rPr>
        <w:t xml:space="preserve">of damages </w:t>
      </w:r>
      <w:r w:rsidR="004A769A" w:rsidRPr="00F126C0">
        <w:rPr>
          <w:rFonts w:ascii="Times New Roman" w:eastAsia="Calibri" w:hAnsi="Times New Roman" w:cs="Times New Roman"/>
          <w:sz w:val="24"/>
          <w:szCs w:val="24"/>
        </w:rPr>
        <w:t xml:space="preserve">was </w:t>
      </w:r>
      <w:r>
        <w:rPr>
          <w:rFonts w:ascii="Times New Roman" w:eastAsia="Calibri" w:hAnsi="Times New Roman" w:cs="Times New Roman"/>
          <w:sz w:val="24"/>
          <w:szCs w:val="24"/>
        </w:rPr>
        <w:t>concluded</w:t>
      </w:r>
      <w:r w:rsidR="004A769A" w:rsidRPr="00F126C0">
        <w:rPr>
          <w:rFonts w:ascii="Times New Roman" w:eastAsia="Calibri" w:hAnsi="Times New Roman" w:cs="Times New Roman"/>
          <w:sz w:val="24"/>
          <w:szCs w:val="24"/>
        </w:rPr>
        <w:t xml:space="preserve">. </w:t>
      </w:r>
      <w:r w:rsidR="004B3678">
        <w:rPr>
          <w:rFonts w:ascii="Times New Roman" w:eastAsia="Calibri" w:hAnsi="Times New Roman" w:cs="Times New Roman"/>
          <w:sz w:val="24"/>
          <w:szCs w:val="24"/>
        </w:rPr>
        <w:t>Consequently,</w:t>
      </w:r>
      <w:r w:rsidR="00B51C48" w:rsidRPr="00F126C0">
        <w:rPr>
          <w:rFonts w:ascii="Times New Roman" w:eastAsia="Calibri" w:hAnsi="Times New Roman" w:cs="Times New Roman"/>
          <w:sz w:val="24"/>
          <w:szCs w:val="24"/>
        </w:rPr>
        <w:t xml:space="preserve"> the Supreme Court failed to take into account an elementary principle of law</w:t>
      </w:r>
      <w:r w:rsidR="00377996">
        <w:rPr>
          <w:rFonts w:ascii="Times New Roman" w:eastAsia="Calibri" w:hAnsi="Times New Roman" w:cs="Times New Roman"/>
          <w:sz w:val="24"/>
          <w:szCs w:val="24"/>
        </w:rPr>
        <w:t xml:space="preserve">, as applied in other labour law </w:t>
      </w:r>
      <w:r w:rsidR="00377996">
        <w:rPr>
          <w:rFonts w:ascii="Times New Roman" w:eastAsia="Calibri" w:hAnsi="Times New Roman" w:cs="Times New Roman"/>
          <w:sz w:val="24"/>
          <w:szCs w:val="24"/>
        </w:rPr>
        <w:lastRenderedPageBreak/>
        <w:t>matters.</w:t>
      </w:r>
      <w:r w:rsidR="00B51C48" w:rsidRPr="00F126C0">
        <w:rPr>
          <w:rFonts w:ascii="Times New Roman" w:eastAsia="Calibri" w:hAnsi="Times New Roman" w:cs="Times New Roman"/>
          <w:sz w:val="24"/>
          <w:szCs w:val="24"/>
        </w:rPr>
        <w:t xml:space="preserve"> </w:t>
      </w:r>
      <w:r w:rsidR="00377996">
        <w:rPr>
          <w:rFonts w:ascii="Times New Roman" w:eastAsia="Calibri" w:hAnsi="Times New Roman" w:cs="Times New Roman"/>
          <w:sz w:val="24"/>
          <w:szCs w:val="24"/>
        </w:rPr>
        <w:t>It</w:t>
      </w:r>
      <w:r w:rsidR="004B3678">
        <w:rPr>
          <w:rFonts w:ascii="Times New Roman" w:eastAsia="Calibri" w:hAnsi="Times New Roman" w:cs="Times New Roman"/>
          <w:sz w:val="24"/>
          <w:szCs w:val="24"/>
        </w:rPr>
        <w:t xml:space="preserve"> </w:t>
      </w:r>
      <w:r w:rsidR="00B51C48" w:rsidRPr="00F126C0">
        <w:rPr>
          <w:rFonts w:ascii="Times New Roman" w:eastAsia="Calibri" w:hAnsi="Times New Roman" w:cs="Times New Roman"/>
          <w:sz w:val="24"/>
          <w:szCs w:val="24"/>
        </w:rPr>
        <w:t>thereby violat</w:t>
      </w:r>
      <w:r w:rsidR="004B3678">
        <w:rPr>
          <w:rFonts w:ascii="Times New Roman" w:eastAsia="Calibri" w:hAnsi="Times New Roman" w:cs="Times New Roman"/>
          <w:sz w:val="24"/>
          <w:szCs w:val="24"/>
        </w:rPr>
        <w:t>ed</w:t>
      </w:r>
      <w:r w:rsidR="00B51C48" w:rsidRPr="00F126C0">
        <w:rPr>
          <w:rFonts w:ascii="Times New Roman" w:eastAsia="Calibri" w:hAnsi="Times New Roman" w:cs="Times New Roman"/>
          <w:sz w:val="24"/>
          <w:szCs w:val="24"/>
        </w:rPr>
        <w:t xml:space="preserve"> the applicant’s right to equal protection of the law as provided </w:t>
      </w:r>
      <w:r w:rsidR="004B3678">
        <w:rPr>
          <w:rFonts w:ascii="Times New Roman" w:eastAsia="Calibri" w:hAnsi="Times New Roman" w:cs="Times New Roman"/>
          <w:sz w:val="24"/>
          <w:szCs w:val="24"/>
        </w:rPr>
        <w:t>by</w:t>
      </w:r>
      <w:r w:rsidR="00B51C48" w:rsidRPr="00F126C0">
        <w:rPr>
          <w:rFonts w:ascii="Times New Roman" w:eastAsia="Calibri" w:hAnsi="Times New Roman" w:cs="Times New Roman"/>
          <w:sz w:val="24"/>
          <w:szCs w:val="24"/>
        </w:rPr>
        <w:t xml:space="preserve"> </w:t>
      </w:r>
      <w:r w:rsidR="004B3678">
        <w:rPr>
          <w:rFonts w:ascii="Times New Roman" w:eastAsia="Calibri" w:hAnsi="Times New Roman" w:cs="Times New Roman"/>
          <w:sz w:val="24"/>
          <w:szCs w:val="24"/>
        </w:rPr>
        <w:t>s</w:t>
      </w:r>
      <w:r w:rsidR="00B51C48" w:rsidRPr="00F126C0">
        <w:rPr>
          <w:rFonts w:ascii="Times New Roman" w:eastAsia="Calibri" w:hAnsi="Times New Roman" w:cs="Times New Roman"/>
          <w:sz w:val="24"/>
          <w:szCs w:val="24"/>
        </w:rPr>
        <w:t xml:space="preserve"> 56(1) of the Constitutio</w:t>
      </w:r>
      <w:r w:rsidR="004A769A" w:rsidRPr="00F126C0">
        <w:rPr>
          <w:rFonts w:ascii="Times New Roman" w:eastAsia="Calibri" w:hAnsi="Times New Roman" w:cs="Times New Roman"/>
          <w:sz w:val="24"/>
          <w:szCs w:val="24"/>
        </w:rPr>
        <w:t>n</w:t>
      </w:r>
      <w:r w:rsidR="004B3678">
        <w:rPr>
          <w:rFonts w:ascii="Times New Roman" w:eastAsia="Calibri" w:hAnsi="Times New Roman" w:cs="Times New Roman"/>
          <w:sz w:val="24"/>
          <w:szCs w:val="24"/>
        </w:rPr>
        <w:t>.</w:t>
      </w:r>
    </w:p>
    <w:p w14:paraId="3D9D523A" w14:textId="77777777" w:rsidR="00774F6D" w:rsidRPr="00F126C0" w:rsidRDefault="00774F6D" w:rsidP="00774F6D">
      <w:pPr>
        <w:spacing w:after="0" w:line="480" w:lineRule="auto"/>
        <w:ind w:firstLine="720"/>
        <w:jc w:val="both"/>
        <w:rPr>
          <w:rFonts w:ascii="Times New Roman" w:eastAsia="Calibri" w:hAnsi="Times New Roman" w:cs="Times New Roman"/>
          <w:sz w:val="24"/>
          <w:szCs w:val="24"/>
        </w:rPr>
      </w:pPr>
    </w:p>
    <w:p w14:paraId="3294D62F" w14:textId="7DC00F4C" w:rsidR="00B51C48" w:rsidRDefault="005E5DBC" w:rsidP="00774F6D">
      <w:pPr>
        <w:spacing w:after="0"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Counsel further </w:t>
      </w:r>
      <w:r w:rsidR="004B3678">
        <w:rPr>
          <w:rFonts w:ascii="Times New Roman" w:eastAsia="Calibri" w:hAnsi="Times New Roman" w:cs="Times New Roman"/>
          <w:sz w:val="24"/>
          <w:szCs w:val="24"/>
        </w:rPr>
        <w:t>argue</w:t>
      </w:r>
      <w:r w:rsidR="00B51C48" w:rsidRPr="00F126C0">
        <w:rPr>
          <w:rFonts w:ascii="Times New Roman" w:eastAsia="Calibri" w:hAnsi="Times New Roman" w:cs="Times New Roman"/>
          <w:sz w:val="24"/>
          <w:szCs w:val="24"/>
        </w:rPr>
        <w:t xml:space="preserve"> that the respondent was wrongfully dismissed from employment before the effective date </w:t>
      </w:r>
      <w:r w:rsidR="004B3678">
        <w:rPr>
          <w:rFonts w:ascii="Times New Roman" w:eastAsia="Calibri" w:hAnsi="Times New Roman" w:cs="Times New Roman"/>
          <w:sz w:val="24"/>
          <w:szCs w:val="24"/>
        </w:rPr>
        <w:t xml:space="preserve">of </w:t>
      </w:r>
      <w:r w:rsidR="004B3678" w:rsidRPr="00F126C0">
        <w:rPr>
          <w:rFonts w:ascii="Times New Roman" w:eastAsia="Calibri" w:hAnsi="Times New Roman" w:cs="Times New Roman"/>
          <w:sz w:val="24"/>
          <w:szCs w:val="24"/>
        </w:rPr>
        <w:t>S.I. 33 of 2019</w:t>
      </w:r>
      <w:r w:rsidR="004B3678">
        <w:rPr>
          <w:rFonts w:ascii="Times New Roman" w:eastAsia="Calibri" w:hAnsi="Times New Roman" w:cs="Times New Roman"/>
          <w:sz w:val="24"/>
          <w:szCs w:val="24"/>
        </w:rPr>
        <w:t>. Hence,</w:t>
      </w:r>
      <w:r w:rsidR="00B51C48" w:rsidRPr="00F126C0">
        <w:rPr>
          <w:rFonts w:ascii="Times New Roman" w:eastAsia="Calibri" w:hAnsi="Times New Roman" w:cs="Times New Roman"/>
          <w:sz w:val="24"/>
          <w:szCs w:val="24"/>
        </w:rPr>
        <w:t xml:space="preserve"> damages ought to be paid at the rate of one to one </w:t>
      </w:r>
      <w:r w:rsidR="004B3678">
        <w:rPr>
          <w:rFonts w:ascii="Times New Roman" w:eastAsia="Calibri" w:hAnsi="Times New Roman" w:cs="Times New Roman"/>
          <w:sz w:val="24"/>
          <w:szCs w:val="24"/>
        </w:rPr>
        <w:t>in Zimbabwean dollars</w:t>
      </w:r>
      <w:r w:rsidR="00B51C48" w:rsidRPr="00F126C0">
        <w:rPr>
          <w:rFonts w:ascii="Times New Roman" w:eastAsia="Calibri" w:hAnsi="Times New Roman" w:cs="Times New Roman"/>
          <w:sz w:val="24"/>
          <w:szCs w:val="24"/>
        </w:rPr>
        <w:t xml:space="preserve"> in </w:t>
      </w:r>
      <w:r w:rsidR="00B21237" w:rsidRPr="00F126C0">
        <w:rPr>
          <w:rFonts w:ascii="Times New Roman" w:eastAsia="Calibri" w:hAnsi="Times New Roman" w:cs="Times New Roman"/>
          <w:sz w:val="24"/>
          <w:szCs w:val="24"/>
        </w:rPr>
        <w:t>accordance</w:t>
      </w:r>
      <w:r w:rsidR="00C812FB" w:rsidRPr="00F126C0">
        <w:rPr>
          <w:rFonts w:ascii="Times New Roman" w:eastAsia="Calibri" w:hAnsi="Times New Roman" w:cs="Times New Roman"/>
          <w:sz w:val="24"/>
          <w:szCs w:val="24"/>
        </w:rPr>
        <w:t xml:space="preserve"> with</w:t>
      </w:r>
      <w:r w:rsidR="00B51C48" w:rsidRPr="00F126C0">
        <w:rPr>
          <w:rFonts w:ascii="Times New Roman" w:eastAsia="Calibri" w:hAnsi="Times New Roman" w:cs="Times New Roman"/>
          <w:sz w:val="24"/>
          <w:szCs w:val="24"/>
        </w:rPr>
        <w:t xml:space="preserve"> </w:t>
      </w:r>
      <w:r w:rsidR="004B3678">
        <w:rPr>
          <w:rFonts w:ascii="Times New Roman" w:eastAsia="Calibri" w:hAnsi="Times New Roman" w:cs="Times New Roman"/>
          <w:sz w:val="24"/>
          <w:szCs w:val="24"/>
        </w:rPr>
        <w:t>s</w:t>
      </w:r>
      <w:r w:rsidR="00B51C48" w:rsidRPr="00F126C0">
        <w:rPr>
          <w:rFonts w:ascii="Times New Roman" w:eastAsia="Calibri" w:hAnsi="Times New Roman" w:cs="Times New Roman"/>
          <w:sz w:val="24"/>
          <w:szCs w:val="24"/>
        </w:rPr>
        <w:t xml:space="preserve"> 4(1)(d) of </w:t>
      </w:r>
      <w:r w:rsidR="009A1C16" w:rsidRPr="00F126C0">
        <w:rPr>
          <w:rFonts w:ascii="Times New Roman" w:eastAsia="Calibri" w:hAnsi="Times New Roman" w:cs="Times New Roman"/>
          <w:sz w:val="24"/>
          <w:szCs w:val="24"/>
        </w:rPr>
        <w:t xml:space="preserve">S.I. </w:t>
      </w:r>
      <w:r w:rsidR="00B51C48" w:rsidRPr="00F126C0">
        <w:rPr>
          <w:rFonts w:ascii="Times New Roman" w:eastAsia="Calibri" w:hAnsi="Times New Roman" w:cs="Times New Roman"/>
          <w:sz w:val="24"/>
          <w:szCs w:val="24"/>
        </w:rPr>
        <w:t>33 of 2019. The applicant</w:t>
      </w:r>
      <w:r w:rsidR="004B3678">
        <w:rPr>
          <w:rFonts w:ascii="Times New Roman" w:eastAsia="Calibri" w:hAnsi="Times New Roman" w:cs="Times New Roman"/>
          <w:sz w:val="24"/>
          <w:szCs w:val="24"/>
        </w:rPr>
        <w:t>’s</w:t>
      </w:r>
      <w:r w:rsidR="00B51C48" w:rsidRPr="00F126C0">
        <w:rPr>
          <w:rFonts w:ascii="Times New Roman" w:eastAsia="Calibri" w:hAnsi="Times New Roman" w:cs="Times New Roman"/>
          <w:sz w:val="24"/>
          <w:szCs w:val="24"/>
        </w:rPr>
        <w:t xml:space="preserve"> right to</w:t>
      </w:r>
      <w:r w:rsidR="0066218E" w:rsidRPr="00F126C0">
        <w:rPr>
          <w:rFonts w:ascii="Times New Roman" w:eastAsia="Calibri" w:hAnsi="Times New Roman" w:cs="Times New Roman"/>
          <w:sz w:val="24"/>
          <w:szCs w:val="24"/>
        </w:rPr>
        <w:t xml:space="preserve"> equal protection </w:t>
      </w:r>
      <w:r w:rsidR="00C812FB" w:rsidRPr="00F126C0">
        <w:rPr>
          <w:rFonts w:ascii="Times New Roman" w:eastAsia="Calibri" w:hAnsi="Times New Roman" w:cs="Times New Roman"/>
          <w:sz w:val="24"/>
          <w:szCs w:val="24"/>
        </w:rPr>
        <w:t xml:space="preserve">of the law </w:t>
      </w:r>
      <w:r w:rsidR="0066218E" w:rsidRPr="00F126C0">
        <w:rPr>
          <w:rFonts w:ascii="Times New Roman" w:eastAsia="Calibri" w:hAnsi="Times New Roman" w:cs="Times New Roman"/>
          <w:sz w:val="24"/>
          <w:szCs w:val="24"/>
        </w:rPr>
        <w:t>was violated</w:t>
      </w:r>
      <w:r w:rsidR="00B51C48" w:rsidRPr="00F126C0">
        <w:rPr>
          <w:rFonts w:ascii="Times New Roman" w:eastAsia="Calibri" w:hAnsi="Times New Roman" w:cs="Times New Roman"/>
          <w:sz w:val="24"/>
          <w:szCs w:val="24"/>
        </w:rPr>
        <w:t xml:space="preserve"> when it was ordered to pay damages </w:t>
      </w:r>
      <w:r w:rsidR="00B51C48" w:rsidRPr="00F126C0">
        <w:rPr>
          <w:rFonts w:ascii="Times New Roman" w:eastAsia="Calibri" w:hAnsi="Times New Roman" w:cs="Times New Roman"/>
          <w:i/>
          <w:sz w:val="24"/>
          <w:szCs w:val="24"/>
        </w:rPr>
        <w:t>in lieu</w:t>
      </w:r>
      <w:r w:rsidR="00B51C48" w:rsidRPr="00F126C0">
        <w:rPr>
          <w:rFonts w:ascii="Times New Roman" w:eastAsia="Calibri" w:hAnsi="Times New Roman" w:cs="Times New Roman"/>
          <w:sz w:val="24"/>
          <w:szCs w:val="24"/>
        </w:rPr>
        <w:t xml:space="preserve"> of reinstatement</w:t>
      </w:r>
      <w:r w:rsidR="00377996">
        <w:rPr>
          <w:rFonts w:ascii="Times New Roman" w:eastAsia="Calibri" w:hAnsi="Times New Roman" w:cs="Times New Roman"/>
          <w:sz w:val="24"/>
          <w:szCs w:val="24"/>
        </w:rPr>
        <w:t xml:space="preserve"> </w:t>
      </w:r>
      <w:r w:rsidR="00B51C48" w:rsidRPr="00F126C0">
        <w:rPr>
          <w:rFonts w:ascii="Times New Roman" w:eastAsia="Calibri" w:hAnsi="Times New Roman" w:cs="Times New Roman"/>
          <w:sz w:val="24"/>
          <w:szCs w:val="24"/>
        </w:rPr>
        <w:t xml:space="preserve">at the interbank rate applicable on the date of payment. </w:t>
      </w:r>
      <w:r w:rsidR="00D15BC7">
        <w:rPr>
          <w:rFonts w:ascii="Times New Roman" w:eastAsia="Calibri" w:hAnsi="Times New Roman" w:cs="Times New Roman"/>
          <w:sz w:val="24"/>
          <w:szCs w:val="24"/>
        </w:rPr>
        <w:t>Thus,</w:t>
      </w:r>
      <w:r w:rsidR="00B51C48" w:rsidRPr="00F126C0">
        <w:rPr>
          <w:rFonts w:ascii="Times New Roman" w:eastAsia="Calibri" w:hAnsi="Times New Roman" w:cs="Times New Roman"/>
          <w:sz w:val="24"/>
          <w:szCs w:val="24"/>
        </w:rPr>
        <w:t xml:space="preserve"> the decision of the Supreme Court was arbitrary </w:t>
      </w:r>
      <w:r w:rsidR="00377996">
        <w:rPr>
          <w:rFonts w:ascii="Times New Roman" w:eastAsia="Calibri" w:hAnsi="Times New Roman" w:cs="Times New Roman"/>
          <w:sz w:val="24"/>
          <w:szCs w:val="24"/>
        </w:rPr>
        <w:t>in that it</w:t>
      </w:r>
      <w:r w:rsidR="00B51C48" w:rsidRPr="00F126C0">
        <w:rPr>
          <w:rFonts w:ascii="Times New Roman" w:eastAsia="Calibri" w:hAnsi="Times New Roman" w:cs="Times New Roman"/>
          <w:sz w:val="24"/>
          <w:szCs w:val="24"/>
        </w:rPr>
        <w:t xml:space="preserve"> showed </w:t>
      </w:r>
      <w:r w:rsidR="00D15BC7">
        <w:rPr>
          <w:rFonts w:ascii="Times New Roman" w:eastAsia="Calibri" w:hAnsi="Times New Roman" w:cs="Times New Roman"/>
          <w:sz w:val="24"/>
          <w:szCs w:val="24"/>
        </w:rPr>
        <w:t xml:space="preserve">grave </w:t>
      </w:r>
      <w:r w:rsidR="00B51C48" w:rsidRPr="00F126C0">
        <w:rPr>
          <w:rFonts w:ascii="Times New Roman" w:eastAsia="Calibri" w:hAnsi="Times New Roman" w:cs="Times New Roman"/>
          <w:sz w:val="24"/>
          <w:szCs w:val="24"/>
        </w:rPr>
        <w:t xml:space="preserve">inconsistency in </w:t>
      </w:r>
      <w:r w:rsidR="00377996">
        <w:rPr>
          <w:rFonts w:ascii="Times New Roman" w:eastAsia="Calibri" w:hAnsi="Times New Roman" w:cs="Times New Roman"/>
          <w:sz w:val="24"/>
          <w:szCs w:val="24"/>
        </w:rPr>
        <w:t>applying</w:t>
      </w:r>
      <w:r w:rsidR="00B51C48" w:rsidRPr="00F126C0">
        <w:rPr>
          <w:rFonts w:ascii="Times New Roman" w:eastAsia="Calibri" w:hAnsi="Times New Roman" w:cs="Times New Roman"/>
          <w:sz w:val="24"/>
          <w:szCs w:val="24"/>
        </w:rPr>
        <w:t xml:space="preserve"> the law.</w:t>
      </w:r>
    </w:p>
    <w:p w14:paraId="53865072" w14:textId="77777777" w:rsidR="00774F6D" w:rsidRPr="00F126C0" w:rsidRDefault="00774F6D" w:rsidP="00774F6D">
      <w:pPr>
        <w:spacing w:after="0" w:line="480" w:lineRule="auto"/>
        <w:ind w:firstLine="720"/>
        <w:jc w:val="both"/>
        <w:rPr>
          <w:rFonts w:ascii="Times New Roman" w:eastAsia="Calibri" w:hAnsi="Times New Roman" w:cs="Times New Roman"/>
          <w:sz w:val="24"/>
          <w:szCs w:val="24"/>
        </w:rPr>
      </w:pPr>
    </w:p>
    <w:p w14:paraId="6419DA21" w14:textId="77777777" w:rsidR="00774F6D" w:rsidRDefault="00121002" w:rsidP="00774F6D">
      <w:pPr>
        <w:spacing w:after="0" w:line="480" w:lineRule="auto"/>
        <w:ind w:firstLine="720"/>
        <w:jc w:val="both"/>
        <w:rPr>
          <w:rFonts w:ascii="Times New Roman" w:eastAsia="Calibri" w:hAnsi="Times New Roman" w:cs="Times New Roman"/>
          <w:sz w:val="24"/>
          <w:szCs w:val="24"/>
        </w:rPr>
      </w:pPr>
      <w:r w:rsidRPr="00F126C0">
        <w:rPr>
          <w:rFonts w:ascii="Times New Roman" w:eastAsia="Calibri" w:hAnsi="Times New Roman" w:cs="Times New Roman"/>
          <w:i/>
          <w:sz w:val="24"/>
          <w:szCs w:val="24"/>
        </w:rPr>
        <w:t>Per contra</w:t>
      </w:r>
      <w:r w:rsidRPr="00F126C0">
        <w:rPr>
          <w:rFonts w:ascii="Times New Roman" w:eastAsia="Calibri" w:hAnsi="Times New Roman" w:cs="Times New Roman"/>
          <w:sz w:val="24"/>
          <w:szCs w:val="24"/>
        </w:rPr>
        <w:t xml:space="preserve">, </w:t>
      </w:r>
      <w:r w:rsidR="00D15BC7">
        <w:rPr>
          <w:rFonts w:ascii="Times New Roman" w:eastAsia="Calibri" w:hAnsi="Times New Roman" w:cs="Times New Roman"/>
          <w:sz w:val="24"/>
          <w:szCs w:val="24"/>
        </w:rPr>
        <w:t xml:space="preserve">Mr </w:t>
      </w:r>
      <w:r w:rsidR="00D15BC7">
        <w:rPr>
          <w:rFonts w:ascii="Times New Roman" w:eastAsia="Calibri" w:hAnsi="Times New Roman" w:cs="Times New Roman"/>
          <w:i/>
          <w:iCs/>
          <w:sz w:val="24"/>
          <w:szCs w:val="24"/>
        </w:rPr>
        <w:t>Mugumba</w:t>
      </w:r>
      <w:r w:rsidR="004A769A" w:rsidRPr="00F126C0">
        <w:rPr>
          <w:rFonts w:ascii="Times New Roman" w:eastAsia="Calibri" w:hAnsi="Times New Roman" w:cs="Times New Roman"/>
          <w:sz w:val="24"/>
          <w:szCs w:val="24"/>
        </w:rPr>
        <w:t xml:space="preserve"> </w:t>
      </w:r>
      <w:r w:rsidR="00377996">
        <w:rPr>
          <w:rFonts w:ascii="Times New Roman" w:eastAsia="Calibri" w:hAnsi="Times New Roman" w:cs="Times New Roman"/>
          <w:sz w:val="24"/>
          <w:szCs w:val="24"/>
        </w:rPr>
        <w:t xml:space="preserve">for the respondent, </w:t>
      </w:r>
      <w:r w:rsidR="00D15BC7">
        <w:rPr>
          <w:rFonts w:ascii="Times New Roman" w:eastAsia="Calibri" w:hAnsi="Times New Roman" w:cs="Times New Roman"/>
          <w:sz w:val="24"/>
          <w:szCs w:val="24"/>
        </w:rPr>
        <w:t>submits</w:t>
      </w:r>
      <w:r w:rsidRPr="00F126C0">
        <w:rPr>
          <w:rFonts w:ascii="Times New Roman" w:eastAsia="Calibri" w:hAnsi="Times New Roman" w:cs="Times New Roman"/>
          <w:sz w:val="24"/>
          <w:szCs w:val="24"/>
        </w:rPr>
        <w:t xml:space="preserve"> that the obligation to pay</w:t>
      </w:r>
      <w:r w:rsidR="004A769A" w:rsidRPr="00F126C0">
        <w:rPr>
          <w:rFonts w:ascii="Times New Roman" w:eastAsia="Calibri" w:hAnsi="Times New Roman" w:cs="Times New Roman"/>
          <w:sz w:val="24"/>
          <w:szCs w:val="24"/>
        </w:rPr>
        <w:t xml:space="preserve"> the applicant’s debt</w:t>
      </w:r>
      <w:r w:rsidRPr="00F126C0">
        <w:rPr>
          <w:rFonts w:ascii="Times New Roman" w:eastAsia="Calibri" w:hAnsi="Times New Roman" w:cs="Times New Roman"/>
          <w:sz w:val="24"/>
          <w:szCs w:val="24"/>
        </w:rPr>
        <w:t xml:space="preserve"> arose when the damages were quantified on 21 October 2022, after the effective date </w:t>
      </w:r>
      <w:r w:rsidR="00D15BC7">
        <w:rPr>
          <w:rFonts w:ascii="Times New Roman" w:eastAsia="Calibri" w:hAnsi="Times New Roman" w:cs="Times New Roman"/>
          <w:sz w:val="24"/>
          <w:szCs w:val="24"/>
        </w:rPr>
        <w:t xml:space="preserve">of </w:t>
      </w:r>
      <w:r w:rsidR="00D15BC7" w:rsidRPr="00F126C0">
        <w:rPr>
          <w:rFonts w:ascii="Times New Roman" w:eastAsia="Calibri" w:hAnsi="Times New Roman" w:cs="Times New Roman"/>
          <w:sz w:val="24"/>
          <w:szCs w:val="24"/>
        </w:rPr>
        <w:t>S.I. 33 of 2019</w:t>
      </w:r>
      <w:r w:rsidR="00D15BC7">
        <w:rPr>
          <w:rFonts w:ascii="Times New Roman" w:eastAsia="Calibri" w:hAnsi="Times New Roman" w:cs="Times New Roman"/>
          <w:sz w:val="24"/>
          <w:szCs w:val="24"/>
        </w:rPr>
        <w:t>. Hence,</w:t>
      </w:r>
      <w:r w:rsidRPr="00F126C0">
        <w:rPr>
          <w:rFonts w:ascii="Times New Roman" w:eastAsia="Calibri" w:hAnsi="Times New Roman" w:cs="Times New Roman"/>
          <w:sz w:val="24"/>
          <w:szCs w:val="24"/>
        </w:rPr>
        <w:t xml:space="preserve"> damages </w:t>
      </w:r>
      <w:r w:rsidR="00377996">
        <w:rPr>
          <w:rFonts w:ascii="Times New Roman" w:eastAsia="Calibri" w:hAnsi="Times New Roman" w:cs="Times New Roman"/>
          <w:sz w:val="24"/>
          <w:szCs w:val="24"/>
        </w:rPr>
        <w:t>were</w:t>
      </w:r>
      <w:r w:rsidRPr="00F126C0">
        <w:rPr>
          <w:rFonts w:ascii="Times New Roman" w:eastAsia="Calibri" w:hAnsi="Times New Roman" w:cs="Times New Roman"/>
          <w:sz w:val="24"/>
          <w:szCs w:val="24"/>
        </w:rPr>
        <w:t xml:space="preserve"> payable at the interb</w:t>
      </w:r>
      <w:r w:rsidR="004A769A" w:rsidRPr="00F126C0">
        <w:rPr>
          <w:rFonts w:ascii="Times New Roman" w:eastAsia="Calibri" w:hAnsi="Times New Roman" w:cs="Times New Roman"/>
          <w:sz w:val="24"/>
          <w:szCs w:val="24"/>
        </w:rPr>
        <w:t>ank rate</w:t>
      </w:r>
      <w:r w:rsidR="00D15BC7">
        <w:rPr>
          <w:rFonts w:ascii="Times New Roman" w:eastAsia="Calibri" w:hAnsi="Times New Roman" w:cs="Times New Roman"/>
          <w:sz w:val="24"/>
          <w:szCs w:val="24"/>
        </w:rPr>
        <w:t xml:space="preserve"> applicable on the date of payment.</w:t>
      </w:r>
      <w:r w:rsidR="004A769A" w:rsidRPr="00F126C0">
        <w:rPr>
          <w:rFonts w:ascii="Times New Roman" w:eastAsia="Calibri" w:hAnsi="Times New Roman" w:cs="Times New Roman"/>
          <w:sz w:val="24"/>
          <w:szCs w:val="24"/>
        </w:rPr>
        <w:t xml:space="preserve"> </w:t>
      </w:r>
      <w:r w:rsidR="00D15BC7">
        <w:rPr>
          <w:rFonts w:ascii="Times New Roman" w:eastAsia="Calibri" w:hAnsi="Times New Roman" w:cs="Times New Roman"/>
          <w:sz w:val="24"/>
          <w:szCs w:val="24"/>
        </w:rPr>
        <w:t>In this regard,</w:t>
      </w:r>
      <w:r w:rsidRPr="00F126C0">
        <w:rPr>
          <w:rFonts w:ascii="Times New Roman" w:eastAsia="Calibri" w:hAnsi="Times New Roman" w:cs="Times New Roman"/>
          <w:sz w:val="24"/>
          <w:szCs w:val="24"/>
        </w:rPr>
        <w:t xml:space="preserve"> the decision of the Supreme Court did not violate the applicant’s right to equal protecti</w:t>
      </w:r>
      <w:r w:rsidR="004A769A" w:rsidRPr="00F126C0">
        <w:rPr>
          <w:rFonts w:ascii="Times New Roman" w:eastAsia="Calibri" w:hAnsi="Times New Roman" w:cs="Times New Roman"/>
          <w:sz w:val="24"/>
          <w:szCs w:val="24"/>
        </w:rPr>
        <w:t xml:space="preserve">on of the law. </w:t>
      </w:r>
      <w:r w:rsidR="00D15BC7">
        <w:rPr>
          <w:rFonts w:ascii="Times New Roman" w:eastAsia="Calibri" w:hAnsi="Times New Roman" w:cs="Times New Roman"/>
          <w:sz w:val="24"/>
          <w:szCs w:val="24"/>
        </w:rPr>
        <w:t>There</w:t>
      </w:r>
      <w:r w:rsidRPr="00F126C0">
        <w:rPr>
          <w:rFonts w:ascii="Times New Roman" w:eastAsia="Calibri" w:hAnsi="Times New Roman" w:cs="Times New Roman"/>
          <w:sz w:val="24"/>
          <w:szCs w:val="24"/>
        </w:rPr>
        <w:t xml:space="preserve"> is no evidence that the applicant was subjected to</w:t>
      </w:r>
      <w:r w:rsidR="004A769A" w:rsidRPr="00F126C0">
        <w:rPr>
          <w:rFonts w:ascii="Times New Roman" w:eastAsia="Calibri" w:hAnsi="Times New Roman" w:cs="Times New Roman"/>
          <w:sz w:val="24"/>
          <w:szCs w:val="24"/>
        </w:rPr>
        <w:t xml:space="preserve"> </w:t>
      </w:r>
      <w:r w:rsidR="00EB7998" w:rsidRPr="00F126C0">
        <w:rPr>
          <w:rFonts w:ascii="Times New Roman" w:eastAsia="Calibri" w:hAnsi="Times New Roman" w:cs="Times New Roman"/>
          <w:sz w:val="24"/>
          <w:szCs w:val="24"/>
        </w:rPr>
        <w:t xml:space="preserve">treatment which was </w:t>
      </w:r>
      <w:r w:rsidR="004A769A" w:rsidRPr="00F126C0">
        <w:rPr>
          <w:rFonts w:ascii="Times New Roman" w:eastAsia="Calibri" w:hAnsi="Times New Roman" w:cs="Times New Roman"/>
          <w:sz w:val="24"/>
          <w:szCs w:val="24"/>
        </w:rPr>
        <w:t>different</w:t>
      </w:r>
      <w:r w:rsidRPr="00F126C0">
        <w:rPr>
          <w:rFonts w:ascii="Times New Roman" w:eastAsia="Calibri" w:hAnsi="Times New Roman" w:cs="Times New Roman"/>
          <w:sz w:val="24"/>
          <w:szCs w:val="24"/>
        </w:rPr>
        <w:t xml:space="preserve"> </w:t>
      </w:r>
      <w:r w:rsidR="004A769A" w:rsidRPr="00F126C0">
        <w:rPr>
          <w:rFonts w:ascii="Times New Roman" w:eastAsia="Calibri" w:hAnsi="Times New Roman" w:cs="Times New Roman"/>
          <w:sz w:val="24"/>
          <w:szCs w:val="24"/>
        </w:rPr>
        <w:t xml:space="preserve">from </w:t>
      </w:r>
      <w:r w:rsidRPr="00F126C0">
        <w:rPr>
          <w:rFonts w:ascii="Times New Roman" w:eastAsia="Calibri" w:hAnsi="Times New Roman" w:cs="Times New Roman"/>
          <w:sz w:val="24"/>
          <w:szCs w:val="24"/>
        </w:rPr>
        <w:t>other persons</w:t>
      </w:r>
      <w:r w:rsidR="004A769A" w:rsidRPr="00F126C0">
        <w:rPr>
          <w:rFonts w:ascii="Times New Roman" w:eastAsia="Calibri" w:hAnsi="Times New Roman" w:cs="Times New Roman"/>
          <w:sz w:val="24"/>
          <w:szCs w:val="24"/>
        </w:rPr>
        <w:t xml:space="preserve"> who were</w:t>
      </w:r>
      <w:r w:rsidRPr="00F126C0">
        <w:rPr>
          <w:rFonts w:ascii="Times New Roman" w:eastAsia="Calibri" w:hAnsi="Times New Roman" w:cs="Times New Roman"/>
          <w:sz w:val="24"/>
          <w:szCs w:val="24"/>
        </w:rPr>
        <w:t xml:space="preserve"> in a similar p</w:t>
      </w:r>
      <w:r w:rsidR="00EB7998" w:rsidRPr="00F126C0">
        <w:rPr>
          <w:rFonts w:ascii="Times New Roman" w:eastAsia="Calibri" w:hAnsi="Times New Roman" w:cs="Times New Roman"/>
          <w:sz w:val="24"/>
          <w:szCs w:val="24"/>
        </w:rPr>
        <w:t xml:space="preserve">osition.  </w:t>
      </w:r>
      <w:r w:rsidR="007A5EBC">
        <w:rPr>
          <w:rFonts w:ascii="Times New Roman" w:eastAsia="Calibri" w:hAnsi="Times New Roman" w:cs="Times New Roman"/>
          <w:sz w:val="24"/>
          <w:szCs w:val="24"/>
        </w:rPr>
        <w:t>Therefore,</w:t>
      </w:r>
      <w:r w:rsidRPr="00F126C0">
        <w:rPr>
          <w:rFonts w:ascii="Times New Roman" w:eastAsia="Calibri" w:hAnsi="Times New Roman" w:cs="Times New Roman"/>
          <w:sz w:val="24"/>
          <w:szCs w:val="24"/>
        </w:rPr>
        <w:t xml:space="preserve"> the Supreme Court </w:t>
      </w:r>
      <w:r w:rsidR="00377996">
        <w:rPr>
          <w:rFonts w:ascii="Times New Roman" w:eastAsia="Calibri" w:hAnsi="Times New Roman" w:cs="Times New Roman"/>
          <w:sz w:val="24"/>
          <w:szCs w:val="24"/>
        </w:rPr>
        <w:t>was</w:t>
      </w:r>
      <w:r w:rsidRPr="00F126C0">
        <w:rPr>
          <w:rFonts w:ascii="Times New Roman" w:eastAsia="Calibri" w:hAnsi="Times New Roman" w:cs="Times New Roman"/>
          <w:sz w:val="24"/>
          <w:szCs w:val="24"/>
        </w:rPr>
        <w:t xml:space="preserve"> consistent in its interpreta</w:t>
      </w:r>
      <w:r w:rsidR="004A769A" w:rsidRPr="00F126C0">
        <w:rPr>
          <w:rFonts w:ascii="Times New Roman" w:eastAsia="Calibri" w:hAnsi="Times New Roman" w:cs="Times New Roman"/>
          <w:sz w:val="24"/>
          <w:szCs w:val="24"/>
        </w:rPr>
        <w:t>tion of S</w:t>
      </w:r>
      <w:r w:rsidR="00D9050D" w:rsidRPr="00F126C0">
        <w:rPr>
          <w:rFonts w:ascii="Times New Roman" w:eastAsia="Calibri" w:hAnsi="Times New Roman" w:cs="Times New Roman"/>
          <w:sz w:val="24"/>
          <w:szCs w:val="24"/>
        </w:rPr>
        <w:t>.</w:t>
      </w:r>
      <w:r w:rsidR="004A769A" w:rsidRPr="00F126C0">
        <w:rPr>
          <w:rFonts w:ascii="Times New Roman" w:eastAsia="Calibri" w:hAnsi="Times New Roman" w:cs="Times New Roman"/>
          <w:sz w:val="24"/>
          <w:szCs w:val="24"/>
        </w:rPr>
        <w:t>I</w:t>
      </w:r>
      <w:r w:rsidR="00D9050D" w:rsidRPr="00F126C0">
        <w:rPr>
          <w:rFonts w:ascii="Times New Roman" w:eastAsia="Calibri" w:hAnsi="Times New Roman" w:cs="Times New Roman"/>
          <w:sz w:val="24"/>
          <w:szCs w:val="24"/>
        </w:rPr>
        <w:t>.</w:t>
      </w:r>
      <w:r w:rsidR="004A769A" w:rsidRPr="00F126C0">
        <w:rPr>
          <w:rFonts w:ascii="Times New Roman" w:eastAsia="Calibri" w:hAnsi="Times New Roman" w:cs="Times New Roman"/>
          <w:sz w:val="24"/>
          <w:szCs w:val="24"/>
        </w:rPr>
        <w:t xml:space="preserve"> 33 of 2019.</w:t>
      </w:r>
    </w:p>
    <w:p w14:paraId="0695DDA1" w14:textId="565709A5" w:rsidR="00C812FB" w:rsidRPr="00F126C0" w:rsidRDefault="004A769A" w:rsidP="00774F6D">
      <w:pPr>
        <w:spacing w:after="0" w:line="480" w:lineRule="auto"/>
        <w:ind w:firstLine="720"/>
        <w:jc w:val="both"/>
        <w:rPr>
          <w:rFonts w:ascii="Times New Roman" w:eastAsia="Calibri" w:hAnsi="Times New Roman" w:cs="Times New Roman"/>
          <w:sz w:val="24"/>
          <w:szCs w:val="24"/>
        </w:rPr>
      </w:pPr>
      <w:r w:rsidRPr="00F126C0">
        <w:rPr>
          <w:rFonts w:ascii="Times New Roman" w:eastAsia="Calibri" w:hAnsi="Times New Roman" w:cs="Times New Roman"/>
          <w:sz w:val="24"/>
          <w:szCs w:val="24"/>
        </w:rPr>
        <w:t xml:space="preserve"> </w:t>
      </w:r>
    </w:p>
    <w:p w14:paraId="24E7441E" w14:textId="7DB0026D" w:rsidR="00365E2C" w:rsidRDefault="007A5EBC" w:rsidP="00774F6D">
      <w:pPr>
        <w:spacing w:after="0"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Mr </w:t>
      </w:r>
      <w:r>
        <w:rPr>
          <w:rFonts w:ascii="Times New Roman" w:eastAsia="Calibri" w:hAnsi="Times New Roman" w:cs="Times New Roman"/>
          <w:i/>
          <w:iCs/>
          <w:sz w:val="24"/>
          <w:szCs w:val="24"/>
        </w:rPr>
        <w:t>Mugumba</w:t>
      </w:r>
      <w:r>
        <w:rPr>
          <w:rFonts w:ascii="Times New Roman" w:eastAsia="Calibri" w:hAnsi="Times New Roman" w:cs="Times New Roman"/>
          <w:sz w:val="24"/>
          <w:szCs w:val="24"/>
        </w:rPr>
        <w:t xml:space="preserve"> also relies on the decisions in</w:t>
      </w:r>
      <w:r w:rsidR="00121002" w:rsidRPr="00F126C0">
        <w:rPr>
          <w:rFonts w:ascii="Times New Roman" w:eastAsia="Calibri" w:hAnsi="Times New Roman" w:cs="Times New Roman"/>
          <w:sz w:val="24"/>
          <w:szCs w:val="24"/>
        </w:rPr>
        <w:t xml:space="preserve"> </w:t>
      </w:r>
      <w:r w:rsidR="00121002" w:rsidRPr="00F126C0">
        <w:rPr>
          <w:rFonts w:ascii="Times New Roman" w:eastAsia="Calibri" w:hAnsi="Times New Roman" w:cs="Times New Roman"/>
          <w:i/>
          <w:sz w:val="24"/>
          <w:szCs w:val="24"/>
        </w:rPr>
        <w:t xml:space="preserve">Ingalulu (Pvt) Ltd &amp; Anor </w:t>
      </w:r>
      <w:r w:rsidR="00121002" w:rsidRPr="007A5EBC">
        <w:rPr>
          <w:rFonts w:ascii="Times New Roman" w:eastAsia="Calibri" w:hAnsi="Times New Roman" w:cs="Times New Roman"/>
          <w:iCs/>
          <w:sz w:val="24"/>
          <w:szCs w:val="24"/>
        </w:rPr>
        <w:t>v</w:t>
      </w:r>
      <w:r w:rsidR="00121002" w:rsidRPr="00F126C0">
        <w:rPr>
          <w:rFonts w:ascii="Times New Roman" w:eastAsia="Calibri" w:hAnsi="Times New Roman" w:cs="Times New Roman"/>
          <w:i/>
          <w:sz w:val="24"/>
          <w:szCs w:val="24"/>
        </w:rPr>
        <w:t xml:space="preserve"> National Railways of Zimbabwe</w:t>
      </w:r>
      <w:r w:rsidR="00121002" w:rsidRPr="00F126C0">
        <w:rPr>
          <w:rFonts w:ascii="Times New Roman" w:eastAsia="Calibri" w:hAnsi="Times New Roman" w:cs="Times New Roman"/>
          <w:sz w:val="24"/>
          <w:szCs w:val="24"/>
        </w:rPr>
        <w:t xml:space="preserve"> SC 42-22 and </w:t>
      </w:r>
      <w:r w:rsidR="00121002" w:rsidRPr="00F126C0">
        <w:rPr>
          <w:rFonts w:ascii="Times New Roman" w:eastAsia="Calibri" w:hAnsi="Times New Roman" w:cs="Times New Roman"/>
          <w:i/>
          <w:sz w:val="24"/>
          <w:szCs w:val="24"/>
        </w:rPr>
        <w:t xml:space="preserve">Magauzi </w:t>
      </w:r>
      <w:r w:rsidR="00121002" w:rsidRPr="007A5EBC">
        <w:rPr>
          <w:rFonts w:ascii="Times New Roman" w:eastAsia="Calibri" w:hAnsi="Times New Roman" w:cs="Times New Roman"/>
          <w:iCs/>
          <w:sz w:val="24"/>
          <w:szCs w:val="24"/>
        </w:rPr>
        <w:t>v</w:t>
      </w:r>
      <w:r w:rsidR="00121002" w:rsidRPr="00F126C0">
        <w:rPr>
          <w:rFonts w:ascii="Times New Roman" w:eastAsia="Calibri" w:hAnsi="Times New Roman" w:cs="Times New Roman"/>
          <w:i/>
          <w:sz w:val="24"/>
          <w:szCs w:val="24"/>
        </w:rPr>
        <w:t xml:space="preserve"> Jekera &amp; Anor</w:t>
      </w:r>
      <w:r w:rsidR="00121002" w:rsidRPr="00F126C0">
        <w:rPr>
          <w:rFonts w:ascii="Times New Roman" w:eastAsia="Calibri" w:hAnsi="Times New Roman" w:cs="Times New Roman"/>
          <w:sz w:val="24"/>
          <w:szCs w:val="24"/>
        </w:rPr>
        <w:t xml:space="preserve"> SC 54-22</w:t>
      </w:r>
      <w:r>
        <w:rPr>
          <w:rFonts w:ascii="Times New Roman" w:eastAsia="Calibri" w:hAnsi="Times New Roman" w:cs="Times New Roman"/>
          <w:sz w:val="24"/>
          <w:szCs w:val="24"/>
        </w:rPr>
        <w:t>. In these cases,</w:t>
      </w:r>
      <w:r w:rsidR="000E425C">
        <w:rPr>
          <w:rFonts w:ascii="Times New Roman" w:eastAsia="Calibri" w:hAnsi="Times New Roman" w:cs="Times New Roman"/>
          <w:sz w:val="24"/>
          <w:szCs w:val="24"/>
        </w:rPr>
        <w:t xml:space="preserve"> </w:t>
      </w:r>
      <w:r w:rsidR="00121002" w:rsidRPr="00F126C0">
        <w:rPr>
          <w:rFonts w:ascii="Times New Roman" w:eastAsia="Calibri" w:hAnsi="Times New Roman" w:cs="Times New Roman"/>
          <w:sz w:val="24"/>
          <w:szCs w:val="24"/>
        </w:rPr>
        <w:t xml:space="preserve">the Supreme Court maintained the view that debts expressed after the effective date </w:t>
      </w:r>
      <w:r>
        <w:rPr>
          <w:rFonts w:ascii="Times New Roman" w:eastAsia="Calibri" w:hAnsi="Times New Roman" w:cs="Times New Roman"/>
          <w:sz w:val="24"/>
          <w:szCs w:val="24"/>
        </w:rPr>
        <w:t xml:space="preserve">of </w:t>
      </w:r>
      <w:r w:rsidRPr="00F126C0">
        <w:rPr>
          <w:rFonts w:ascii="Times New Roman" w:eastAsia="Calibri" w:hAnsi="Times New Roman" w:cs="Times New Roman"/>
          <w:sz w:val="24"/>
          <w:szCs w:val="24"/>
        </w:rPr>
        <w:t>S.I. 33 of 2019</w:t>
      </w:r>
      <w:r>
        <w:rPr>
          <w:rFonts w:ascii="Times New Roman" w:eastAsia="Calibri" w:hAnsi="Times New Roman" w:cs="Times New Roman"/>
          <w:sz w:val="24"/>
          <w:szCs w:val="24"/>
        </w:rPr>
        <w:t xml:space="preserve"> </w:t>
      </w:r>
      <w:r w:rsidR="00377996">
        <w:rPr>
          <w:rFonts w:ascii="Times New Roman" w:eastAsia="Calibri" w:hAnsi="Times New Roman" w:cs="Times New Roman"/>
          <w:sz w:val="24"/>
          <w:szCs w:val="24"/>
        </w:rPr>
        <w:t>were</w:t>
      </w:r>
      <w:r w:rsidR="00121002" w:rsidRPr="00F126C0">
        <w:rPr>
          <w:rFonts w:ascii="Times New Roman" w:eastAsia="Calibri" w:hAnsi="Times New Roman" w:cs="Times New Roman"/>
          <w:sz w:val="24"/>
          <w:szCs w:val="24"/>
        </w:rPr>
        <w:t xml:space="preserve"> payable at the </w:t>
      </w:r>
      <w:r>
        <w:rPr>
          <w:rFonts w:ascii="Times New Roman" w:eastAsia="Calibri" w:hAnsi="Times New Roman" w:cs="Times New Roman"/>
          <w:sz w:val="24"/>
          <w:szCs w:val="24"/>
        </w:rPr>
        <w:t xml:space="preserve">prevailing </w:t>
      </w:r>
      <w:r w:rsidR="00121002" w:rsidRPr="00F126C0">
        <w:rPr>
          <w:rFonts w:ascii="Times New Roman" w:eastAsia="Calibri" w:hAnsi="Times New Roman" w:cs="Times New Roman"/>
          <w:sz w:val="24"/>
          <w:szCs w:val="24"/>
        </w:rPr>
        <w:t xml:space="preserve">interbank rate. </w:t>
      </w:r>
      <w:r>
        <w:rPr>
          <w:rFonts w:ascii="Times New Roman" w:eastAsia="Calibri" w:hAnsi="Times New Roman" w:cs="Times New Roman"/>
          <w:sz w:val="24"/>
          <w:szCs w:val="24"/>
        </w:rPr>
        <w:t xml:space="preserve">In any event, </w:t>
      </w:r>
      <w:r w:rsidR="000E425C">
        <w:rPr>
          <w:rFonts w:ascii="Times New Roman" w:eastAsia="Calibri" w:hAnsi="Times New Roman" w:cs="Times New Roman"/>
          <w:sz w:val="24"/>
          <w:szCs w:val="24"/>
        </w:rPr>
        <w:t xml:space="preserve">he further contends that </w:t>
      </w:r>
      <w:r w:rsidR="00896860" w:rsidRPr="00F126C0">
        <w:rPr>
          <w:rFonts w:ascii="Times New Roman" w:eastAsia="Calibri" w:hAnsi="Times New Roman" w:cs="Times New Roman"/>
          <w:sz w:val="24"/>
          <w:szCs w:val="24"/>
        </w:rPr>
        <w:t xml:space="preserve">the relief sought by the applicant </w:t>
      </w:r>
      <w:r w:rsidR="00554A4E">
        <w:rPr>
          <w:rFonts w:ascii="Times New Roman" w:eastAsia="Calibri" w:hAnsi="Times New Roman" w:cs="Times New Roman"/>
          <w:sz w:val="24"/>
          <w:szCs w:val="24"/>
        </w:rPr>
        <w:t>is</w:t>
      </w:r>
      <w:r w:rsidR="00896860" w:rsidRPr="00F126C0">
        <w:rPr>
          <w:rFonts w:ascii="Times New Roman" w:eastAsia="Calibri" w:hAnsi="Times New Roman" w:cs="Times New Roman"/>
          <w:sz w:val="24"/>
          <w:szCs w:val="24"/>
        </w:rPr>
        <w:t xml:space="preserve"> untenable as no constitutional issues were decided by the Supreme Court</w:t>
      </w:r>
      <w:r>
        <w:rPr>
          <w:rFonts w:ascii="Times New Roman" w:eastAsia="Calibri" w:hAnsi="Times New Roman" w:cs="Times New Roman"/>
          <w:sz w:val="24"/>
          <w:szCs w:val="24"/>
        </w:rPr>
        <w:t xml:space="preserve">. This rendered </w:t>
      </w:r>
      <w:r w:rsidR="004F439B">
        <w:rPr>
          <w:rFonts w:ascii="Times New Roman" w:eastAsia="Calibri" w:hAnsi="Times New Roman" w:cs="Times New Roman"/>
          <w:sz w:val="24"/>
          <w:szCs w:val="24"/>
        </w:rPr>
        <w:t>its</w:t>
      </w:r>
      <w:r>
        <w:rPr>
          <w:rFonts w:ascii="Times New Roman" w:eastAsia="Calibri" w:hAnsi="Times New Roman" w:cs="Times New Roman"/>
          <w:sz w:val="24"/>
          <w:szCs w:val="24"/>
        </w:rPr>
        <w:t xml:space="preserve"> </w:t>
      </w:r>
      <w:r w:rsidR="004F439B">
        <w:rPr>
          <w:rFonts w:ascii="Times New Roman" w:eastAsia="Calibri" w:hAnsi="Times New Roman" w:cs="Times New Roman"/>
          <w:sz w:val="24"/>
          <w:szCs w:val="24"/>
        </w:rPr>
        <w:t>decision</w:t>
      </w:r>
      <w:r w:rsidR="00896860" w:rsidRPr="00F126C0">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in this case </w:t>
      </w:r>
      <w:r w:rsidR="00896860" w:rsidRPr="00F126C0">
        <w:rPr>
          <w:rFonts w:ascii="Times New Roman" w:eastAsia="Calibri" w:hAnsi="Times New Roman" w:cs="Times New Roman"/>
          <w:sz w:val="24"/>
          <w:szCs w:val="24"/>
        </w:rPr>
        <w:t xml:space="preserve">final </w:t>
      </w:r>
      <w:r w:rsidR="004F439B">
        <w:rPr>
          <w:rFonts w:ascii="Times New Roman" w:eastAsia="Calibri" w:hAnsi="Times New Roman" w:cs="Times New Roman"/>
          <w:sz w:val="24"/>
          <w:szCs w:val="24"/>
        </w:rPr>
        <w:t xml:space="preserve">and binding </w:t>
      </w:r>
      <w:r w:rsidR="00896860" w:rsidRPr="00F126C0">
        <w:rPr>
          <w:rFonts w:ascii="Times New Roman" w:eastAsia="Calibri" w:hAnsi="Times New Roman" w:cs="Times New Roman"/>
          <w:sz w:val="24"/>
          <w:szCs w:val="24"/>
        </w:rPr>
        <w:t xml:space="preserve">in all </w:t>
      </w:r>
      <w:bookmarkStart w:id="1" w:name="_Hlk99213337"/>
      <w:r w:rsidR="00774F6D">
        <w:rPr>
          <w:rFonts w:ascii="Times New Roman" w:eastAsia="Calibri" w:hAnsi="Times New Roman" w:cs="Times New Roman"/>
          <w:sz w:val="24"/>
          <w:szCs w:val="24"/>
        </w:rPr>
        <w:t>respects.</w:t>
      </w:r>
    </w:p>
    <w:p w14:paraId="2547F61E" w14:textId="77777777" w:rsidR="00774F6D" w:rsidRDefault="00774F6D" w:rsidP="00774F6D">
      <w:pPr>
        <w:spacing w:after="0" w:line="480" w:lineRule="auto"/>
        <w:ind w:firstLine="720"/>
        <w:jc w:val="both"/>
        <w:rPr>
          <w:rFonts w:ascii="Times New Roman" w:eastAsia="Calibri" w:hAnsi="Times New Roman" w:cs="Times New Roman"/>
          <w:sz w:val="24"/>
          <w:szCs w:val="24"/>
        </w:rPr>
      </w:pPr>
    </w:p>
    <w:p w14:paraId="06F065B4" w14:textId="2DEB86C5" w:rsidR="00316673" w:rsidRPr="00316673" w:rsidRDefault="00316673" w:rsidP="00316673">
      <w:pPr>
        <w:spacing w:after="0" w:line="480" w:lineRule="auto"/>
        <w:jc w:val="both"/>
        <w:rPr>
          <w:rFonts w:ascii="Times New Roman" w:eastAsia="Calibri" w:hAnsi="Times New Roman" w:cs="Times New Roman"/>
          <w:sz w:val="24"/>
          <w:szCs w:val="24"/>
        </w:rPr>
      </w:pPr>
      <w:r>
        <w:rPr>
          <w:rFonts w:ascii="Times New Roman" w:eastAsia="Calibri" w:hAnsi="Times New Roman" w:cs="Times New Roman"/>
          <w:b/>
          <w:bCs/>
          <w:sz w:val="24"/>
          <w:szCs w:val="24"/>
        </w:rPr>
        <w:lastRenderedPageBreak/>
        <w:t>Requirements for Direct Access</w:t>
      </w:r>
    </w:p>
    <w:bookmarkEnd w:id="1"/>
    <w:p w14:paraId="1641AE95" w14:textId="5FA49961" w:rsidR="000E2985" w:rsidRPr="00F126C0" w:rsidRDefault="005C2944" w:rsidP="00316673">
      <w:pPr>
        <w:spacing w:after="0" w:line="480" w:lineRule="auto"/>
        <w:ind w:firstLine="720"/>
        <w:jc w:val="both"/>
        <w:rPr>
          <w:rFonts w:ascii="Times New Roman" w:eastAsia="Calibri" w:hAnsi="Times New Roman" w:cs="Times New Roman"/>
          <w:sz w:val="24"/>
          <w:szCs w:val="24"/>
        </w:rPr>
      </w:pPr>
      <w:r w:rsidRPr="00F126C0">
        <w:rPr>
          <w:rFonts w:ascii="Times New Roman" w:hAnsi="Times New Roman" w:cs="Times New Roman"/>
          <w:sz w:val="24"/>
          <w:szCs w:val="24"/>
        </w:rPr>
        <w:t>In an application of this nature</w:t>
      </w:r>
      <w:r w:rsidR="004A769A" w:rsidRPr="00F126C0">
        <w:rPr>
          <w:rFonts w:ascii="Times New Roman" w:hAnsi="Times New Roman" w:cs="Times New Roman"/>
          <w:sz w:val="24"/>
          <w:szCs w:val="24"/>
        </w:rPr>
        <w:t>,</w:t>
      </w:r>
      <w:r w:rsidRPr="00F126C0">
        <w:rPr>
          <w:rFonts w:ascii="Times New Roman" w:hAnsi="Times New Roman" w:cs="Times New Roman"/>
          <w:sz w:val="24"/>
          <w:szCs w:val="24"/>
        </w:rPr>
        <w:t xml:space="preserve"> a litigant has to satisfy the requirements set out in r 21(3) of the Rules</w:t>
      </w:r>
      <w:r w:rsidR="000E2985" w:rsidRPr="00F126C0">
        <w:rPr>
          <w:rFonts w:ascii="Times New Roman" w:eastAsia="Calibri" w:hAnsi="Times New Roman" w:cs="Times New Roman"/>
          <w:sz w:val="24"/>
          <w:szCs w:val="24"/>
        </w:rPr>
        <w:t xml:space="preserve"> which reads as follows: </w:t>
      </w:r>
    </w:p>
    <w:p w14:paraId="70D35295" w14:textId="77777777" w:rsidR="000E2985" w:rsidRPr="00F126C0" w:rsidRDefault="000E2985" w:rsidP="00F71B29">
      <w:pPr>
        <w:spacing w:after="0" w:line="240" w:lineRule="auto"/>
        <w:ind w:left="360"/>
        <w:jc w:val="both"/>
        <w:rPr>
          <w:rFonts w:ascii="Times New Roman" w:eastAsia="Calibri" w:hAnsi="Times New Roman" w:cs="Times New Roman"/>
          <w:sz w:val="24"/>
          <w:szCs w:val="24"/>
        </w:rPr>
      </w:pPr>
      <w:r w:rsidRPr="00F126C0">
        <w:rPr>
          <w:rFonts w:ascii="Times New Roman" w:eastAsia="Calibri" w:hAnsi="Times New Roman" w:cs="Times New Roman"/>
          <w:sz w:val="24"/>
          <w:szCs w:val="24"/>
        </w:rPr>
        <w:t xml:space="preserve">“(3) An application in terms of subrule (2) shall be filed with the Registrar and served on all parties with a direct or substantial interest in the relief claimed and shall set out— </w:t>
      </w:r>
    </w:p>
    <w:p w14:paraId="761410C4" w14:textId="27232761" w:rsidR="000E2985" w:rsidRPr="00F126C0" w:rsidRDefault="000E2985" w:rsidP="00365E2C">
      <w:pPr>
        <w:pStyle w:val="ListParagraph"/>
        <w:numPr>
          <w:ilvl w:val="0"/>
          <w:numId w:val="8"/>
        </w:numPr>
        <w:spacing w:after="160" w:line="240" w:lineRule="auto"/>
        <w:ind w:left="1080"/>
        <w:jc w:val="both"/>
        <w:rPr>
          <w:rFonts w:ascii="Times New Roman" w:eastAsia="Calibri" w:hAnsi="Times New Roman" w:cs="Times New Roman"/>
          <w:sz w:val="24"/>
          <w:szCs w:val="24"/>
        </w:rPr>
      </w:pPr>
      <w:r w:rsidRPr="00F126C0">
        <w:rPr>
          <w:rFonts w:ascii="Times New Roman" w:eastAsia="Calibri" w:hAnsi="Times New Roman" w:cs="Times New Roman"/>
          <w:sz w:val="24"/>
          <w:szCs w:val="24"/>
        </w:rPr>
        <w:t xml:space="preserve">the grounds on which it is contended that it is in the interests of justice that an order for direct access be granted; and </w:t>
      </w:r>
    </w:p>
    <w:p w14:paraId="7AD42C1B" w14:textId="7D959CCE" w:rsidR="000E2985" w:rsidRPr="00F126C0" w:rsidRDefault="000E2985" w:rsidP="00365E2C">
      <w:pPr>
        <w:pStyle w:val="ListParagraph"/>
        <w:numPr>
          <w:ilvl w:val="0"/>
          <w:numId w:val="8"/>
        </w:numPr>
        <w:spacing w:after="160" w:line="240" w:lineRule="auto"/>
        <w:ind w:left="1080"/>
        <w:jc w:val="both"/>
        <w:rPr>
          <w:rFonts w:ascii="Times New Roman" w:eastAsia="Calibri" w:hAnsi="Times New Roman" w:cs="Times New Roman"/>
          <w:sz w:val="24"/>
          <w:szCs w:val="24"/>
        </w:rPr>
      </w:pPr>
      <w:r w:rsidRPr="00F126C0">
        <w:rPr>
          <w:rFonts w:ascii="Times New Roman" w:eastAsia="Calibri" w:hAnsi="Times New Roman" w:cs="Times New Roman"/>
          <w:sz w:val="24"/>
          <w:szCs w:val="24"/>
        </w:rPr>
        <w:t xml:space="preserve">the nature of the relief sought and the grounds upon which such relief is based; and </w:t>
      </w:r>
    </w:p>
    <w:p w14:paraId="38AD0038" w14:textId="4FDA0F78" w:rsidR="000E2985" w:rsidRDefault="000E2985" w:rsidP="00774F6D">
      <w:pPr>
        <w:pStyle w:val="ListParagraph"/>
        <w:numPr>
          <w:ilvl w:val="0"/>
          <w:numId w:val="8"/>
        </w:numPr>
        <w:spacing w:after="0" w:line="240" w:lineRule="auto"/>
        <w:ind w:left="1080"/>
        <w:jc w:val="both"/>
        <w:rPr>
          <w:rFonts w:ascii="Times New Roman" w:eastAsia="Calibri" w:hAnsi="Times New Roman" w:cs="Times New Roman"/>
          <w:sz w:val="24"/>
          <w:szCs w:val="24"/>
        </w:rPr>
      </w:pPr>
      <w:r w:rsidRPr="00F126C0">
        <w:rPr>
          <w:rFonts w:ascii="Times New Roman" w:eastAsia="Calibri" w:hAnsi="Times New Roman" w:cs="Times New Roman"/>
          <w:sz w:val="24"/>
          <w:szCs w:val="24"/>
        </w:rPr>
        <w:t>whether the matter can be dealt with by the Court without the hearing of oral evidence or, if it cannot, how such evidence should be adduced and any conflict of facts resolved.”</w:t>
      </w:r>
    </w:p>
    <w:p w14:paraId="455EE001" w14:textId="77777777" w:rsidR="00774F6D" w:rsidRPr="00774F6D" w:rsidRDefault="00774F6D" w:rsidP="00F72E82">
      <w:pPr>
        <w:spacing w:after="0" w:line="480" w:lineRule="auto"/>
        <w:jc w:val="both"/>
        <w:rPr>
          <w:rFonts w:ascii="Times New Roman" w:eastAsia="Calibri" w:hAnsi="Times New Roman" w:cs="Times New Roman"/>
          <w:sz w:val="24"/>
          <w:szCs w:val="24"/>
        </w:rPr>
      </w:pPr>
    </w:p>
    <w:p w14:paraId="5FEE3A49" w14:textId="49C2B7F7" w:rsidR="000E2985" w:rsidRPr="00F126C0" w:rsidRDefault="000E2985" w:rsidP="00F72E82">
      <w:pPr>
        <w:spacing w:after="0" w:line="480" w:lineRule="auto"/>
        <w:ind w:firstLine="720"/>
        <w:jc w:val="both"/>
        <w:rPr>
          <w:rFonts w:ascii="Times New Roman" w:eastAsia="Calibri" w:hAnsi="Times New Roman" w:cs="Times New Roman"/>
          <w:sz w:val="24"/>
          <w:szCs w:val="24"/>
        </w:rPr>
      </w:pPr>
      <w:r w:rsidRPr="00F126C0">
        <w:rPr>
          <w:rFonts w:ascii="Times New Roman" w:eastAsia="Calibri" w:hAnsi="Times New Roman" w:cs="Times New Roman"/>
          <w:sz w:val="24"/>
          <w:szCs w:val="24"/>
        </w:rPr>
        <w:t>The “interests of justice”</w:t>
      </w:r>
      <w:r w:rsidR="00316673">
        <w:rPr>
          <w:rFonts w:ascii="Times New Roman" w:eastAsia="Calibri" w:hAnsi="Times New Roman" w:cs="Times New Roman"/>
          <w:sz w:val="24"/>
          <w:szCs w:val="24"/>
        </w:rPr>
        <w:t xml:space="preserve">, </w:t>
      </w:r>
      <w:r w:rsidRPr="00F126C0">
        <w:rPr>
          <w:rFonts w:ascii="Times New Roman" w:eastAsia="Calibri" w:hAnsi="Times New Roman" w:cs="Times New Roman"/>
          <w:sz w:val="24"/>
          <w:szCs w:val="24"/>
        </w:rPr>
        <w:t xml:space="preserve">as </w:t>
      </w:r>
      <w:r w:rsidR="00316673">
        <w:rPr>
          <w:rFonts w:ascii="Times New Roman" w:eastAsia="Calibri" w:hAnsi="Times New Roman" w:cs="Times New Roman"/>
          <w:sz w:val="24"/>
          <w:szCs w:val="24"/>
        </w:rPr>
        <w:t xml:space="preserve">contemplated </w:t>
      </w:r>
      <w:r w:rsidRPr="00F126C0">
        <w:rPr>
          <w:rFonts w:ascii="Times New Roman" w:eastAsia="Calibri" w:hAnsi="Times New Roman" w:cs="Times New Roman"/>
          <w:sz w:val="24"/>
          <w:szCs w:val="24"/>
        </w:rPr>
        <w:t>in rule 21(3)</w:t>
      </w:r>
      <w:r w:rsidR="00316673">
        <w:rPr>
          <w:rFonts w:ascii="Times New Roman" w:eastAsia="Calibri" w:hAnsi="Times New Roman" w:cs="Times New Roman"/>
          <w:sz w:val="24"/>
          <w:szCs w:val="24"/>
        </w:rPr>
        <w:t>,</w:t>
      </w:r>
      <w:r w:rsidRPr="00F126C0">
        <w:rPr>
          <w:rFonts w:ascii="Times New Roman" w:eastAsia="Calibri" w:hAnsi="Times New Roman" w:cs="Times New Roman"/>
          <w:sz w:val="24"/>
          <w:szCs w:val="24"/>
        </w:rPr>
        <w:t xml:space="preserve"> are </w:t>
      </w:r>
      <w:r w:rsidR="00316673">
        <w:rPr>
          <w:rFonts w:ascii="Times New Roman" w:eastAsia="Calibri" w:hAnsi="Times New Roman" w:cs="Times New Roman"/>
          <w:sz w:val="24"/>
          <w:szCs w:val="24"/>
        </w:rPr>
        <w:t>delineated</w:t>
      </w:r>
      <w:r w:rsidRPr="00F126C0">
        <w:rPr>
          <w:rFonts w:ascii="Times New Roman" w:eastAsia="Calibri" w:hAnsi="Times New Roman" w:cs="Times New Roman"/>
          <w:sz w:val="24"/>
          <w:szCs w:val="24"/>
        </w:rPr>
        <w:t xml:space="preserve"> in rule 21(8) as follows:</w:t>
      </w:r>
    </w:p>
    <w:p w14:paraId="513EE978" w14:textId="7472FD03" w:rsidR="000E2985" w:rsidRPr="00F126C0" w:rsidRDefault="000E2985" w:rsidP="003E6EDE">
      <w:pPr>
        <w:spacing w:after="0" w:line="240" w:lineRule="auto"/>
        <w:ind w:left="360"/>
        <w:jc w:val="both"/>
        <w:rPr>
          <w:rFonts w:ascii="Times New Roman" w:eastAsia="Calibri" w:hAnsi="Times New Roman" w:cs="Times New Roman"/>
          <w:sz w:val="24"/>
          <w:szCs w:val="24"/>
        </w:rPr>
      </w:pPr>
      <w:r w:rsidRPr="00F126C0">
        <w:rPr>
          <w:rFonts w:ascii="Times New Roman" w:eastAsia="Calibri" w:hAnsi="Times New Roman" w:cs="Times New Roman"/>
          <w:sz w:val="24"/>
          <w:szCs w:val="24"/>
        </w:rPr>
        <w:t>“(8) In determining whether or not it is in the interest</w:t>
      </w:r>
      <w:r w:rsidR="000F3D41">
        <w:rPr>
          <w:rFonts w:ascii="Times New Roman" w:eastAsia="Calibri" w:hAnsi="Times New Roman" w:cs="Times New Roman"/>
          <w:sz w:val="24"/>
          <w:szCs w:val="24"/>
        </w:rPr>
        <w:t>s</w:t>
      </w:r>
      <w:r w:rsidRPr="00F126C0">
        <w:rPr>
          <w:rFonts w:ascii="Times New Roman" w:eastAsia="Calibri" w:hAnsi="Times New Roman" w:cs="Times New Roman"/>
          <w:sz w:val="24"/>
          <w:szCs w:val="24"/>
        </w:rPr>
        <w:t xml:space="preserve"> of justice for a matter to be brought directly to the Court, the Court or Judge may, in addition to any other relevant consideration, take the following into account—</w:t>
      </w:r>
    </w:p>
    <w:p w14:paraId="758F9075" w14:textId="7B501757" w:rsidR="000E2985" w:rsidRPr="00F126C0" w:rsidRDefault="000E2985" w:rsidP="00365E2C">
      <w:pPr>
        <w:pStyle w:val="ListParagraph"/>
        <w:numPr>
          <w:ilvl w:val="0"/>
          <w:numId w:val="9"/>
        </w:numPr>
        <w:spacing w:after="160" w:line="240" w:lineRule="auto"/>
        <w:ind w:left="1080"/>
        <w:jc w:val="both"/>
        <w:rPr>
          <w:rFonts w:ascii="Times New Roman" w:eastAsia="Calibri" w:hAnsi="Times New Roman" w:cs="Times New Roman"/>
          <w:sz w:val="24"/>
          <w:szCs w:val="24"/>
        </w:rPr>
      </w:pPr>
      <w:r w:rsidRPr="00F126C0">
        <w:rPr>
          <w:rFonts w:ascii="Times New Roman" w:eastAsia="Calibri" w:hAnsi="Times New Roman" w:cs="Times New Roman"/>
          <w:sz w:val="24"/>
          <w:szCs w:val="24"/>
        </w:rPr>
        <w:t>the prospects of success if direct access is granted;</w:t>
      </w:r>
    </w:p>
    <w:p w14:paraId="1FA5DFFA" w14:textId="7DFF1B87" w:rsidR="000E2985" w:rsidRPr="00F126C0" w:rsidRDefault="000E2985" w:rsidP="00365E2C">
      <w:pPr>
        <w:pStyle w:val="ListParagraph"/>
        <w:numPr>
          <w:ilvl w:val="0"/>
          <w:numId w:val="9"/>
        </w:numPr>
        <w:spacing w:after="160" w:line="240" w:lineRule="auto"/>
        <w:ind w:left="1080"/>
        <w:jc w:val="both"/>
        <w:rPr>
          <w:rFonts w:ascii="Times New Roman" w:eastAsia="Calibri" w:hAnsi="Times New Roman" w:cs="Times New Roman"/>
          <w:sz w:val="24"/>
          <w:szCs w:val="24"/>
        </w:rPr>
      </w:pPr>
      <w:r w:rsidRPr="00F126C0">
        <w:rPr>
          <w:rFonts w:ascii="Times New Roman" w:eastAsia="Calibri" w:hAnsi="Times New Roman" w:cs="Times New Roman"/>
          <w:sz w:val="24"/>
          <w:szCs w:val="24"/>
        </w:rPr>
        <w:t xml:space="preserve">whether the applicant has any other remedy available to him or her; </w:t>
      </w:r>
    </w:p>
    <w:p w14:paraId="01B1B9FF" w14:textId="7E22C122" w:rsidR="003E6EDE" w:rsidRDefault="000E2985" w:rsidP="00774F6D">
      <w:pPr>
        <w:pStyle w:val="ListParagraph"/>
        <w:numPr>
          <w:ilvl w:val="0"/>
          <w:numId w:val="9"/>
        </w:numPr>
        <w:spacing w:after="0" w:line="240" w:lineRule="auto"/>
        <w:ind w:left="1080"/>
        <w:jc w:val="both"/>
        <w:rPr>
          <w:rFonts w:ascii="Times New Roman" w:eastAsia="Calibri" w:hAnsi="Times New Roman" w:cs="Times New Roman"/>
          <w:sz w:val="24"/>
          <w:szCs w:val="24"/>
        </w:rPr>
      </w:pPr>
      <w:r w:rsidRPr="00F126C0">
        <w:rPr>
          <w:rFonts w:ascii="Times New Roman" w:eastAsia="Calibri" w:hAnsi="Times New Roman" w:cs="Times New Roman"/>
          <w:sz w:val="24"/>
          <w:szCs w:val="24"/>
        </w:rPr>
        <w:t>whether there are disputes of fact in the matter.”</w:t>
      </w:r>
    </w:p>
    <w:p w14:paraId="56DF1ACF" w14:textId="77777777" w:rsidR="00774F6D" w:rsidRPr="00774F6D" w:rsidRDefault="00774F6D" w:rsidP="00F72E82">
      <w:pPr>
        <w:spacing w:after="0" w:line="480" w:lineRule="auto"/>
        <w:jc w:val="both"/>
        <w:rPr>
          <w:rFonts w:ascii="Times New Roman" w:eastAsia="Calibri" w:hAnsi="Times New Roman" w:cs="Times New Roman"/>
          <w:sz w:val="24"/>
          <w:szCs w:val="24"/>
        </w:rPr>
      </w:pPr>
    </w:p>
    <w:p w14:paraId="5ED142CD" w14:textId="6CDA832F" w:rsidR="000E2985" w:rsidRPr="00F126C0" w:rsidRDefault="003E6EDE" w:rsidP="00F72E82">
      <w:pPr>
        <w:spacing w:after="0"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The importance of establishing the interests of justice requirement was underscored in</w:t>
      </w:r>
      <w:r w:rsidR="003631AC">
        <w:rPr>
          <w:rFonts w:ascii="Times New Roman" w:eastAsia="Calibri" w:hAnsi="Times New Roman" w:cs="Times New Roman"/>
          <w:sz w:val="24"/>
          <w:szCs w:val="24"/>
        </w:rPr>
        <w:t xml:space="preserve"> </w:t>
      </w:r>
      <w:r w:rsidR="000E2985" w:rsidRPr="00F126C0">
        <w:rPr>
          <w:rFonts w:ascii="Times New Roman" w:eastAsia="Calibri" w:hAnsi="Times New Roman" w:cs="Times New Roman"/>
          <w:i/>
          <w:sz w:val="24"/>
          <w:szCs w:val="24"/>
        </w:rPr>
        <w:t xml:space="preserve">Denhere </w:t>
      </w:r>
      <w:r w:rsidR="003631AC">
        <w:rPr>
          <w:rFonts w:ascii="Times New Roman" w:eastAsia="Calibri" w:hAnsi="Times New Roman" w:cs="Times New Roman"/>
          <w:iCs/>
          <w:sz w:val="24"/>
          <w:szCs w:val="24"/>
        </w:rPr>
        <w:t>v</w:t>
      </w:r>
      <w:r w:rsidR="000E2985" w:rsidRPr="00F126C0">
        <w:rPr>
          <w:rFonts w:ascii="Times New Roman" w:eastAsia="Calibri" w:hAnsi="Times New Roman" w:cs="Times New Roman"/>
          <w:i/>
          <w:sz w:val="24"/>
          <w:szCs w:val="24"/>
        </w:rPr>
        <w:t xml:space="preserve"> Denhere &amp; Anor</w:t>
      </w:r>
      <w:r w:rsidR="000E2985" w:rsidRPr="00F126C0">
        <w:rPr>
          <w:rFonts w:ascii="Times New Roman" w:eastAsia="Calibri" w:hAnsi="Times New Roman" w:cs="Times New Roman"/>
          <w:i/>
          <w:iCs/>
          <w:sz w:val="24"/>
          <w:szCs w:val="24"/>
        </w:rPr>
        <w:t xml:space="preserve"> </w:t>
      </w:r>
      <w:r>
        <w:rPr>
          <w:rFonts w:ascii="Times New Roman" w:eastAsia="Calibri" w:hAnsi="Times New Roman" w:cs="Times New Roman"/>
          <w:sz w:val="24"/>
          <w:szCs w:val="24"/>
        </w:rPr>
        <w:t xml:space="preserve">CCZ 9-19, </w:t>
      </w:r>
      <w:r w:rsidR="000E2985" w:rsidRPr="00F126C0">
        <w:rPr>
          <w:rFonts w:ascii="Times New Roman" w:eastAsia="Calibri" w:hAnsi="Times New Roman" w:cs="Times New Roman"/>
          <w:sz w:val="24"/>
          <w:szCs w:val="24"/>
        </w:rPr>
        <w:t xml:space="preserve">at p 12, </w:t>
      </w:r>
      <w:r>
        <w:rPr>
          <w:rFonts w:ascii="Times New Roman" w:eastAsia="Calibri" w:hAnsi="Times New Roman" w:cs="Times New Roman"/>
          <w:sz w:val="24"/>
          <w:szCs w:val="24"/>
        </w:rPr>
        <w:t xml:space="preserve">where </w:t>
      </w:r>
      <w:r w:rsidR="000E2985" w:rsidRPr="00F126C0">
        <w:rPr>
          <w:rFonts w:ascii="Times New Roman" w:eastAsia="Calibri" w:hAnsi="Times New Roman" w:cs="Times New Roman"/>
          <w:sz w:val="24"/>
          <w:szCs w:val="24"/>
        </w:rPr>
        <w:t xml:space="preserve">this Court held that: </w:t>
      </w:r>
    </w:p>
    <w:p w14:paraId="04DDAF86" w14:textId="47A3663F" w:rsidR="00A9738B" w:rsidRDefault="000E2985" w:rsidP="00774F6D">
      <w:pPr>
        <w:spacing w:after="0" w:line="240" w:lineRule="auto"/>
        <w:ind w:left="720"/>
        <w:jc w:val="both"/>
        <w:rPr>
          <w:rFonts w:ascii="Times New Roman" w:eastAsia="Calibri" w:hAnsi="Times New Roman" w:cs="Times New Roman"/>
          <w:sz w:val="24"/>
          <w:szCs w:val="24"/>
          <w:lang w:val="en-GB"/>
        </w:rPr>
      </w:pPr>
      <w:r w:rsidRPr="00F126C0">
        <w:rPr>
          <w:rFonts w:ascii="Times New Roman" w:eastAsia="Calibri" w:hAnsi="Times New Roman" w:cs="Times New Roman"/>
          <w:sz w:val="24"/>
          <w:szCs w:val="24"/>
          <w:lang w:val="en-GB"/>
        </w:rPr>
        <w:t xml:space="preserve">“The underlying requirement is that the application ought to clearly illustrate that it is in the interests of justice that an order for direct access be granted. As was noted by the Court in the </w:t>
      </w:r>
      <w:r w:rsidRPr="00F126C0">
        <w:rPr>
          <w:rFonts w:ascii="Times New Roman" w:eastAsia="Calibri" w:hAnsi="Times New Roman" w:cs="Times New Roman"/>
          <w:i/>
          <w:sz w:val="24"/>
          <w:szCs w:val="24"/>
          <w:lang w:val="en-GB"/>
        </w:rPr>
        <w:t>Lytton Investments (Private) Limited</w:t>
      </w:r>
      <w:r w:rsidRPr="00F126C0">
        <w:rPr>
          <w:rFonts w:ascii="Times New Roman" w:eastAsia="Calibri" w:hAnsi="Times New Roman" w:cs="Times New Roman"/>
          <w:sz w:val="24"/>
          <w:szCs w:val="24"/>
          <w:lang w:val="en-GB"/>
        </w:rPr>
        <w:t xml:space="preserve"> case </w:t>
      </w:r>
      <w:r w:rsidRPr="00F126C0">
        <w:rPr>
          <w:rFonts w:ascii="Times New Roman" w:eastAsia="Calibri" w:hAnsi="Times New Roman" w:cs="Times New Roman"/>
          <w:i/>
          <w:sz w:val="24"/>
          <w:szCs w:val="24"/>
          <w:lang w:val="en-GB"/>
        </w:rPr>
        <w:t>supra</w:t>
      </w:r>
      <w:r w:rsidRPr="00F126C0">
        <w:rPr>
          <w:rFonts w:ascii="Times New Roman" w:eastAsia="Calibri" w:hAnsi="Times New Roman" w:cs="Times New Roman"/>
          <w:sz w:val="24"/>
          <w:szCs w:val="24"/>
          <w:lang w:val="en-GB"/>
        </w:rPr>
        <w:t>, the filtering mechanism for leave for direct access effectively prevents abuse of the remedy.”</w:t>
      </w:r>
    </w:p>
    <w:p w14:paraId="654AAA25" w14:textId="77777777" w:rsidR="00C366AB" w:rsidRDefault="00C366AB" w:rsidP="00F72E82">
      <w:pPr>
        <w:spacing w:after="0" w:line="480" w:lineRule="auto"/>
        <w:jc w:val="both"/>
        <w:rPr>
          <w:rFonts w:ascii="Times New Roman" w:eastAsia="Calibri" w:hAnsi="Times New Roman" w:cs="Times New Roman"/>
          <w:sz w:val="24"/>
          <w:szCs w:val="24"/>
          <w:lang w:val="en-GB"/>
        </w:rPr>
      </w:pPr>
    </w:p>
    <w:p w14:paraId="7A26386F" w14:textId="14A190AA" w:rsidR="00C366AB" w:rsidRDefault="00C366AB" w:rsidP="00C366AB">
      <w:pPr>
        <w:spacing w:after="0"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I would add at this juncture</w:t>
      </w:r>
      <w:r w:rsidRPr="00C366AB">
        <w:rPr>
          <w:rFonts w:ascii="Times New Roman" w:eastAsia="Calibri" w:hAnsi="Times New Roman" w:cs="Times New Roman"/>
          <w:sz w:val="24"/>
          <w:szCs w:val="24"/>
        </w:rPr>
        <w:t xml:space="preserve"> that in matters where the allegation founding </w:t>
      </w:r>
      <w:r>
        <w:rPr>
          <w:rFonts w:ascii="Times New Roman" w:eastAsia="Calibri" w:hAnsi="Times New Roman" w:cs="Times New Roman"/>
          <w:sz w:val="24"/>
          <w:szCs w:val="24"/>
        </w:rPr>
        <w:t>the</w:t>
      </w:r>
      <w:r w:rsidRPr="00C366AB">
        <w:rPr>
          <w:rFonts w:ascii="Times New Roman" w:eastAsia="Calibri" w:hAnsi="Times New Roman" w:cs="Times New Roman"/>
          <w:sz w:val="24"/>
          <w:szCs w:val="24"/>
        </w:rPr>
        <w:t xml:space="preserve"> cause of action in the intended application is that the Supreme Court, in deciding a non-constitutional matter, breached one or more fundamental rights of the applicant, the threshold to be met in establishing the interests of justice includes an allegation and demonstration of an erroneous decision, one that is arbitrary and amounts to </w:t>
      </w:r>
      <w:r>
        <w:rPr>
          <w:rFonts w:ascii="Times New Roman" w:eastAsia="Calibri" w:hAnsi="Times New Roman" w:cs="Times New Roman"/>
          <w:sz w:val="24"/>
          <w:szCs w:val="24"/>
        </w:rPr>
        <w:t xml:space="preserve">an </w:t>
      </w:r>
      <w:r w:rsidRPr="00C366AB">
        <w:rPr>
          <w:rFonts w:ascii="Times New Roman" w:eastAsia="Calibri" w:hAnsi="Times New Roman" w:cs="Times New Roman"/>
          <w:sz w:val="24"/>
          <w:szCs w:val="24"/>
        </w:rPr>
        <w:t xml:space="preserve">abdication of judicial authority. </w:t>
      </w:r>
      <w:r>
        <w:rPr>
          <w:rFonts w:ascii="Times New Roman" w:eastAsia="Calibri" w:hAnsi="Times New Roman" w:cs="Times New Roman"/>
          <w:sz w:val="24"/>
          <w:szCs w:val="24"/>
        </w:rPr>
        <w:t xml:space="preserve">In the absence </w:t>
      </w:r>
      <w:r>
        <w:rPr>
          <w:rFonts w:ascii="Times New Roman" w:eastAsia="Calibri" w:hAnsi="Times New Roman" w:cs="Times New Roman"/>
          <w:sz w:val="24"/>
          <w:szCs w:val="24"/>
        </w:rPr>
        <w:lastRenderedPageBreak/>
        <w:t>of such demonstration,</w:t>
      </w:r>
      <w:r w:rsidRPr="00C366AB">
        <w:rPr>
          <w:rFonts w:ascii="Times New Roman" w:eastAsia="Calibri" w:hAnsi="Times New Roman" w:cs="Times New Roman"/>
          <w:sz w:val="24"/>
          <w:szCs w:val="24"/>
        </w:rPr>
        <w:t xml:space="preserve"> the decision remains protected by the provisions of s 169 of the Constitution</w:t>
      </w:r>
      <w:r>
        <w:rPr>
          <w:rFonts w:ascii="Times New Roman" w:eastAsia="Calibri" w:hAnsi="Times New Roman" w:cs="Times New Roman"/>
          <w:sz w:val="24"/>
          <w:szCs w:val="24"/>
        </w:rPr>
        <w:t xml:space="preserve"> as one that is final and unappealable.</w:t>
      </w:r>
    </w:p>
    <w:p w14:paraId="2D288F65" w14:textId="77777777" w:rsidR="00C366AB" w:rsidRPr="00F126C0" w:rsidRDefault="00C366AB" w:rsidP="00C366AB">
      <w:pPr>
        <w:spacing w:after="0" w:line="480" w:lineRule="auto"/>
        <w:ind w:firstLine="720"/>
        <w:jc w:val="both"/>
        <w:rPr>
          <w:rFonts w:ascii="Times New Roman" w:eastAsia="Calibri" w:hAnsi="Times New Roman" w:cs="Times New Roman"/>
          <w:sz w:val="24"/>
          <w:szCs w:val="24"/>
          <w:lang w:val="en-GB"/>
        </w:rPr>
      </w:pPr>
    </w:p>
    <w:p w14:paraId="10F3D371" w14:textId="43E8E11B" w:rsidR="00774F6D" w:rsidRDefault="000F3D41" w:rsidP="00F72E8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In light of the foregoing, the principal issue arising for determination </w:t>
      </w:r>
      <w:r>
        <w:rPr>
          <w:rFonts w:ascii="Times New Roman" w:hAnsi="Times New Roman" w:cs="Times New Roman"/>
          <w:i/>
          <w:iCs/>
          <w:sz w:val="24"/>
          <w:szCs w:val="24"/>
        </w:rPr>
        <w:t>in casu</w:t>
      </w:r>
      <w:r>
        <w:rPr>
          <w:rFonts w:ascii="Times New Roman" w:hAnsi="Times New Roman" w:cs="Times New Roman"/>
          <w:sz w:val="24"/>
          <w:szCs w:val="24"/>
        </w:rPr>
        <w:t xml:space="preserve"> is whether or not, having regard to the applicant’s prospects of success in the intended application, it is in the interests of justice for this matter to be brought directly to this Court.</w:t>
      </w:r>
      <w:r w:rsidR="00044055">
        <w:rPr>
          <w:rFonts w:ascii="Times New Roman" w:hAnsi="Times New Roman" w:cs="Times New Roman"/>
          <w:sz w:val="24"/>
          <w:szCs w:val="24"/>
        </w:rPr>
        <w:t xml:space="preserve"> In </w:t>
      </w:r>
      <w:r w:rsidR="00D86E32">
        <w:rPr>
          <w:rFonts w:ascii="Times New Roman" w:hAnsi="Times New Roman" w:cs="Times New Roman"/>
          <w:sz w:val="24"/>
          <w:szCs w:val="24"/>
        </w:rPr>
        <w:t>evaluating the prospects of success</w:t>
      </w:r>
      <w:r w:rsidR="00044055">
        <w:rPr>
          <w:rFonts w:ascii="Times New Roman" w:hAnsi="Times New Roman" w:cs="Times New Roman"/>
          <w:sz w:val="24"/>
          <w:szCs w:val="24"/>
        </w:rPr>
        <w:t xml:space="preserve">, it is necessary in the first instance to ventilate </w:t>
      </w:r>
      <w:r w:rsidR="00D86E32">
        <w:rPr>
          <w:rFonts w:ascii="Times New Roman" w:hAnsi="Times New Roman" w:cs="Times New Roman"/>
          <w:sz w:val="24"/>
          <w:szCs w:val="24"/>
        </w:rPr>
        <w:t xml:space="preserve">and assess </w:t>
      </w:r>
      <w:r w:rsidR="00044055">
        <w:rPr>
          <w:rFonts w:ascii="Times New Roman" w:hAnsi="Times New Roman" w:cs="Times New Roman"/>
          <w:sz w:val="24"/>
          <w:szCs w:val="24"/>
        </w:rPr>
        <w:t>the submissions of the parties pertaining to the calculation and quantification</w:t>
      </w:r>
      <w:r w:rsidR="00616BF4">
        <w:rPr>
          <w:rFonts w:ascii="Times New Roman" w:hAnsi="Times New Roman" w:cs="Times New Roman"/>
          <w:sz w:val="24"/>
          <w:szCs w:val="24"/>
        </w:rPr>
        <w:t xml:space="preserve"> </w:t>
      </w:r>
      <w:r w:rsidR="00044055">
        <w:rPr>
          <w:rFonts w:ascii="Times New Roman" w:hAnsi="Times New Roman" w:cs="Times New Roman"/>
          <w:sz w:val="24"/>
          <w:szCs w:val="24"/>
        </w:rPr>
        <w:t xml:space="preserve">of damages </w:t>
      </w:r>
      <w:r w:rsidR="00044055">
        <w:rPr>
          <w:rFonts w:ascii="Times New Roman" w:hAnsi="Times New Roman" w:cs="Times New Roman"/>
          <w:i/>
          <w:iCs/>
          <w:sz w:val="24"/>
          <w:szCs w:val="24"/>
        </w:rPr>
        <w:t>in lieu</w:t>
      </w:r>
      <w:r w:rsidR="00044055">
        <w:rPr>
          <w:rFonts w:ascii="Times New Roman" w:hAnsi="Times New Roman" w:cs="Times New Roman"/>
          <w:sz w:val="24"/>
          <w:szCs w:val="24"/>
        </w:rPr>
        <w:t xml:space="preserve"> of reinstatement in </w:t>
      </w:r>
      <w:r w:rsidR="00D86E32">
        <w:rPr>
          <w:rFonts w:ascii="Times New Roman" w:hAnsi="Times New Roman" w:cs="Times New Roman"/>
          <w:sz w:val="24"/>
          <w:szCs w:val="24"/>
        </w:rPr>
        <w:t>the context of S.I. 33 of 2019.</w:t>
      </w:r>
    </w:p>
    <w:p w14:paraId="0F9BBEBB" w14:textId="77777777" w:rsidR="00F72E82" w:rsidRDefault="00F72E82" w:rsidP="00F72E82">
      <w:pPr>
        <w:spacing w:after="0" w:line="480" w:lineRule="auto"/>
        <w:jc w:val="both"/>
        <w:rPr>
          <w:rFonts w:ascii="Times New Roman" w:hAnsi="Times New Roman" w:cs="Times New Roman"/>
          <w:sz w:val="24"/>
          <w:szCs w:val="24"/>
        </w:rPr>
      </w:pPr>
    </w:p>
    <w:p w14:paraId="3E7962B1" w14:textId="4621D731" w:rsidR="00044055" w:rsidRDefault="00044055" w:rsidP="00774F6D">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Calculation and Quantification of Damages in Labour Matters</w:t>
      </w:r>
    </w:p>
    <w:p w14:paraId="6E61AD2C" w14:textId="77777777" w:rsidR="004172AC" w:rsidRDefault="00616BF4" w:rsidP="00774F6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On behalf of the applicant, it is submitted that damages </w:t>
      </w:r>
      <w:r>
        <w:rPr>
          <w:rFonts w:ascii="Times New Roman" w:hAnsi="Times New Roman" w:cs="Times New Roman"/>
          <w:i/>
          <w:iCs/>
          <w:sz w:val="24"/>
          <w:szCs w:val="24"/>
        </w:rPr>
        <w:t>in lieu</w:t>
      </w:r>
      <w:r>
        <w:rPr>
          <w:rFonts w:ascii="Times New Roman" w:hAnsi="Times New Roman" w:cs="Times New Roman"/>
          <w:sz w:val="24"/>
          <w:szCs w:val="24"/>
        </w:rPr>
        <w:t xml:space="preserve"> of reinstatement following unlawful dismissal must be calculated from the date of the wrongful dismissal, being the date when the contract of employment was breached</w:t>
      </w:r>
      <w:r w:rsidR="00D86E32">
        <w:rPr>
          <w:rFonts w:ascii="Times New Roman" w:hAnsi="Times New Roman" w:cs="Times New Roman"/>
          <w:sz w:val="24"/>
          <w:szCs w:val="24"/>
        </w:rPr>
        <w:t xml:space="preserve"> by its unlawful termination</w:t>
      </w:r>
      <w:r>
        <w:rPr>
          <w:rFonts w:ascii="Times New Roman" w:hAnsi="Times New Roman" w:cs="Times New Roman"/>
          <w:sz w:val="24"/>
          <w:szCs w:val="24"/>
        </w:rPr>
        <w:t xml:space="preserve">. </w:t>
      </w:r>
      <w:r w:rsidR="0025605B">
        <w:rPr>
          <w:rFonts w:ascii="Times New Roman" w:hAnsi="Times New Roman" w:cs="Times New Roman"/>
          <w:sz w:val="24"/>
          <w:szCs w:val="24"/>
        </w:rPr>
        <w:t xml:space="preserve">Damages for breach of contract are reckoned as from the date of breach, </w:t>
      </w:r>
      <w:r w:rsidR="00364D46">
        <w:rPr>
          <w:rFonts w:ascii="Times New Roman" w:hAnsi="Times New Roman" w:cs="Times New Roman"/>
          <w:sz w:val="24"/>
          <w:szCs w:val="24"/>
        </w:rPr>
        <w:t xml:space="preserve">regardless of their quantification. </w:t>
      </w:r>
      <w:r>
        <w:rPr>
          <w:rFonts w:ascii="Times New Roman" w:hAnsi="Times New Roman" w:cs="Times New Roman"/>
          <w:sz w:val="24"/>
          <w:szCs w:val="24"/>
        </w:rPr>
        <w:t>In the instant case, the contract was for payment in</w:t>
      </w:r>
      <w:r w:rsidR="0025605B">
        <w:rPr>
          <w:rFonts w:ascii="Times New Roman" w:hAnsi="Times New Roman" w:cs="Times New Roman"/>
          <w:sz w:val="24"/>
          <w:szCs w:val="24"/>
        </w:rPr>
        <w:t xml:space="preserve"> United States dollars and the respondent’s salary was due and payable in that currency as at the date of the unlawful termination of her employment. Thus, the applicant’s liability for damages</w:t>
      </w:r>
      <w:r w:rsidR="00364D46">
        <w:rPr>
          <w:rFonts w:ascii="Times New Roman" w:hAnsi="Times New Roman" w:cs="Times New Roman"/>
          <w:sz w:val="24"/>
          <w:szCs w:val="24"/>
        </w:rPr>
        <w:t xml:space="preserve"> as expressed in United States dollars</w:t>
      </w:r>
      <w:r w:rsidR="0025605B">
        <w:rPr>
          <w:rFonts w:ascii="Times New Roman" w:hAnsi="Times New Roman" w:cs="Times New Roman"/>
          <w:sz w:val="24"/>
          <w:szCs w:val="24"/>
        </w:rPr>
        <w:t xml:space="preserve"> arose and became due and payable on that date</w:t>
      </w:r>
      <w:r w:rsidR="00364D46">
        <w:rPr>
          <w:rFonts w:ascii="Times New Roman" w:hAnsi="Times New Roman" w:cs="Times New Roman"/>
          <w:sz w:val="24"/>
          <w:szCs w:val="24"/>
        </w:rPr>
        <w:t>,</w:t>
      </w:r>
      <w:r w:rsidR="004C5C9C">
        <w:rPr>
          <w:rFonts w:ascii="Times New Roman" w:hAnsi="Times New Roman" w:cs="Times New Roman"/>
          <w:sz w:val="24"/>
          <w:szCs w:val="24"/>
        </w:rPr>
        <w:t xml:space="preserve"> </w:t>
      </w:r>
      <w:r w:rsidR="004C5C9C">
        <w:rPr>
          <w:rFonts w:ascii="Times New Roman" w:hAnsi="Times New Roman" w:cs="Times New Roman"/>
          <w:i/>
          <w:iCs/>
          <w:sz w:val="24"/>
          <w:szCs w:val="24"/>
        </w:rPr>
        <w:t>i.e.</w:t>
      </w:r>
      <w:r w:rsidR="00364D46">
        <w:rPr>
          <w:rFonts w:ascii="Times New Roman" w:hAnsi="Times New Roman" w:cs="Times New Roman"/>
          <w:sz w:val="24"/>
          <w:szCs w:val="24"/>
        </w:rPr>
        <w:t xml:space="preserve"> before the effective date of S.I. 33 of 2019. Consequently, </w:t>
      </w:r>
      <w:r w:rsidR="00883B9A">
        <w:rPr>
          <w:rFonts w:ascii="Times New Roman" w:hAnsi="Times New Roman" w:cs="Times New Roman"/>
          <w:sz w:val="24"/>
          <w:szCs w:val="24"/>
        </w:rPr>
        <w:t xml:space="preserve">the damages due to the respondent </w:t>
      </w:r>
      <w:r w:rsidR="00856AFA">
        <w:rPr>
          <w:rFonts w:ascii="Times New Roman" w:hAnsi="Times New Roman" w:cs="Times New Roman"/>
          <w:sz w:val="24"/>
          <w:szCs w:val="24"/>
        </w:rPr>
        <w:t>were</w:t>
      </w:r>
      <w:r w:rsidR="00883B9A">
        <w:rPr>
          <w:rFonts w:ascii="Times New Roman" w:hAnsi="Times New Roman" w:cs="Times New Roman"/>
          <w:sz w:val="24"/>
          <w:szCs w:val="24"/>
        </w:rPr>
        <w:t xml:space="preserve"> to be calculated in United States dollars </w:t>
      </w:r>
      <w:r w:rsidR="00C72267">
        <w:rPr>
          <w:rFonts w:ascii="Times New Roman" w:hAnsi="Times New Roman" w:cs="Times New Roman"/>
          <w:sz w:val="24"/>
          <w:szCs w:val="24"/>
        </w:rPr>
        <w:t>as at the date of her unlawful dismissal. However, in terms of s 4(1)(d) of S.I. 33 of 2019, they</w:t>
      </w:r>
      <w:r w:rsidR="00883B9A">
        <w:rPr>
          <w:rFonts w:ascii="Times New Roman" w:hAnsi="Times New Roman" w:cs="Times New Roman"/>
          <w:sz w:val="24"/>
          <w:szCs w:val="24"/>
        </w:rPr>
        <w:t xml:space="preserve"> </w:t>
      </w:r>
      <w:r w:rsidR="00C72267">
        <w:rPr>
          <w:rFonts w:ascii="Times New Roman" w:hAnsi="Times New Roman" w:cs="Times New Roman"/>
          <w:sz w:val="24"/>
          <w:szCs w:val="24"/>
        </w:rPr>
        <w:t>became</w:t>
      </w:r>
      <w:r w:rsidR="00883B9A">
        <w:rPr>
          <w:rFonts w:ascii="Times New Roman" w:hAnsi="Times New Roman" w:cs="Times New Roman"/>
          <w:sz w:val="24"/>
          <w:szCs w:val="24"/>
        </w:rPr>
        <w:t xml:space="preserve"> payable in Zimbabwean dollars at the parity rate of one-to-one</w:t>
      </w:r>
      <w:r w:rsidR="00C72267">
        <w:rPr>
          <w:rFonts w:ascii="Times New Roman" w:hAnsi="Times New Roman" w:cs="Times New Roman"/>
          <w:sz w:val="24"/>
          <w:szCs w:val="24"/>
        </w:rPr>
        <w:t>, irrespective of the date of payment.</w:t>
      </w:r>
    </w:p>
    <w:p w14:paraId="2FFBE080" w14:textId="77777777" w:rsidR="004172AC" w:rsidRDefault="004172AC" w:rsidP="00774F6D">
      <w:pPr>
        <w:spacing w:after="0" w:line="480" w:lineRule="auto"/>
        <w:jc w:val="both"/>
        <w:rPr>
          <w:rFonts w:ascii="Times New Roman" w:hAnsi="Times New Roman" w:cs="Times New Roman"/>
          <w:sz w:val="24"/>
          <w:szCs w:val="24"/>
        </w:rPr>
      </w:pPr>
    </w:p>
    <w:p w14:paraId="5CA9A9F6" w14:textId="343D553D" w:rsidR="00856AFA" w:rsidRDefault="00856AFA" w:rsidP="004172AC">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In contrast, the argument advanced on behalf of the respondent </w:t>
      </w:r>
      <w:r w:rsidR="00BA5F3F">
        <w:rPr>
          <w:rFonts w:ascii="Times New Roman" w:hAnsi="Times New Roman" w:cs="Times New Roman"/>
          <w:sz w:val="24"/>
          <w:szCs w:val="24"/>
        </w:rPr>
        <w:t>runs</w:t>
      </w:r>
      <w:r>
        <w:rPr>
          <w:rFonts w:ascii="Times New Roman" w:hAnsi="Times New Roman" w:cs="Times New Roman"/>
          <w:sz w:val="24"/>
          <w:szCs w:val="24"/>
        </w:rPr>
        <w:t xml:space="preserve"> as follows. </w:t>
      </w:r>
      <w:r w:rsidR="00BD1D71">
        <w:rPr>
          <w:rFonts w:ascii="Times New Roman" w:hAnsi="Times New Roman" w:cs="Times New Roman"/>
          <w:sz w:val="24"/>
          <w:szCs w:val="24"/>
        </w:rPr>
        <w:t>The main issue before the Supreme Court was the correct conversion rate to be applied to the respondent’s claim for damages. The relevant judgment of the Labour Court was delivered on 21 October 2022, while the decision of the Supreme Court was rendered on 7 February 2024.</w:t>
      </w:r>
      <w:r w:rsidR="00A331A7">
        <w:rPr>
          <w:rFonts w:ascii="Times New Roman" w:hAnsi="Times New Roman" w:cs="Times New Roman"/>
          <w:sz w:val="24"/>
          <w:szCs w:val="24"/>
        </w:rPr>
        <w:t xml:space="preserve"> As at the effective date</w:t>
      </w:r>
      <w:r w:rsidR="00734CDB">
        <w:rPr>
          <w:rFonts w:ascii="Times New Roman" w:hAnsi="Times New Roman" w:cs="Times New Roman"/>
          <w:sz w:val="24"/>
          <w:szCs w:val="24"/>
        </w:rPr>
        <w:t xml:space="preserve"> of S.I. 33 of 2019</w:t>
      </w:r>
      <w:r w:rsidR="00A331A7">
        <w:rPr>
          <w:rFonts w:ascii="Times New Roman" w:hAnsi="Times New Roman" w:cs="Times New Roman"/>
          <w:sz w:val="24"/>
          <w:szCs w:val="24"/>
        </w:rPr>
        <w:t xml:space="preserve">, the applicant’s liability to pay damages was not as yet assessed or expressed in United States dollars. </w:t>
      </w:r>
      <w:r w:rsidR="00734CDB">
        <w:rPr>
          <w:rFonts w:ascii="Times New Roman" w:hAnsi="Times New Roman" w:cs="Times New Roman"/>
          <w:sz w:val="24"/>
          <w:szCs w:val="24"/>
        </w:rPr>
        <w:t>The</w:t>
      </w:r>
      <w:r w:rsidR="00BD1D71">
        <w:rPr>
          <w:rFonts w:ascii="Times New Roman" w:hAnsi="Times New Roman" w:cs="Times New Roman"/>
          <w:sz w:val="24"/>
          <w:szCs w:val="24"/>
        </w:rPr>
        <w:t xml:space="preserve"> judgment debt which created </w:t>
      </w:r>
      <w:r w:rsidR="00734CDB">
        <w:rPr>
          <w:rFonts w:ascii="Times New Roman" w:hAnsi="Times New Roman" w:cs="Times New Roman"/>
          <w:sz w:val="24"/>
          <w:szCs w:val="24"/>
        </w:rPr>
        <w:t xml:space="preserve">and quantified </w:t>
      </w:r>
      <w:r w:rsidR="00BD1D71">
        <w:rPr>
          <w:rFonts w:ascii="Times New Roman" w:hAnsi="Times New Roman" w:cs="Times New Roman"/>
          <w:sz w:val="24"/>
          <w:szCs w:val="24"/>
        </w:rPr>
        <w:t xml:space="preserve">the applicant’s obligation to pay damages </w:t>
      </w:r>
      <w:r w:rsidR="00734CDB">
        <w:rPr>
          <w:rFonts w:ascii="Times New Roman" w:hAnsi="Times New Roman" w:cs="Times New Roman"/>
          <w:sz w:val="24"/>
          <w:szCs w:val="24"/>
        </w:rPr>
        <w:t xml:space="preserve">in that currency </w:t>
      </w:r>
      <w:r w:rsidR="00BD1D71">
        <w:rPr>
          <w:rFonts w:ascii="Times New Roman" w:hAnsi="Times New Roman" w:cs="Times New Roman"/>
          <w:sz w:val="24"/>
          <w:szCs w:val="24"/>
        </w:rPr>
        <w:t>arose well after the effective date</w:t>
      </w:r>
      <w:r w:rsidR="00734CDB">
        <w:rPr>
          <w:rFonts w:ascii="Times New Roman" w:hAnsi="Times New Roman" w:cs="Times New Roman"/>
          <w:sz w:val="24"/>
          <w:szCs w:val="24"/>
        </w:rPr>
        <w:t>.</w:t>
      </w:r>
      <w:r w:rsidR="00A331A7">
        <w:rPr>
          <w:rFonts w:ascii="Times New Roman" w:hAnsi="Times New Roman" w:cs="Times New Roman"/>
          <w:sz w:val="24"/>
          <w:szCs w:val="24"/>
        </w:rPr>
        <w:t xml:space="preserve"> </w:t>
      </w:r>
      <w:r w:rsidR="00734CDB">
        <w:rPr>
          <w:rFonts w:ascii="Times New Roman" w:hAnsi="Times New Roman" w:cs="Times New Roman"/>
          <w:sz w:val="24"/>
          <w:szCs w:val="24"/>
        </w:rPr>
        <w:t xml:space="preserve">Thus, that liability was to be discharged </w:t>
      </w:r>
      <w:r w:rsidR="00264946">
        <w:rPr>
          <w:rFonts w:ascii="Times New Roman" w:hAnsi="Times New Roman" w:cs="Times New Roman"/>
          <w:sz w:val="24"/>
          <w:szCs w:val="24"/>
        </w:rPr>
        <w:t xml:space="preserve">in Zimbabwean dollars </w:t>
      </w:r>
      <w:r w:rsidR="00734CDB">
        <w:rPr>
          <w:rFonts w:ascii="Times New Roman" w:hAnsi="Times New Roman" w:cs="Times New Roman"/>
          <w:sz w:val="24"/>
          <w:szCs w:val="24"/>
        </w:rPr>
        <w:t xml:space="preserve">at the interbank rate </w:t>
      </w:r>
      <w:r w:rsidR="00105A2C">
        <w:rPr>
          <w:rFonts w:ascii="Times New Roman" w:hAnsi="Times New Roman" w:cs="Times New Roman"/>
          <w:sz w:val="24"/>
          <w:szCs w:val="24"/>
        </w:rPr>
        <w:t>applicable</w:t>
      </w:r>
      <w:r w:rsidR="00734CDB">
        <w:rPr>
          <w:rFonts w:ascii="Times New Roman" w:hAnsi="Times New Roman" w:cs="Times New Roman"/>
          <w:sz w:val="24"/>
          <w:szCs w:val="24"/>
        </w:rPr>
        <w:t xml:space="preserve"> at the time of payment.</w:t>
      </w:r>
    </w:p>
    <w:p w14:paraId="2FE335ED" w14:textId="77777777" w:rsidR="00774F6D" w:rsidRDefault="00774F6D" w:rsidP="00774F6D">
      <w:pPr>
        <w:spacing w:after="0" w:line="480" w:lineRule="auto"/>
        <w:jc w:val="both"/>
        <w:rPr>
          <w:rFonts w:ascii="Times New Roman" w:hAnsi="Times New Roman" w:cs="Times New Roman"/>
          <w:sz w:val="24"/>
          <w:szCs w:val="24"/>
        </w:rPr>
      </w:pPr>
    </w:p>
    <w:p w14:paraId="01E703BA" w14:textId="1870323C" w:rsidR="0071126D" w:rsidRDefault="0071126D" w:rsidP="00F72E8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On the facts of this case, I am inclined to agree with the position advanced by the respondent and adopted by the court </w:t>
      </w:r>
      <w:r>
        <w:rPr>
          <w:rFonts w:ascii="Times New Roman" w:hAnsi="Times New Roman" w:cs="Times New Roman"/>
          <w:i/>
          <w:iCs/>
          <w:sz w:val="24"/>
          <w:szCs w:val="24"/>
        </w:rPr>
        <w:t>a quo</w:t>
      </w:r>
      <w:r>
        <w:rPr>
          <w:rFonts w:ascii="Times New Roman" w:hAnsi="Times New Roman" w:cs="Times New Roman"/>
          <w:sz w:val="24"/>
          <w:szCs w:val="24"/>
        </w:rPr>
        <w:t xml:space="preserve">. While the damages payable to the respondent by the applicant were capable of being calculated in United States dollars before the effective date of S.I. 33 of 2019, </w:t>
      </w:r>
      <w:r w:rsidR="00105A2C">
        <w:rPr>
          <w:rFonts w:ascii="Times New Roman" w:hAnsi="Times New Roman" w:cs="Times New Roman"/>
          <w:sz w:val="24"/>
          <w:szCs w:val="24"/>
        </w:rPr>
        <w:t xml:space="preserve">they had not been </w:t>
      </w:r>
      <w:r w:rsidR="00DC5637">
        <w:rPr>
          <w:rFonts w:ascii="Times New Roman" w:hAnsi="Times New Roman" w:cs="Times New Roman"/>
          <w:sz w:val="24"/>
          <w:szCs w:val="24"/>
        </w:rPr>
        <w:t xml:space="preserve">so </w:t>
      </w:r>
      <w:r w:rsidR="00105A2C">
        <w:rPr>
          <w:rFonts w:ascii="Times New Roman" w:hAnsi="Times New Roman" w:cs="Times New Roman"/>
          <w:sz w:val="24"/>
          <w:szCs w:val="24"/>
        </w:rPr>
        <w:t>agreed</w:t>
      </w:r>
      <w:r w:rsidR="00264946">
        <w:rPr>
          <w:rFonts w:ascii="Times New Roman" w:hAnsi="Times New Roman" w:cs="Times New Roman"/>
          <w:sz w:val="24"/>
          <w:szCs w:val="24"/>
        </w:rPr>
        <w:t xml:space="preserve"> or</w:t>
      </w:r>
      <w:r w:rsidR="00105A2C">
        <w:rPr>
          <w:rFonts w:ascii="Times New Roman" w:hAnsi="Times New Roman" w:cs="Times New Roman"/>
          <w:sz w:val="24"/>
          <w:szCs w:val="24"/>
        </w:rPr>
        <w:t xml:space="preserve"> quantified </w:t>
      </w:r>
      <w:r w:rsidR="00264946">
        <w:rPr>
          <w:rFonts w:ascii="Times New Roman" w:hAnsi="Times New Roman" w:cs="Times New Roman"/>
          <w:sz w:val="24"/>
          <w:szCs w:val="24"/>
        </w:rPr>
        <w:t xml:space="preserve">and therefore expressed </w:t>
      </w:r>
      <w:r w:rsidR="00105A2C">
        <w:rPr>
          <w:rFonts w:ascii="Times New Roman" w:hAnsi="Times New Roman" w:cs="Times New Roman"/>
          <w:sz w:val="24"/>
          <w:szCs w:val="24"/>
        </w:rPr>
        <w:t>in that currency at any time before that date. They only became a liability in the form of a judgment debt</w:t>
      </w:r>
      <w:r w:rsidR="00264946">
        <w:rPr>
          <w:rFonts w:ascii="Times New Roman" w:hAnsi="Times New Roman" w:cs="Times New Roman"/>
          <w:sz w:val="24"/>
          <w:szCs w:val="24"/>
        </w:rPr>
        <w:t>,</w:t>
      </w:r>
      <w:r w:rsidR="00105A2C">
        <w:rPr>
          <w:rFonts w:ascii="Times New Roman" w:hAnsi="Times New Roman" w:cs="Times New Roman"/>
          <w:sz w:val="24"/>
          <w:szCs w:val="24"/>
        </w:rPr>
        <w:t xml:space="preserve"> within the contemplation </w:t>
      </w:r>
      <w:r w:rsidR="00264946">
        <w:rPr>
          <w:rFonts w:ascii="Times New Roman" w:hAnsi="Times New Roman" w:cs="Times New Roman"/>
          <w:sz w:val="24"/>
          <w:szCs w:val="24"/>
        </w:rPr>
        <w:t xml:space="preserve">of s 4(1)(d) </w:t>
      </w:r>
      <w:r w:rsidR="00105A2C">
        <w:rPr>
          <w:rFonts w:ascii="Times New Roman" w:hAnsi="Times New Roman" w:cs="Times New Roman"/>
          <w:sz w:val="24"/>
          <w:szCs w:val="24"/>
        </w:rPr>
        <w:t>of S.I. 33 of 2019</w:t>
      </w:r>
      <w:r w:rsidR="00264946">
        <w:rPr>
          <w:rFonts w:ascii="Times New Roman" w:hAnsi="Times New Roman" w:cs="Times New Roman"/>
          <w:sz w:val="24"/>
          <w:szCs w:val="24"/>
        </w:rPr>
        <w:t>,</w:t>
      </w:r>
      <w:r w:rsidR="00105A2C">
        <w:rPr>
          <w:rFonts w:ascii="Times New Roman" w:hAnsi="Times New Roman" w:cs="Times New Roman"/>
          <w:sz w:val="24"/>
          <w:szCs w:val="24"/>
        </w:rPr>
        <w:t xml:space="preserve"> after the effective date of 22 February 2019. </w:t>
      </w:r>
      <w:r w:rsidR="00264946">
        <w:rPr>
          <w:rFonts w:ascii="Times New Roman" w:hAnsi="Times New Roman" w:cs="Times New Roman"/>
          <w:sz w:val="24"/>
          <w:szCs w:val="24"/>
        </w:rPr>
        <w:t>Consequently, in accordance with s 4(1)(e) of S.I. 33 of 2019, they must be discharged in Zimbabwean dollars, not at the parity rate of one-to-one, but at the interbank rate prevailing at the time of payment.</w:t>
      </w:r>
    </w:p>
    <w:p w14:paraId="4C4322A7" w14:textId="77777777" w:rsidR="00F72E82" w:rsidRDefault="00F72E82" w:rsidP="00F72E82">
      <w:pPr>
        <w:spacing w:after="0" w:line="480" w:lineRule="auto"/>
        <w:jc w:val="both"/>
        <w:rPr>
          <w:rFonts w:ascii="Times New Roman" w:hAnsi="Times New Roman" w:cs="Times New Roman"/>
          <w:sz w:val="24"/>
          <w:szCs w:val="24"/>
        </w:rPr>
      </w:pPr>
    </w:p>
    <w:p w14:paraId="69FB3BF6" w14:textId="46952F7E" w:rsidR="00CD7991" w:rsidRDefault="0071126D" w:rsidP="00F72E8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963B95">
        <w:rPr>
          <w:rFonts w:ascii="Times New Roman" w:hAnsi="Times New Roman" w:cs="Times New Roman"/>
          <w:sz w:val="24"/>
          <w:szCs w:val="24"/>
        </w:rPr>
        <w:t xml:space="preserve">Additionally, I note that the same position was accepted and adopted in two other decisions of the Supreme Court, namely, the </w:t>
      </w:r>
      <w:r w:rsidR="00963B95">
        <w:rPr>
          <w:rFonts w:ascii="Times New Roman" w:hAnsi="Times New Roman" w:cs="Times New Roman"/>
          <w:i/>
          <w:iCs/>
          <w:sz w:val="24"/>
          <w:szCs w:val="24"/>
        </w:rPr>
        <w:t>Ingalulu</w:t>
      </w:r>
      <w:r w:rsidR="00963B95">
        <w:rPr>
          <w:rFonts w:ascii="Times New Roman" w:hAnsi="Times New Roman" w:cs="Times New Roman"/>
          <w:sz w:val="24"/>
          <w:szCs w:val="24"/>
        </w:rPr>
        <w:t xml:space="preserve"> and </w:t>
      </w:r>
      <w:r w:rsidR="00963B95">
        <w:rPr>
          <w:rFonts w:ascii="Times New Roman" w:hAnsi="Times New Roman" w:cs="Times New Roman"/>
          <w:i/>
          <w:iCs/>
          <w:sz w:val="24"/>
          <w:szCs w:val="24"/>
        </w:rPr>
        <w:t>Magauzi</w:t>
      </w:r>
      <w:r w:rsidR="00963B95">
        <w:rPr>
          <w:rFonts w:ascii="Times New Roman" w:hAnsi="Times New Roman" w:cs="Times New Roman"/>
          <w:sz w:val="24"/>
          <w:szCs w:val="24"/>
        </w:rPr>
        <w:t xml:space="preserve"> cases, </w:t>
      </w:r>
      <w:r w:rsidR="00963B95">
        <w:rPr>
          <w:rFonts w:ascii="Times New Roman" w:hAnsi="Times New Roman" w:cs="Times New Roman"/>
          <w:i/>
          <w:iCs/>
          <w:sz w:val="24"/>
          <w:szCs w:val="24"/>
        </w:rPr>
        <w:t>supra</w:t>
      </w:r>
      <w:r w:rsidR="00D9113C">
        <w:rPr>
          <w:rFonts w:ascii="Times New Roman" w:hAnsi="Times New Roman" w:cs="Times New Roman"/>
          <w:sz w:val="24"/>
          <w:szCs w:val="24"/>
        </w:rPr>
        <w:t xml:space="preserve">, which are relied upon by counsel for the respondent. In the former case, it was held that the origin of the liability in question is irrelevant. </w:t>
      </w:r>
      <w:r w:rsidR="00A255CE">
        <w:rPr>
          <w:rFonts w:ascii="Times New Roman" w:hAnsi="Times New Roman" w:cs="Times New Roman"/>
          <w:sz w:val="24"/>
          <w:szCs w:val="24"/>
        </w:rPr>
        <w:t>W</w:t>
      </w:r>
      <w:r w:rsidR="00D9113C">
        <w:rPr>
          <w:rFonts w:ascii="Times New Roman" w:hAnsi="Times New Roman" w:cs="Times New Roman"/>
          <w:sz w:val="24"/>
          <w:szCs w:val="24"/>
        </w:rPr>
        <w:t>hat matters is the date of expression of that liability for the purpose of determining the applicable rate of exchange,</w:t>
      </w:r>
      <w:r w:rsidR="00A255CE">
        <w:rPr>
          <w:rFonts w:ascii="Times New Roman" w:hAnsi="Times New Roman" w:cs="Times New Roman"/>
          <w:sz w:val="24"/>
          <w:szCs w:val="24"/>
        </w:rPr>
        <w:t xml:space="preserve"> namely, </w:t>
      </w:r>
      <w:r w:rsidR="00D9113C">
        <w:rPr>
          <w:rFonts w:ascii="Times New Roman" w:hAnsi="Times New Roman" w:cs="Times New Roman"/>
          <w:sz w:val="24"/>
          <w:szCs w:val="24"/>
        </w:rPr>
        <w:t xml:space="preserve">the interbank rate. Similarly, </w:t>
      </w:r>
      <w:r w:rsidR="00D9113C">
        <w:rPr>
          <w:rFonts w:ascii="Times New Roman" w:hAnsi="Times New Roman" w:cs="Times New Roman"/>
          <w:sz w:val="24"/>
          <w:szCs w:val="24"/>
        </w:rPr>
        <w:lastRenderedPageBreak/>
        <w:t xml:space="preserve">in the latter case, a consent order was concluded on the </w:t>
      </w:r>
      <w:r w:rsidR="00A255CE">
        <w:rPr>
          <w:rFonts w:ascii="Times New Roman" w:hAnsi="Times New Roman" w:cs="Times New Roman"/>
          <w:sz w:val="24"/>
          <w:szCs w:val="24"/>
        </w:rPr>
        <w:t xml:space="preserve">effective date, </w:t>
      </w:r>
      <w:r w:rsidR="00A255CE">
        <w:rPr>
          <w:rFonts w:ascii="Times New Roman" w:hAnsi="Times New Roman" w:cs="Times New Roman"/>
          <w:i/>
          <w:iCs/>
          <w:sz w:val="24"/>
          <w:szCs w:val="24"/>
        </w:rPr>
        <w:t>i.e.</w:t>
      </w:r>
      <w:r w:rsidR="00A255CE">
        <w:rPr>
          <w:rFonts w:ascii="Times New Roman" w:hAnsi="Times New Roman" w:cs="Times New Roman"/>
          <w:sz w:val="24"/>
          <w:szCs w:val="24"/>
        </w:rPr>
        <w:t xml:space="preserve"> 22 February 2019. It was held that the debt in question was to be discharged at the interbank rate. What these cases demonstrate is that the approach of the court </w:t>
      </w:r>
      <w:r w:rsidR="00A255CE">
        <w:rPr>
          <w:rFonts w:ascii="Times New Roman" w:hAnsi="Times New Roman" w:cs="Times New Roman"/>
          <w:i/>
          <w:iCs/>
          <w:sz w:val="24"/>
          <w:szCs w:val="24"/>
        </w:rPr>
        <w:t>a quo</w:t>
      </w:r>
      <w:r w:rsidR="00A255CE">
        <w:rPr>
          <w:rFonts w:ascii="Times New Roman" w:hAnsi="Times New Roman" w:cs="Times New Roman"/>
          <w:sz w:val="24"/>
          <w:szCs w:val="24"/>
        </w:rPr>
        <w:t xml:space="preserve"> in endorsing the interbank rate applicable at the time of payment is consistent with other decisions of the Supreme Court.</w:t>
      </w:r>
    </w:p>
    <w:p w14:paraId="4BC0A904" w14:textId="77777777" w:rsidR="00F72E82" w:rsidRDefault="00F72E82" w:rsidP="00F72E82">
      <w:pPr>
        <w:spacing w:after="0" w:line="480" w:lineRule="auto"/>
        <w:jc w:val="both"/>
        <w:rPr>
          <w:rFonts w:ascii="Times New Roman" w:hAnsi="Times New Roman" w:cs="Times New Roman"/>
          <w:sz w:val="24"/>
          <w:szCs w:val="24"/>
        </w:rPr>
      </w:pPr>
    </w:p>
    <w:p w14:paraId="4A8A64ED" w14:textId="77777777" w:rsidR="00D1435C" w:rsidRPr="00856AFA" w:rsidRDefault="00D1435C" w:rsidP="00D1435C">
      <w:pPr>
        <w:spacing w:after="0" w:line="480" w:lineRule="auto"/>
        <w:jc w:val="both"/>
        <w:rPr>
          <w:rFonts w:ascii="Times New Roman" w:hAnsi="Times New Roman" w:cs="Times New Roman"/>
          <w:b/>
          <w:bCs/>
          <w:sz w:val="24"/>
          <w:szCs w:val="24"/>
          <w:u w:val="single"/>
        </w:rPr>
      </w:pPr>
      <w:r>
        <w:rPr>
          <w:rFonts w:ascii="Times New Roman" w:hAnsi="Times New Roman" w:cs="Times New Roman"/>
          <w:b/>
          <w:bCs/>
          <w:sz w:val="24"/>
          <w:szCs w:val="24"/>
        </w:rPr>
        <w:t>Right to Equal Protection and Benefit of the Law</w:t>
      </w:r>
    </w:p>
    <w:p w14:paraId="1B46DABC" w14:textId="0F0A9989" w:rsidR="004172AC" w:rsidRDefault="00D1435C" w:rsidP="004172AC">
      <w:pPr>
        <w:spacing w:after="0" w:line="480" w:lineRule="auto"/>
        <w:ind w:firstLine="720"/>
        <w:jc w:val="both"/>
        <w:rPr>
          <w:rFonts w:ascii="Times New Roman" w:hAnsi="Times New Roman" w:cs="Times New Roman"/>
          <w:sz w:val="24"/>
          <w:szCs w:val="24"/>
        </w:rPr>
      </w:pPr>
      <w:r w:rsidRPr="00F126C0">
        <w:rPr>
          <w:rFonts w:ascii="Times New Roman" w:hAnsi="Times New Roman" w:cs="Times New Roman"/>
          <w:sz w:val="24"/>
          <w:szCs w:val="24"/>
        </w:rPr>
        <w:t>The applicant contends that it is in the interest</w:t>
      </w:r>
      <w:r w:rsidR="009E4F2E">
        <w:rPr>
          <w:rFonts w:ascii="Times New Roman" w:hAnsi="Times New Roman" w:cs="Times New Roman"/>
          <w:sz w:val="24"/>
          <w:szCs w:val="24"/>
        </w:rPr>
        <w:t>s</w:t>
      </w:r>
      <w:r w:rsidRPr="00F126C0">
        <w:rPr>
          <w:rFonts w:ascii="Times New Roman" w:hAnsi="Times New Roman" w:cs="Times New Roman"/>
          <w:sz w:val="24"/>
          <w:szCs w:val="24"/>
        </w:rPr>
        <w:t xml:space="preserve"> of justice for this Court to grant it direct access </w:t>
      </w:r>
      <w:r w:rsidR="009E4F2E">
        <w:rPr>
          <w:rFonts w:ascii="Times New Roman" w:hAnsi="Times New Roman" w:cs="Times New Roman"/>
          <w:sz w:val="24"/>
          <w:szCs w:val="24"/>
        </w:rPr>
        <w:t>on the ground that</w:t>
      </w:r>
      <w:r w:rsidRPr="00F126C0">
        <w:rPr>
          <w:rFonts w:ascii="Times New Roman" w:hAnsi="Times New Roman" w:cs="Times New Roman"/>
          <w:sz w:val="24"/>
          <w:szCs w:val="24"/>
        </w:rPr>
        <w:t xml:space="preserve"> the decision of the Supreme Court violated its right to equal protection</w:t>
      </w:r>
      <w:r w:rsidR="004E135D">
        <w:rPr>
          <w:rFonts w:ascii="Times New Roman" w:hAnsi="Times New Roman" w:cs="Times New Roman"/>
          <w:sz w:val="24"/>
          <w:szCs w:val="24"/>
        </w:rPr>
        <w:t xml:space="preserve"> and benefit</w:t>
      </w:r>
      <w:r w:rsidRPr="00F126C0">
        <w:rPr>
          <w:rFonts w:ascii="Times New Roman" w:hAnsi="Times New Roman" w:cs="Times New Roman"/>
          <w:sz w:val="24"/>
          <w:szCs w:val="24"/>
        </w:rPr>
        <w:t xml:space="preserve"> of the law when it </w:t>
      </w:r>
      <w:r w:rsidR="009E4F2E">
        <w:rPr>
          <w:rFonts w:ascii="Times New Roman" w:hAnsi="Times New Roman" w:cs="Times New Roman"/>
          <w:sz w:val="24"/>
          <w:szCs w:val="24"/>
        </w:rPr>
        <w:t xml:space="preserve">was </w:t>
      </w:r>
      <w:r w:rsidRPr="00F126C0">
        <w:rPr>
          <w:rFonts w:ascii="Times New Roman" w:hAnsi="Times New Roman" w:cs="Times New Roman"/>
          <w:sz w:val="24"/>
          <w:szCs w:val="24"/>
        </w:rPr>
        <w:t>ordered to pay the amount due to the respondent at the prevailing interbank rate.</w:t>
      </w:r>
      <w:r w:rsidR="009E4F2E">
        <w:rPr>
          <w:rFonts w:ascii="Times New Roman" w:hAnsi="Times New Roman" w:cs="Times New Roman"/>
          <w:sz w:val="24"/>
          <w:szCs w:val="24"/>
        </w:rPr>
        <w:t xml:space="preserve"> It is argued that other persons in the same </w:t>
      </w:r>
      <w:r w:rsidR="00D0276A">
        <w:rPr>
          <w:rFonts w:ascii="Times New Roman" w:hAnsi="Times New Roman" w:cs="Times New Roman"/>
          <w:sz w:val="24"/>
          <w:szCs w:val="24"/>
        </w:rPr>
        <w:t xml:space="preserve">position and </w:t>
      </w:r>
      <w:r w:rsidR="009E4F2E">
        <w:rPr>
          <w:rFonts w:ascii="Times New Roman" w:hAnsi="Times New Roman" w:cs="Times New Roman"/>
          <w:sz w:val="24"/>
          <w:szCs w:val="24"/>
        </w:rPr>
        <w:t>circumstances would have had the benefit</w:t>
      </w:r>
      <w:r w:rsidR="004E135D">
        <w:rPr>
          <w:rFonts w:ascii="Times New Roman" w:hAnsi="Times New Roman" w:cs="Times New Roman"/>
          <w:sz w:val="24"/>
          <w:szCs w:val="24"/>
        </w:rPr>
        <w:t xml:space="preserve"> of the provisions of s 4(1)(d) of S.I. 33 of 2019, which enables the payment of debts or liabilities expressed in United States dollars at the parity rate at any time after the effective date.</w:t>
      </w:r>
    </w:p>
    <w:p w14:paraId="6993EBE4" w14:textId="77777777" w:rsidR="004172AC" w:rsidRDefault="004172AC" w:rsidP="004172AC">
      <w:pPr>
        <w:spacing w:after="0" w:line="480" w:lineRule="auto"/>
        <w:ind w:firstLine="720"/>
        <w:jc w:val="both"/>
        <w:rPr>
          <w:rFonts w:ascii="Times New Roman" w:hAnsi="Times New Roman" w:cs="Times New Roman"/>
          <w:sz w:val="24"/>
          <w:szCs w:val="24"/>
        </w:rPr>
      </w:pPr>
    </w:p>
    <w:p w14:paraId="47FACC07" w14:textId="08421107" w:rsidR="00F72E82" w:rsidRPr="004172AC" w:rsidRDefault="00A8087A" w:rsidP="004172AC">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respondent counters that there was no violation of the right to equal protection and benefit of the law. The applicant did not receive any differential treatment and has failed to show that other persons in the same position</w:t>
      </w:r>
      <w:r w:rsidR="00DD49BA">
        <w:rPr>
          <w:rFonts w:ascii="Times New Roman" w:hAnsi="Times New Roman" w:cs="Times New Roman"/>
          <w:sz w:val="24"/>
          <w:szCs w:val="24"/>
        </w:rPr>
        <w:t xml:space="preserve"> were treated differently as regards the satisfaction of their outstanding debts or liabilities.</w:t>
      </w:r>
      <w:r w:rsidR="00DD3102" w:rsidRPr="00DD3102">
        <w:rPr>
          <w:rFonts w:ascii="Times New Roman" w:eastAsia="Calibri" w:hAnsi="Times New Roman" w:cs="Times New Roman"/>
          <w:bCs/>
          <w:sz w:val="24"/>
          <w:szCs w:val="24"/>
        </w:rPr>
        <w:t xml:space="preserve"> </w:t>
      </w:r>
      <w:r w:rsidR="000B2230">
        <w:rPr>
          <w:rFonts w:ascii="Times New Roman" w:eastAsia="Calibri" w:hAnsi="Times New Roman" w:cs="Times New Roman"/>
          <w:bCs/>
          <w:sz w:val="24"/>
          <w:szCs w:val="24"/>
        </w:rPr>
        <w:t>T</w:t>
      </w:r>
      <w:r w:rsidR="00DD3102" w:rsidRPr="00F126C0">
        <w:rPr>
          <w:rFonts w:ascii="Times New Roman" w:eastAsia="Calibri" w:hAnsi="Times New Roman" w:cs="Times New Roman"/>
          <w:bCs/>
          <w:sz w:val="24"/>
          <w:szCs w:val="24"/>
        </w:rPr>
        <w:t xml:space="preserve">he applicant has not demonstrated </w:t>
      </w:r>
      <w:r w:rsidR="000B2230">
        <w:rPr>
          <w:rFonts w:ascii="Times New Roman" w:eastAsia="Calibri" w:hAnsi="Times New Roman" w:cs="Times New Roman"/>
          <w:bCs/>
          <w:sz w:val="24"/>
          <w:szCs w:val="24"/>
        </w:rPr>
        <w:t xml:space="preserve">how </w:t>
      </w:r>
      <w:r w:rsidR="00DD3102" w:rsidRPr="00F126C0">
        <w:rPr>
          <w:rFonts w:ascii="Times New Roman" w:eastAsia="Calibri" w:hAnsi="Times New Roman" w:cs="Times New Roman"/>
          <w:bCs/>
          <w:sz w:val="24"/>
          <w:szCs w:val="24"/>
        </w:rPr>
        <w:t xml:space="preserve">the court </w:t>
      </w:r>
      <w:r w:rsidR="00DD3102" w:rsidRPr="00F126C0">
        <w:rPr>
          <w:rFonts w:ascii="Times New Roman" w:eastAsia="Calibri" w:hAnsi="Times New Roman" w:cs="Times New Roman"/>
          <w:bCs/>
          <w:i/>
          <w:sz w:val="24"/>
          <w:szCs w:val="24"/>
        </w:rPr>
        <w:t>a quo</w:t>
      </w:r>
      <w:r w:rsidR="00DD3102" w:rsidRPr="00F126C0">
        <w:rPr>
          <w:rFonts w:ascii="Times New Roman" w:eastAsia="Calibri" w:hAnsi="Times New Roman" w:cs="Times New Roman"/>
          <w:bCs/>
          <w:sz w:val="24"/>
          <w:szCs w:val="24"/>
        </w:rPr>
        <w:t xml:space="preserve"> infringed its right </w:t>
      </w:r>
      <w:r w:rsidR="00DD3102">
        <w:rPr>
          <w:rFonts w:ascii="Times New Roman" w:eastAsia="Calibri" w:hAnsi="Times New Roman" w:cs="Times New Roman"/>
          <w:bCs/>
          <w:sz w:val="24"/>
          <w:szCs w:val="24"/>
        </w:rPr>
        <w:t>to</w:t>
      </w:r>
      <w:r w:rsidR="00DD3102" w:rsidRPr="00F126C0">
        <w:rPr>
          <w:rFonts w:ascii="Times New Roman" w:eastAsia="Calibri" w:hAnsi="Times New Roman" w:cs="Times New Roman"/>
          <w:bCs/>
          <w:sz w:val="24"/>
          <w:szCs w:val="24"/>
        </w:rPr>
        <w:t xml:space="preserve"> equal protection </w:t>
      </w:r>
      <w:r w:rsidR="000B2230">
        <w:rPr>
          <w:rFonts w:ascii="Times New Roman" w:eastAsia="Calibri" w:hAnsi="Times New Roman" w:cs="Times New Roman"/>
          <w:bCs/>
          <w:sz w:val="24"/>
          <w:szCs w:val="24"/>
        </w:rPr>
        <w:t xml:space="preserve">and benefit </w:t>
      </w:r>
      <w:r w:rsidR="00DD3102" w:rsidRPr="00F126C0">
        <w:rPr>
          <w:rFonts w:ascii="Times New Roman" w:eastAsia="Calibri" w:hAnsi="Times New Roman" w:cs="Times New Roman"/>
          <w:bCs/>
          <w:sz w:val="24"/>
          <w:szCs w:val="24"/>
        </w:rPr>
        <w:t>of the law</w:t>
      </w:r>
      <w:r w:rsidR="00F72E82">
        <w:rPr>
          <w:rFonts w:ascii="Times New Roman" w:eastAsia="Calibri" w:hAnsi="Times New Roman" w:cs="Times New Roman"/>
          <w:bCs/>
          <w:sz w:val="24"/>
          <w:szCs w:val="24"/>
        </w:rPr>
        <w:t>.</w:t>
      </w:r>
    </w:p>
    <w:p w14:paraId="509EF797" w14:textId="77777777" w:rsidR="004172AC" w:rsidRPr="00F126C0" w:rsidRDefault="004172AC" w:rsidP="0049091C">
      <w:pPr>
        <w:spacing w:after="0" w:line="480" w:lineRule="auto"/>
        <w:jc w:val="both"/>
        <w:rPr>
          <w:rFonts w:ascii="Times New Roman" w:eastAsia="Calibri" w:hAnsi="Times New Roman" w:cs="Times New Roman"/>
          <w:bCs/>
          <w:sz w:val="24"/>
          <w:szCs w:val="24"/>
          <w:lang w:val="en-GB"/>
        </w:rPr>
      </w:pPr>
    </w:p>
    <w:p w14:paraId="050C90A7" w14:textId="4C2C3F9D" w:rsidR="00D1435C" w:rsidRPr="003302DC" w:rsidRDefault="00D1435C" w:rsidP="004172AC">
      <w:pPr>
        <w:spacing w:after="0" w:line="480" w:lineRule="auto"/>
        <w:ind w:firstLine="720"/>
        <w:jc w:val="both"/>
        <w:rPr>
          <w:rFonts w:ascii="Times New Roman" w:eastAsia="Calibri" w:hAnsi="Times New Roman" w:cs="Times New Roman"/>
          <w:bCs/>
          <w:sz w:val="24"/>
          <w:szCs w:val="24"/>
          <w:lang w:val="en-GB"/>
        </w:rPr>
      </w:pPr>
      <w:r w:rsidRPr="00F126C0">
        <w:rPr>
          <w:rFonts w:ascii="Times New Roman" w:eastAsia="Calibri" w:hAnsi="Times New Roman" w:cs="Times New Roman"/>
          <w:bCs/>
          <w:sz w:val="24"/>
          <w:szCs w:val="24"/>
          <w:lang w:val="en-GB"/>
        </w:rPr>
        <w:t xml:space="preserve">The Supreme Court has </w:t>
      </w:r>
      <w:r w:rsidR="004466CA">
        <w:rPr>
          <w:rFonts w:ascii="Times New Roman" w:eastAsia="Calibri" w:hAnsi="Times New Roman" w:cs="Times New Roman"/>
          <w:bCs/>
          <w:sz w:val="24"/>
          <w:szCs w:val="24"/>
          <w:lang w:val="en-GB"/>
        </w:rPr>
        <w:t>had occasion to interpret</w:t>
      </w:r>
      <w:r w:rsidRPr="00F126C0">
        <w:rPr>
          <w:rFonts w:ascii="Times New Roman" w:eastAsia="Calibri" w:hAnsi="Times New Roman" w:cs="Times New Roman"/>
          <w:bCs/>
          <w:sz w:val="24"/>
          <w:szCs w:val="24"/>
          <w:lang w:val="en-GB"/>
        </w:rPr>
        <w:t xml:space="preserve"> the provisions of S.I. 33 of 2019 in several cases. In these cases</w:t>
      </w:r>
      <w:r w:rsidR="00EA2689">
        <w:rPr>
          <w:rFonts w:ascii="Times New Roman" w:eastAsia="Calibri" w:hAnsi="Times New Roman" w:cs="Times New Roman"/>
          <w:bCs/>
          <w:sz w:val="24"/>
          <w:szCs w:val="24"/>
          <w:lang w:val="en-GB"/>
        </w:rPr>
        <w:t>,</w:t>
      </w:r>
      <w:r w:rsidR="006414B0">
        <w:rPr>
          <w:rFonts w:ascii="Times New Roman" w:hAnsi="Times New Roman" w:cs="Times New Roman"/>
          <w:sz w:val="24"/>
          <w:szCs w:val="24"/>
        </w:rPr>
        <w:t xml:space="preserve"> </w:t>
      </w:r>
      <w:r w:rsidRPr="00F126C0">
        <w:rPr>
          <w:rFonts w:ascii="Times New Roman" w:eastAsia="Calibri" w:hAnsi="Times New Roman" w:cs="Times New Roman"/>
          <w:bCs/>
          <w:sz w:val="24"/>
          <w:szCs w:val="24"/>
          <w:lang w:val="en-GB"/>
        </w:rPr>
        <w:t>it has been established that for a</w:t>
      </w:r>
      <w:r w:rsidR="006414B0">
        <w:rPr>
          <w:rFonts w:ascii="Times New Roman" w:eastAsia="Calibri" w:hAnsi="Times New Roman" w:cs="Times New Roman"/>
          <w:bCs/>
          <w:sz w:val="24"/>
          <w:szCs w:val="24"/>
          <w:lang w:val="en-GB"/>
        </w:rPr>
        <w:t xml:space="preserve">n </w:t>
      </w:r>
      <w:r w:rsidR="00EA2689">
        <w:rPr>
          <w:rFonts w:ascii="Times New Roman" w:eastAsia="Calibri" w:hAnsi="Times New Roman" w:cs="Times New Roman"/>
          <w:bCs/>
          <w:sz w:val="24"/>
          <w:szCs w:val="24"/>
          <w:lang w:val="en-GB"/>
        </w:rPr>
        <w:t>asset</w:t>
      </w:r>
      <w:r w:rsidR="006414B0">
        <w:rPr>
          <w:rFonts w:ascii="Times New Roman" w:eastAsia="Calibri" w:hAnsi="Times New Roman" w:cs="Times New Roman"/>
          <w:bCs/>
          <w:sz w:val="24"/>
          <w:szCs w:val="24"/>
          <w:lang w:val="en-GB"/>
        </w:rPr>
        <w:t>, liability or</w:t>
      </w:r>
      <w:r w:rsidRPr="00F126C0">
        <w:rPr>
          <w:rFonts w:ascii="Times New Roman" w:eastAsia="Calibri" w:hAnsi="Times New Roman" w:cs="Times New Roman"/>
          <w:bCs/>
          <w:sz w:val="24"/>
          <w:szCs w:val="24"/>
          <w:lang w:val="en-GB"/>
        </w:rPr>
        <w:t xml:space="preserve"> </w:t>
      </w:r>
      <w:r w:rsidR="00EA2689">
        <w:rPr>
          <w:rFonts w:ascii="Times New Roman" w:eastAsia="Calibri" w:hAnsi="Times New Roman" w:cs="Times New Roman"/>
          <w:bCs/>
          <w:sz w:val="24"/>
          <w:szCs w:val="24"/>
          <w:lang w:val="en-GB"/>
        </w:rPr>
        <w:t>obligation</w:t>
      </w:r>
      <w:r w:rsidRPr="00F126C0">
        <w:rPr>
          <w:rFonts w:ascii="Times New Roman" w:eastAsia="Calibri" w:hAnsi="Times New Roman" w:cs="Times New Roman"/>
          <w:bCs/>
          <w:sz w:val="24"/>
          <w:szCs w:val="24"/>
          <w:lang w:val="en-GB"/>
        </w:rPr>
        <w:t xml:space="preserve"> to fall within the ambit of s 4(1)</w:t>
      </w:r>
      <w:r w:rsidR="006414B0">
        <w:rPr>
          <w:rFonts w:ascii="Times New Roman" w:eastAsia="Calibri" w:hAnsi="Times New Roman" w:cs="Times New Roman"/>
          <w:bCs/>
          <w:sz w:val="24"/>
          <w:szCs w:val="24"/>
          <w:lang w:val="en-GB"/>
        </w:rPr>
        <w:t>(d)</w:t>
      </w:r>
      <w:r w:rsidRPr="00F126C0">
        <w:rPr>
          <w:rFonts w:ascii="Times New Roman" w:eastAsia="Calibri" w:hAnsi="Times New Roman" w:cs="Times New Roman"/>
          <w:bCs/>
          <w:sz w:val="24"/>
          <w:szCs w:val="24"/>
          <w:lang w:val="en-GB"/>
        </w:rPr>
        <w:t xml:space="preserve"> of</w:t>
      </w:r>
      <w:r w:rsidR="003302DC">
        <w:rPr>
          <w:rFonts w:ascii="Times New Roman" w:eastAsia="Calibri" w:hAnsi="Times New Roman" w:cs="Times New Roman"/>
          <w:bCs/>
          <w:sz w:val="24"/>
          <w:szCs w:val="24"/>
          <w:lang w:val="en-GB"/>
        </w:rPr>
        <w:t xml:space="preserve"> S.I. 33 of 2019</w:t>
      </w:r>
      <w:r w:rsidRPr="00F126C0">
        <w:rPr>
          <w:rFonts w:ascii="Times New Roman" w:eastAsia="Calibri" w:hAnsi="Times New Roman" w:cs="Times New Roman"/>
          <w:bCs/>
          <w:sz w:val="24"/>
          <w:szCs w:val="24"/>
          <w:lang w:val="en-GB"/>
        </w:rPr>
        <w:t xml:space="preserve">, </w:t>
      </w:r>
      <w:r w:rsidR="006414B0">
        <w:rPr>
          <w:rFonts w:ascii="Times New Roman" w:eastAsia="Calibri" w:hAnsi="Times New Roman" w:cs="Times New Roman"/>
          <w:bCs/>
          <w:sz w:val="24"/>
          <w:szCs w:val="24"/>
          <w:lang w:val="en-GB"/>
        </w:rPr>
        <w:t>its</w:t>
      </w:r>
      <w:r w:rsidRPr="00F126C0">
        <w:rPr>
          <w:rFonts w:ascii="Times New Roman" w:eastAsia="Calibri" w:hAnsi="Times New Roman" w:cs="Times New Roman"/>
          <w:bCs/>
          <w:sz w:val="24"/>
          <w:szCs w:val="24"/>
          <w:lang w:val="en-GB"/>
        </w:rPr>
        <w:t xml:space="preserve"> value </w:t>
      </w:r>
      <w:r w:rsidR="006414B0">
        <w:rPr>
          <w:rFonts w:ascii="Times New Roman" w:eastAsia="Calibri" w:hAnsi="Times New Roman" w:cs="Times New Roman"/>
          <w:bCs/>
          <w:sz w:val="24"/>
          <w:szCs w:val="24"/>
          <w:lang w:val="en-GB"/>
        </w:rPr>
        <w:t>must</w:t>
      </w:r>
      <w:r w:rsidRPr="00F126C0">
        <w:rPr>
          <w:rFonts w:ascii="Times New Roman" w:eastAsia="Calibri" w:hAnsi="Times New Roman" w:cs="Times New Roman"/>
          <w:bCs/>
          <w:sz w:val="24"/>
          <w:szCs w:val="24"/>
          <w:lang w:val="en-GB"/>
        </w:rPr>
        <w:t xml:space="preserve"> have been expressed </w:t>
      </w:r>
      <w:r w:rsidR="006414B0">
        <w:rPr>
          <w:rFonts w:ascii="Times New Roman" w:eastAsia="Calibri" w:hAnsi="Times New Roman" w:cs="Times New Roman"/>
          <w:bCs/>
          <w:sz w:val="24"/>
          <w:szCs w:val="24"/>
          <w:lang w:val="en-GB"/>
        </w:rPr>
        <w:t xml:space="preserve">in United States dollars </w:t>
      </w:r>
      <w:r w:rsidRPr="00F126C0">
        <w:rPr>
          <w:rFonts w:ascii="Times New Roman" w:eastAsia="Calibri" w:hAnsi="Times New Roman" w:cs="Times New Roman"/>
          <w:bCs/>
          <w:sz w:val="24"/>
          <w:szCs w:val="24"/>
          <w:lang w:val="en-GB"/>
        </w:rPr>
        <w:t>before the effective date</w:t>
      </w:r>
      <w:r w:rsidR="00EA2689">
        <w:rPr>
          <w:rFonts w:ascii="Times New Roman" w:eastAsia="Calibri" w:hAnsi="Times New Roman" w:cs="Times New Roman"/>
          <w:bCs/>
          <w:sz w:val="24"/>
          <w:szCs w:val="24"/>
          <w:lang w:val="en-GB"/>
        </w:rPr>
        <w:t xml:space="preserve"> of 22 February 2019.</w:t>
      </w:r>
      <w:r w:rsidR="006414B0">
        <w:rPr>
          <w:rFonts w:ascii="Times New Roman" w:eastAsia="Calibri" w:hAnsi="Times New Roman" w:cs="Times New Roman"/>
          <w:bCs/>
          <w:sz w:val="24"/>
          <w:szCs w:val="24"/>
          <w:lang w:val="en-GB"/>
        </w:rPr>
        <w:t xml:space="preserve"> In this respect, these </w:t>
      </w:r>
      <w:r w:rsidR="006414B0">
        <w:rPr>
          <w:rFonts w:ascii="Times New Roman" w:eastAsia="Calibri" w:hAnsi="Times New Roman" w:cs="Times New Roman"/>
          <w:bCs/>
          <w:sz w:val="24"/>
          <w:szCs w:val="24"/>
          <w:lang w:val="en-GB"/>
        </w:rPr>
        <w:lastRenderedPageBreak/>
        <w:t>decisions have followed and applied the reasoning adopted in</w:t>
      </w:r>
      <w:r w:rsidRPr="00F126C0">
        <w:rPr>
          <w:rFonts w:ascii="Times New Roman" w:eastAsia="Calibri" w:hAnsi="Times New Roman" w:cs="Times New Roman"/>
          <w:bCs/>
          <w:sz w:val="24"/>
          <w:szCs w:val="24"/>
          <w:lang w:val="en-GB"/>
        </w:rPr>
        <w:t xml:space="preserve"> the </w:t>
      </w:r>
      <w:r w:rsidR="00EA2689">
        <w:rPr>
          <w:rFonts w:ascii="Times New Roman" w:eastAsia="Calibri" w:hAnsi="Times New Roman" w:cs="Times New Roman"/>
          <w:bCs/>
          <w:sz w:val="24"/>
          <w:szCs w:val="24"/>
          <w:lang w:val="en-GB"/>
        </w:rPr>
        <w:t xml:space="preserve">landmark </w:t>
      </w:r>
      <w:r w:rsidRPr="00F126C0">
        <w:rPr>
          <w:rFonts w:ascii="Times New Roman" w:eastAsia="Calibri" w:hAnsi="Times New Roman" w:cs="Times New Roman"/>
          <w:bCs/>
          <w:sz w:val="24"/>
          <w:szCs w:val="24"/>
          <w:lang w:val="en-GB"/>
        </w:rPr>
        <w:t xml:space="preserve">case of </w:t>
      </w:r>
      <w:r w:rsidRPr="00F126C0">
        <w:rPr>
          <w:rFonts w:ascii="Times New Roman" w:eastAsia="Calibri" w:hAnsi="Times New Roman" w:cs="Times New Roman"/>
          <w:bCs/>
          <w:i/>
          <w:sz w:val="24"/>
          <w:szCs w:val="24"/>
        </w:rPr>
        <w:t xml:space="preserve">Zambezi Gas Zimbabwe (Pvt) Ltd </w:t>
      </w:r>
      <w:r w:rsidRPr="006414B0">
        <w:rPr>
          <w:rFonts w:ascii="Times New Roman" w:eastAsia="Calibri" w:hAnsi="Times New Roman" w:cs="Times New Roman"/>
          <w:bCs/>
          <w:iCs/>
          <w:sz w:val="24"/>
          <w:szCs w:val="24"/>
        </w:rPr>
        <w:t>v</w:t>
      </w:r>
      <w:r w:rsidRPr="00F126C0">
        <w:rPr>
          <w:rFonts w:ascii="Times New Roman" w:eastAsia="Calibri" w:hAnsi="Times New Roman" w:cs="Times New Roman"/>
          <w:bCs/>
          <w:i/>
          <w:sz w:val="24"/>
          <w:szCs w:val="24"/>
        </w:rPr>
        <w:t xml:space="preserve"> NR Barber and Anor </w:t>
      </w:r>
      <w:r w:rsidRPr="00F126C0">
        <w:rPr>
          <w:rFonts w:ascii="Times New Roman" w:eastAsia="Calibri" w:hAnsi="Times New Roman" w:cs="Times New Roman"/>
          <w:bCs/>
          <w:sz w:val="24"/>
          <w:szCs w:val="24"/>
        </w:rPr>
        <w:t>SC 3-20</w:t>
      </w:r>
      <w:r w:rsidR="006414B0">
        <w:rPr>
          <w:rFonts w:ascii="Times New Roman" w:eastAsia="Calibri" w:hAnsi="Times New Roman" w:cs="Times New Roman"/>
          <w:bCs/>
          <w:sz w:val="24"/>
          <w:szCs w:val="24"/>
        </w:rPr>
        <w:t>, where</w:t>
      </w:r>
      <w:r w:rsidR="00EA2689">
        <w:rPr>
          <w:rFonts w:ascii="Times New Roman" w:eastAsia="Calibri" w:hAnsi="Times New Roman" w:cs="Times New Roman"/>
          <w:bCs/>
          <w:sz w:val="24"/>
          <w:szCs w:val="24"/>
        </w:rPr>
        <w:t>in</w:t>
      </w:r>
      <w:r w:rsidR="006414B0">
        <w:rPr>
          <w:rFonts w:ascii="Times New Roman" w:eastAsia="Calibri" w:hAnsi="Times New Roman" w:cs="Times New Roman"/>
          <w:bCs/>
          <w:sz w:val="24"/>
          <w:szCs w:val="24"/>
        </w:rPr>
        <w:t xml:space="preserve"> </w:t>
      </w:r>
      <w:r w:rsidRPr="00F126C0">
        <w:rPr>
          <w:rFonts w:ascii="Times New Roman" w:eastAsia="Calibri" w:hAnsi="Times New Roman" w:cs="Times New Roman"/>
          <w:bCs/>
          <w:sz w:val="24"/>
          <w:szCs w:val="24"/>
        </w:rPr>
        <w:t xml:space="preserve">the </w:t>
      </w:r>
      <w:r w:rsidR="006414B0">
        <w:rPr>
          <w:rFonts w:ascii="Times New Roman" w:eastAsia="Calibri" w:hAnsi="Times New Roman" w:cs="Times New Roman"/>
          <w:bCs/>
          <w:sz w:val="24"/>
          <w:szCs w:val="24"/>
        </w:rPr>
        <w:t>court</w:t>
      </w:r>
      <w:r w:rsidRPr="00F126C0">
        <w:rPr>
          <w:rFonts w:ascii="Times New Roman" w:eastAsia="Calibri" w:hAnsi="Times New Roman" w:cs="Times New Roman"/>
          <w:bCs/>
          <w:sz w:val="24"/>
          <w:szCs w:val="24"/>
        </w:rPr>
        <w:t xml:space="preserve"> held the following:</w:t>
      </w:r>
    </w:p>
    <w:p w14:paraId="4E1603A0" w14:textId="26FBB173" w:rsidR="00D1435C" w:rsidRPr="00F126C0" w:rsidRDefault="00D1435C" w:rsidP="00D1435C">
      <w:pPr>
        <w:spacing w:after="0" w:line="240" w:lineRule="auto"/>
        <w:ind w:left="720"/>
        <w:jc w:val="both"/>
        <w:rPr>
          <w:rFonts w:ascii="Times New Roman" w:eastAsia="Calibri" w:hAnsi="Times New Roman" w:cs="Times New Roman"/>
          <w:bCs/>
          <w:sz w:val="24"/>
          <w:szCs w:val="24"/>
          <w:lang w:val="en-US"/>
        </w:rPr>
      </w:pPr>
      <w:r w:rsidRPr="00F126C0">
        <w:rPr>
          <w:rFonts w:ascii="Times New Roman" w:eastAsia="Calibri" w:hAnsi="Times New Roman" w:cs="Times New Roman"/>
          <w:bCs/>
          <w:sz w:val="24"/>
          <w:szCs w:val="24"/>
          <w:lang w:val="en-US"/>
        </w:rPr>
        <w:t xml:space="preserve">“Section 4(1)(d) of S.I. 33/19 would not apply to assets and liabilities, the values of which were expressed in any foreign currency other than the United States dollar immediately before the effective date. If, for example, the value of the assets and liabilities was, immediately before the effective date, still to be assessed by application of an agreed formula, s 4(1)(d) of S.I. 33/19 would not apply to such a transaction even if the payment would thereafter be in United States dollars. </w:t>
      </w:r>
      <w:r w:rsidRPr="00EA2689">
        <w:rPr>
          <w:rFonts w:ascii="Times New Roman" w:eastAsia="Calibri" w:hAnsi="Times New Roman" w:cs="Times New Roman"/>
          <w:b/>
          <w:sz w:val="24"/>
          <w:szCs w:val="24"/>
          <w:lang w:val="en-US"/>
        </w:rPr>
        <w:t>It is the assessment and expression of the value of assets and liabilities in United States dollars that matters.</w:t>
      </w:r>
      <w:r w:rsidRPr="00F126C0">
        <w:rPr>
          <w:rFonts w:ascii="Times New Roman" w:eastAsia="Calibri" w:hAnsi="Times New Roman" w:cs="Times New Roman"/>
          <w:bCs/>
          <w:sz w:val="24"/>
          <w:szCs w:val="24"/>
          <w:lang w:val="en-US"/>
        </w:rPr>
        <w:t xml:space="preserve">” </w:t>
      </w:r>
      <w:r w:rsidR="00EA2689">
        <w:rPr>
          <w:rFonts w:ascii="Times New Roman" w:eastAsia="Calibri" w:hAnsi="Times New Roman" w:cs="Times New Roman"/>
          <w:bCs/>
          <w:sz w:val="24"/>
          <w:szCs w:val="24"/>
          <w:lang w:val="en-US"/>
        </w:rPr>
        <w:t>(My emphasis)</w:t>
      </w:r>
    </w:p>
    <w:p w14:paraId="63CA10A7" w14:textId="77777777" w:rsidR="004172AC" w:rsidRDefault="004172AC" w:rsidP="004172AC">
      <w:pPr>
        <w:spacing w:after="0" w:line="480" w:lineRule="auto"/>
        <w:ind w:left="-5" w:firstLine="725"/>
        <w:jc w:val="both"/>
        <w:rPr>
          <w:rFonts w:ascii="Times New Roman" w:eastAsia="Century Gothic" w:hAnsi="Times New Roman" w:cs="Times New Roman"/>
          <w:color w:val="212529"/>
          <w:sz w:val="24"/>
          <w:szCs w:val="24"/>
          <w:lang w:val="en-US"/>
        </w:rPr>
      </w:pPr>
    </w:p>
    <w:p w14:paraId="308047CD" w14:textId="0A0F25B0" w:rsidR="003302DC" w:rsidRDefault="00D1435C" w:rsidP="004172AC">
      <w:pPr>
        <w:spacing w:after="0" w:line="480" w:lineRule="auto"/>
        <w:ind w:left="-5" w:firstLine="725"/>
        <w:jc w:val="both"/>
        <w:rPr>
          <w:rFonts w:ascii="Times New Roman" w:eastAsia="Century Gothic" w:hAnsi="Times New Roman" w:cs="Times New Roman"/>
          <w:color w:val="212529"/>
          <w:sz w:val="24"/>
          <w:szCs w:val="24"/>
          <w:lang w:val="en-US"/>
        </w:rPr>
      </w:pPr>
      <w:r w:rsidRPr="00F126C0">
        <w:rPr>
          <w:rFonts w:ascii="Times New Roman" w:eastAsia="Century Gothic" w:hAnsi="Times New Roman" w:cs="Times New Roman"/>
          <w:color w:val="212529"/>
          <w:sz w:val="24"/>
          <w:szCs w:val="24"/>
          <w:lang w:val="en-US"/>
        </w:rPr>
        <w:t xml:space="preserve">The same reasoning was </w:t>
      </w:r>
      <w:r w:rsidR="00AD085C">
        <w:rPr>
          <w:rFonts w:ascii="Times New Roman" w:eastAsia="Century Gothic" w:hAnsi="Times New Roman" w:cs="Times New Roman"/>
          <w:color w:val="212529"/>
          <w:sz w:val="24"/>
          <w:szCs w:val="24"/>
          <w:lang w:val="en-US"/>
        </w:rPr>
        <w:t xml:space="preserve">subsequently </w:t>
      </w:r>
      <w:r w:rsidRPr="00F126C0">
        <w:rPr>
          <w:rFonts w:ascii="Times New Roman" w:eastAsia="Century Gothic" w:hAnsi="Times New Roman" w:cs="Times New Roman"/>
          <w:color w:val="212529"/>
          <w:sz w:val="24"/>
          <w:szCs w:val="24"/>
          <w:lang w:val="en-US"/>
        </w:rPr>
        <w:t xml:space="preserve">followed </w:t>
      </w:r>
      <w:r w:rsidR="008467A6">
        <w:rPr>
          <w:rFonts w:ascii="Times New Roman" w:eastAsia="Century Gothic" w:hAnsi="Times New Roman" w:cs="Times New Roman"/>
          <w:color w:val="212529"/>
          <w:sz w:val="24"/>
          <w:szCs w:val="24"/>
          <w:lang w:val="en-US"/>
        </w:rPr>
        <w:t>in the two cases that I have referred to earlier</w:t>
      </w:r>
      <w:r w:rsidR="008467A6" w:rsidRPr="00F126C0">
        <w:rPr>
          <w:rFonts w:ascii="Times New Roman" w:eastAsia="Calibri" w:hAnsi="Times New Roman" w:cs="Times New Roman"/>
          <w:bCs/>
          <w:sz w:val="24"/>
          <w:szCs w:val="24"/>
          <w:lang w:val="en-GB"/>
        </w:rPr>
        <w:t xml:space="preserve">, </w:t>
      </w:r>
      <w:r w:rsidR="00AD085C">
        <w:rPr>
          <w:rFonts w:ascii="Times New Roman" w:eastAsia="Calibri" w:hAnsi="Times New Roman" w:cs="Times New Roman"/>
          <w:bCs/>
          <w:i/>
          <w:iCs/>
          <w:sz w:val="24"/>
          <w:szCs w:val="24"/>
          <w:lang w:val="en-GB"/>
        </w:rPr>
        <w:t>viz.</w:t>
      </w:r>
      <w:r w:rsidR="008467A6">
        <w:rPr>
          <w:rFonts w:ascii="Times New Roman" w:eastAsia="Calibri" w:hAnsi="Times New Roman" w:cs="Times New Roman"/>
          <w:bCs/>
          <w:sz w:val="24"/>
          <w:szCs w:val="24"/>
          <w:lang w:val="en-GB"/>
        </w:rPr>
        <w:t xml:space="preserve"> </w:t>
      </w:r>
      <w:r w:rsidR="008467A6">
        <w:rPr>
          <w:rFonts w:ascii="Times New Roman" w:hAnsi="Times New Roman" w:cs="Times New Roman"/>
          <w:sz w:val="24"/>
          <w:szCs w:val="24"/>
        </w:rPr>
        <w:t xml:space="preserve">the </w:t>
      </w:r>
      <w:r w:rsidR="008467A6">
        <w:rPr>
          <w:rFonts w:ascii="Times New Roman" w:hAnsi="Times New Roman" w:cs="Times New Roman"/>
          <w:i/>
          <w:iCs/>
          <w:sz w:val="24"/>
          <w:szCs w:val="24"/>
        </w:rPr>
        <w:t>Ingalulu</w:t>
      </w:r>
      <w:r w:rsidR="008467A6">
        <w:rPr>
          <w:rFonts w:ascii="Times New Roman" w:hAnsi="Times New Roman" w:cs="Times New Roman"/>
          <w:sz w:val="24"/>
          <w:szCs w:val="24"/>
        </w:rPr>
        <w:t xml:space="preserve"> and </w:t>
      </w:r>
      <w:r w:rsidR="008467A6">
        <w:rPr>
          <w:rFonts w:ascii="Times New Roman" w:hAnsi="Times New Roman" w:cs="Times New Roman"/>
          <w:i/>
          <w:iCs/>
          <w:sz w:val="24"/>
          <w:szCs w:val="24"/>
        </w:rPr>
        <w:t>Magauzi</w:t>
      </w:r>
      <w:r w:rsidR="008467A6">
        <w:rPr>
          <w:rFonts w:ascii="Times New Roman" w:hAnsi="Times New Roman" w:cs="Times New Roman"/>
          <w:sz w:val="24"/>
          <w:szCs w:val="24"/>
        </w:rPr>
        <w:t xml:space="preserve"> cases, </w:t>
      </w:r>
      <w:r w:rsidR="008467A6">
        <w:rPr>
          <w:rFonts w:ascii="Times New Roman" w:hAnsi="Times New Roman" w:cs="Times New Roman"/>
          <w:i/>
          <w:iCs/>
          <w:sz w:val="24"/>
          <w:szCs w:val="24"/>
        </w:rPr>
        <w:t>supra</w:t>
      </w:r>
      <w:r w:rsidR="00AD085C">
        <w:rPr>
          <w:rFonts w:ascii="Times New Roman" w:hAnsi="Times New Roman" w:cs="Times New Roman"/>
          <w:sz w:val="24"/>
          <w:szCs w:val="24"/>
        </w:rPr>
        <w:t>. It was also applied</w:t>
      </w:r>
      <w:r w:rsidR="00AD085C">
        <w:rPr>
          <w:rFonts w:ascii="Times New Roman" w:eastAsia="Century Gothic" w:hAnsi="Times New Roman" w:cs="Times New Roman"/>
          <w:color w:val="212529"/>
          <w:sz w:val="24"/>
          <w:szCs w:val="24"/>
          <w:lang w:val="en-US"/>
        </w:rPr>
        <w:t xml:space="preserve"> </w:t>
      </w:r>
      <w:r w:rsidRPr="00F126C0">
        <w:rPr>
          <w:rFonts w:ascii="Times New Roman" w:eastAsia="Century Gothic" w:hAnsi="Times New Roman" w:cs="Times New Roman"/>
          <w:color w:val="212529"/>
          <w:sz w:val="24"/>
          <w:szCs w:val="24"/>
          <w:lang w:val="en-US"/>
        </w:rPr>
        <w:t>in the</w:t>
      </w:r>
      <w:r w:rsidR="00AD085C">
        <w:rPr>
          <w:rFonts w:ascii="Times New Roman" w:eastAsia="Century Gothic" w:hAnsi="Times New Roman" w:cs="Times New Roman"/>
          <w:color w:val="212529"/>
          <w:sz w:val="24"/>
          <w:szCs w:val="24"/>
          <w:lang w:val="en-US"/>
        </w:rPr>
        <w:t xml:space="preserve"> later </w:t>
      </w:r>
      <w:r w:rsidRPr="00F126C0">
        <w:rPr>
          <w:rFonts w:ascii="Times New Roman" w:eastAsia="Century Gothic" w:hAnsi="Times New Roman" w:cs="Times New Roman"/>
          <w:color w:val="212529"/>
          <w:sz w:val="24"/>
          <w:szCs w:val="24"/>
          <w:lang w:val="en-US"/>
        </w:rPr>
        <w:t xml:space="preserve">case of </w:t>
      </w:r>
      <w:r w:rsidRPr="00F126C0">
        <w:rPr>
          <w:rFonts w:ascii="Times New Roman" w:eastAsia="Century Gothic" w:hAnsi="Times New Roman" w:cs="Times New Roman"/>
          <w:i/>
          <w:color w:val="212529"/>
          <w:sz w:val="24"/>
          <w:szCs w:val="24"/>
          <w:lang w:val="en-US"/>
        </w:rPr>
        <w:t xml:space="preserve">Rydale Ridge Park (Pvt) Ltd </w:t>
      </w:r>
      <w:r w:rsidRPr="00AD085C">
        <w:rPr>
          <w:rFonts w:ascii="Times New Roman" w:eastAsia="Century Gothic" w:hAnsi="Times New Roman" w:cs="Times New Roman"/>
          <w:iCs/>
          <w:color w:val="212529"/>
          <w:sz w:val="24"/>
          <w:szCs w:val="24"/>
          <w:lang w:val="en-US"/>
        </w:rPr>
        <w:t>v</w:t>
      </w:r>
      <w:r w:rsidRPr="00F126C0">
        <w:rPr>
          <w:rFonts w:ascii="Times New Roman" w:eastAsia="Century Gothic" w:hAnsi="Times New Roman" w:cs="Times New Roman"/>
          <w:i/>
          <w:color w:val="212529"/>
          <w:sz w:val="24"/>
          <w:szCs w:val="24"/>
          <w:lang w:val="en-US"/>
        </w:rPr>
        <w:t xml:space="preserve"> Muridzo N</w:t>
      </w:r>
      <w:r w:rsidR="00AD085C">
        <w:rPr>
          <w:rFonts w:ascii="Times New Roman" w:eastAsia="Century Gothic" w:hAnsi="Times New Roman" w:cs="Times New Roman"/>
          <w:i/>
          <w:color w:val="212529"/>
          <w:sz w:val="24"/>
          <w:szCs w:val="24"/>
          <w:lang w:val="en-US"/>
        </w:rPr>
        <w:t>.</w:t>
      </w:r>
      <w:r w:rsidRPr="00F126C0">
        <w:rPr>
          <w:rFonts w:ascii="Times New Roman" w:eastAsia="Century Gothic" w:hAnsi="Times New Roman" w:cs="Times New Roman"/>
          <w:i/>
          <w:color w:val="212529"/>
          <w:sz w:val="24"/>
          <w:szCs w:val="24"/>
          <w:lang w:val="en-US"/>
        </w:rPr>
        <w:t>O</w:t>
      </w:r>
      <w:r w:rsidR="00AD085C">
        <w:rPr>
          <w:rFonts w:ascii="Times New Roman" w:eastAsia="Century Gothic" w:hAnsi="Times New Roman" w:cs="Times New Roman"/>
          <w:i/>
          <w:color w:val="212529"/>
          <w:sz w:val="24"/>
          <w:szCs w:val="24"/>
          <w:lang w:val="en-US"/>
        </w:rPr>
        <w:t>.</w:t>
      </w:r>
      <w:r w:rsidRPr="00F126C0">
        <w:rPr>
          <w:rFonts w:ascii="Times New Roman" w:eastAsia="Century Gothic" w:hAnsi="Times New Roman" w:cs="Times New Roman"/>
          <w:color w:val="212529"/>
          <w:sz w:val="24"/>
          <w:szCs w:val="24"/>
          <w:lang w:val="en-US"/>
        </w:rPr>
        <w:t xml:space="preserve"> SC 17-23, wherein the </w:t>
      </w:r>
      <w:r w:rsidR="00AD085C">
        <w:rPr>
          <w:rFonts w:ascii="Times New Roman" w:eastAsia="Century Gothic" w:hAnsi="Times New Roman" w:cs="Times New Roman"/>
          <w:color w:val="212529"/>
          <w:sz w:val="24"/>
          <w:szCs w:val="24"/>
          <w:lang w:val="en-US"/>
        </w:rPr>
        <w:t xml:space="preserve">Supreme Court </w:t>
      </w:r>
      <w:r w:rsidRPr="00F126C0">
        <w:rPr>
          <w:rFonts w:ascii="Times New Roman" w:eastAsia="Century Gothic" w:hAnsi="Times New Roman" w:cs="Times New Roman"/>
          <w:color w:val="212529"/>
          <w:sz w:val="24"/>
          <w:szCs w:val="24"/>
          <w:lang w:val="en-US"/>
        </w:rPr>
        <w:t xml:space="preserve">held that the phrase “immediately before the effective date” means that the assets and liabilities must have been valued </w:t>
      </w:r>
      <w:r w:rsidR="00AD085C">
        <w:rPr>
          <w:rFonts w:ascii="Times New Roman" w:eastAsia="Century Gothic" w:hAnsi="Times New Roman" w:cs="Times New Roman"/>
          <w:color w:val="212529"/>
          <w:sz w:val="24"/>
          <w:szCs w:val="24"/>
          <w:lang w:val="en-US"/>
        </w:rPr>
        <w:t xml:space="preserve">and expressed </w:t>
      </w:r>
      <w:r w:rsidRPr="00F126C0">
        <w:rPr>
          <w:rFonts w:ascii="Times New Roman" w:eastAsia="Century Gothic" w:hAnsi="Times New Roman" w:cs="Times New Roman"/>
          <w:color w:val="212529"/>
          <w:sz w:val="24"/>
          <w:szCs w:val="24"/>
          <w:lang w:val="en-US"/>
        </w:rPr>
        <w:t xml:space="preserve">in United States dollars </w:t>
      </w:r>
      <w:r w:rsidR="00AD085C">
        <w:rPr>
          <w:rFonts w:ascii="Times New Roman" w:eastAsia="Century Gothic" w:hAnsi="Times New Roman" w:cs="Times New Roman"/>
          <w:color w:val="212529"/>
          <w:sz w:val="24"/>
          <w:szCs w:val="24"/>
          <w:lang w:val="en-US"/>
        </w:rPr>
        <w:t xml:space="preserve">at </w:t>
      </w:r>
      <w:r w:rsidR="00DC5637">
        <w:rPr>
          <w:rFonts w:ascii="Times New Roman" w:eastAsia="Century Gothic" w:hAnsi="Times New Roman" w:cs="Times New Roman"/>
          <w:color w:val="212529"/>
          <w:sz w:val="24"/>
          <w:szCs w:val="24"/>
          <w:lang w:val="en-US"/>
        </w:rPr>
        <w:t>some</w:t>
      </w:r>
      <w:r w:rsidR="00AD085C">
        <w:rPr>
          <w:rFonts w:ascii="Times New Roman" w:eastAsia="Century Gothic" w:hAnsi="Times New Roman" w:cs="Times New Roman"/>
          <w:color w:val="212529"/>
          <w:sz w:val="24"/>
          <w:szCs w:val="24"/>
          <w:lang w:val="en-US"/>
        </w:rPr>
        <w:t xml:space="preserve"> stage </w:t>
      </w:r>
      <w:r w:rsidRPr="00F126C0">
        <w:rPr>
          <w:rFonts w:ascii="Times New Roman" w:eastAsia="Century Gothic" w:hAnsi="Times New Roman" w:cs="Times New Roman"/>
          <w:color w:val="212529"/>
          <w:sz w:val="24"/>
          <w:szCs w:val="24"/>
          <w:lang w:val="en-US"/>
        </w:rPr>
        <w:t>before the effective date.</w:t>
      </w:r>
    </w:p>
    <w:p w14:paraId="626B0D3E" w14:textId="77777777" w:rsidR="004172AC" w:rsidRDefault="004172AC" w:rsidP="00CE6065">
      <w:pPr>
        <w:spacing w:after="0" w:line="480" w:lineRule="auto"/>
        <w:ind w:left="-5" w:firstLine="725"/>
        <w:jc w:val="both"/>
        <w:rPr>
          <w:rFonts w:ascii="Times New Roman" w:eastAsia="Calibri" w:hAnsi="Times New Roman" w:cs="Times New Roman"/>
          <w:bCs/>
          <w:sz w:val="24"/>
          <w:szCs w:val="24"/>
        </w:rPr>
      </w:pPr>
    </w:p>
    <w:p w14:paraId="3985A56E" w14:textId="0C2F8ACF" w:rsidR="003302DC" w:rsidRDefault="00D1435C" w:rsidP="004172AC">
      <w:pPr>
        <w:spacing w:after="0" w:line="480" w:lineRule="auto"/>
        <w:ind w:left="-5" w:firstLine="725"/>
        <w:jc w:val="both"/>
        <w:rPr>
          <w:rFonts w:ascii="Times New Roman" w:eastAsia="Calibri" w:hAnsi="Times New Roman" w:cs="Times New Roman"/>
          <w:bCs/>
          <w:sz w:val="24"/>
          <w:szCs w:val="24"/>
        </w:rPr>
      </w:pPr>
      <w:r w:rsidRPr="00F126C0">
        <w:rPr>
          <w:rFonts w:ascii="Times New Roman" w:eastAsia="Calibri" w:hAnsi="Times New Roman" w:cs="Times New Roman"/>
          <w:bCs/>
          <w:sz w:val="24"/>
          <w:szCs w:val="24"/>
        </w:rPr>
        <w:t xml:space="preserve">As </w:t>
      </w:r>
      <w:r w:rsidR="00AD085C">
        <w:rPr>
          <w:rFonts w:ascii="Times New Roman" w:eastAsia="Calibri" w:hAnsi="Times New Roman" w:cs="Times New Roman"/>
          <w:bCs/>
          <w:sz w:val="24"/>
          <w:szCs w:val="24"/>
        </w:rPr>
        <w:t xml:space="preserve">was </w:t>
      </w:r>
      <w:r w:rsidRPr="00F126C0">
        <w:rPr>
          <w:rFonts w:ascii="Times New Roman" w:eastAsia="Calibri" w:hAnsi="Times New Roman" w:cs="Times New Roman"/>
          <w:bCs/>
          <w:sz w:val="24"/>
          <w:szCs w:val="24"/>
        </w:rPr>
        <w:t xml:space="preserve">correctly </w:t>
      </w:r>
      <w:r w:rsidR="00AD085C">
        <w:rPr>
          <w:rFonts w:ascii="Times New Roman" w:eastAsia="Calibri" w:hAnsi="Times New Roman" w:cs="Times New Roman"/>
          <w:bCs/>
          <w:sz w:val="24"/>
          <w:szCs w:val="24"/>
        </w:rPr>
        <w:t>found</w:t>
      </w:r>
      <w:r w:rsidRPr="00F126C0">
        <w:rPr>
          <w:rFonts w:ascii="Times New Roman" w:eastAsia="Calibri" w:hAnsi="Times New Roman" w:cs="Times New Roman"/>
          <w:bCs/>
          <w:sz w:val="24"/>
          <w:szCs w:val="24"/>
        </w:rPr>
        <w:t xml:space="preserve"> by the court a </w:t>
      </w:r>
      <w:r w:rsidRPr="00F126C0">
        <w:rPr>
          <w:rFonts w:ascii="Times New Roman" w:eastAsia="Calibri" w:hAnsi="Times New Roman" w:cs="Times New Roman"/>
          <w:bCs/>
          <w:i/>
          <w:iCs/>
          <w:sz w:val="24"/>
          <w:szCs w:val="24"/>
        </w:rPr>
        <w:t>quo</w:t>
      </w:r>
      <w:r w:rsidR="00AD085C">
        <w:rPr>
          <w:rFonts w:ascii="Times New Roman" w:eastAsia="Calibri" w:hAnsi="Times New Roman" w:cs="Times New Roman"/>
          <w:bCs/>
          <w:sz w:val="24"/>
          <w:szCs w:val="24"/>
        </w:rPr>
        <w:t>,</w:t>
      </w:r>
      <w:r w:rsidRPr="00F126C0">
        <w:rPr>
          <w:rFonts w:ascii="Times New Roman" w:eastAsia="Calibri" w:hAnsi="Times New Roman" w:cs="Times New Roman"/>
          <w:bCs/>
          <w:sz w:val="24"/>
          <w:szCs w:val="24"/>
        </w:rPr>
        <w:t xml:space="preserve"> the </w:t>
      </w:r>
      <w:r w:rsidR="00AD085C">
        <w:rPr>
          <w:rFonts w:ascii="Times New Roman" w:eastAsia="Calibri" w:hAnsi="Times New Roman" w:cs="Times New Roman"/>
          <w:bCs/>
          <w:sz w:val="24"/>
          <w:szCs w:val="24"/>
        </w:rPr>
        <w:t xml:space="preserve">quantified </w:t>
      </w:r>
      <w:r w:rsidRPr="00F126C0">
        <w:rPr>
          <w:rFonts w:ascii="Times New Roman" w:eastAsia="Calibri" w:hAnsi="Times New Roman" w:cs="Times New Roman"/>
          <w:bCs/>
          <w:sz w:val="24"/>
          <w:szCs w:val="24"/>
        </w:rPr>
        <w:t xml:space="preserve">value of the damages claimed by the respondent was </w:t>
      </w:r>
      <w:r w:rsidR="006C217D">
        <w:rPr>
          <w:rFonts w:ascii="Times New Roman" w:eastAsia="Calibri" w:hAnsi="Times New Roman" w:cs="Times New Roman"/>
          <w:bCs/>
          <w:sz w:val="24"/>
          <w:szCs w:val="24"/>
        </w:rPr>
        <w:t xml:space="preserve">eventually </w:t>
      </w:r>
      <w:r w:rsidRPr="00F126C0">
        <w:rPr>
          <w:rFonts w:ascii="Times New Roman" w:eastAsia="Calibri" w:hAnsi="Times New Roman" w:cs="Times New Roman"/>
          <w:bCs/>
          <w:sz w:val="24"/>
          <w:szCs w:val="24"/>
        </w:rPr>
        <w:t>expressed on 21 October 2022</w:t>
      </w:r>
      <w:r w:rsidR="006C217D">
        <w:rPr>
          <w:rFonts w:ascii="Times New Roman" w:eastAsia="Calibri" w:hAnsi="Times New Roman" w:cs="Times New Roman"/>
          <w:bCs/>
          <w:sz w:val="24"/>
          <w:szCs w:val="24"/>
        </w:rPr>
        <w:t>.</w:t>
      </w:r>
      <w:r w:rsidRPr="00F126C0">
        <w:rPr>
          <w:rFonts w:ascii="Times New Roman" w:eastAsia="Calibri" w:hAnsi="Times New Roman" w:cs="Times New Roman"/>
          <w:bCs/>
          <w:sz w:val="24"/>
          <w:szCs w:val="24"/>
        </w:rPr>
        <w:t xml:space="preserve"> The court found no merit in the applicant’s</w:t>
      </w:r>
      <w:r w:rsidRPr="00F126C0">
        <w:rPr>
          <w:rFonts w:ascii="Times New Roman" w:eastAsia="Calibri" w:hAnsi="Times New Roman" w:cs="Times New Roman"/>
          <w:bCs/>
          <w:i/>
          <w:iCs/>
          <w:sz w:val="24"/>
          <w:szCs w:val="24"/>
        </w:rPr>
        <w:t xml:space="preserve"> </w:t>
      </w:r>
      <w:r w:rsidRPr="00F126C0">
        <w:rPr>
          <w:rFonts w:ascii="Times New Roman" w:eastAsia="Calibri" w:hAnsi="Times New Roman" w:cs="Times New Roman"/>
          <w:bCs/>
          <w:sz w:val="24"/>
          <w:szCs w:val="24"/>
        </w:rPr>
        <w:t>argument that the origin of the liability, being the employment contract and the date of unlawful dismissal</w:t>
      </w:r>
      <w:r w:rsidR="006C217D">
        <w:rPr>
          <w:rFonts w:ascii="Times New Roman" w:eastAsia="Calibri" w:hAnsi="Times New Roman" w:cs="Times New Roman"/>
          <w:bCs/>
          <w:sz w:val="24"/>
          <w:szCs w:val="24"/>
        </w:rPr>
        <w:t>,</w:t>
      </w:r>
      <w:r w:rsidRPr="00F126C0">
        <w:rPr>
          <w:rFonts w:ascii="Times New Roman" w:eastAsia="Calibri" w:hAnsi="Times New Roman" w:cs="Times New Roman"/>
          <w:bCs/>
          <w:sz w:val="24"/>
          <w:szCs w:val="24"/>
        </w:rPr>
        <w:t xml:space="preserve"> </w:t>
      </w:r>
      <w:r w:rsidR="006C217D">
        <w:rPr>
          <w:rFonts w:ascii="Times New Roman" w:eastAsia="Calibri" w:hAnsi="Times New Roman" w:cs="Times New Roman"/>
          <w:bCs/>
          <w:sz w:val="24"/>
          <w:szCs w:val="24"/>
        </w:rPr>
        <w:t xml:space="preserve">should be relied upon to </w:t>
      </w:r>
      <w:r w:rsidRPr="00F126C0">
        <w:rPr>
          <w:rFonts w:ascii="Times New Roman" w:eastAsia="Calibri" w:hAnsi="Times New Roman" w:cs="Times New Roman"/>
          <w:bCs/>
          <w:sz w:val="24"/>
          <w:szCs w:val="24"/>
        </w:rPr>
        <w:t xml:space="preserve">determine the </w:t>
      </w:r>
      <w:r w:rsidR="006C217D">
        <w:rPr>
          <w:rFonts w:ascii="Times New Roman" w:eastAsia="Calibri" w:hAnsi="Times New Roman" w:cs="Times New Roman"/>
          <w:bCs/>
          <w:sz w:val="24"/>
          <w:szCs w:val="24"/>
        </w:rPr>
        <w:t xml:space="preserve">applicable </w:t>
      </w:r>
      <w:r w:rsidRPr="00F126C0">
        <w:rPr>
          <w:rFonts w:ascii="Times New Roman" w:eastAsia="Calibri" w:hAnsi="Times New Roman" w:cs="Times New Roman"/>
          <w:bCs/>
          <w:sz w:val="24"/>
          <w:szCs w:val="24"/>
        </w:rPr>
        <w:t>conversion rate. This is because a mere claim for damages cannot be considered an asset or liability</w:t>
      </w:r>
      <w:r w:rsidR="006C217D">
        <w:rPr>
          <w:rFonts w:ascii="Times New Roman" w:eastAsia="Calibri" w:hAnsi="Times New Roman" w:cs="Times New Roman"/>
          <w:bCs/>
          <w:sz w:val="24"/>
          <w:szCs w:val="24"/>
        </w:rPr>
        <w:t xml:space="preserve"> in favour of or against the parties involved.</w:t>
      </w:r>
      <w:r w:rsidRPr="00F126C0">
        <w:rPr>
          <w:rFonts w:ascii="Times New Roman" w:eastAsia="Calibri" w:hAnsi="Times New Roman" w:cs="Times New Roman"/>
          <w:bCs/>
          <w:sz w:val="24"/>
          <w:szCs w:val="24"/>
        </w:rPr>
        <w:t xml:space="preserve"> It can only be deemed as such after a competent court has made a determination and assessed the </w:t>
      </w:r>
      <w:r w:rsidR="006C217D">
        <w:rPr>
          <w:rFonts w:ascii="Times New Roman" w:eastAsia="Calibri" w:hAnsi="Times New Roman" w:cs="Times New Roman"/>
          <w:bCs/>
          <w:sz w:val="24"/>
          <w:szCs w:val="24"/>
        </w:rPr>
        <w:t xml:space="preserve">actual </w:t>
      </w:r>
      <w:r w:rsidRPr="00F126C0">
        <w:rPr>
          <w:rFonts w:ascii="Times New Roman" w:eastAsia="Calibri" w:hAnsi="Times New Roman" w:cs="Times New Roman"/>
          <w:bCs/>
          <w:sz w:val="24"/>
          <w:szCs w:val="24"/>
        </w:rPr>
        <w:t>measure of those damages.</w:t>
      </w:r>
      <w:r w:rsidR="006C217D" w:rsidRPr="006C217D">
        <w:rPr>
          <w:rFonts w:ascii="Times New Roman" w:eastAsia="Calibri" w:hAnsi="Times New Roman" w:cs="Times New Roman"/>
          <w:bCs/>
          <w:sz w:val="24"/>
          <w:szCs w:val="24"/>
        </w:rPr>
        <w:t xml:space="preserve"> </w:t>
      </w:r>
      <w:r w:rsidR="00A61F27">
        <w:rPr>
          <w:rFonts w:ascii="Times New Roman" w:eastAsia="Calibri" w:hAnsi="Times New Roman" w:cs="Times New Roman"/>
          <w:bCs/>
          <w:i/>
          <w:iCs/>
          <w:sz w:val="24"/>
          <w:szCs w:val="24"/>
        </w:rPr>
        <w:t>In casu</w:t>
      </w:r>
      <w:r w:rsidR="00A61F27">
        <w:rPr>
          <w:rFonts w:ascii="Times New Roman" w:eastAsia="Calibri" w:hAnsi="Times New Roman" w:cs="Times New Roman"/>
          <w:bCs/>
          <w:sz w:val="24"/>
          <w:szCs w:val="24"/>
        </w:rPr>
        <w:t>, the</w:t>
      </w:r>
      <w:r w:rsidR="006C217D" w:rsidRPr="00F126C0">
        <w:rPr>
          <w:rFonts w:ascii="Times New Roman" w:eastAsia="Calibri" w:hAnsi="Times New Roman" w:cs="Times New Roman"/>
          <w:bCs/>
          <w:sz w:val="24"/>
          <w:szCs w:val="24"/>
        </w:rPr>
        <w:t xml:space="preserve"> damages due to the respondent were </w:t>
      </w:r>
      <w:r w:rsidR="006C217D">
        <w:rPr>
          <w:rFonts w:ascii="Times New Roman" w:eastAsia="Calibri" w:hAnsi="Times New Roman" w:cs="Times New Roman"/>
          <w:bCs/>
          <w:sz w:val="24"/>
          <w:szCs w:val="24"/>
        </w:rPr>
        <w:t xml:space="preserve">only </w:t>
      </w:r>
      <w:r w:rsidR="006C217D" w:rsidRPr="00F126C0">
        <w:rPr>
          <w:rFonts w:ascii="Times New Roman" w:eastAsia="Calibri" w:hAnsi="Times New Roman" w:cs="Times New Roman"/>
          <w:bCs/>
          <w:sz w:val="24"/>
          <w:szCs w:val="24"/>
        </w:rPr>
        <w:t xml:space="preserve">clearly </w:t>
      </w:r>
      <w:r w:rsidR="006C217D">
        <w:rPr>
          <w:rFonts w:ascii="Times New Roman" w:eastAsia="Calibri" w:hAnsi="Times New Roman" w:cs="Times New Roman"/>
          <w:bCs/>
          <w:sz w:val="24"/>
          <w:szCs w:val="24"/>
        </w:rPr>
        <w:t xml:space="preserve">valued and </w:t>
      </w:r>
      <w:r w:rsidR="006C217D" w:rsidRPr="00F126C0">
        <w:rPr>
          <w:rFonts w:ascii="Times New Roman" w:eastAsia="Calibri" w:hAnsi="Times New Roman" w:cs="Times New Roman"/>
          <w:bCs/>
          <w:sz w:val="24"/>
          <w:szCs w:val="24"/>
        </w:rPr>
        <w:t xml:space="preserve">expressed through </w:t>
      </w:r>
      <w:r w:rsidR="006C217D">
        <w:rPr>
          <w:rFonts w:ascii="Times New Roman" w:eastAsia="Calibri" w:hAnsi="Times New Roman" w:cs="Times New Roman"/>
          <w:bCs/>
          <w:sz w:val="24"/>
          <w:szCs w:val="24"/>
        </w:rPr>
        <w:t>the order of the Labour Court</w:t>
      </w:r>
      <w:r w:rsidR="00A61F27">
        <w:rPr>
          <w:rFonts w:ascii="Times New Roman" w:eastAsia="Calibri" w:hAnsi="Times New Roman" w:cs="Times New Roman"/>
          <w:bCs/>
          <w:sz w:val="24"/>
          <w:szCs w:val="24"/>
        </w:rPr>
        <w:t>,</w:t>
      </w:r>
      <w:r w:rsidR="006C217D" w:rsidRPr="00F126C0">
        <w:rPr>
          <w:rFonts w:ascii="Times New Roman" w:eastAsia="Calibri" w:hAnsi="Times New Roman" w:cs="Times New Roman"/>
          <w:bCs/>
          <w:sz w:val="24"/>
          <w:szCs w:val="24"/>
        </w:rPr>
        <w:t xml:space="preserve"> </w:t>
      </w:r>
      <w:r w:rsidR="00A61F27">
        <w:rPr>
          <w:rFonts w:ascii="Times New Roman" w:eastAsia="Calibri" w:hAnsi="Times New Roman" w:cs="Times New Roman"/>
          <w:bCs/>
          <w:sz w:val="24"/>
          <w:szCs w:val="24"/>
        </w:rPr>
        <w:t xml:space="preserve">which was handed down </w:t>
      </w:r>
      <w:r w:rsidR="006C217D" w:rsidRPr="00F126C0">
        <w:rPr>
          <w:rFonts w:ascii="Times New Roman" w:eastAsia="Calibri" w:hAnsi="Times New Roman" w:cs="Times New Roman"/>
          <w:bCs/>
          <w:sz w:val="24"/>
          <w:szCs w:val="24"/>
        </w:rPr>
        <w:t xml:space="preserve">on </w:t>
      </w:r>
      <w:r w:rsidR="00A61F27">
        <w:rPr>
          <w:rFonts w:ascii="Times New Roman" w:eastAsia="Calibri" w:hAnsi="Times New Roman" w:cs="Times New Roman"/>
          <w:bCs/>
          <w:sz w:val="24"/>
          <w:szCs w:val="24"/>
        </w:rPr>
        <w:t>21</w:t>
      </w:r>
      <w:r w:rsidR="006C217D" w:rsidRPr="00F126C0">
        <w:rPr>
          <w:rFonts w:ascii="Times New Roman" w:eastAsia="Calibri" w:hAnsi="Times New Roman" w:cs="Times New Roman"/>
          <w:bCs/>
          <w:sz w:val="24"/>
          <w:szCs w:val="24"/>
        </w:rPr>
        <w:t xml:space="preserve"> October 2020, </w:t>
      </w:r>
      <w:r w:rsidR="006C217D">
        <w:rPr>
          <w:rFonts w:ascii="Times New Roman" w:eastAsia="Calibri" w:hAnsi="Times New Roman" w:cs="Times New Roman"/>
          <w:bCs/>
          <w:sz w:val="24"/>
          <w:szCs w:val="24"/>
        </w:rPr>
        <w:t>well</w:t>
      </w:r>
      <w:r w:rsidR="006C217D" w:rsidRPr="00F126C0">
        <w:rPr>
          <w:rFonts w:ascii="Times New Roman" w:eastAsia="Calibri" w:hAnsi="Times New Roman" w:cs="Times New Roman"/>
          <w:bCs/>
          <w:sz w:val="24"/>
          <w:szCs w:val="24"/>
        </w:rPr>
        <w:t xml:space="preserve"> after the effective date </w:t>
      </w:r>
      <w:r w:rsidR="006C217D">
        <w:rPr>
          <w:rFonts w:ascii="Times New Roman" w:eastAsia="Calibri" w:hAnsi="Times New Roman" w:cs="Times New Roman"/>
          <w:bCs/>
          <w:sz w:val="24"/>
          <w:szCs w:val="24"/>
        </w:rPr>
        <w:t>of 22</w:t>
      </w:r>
      <w:r w:rsidR="006C217D" w:rsidRPr="00F126C0">
        <w:rPr>
          <w:rFonts w:ascii="Times New Roman" w:eastAsia="Calibri" w:hAnsi="Times New Roman" w:cs="Times New Roman"/>
          <w:bCs/>
          <w:sz w:val="24"/>
          <w:szCs w:val="24"/>
        </w:rPr>
        <w:t xml:space="preserve"> February 2019.</w:t>
      </w:r>
    </w:p>
    <w:p w14:paraId="75B4860D" w14:textId="77777777" w:rsidR="00A61F27" w:rsidRDefault="00A61F27" w:rsidP="00F072FA">
      <w:pPr>
        <w:spacing w:after="0" w:line="480" w:lineRule="auto"/>
        <w:jc w:val="both"/>
        <w:rPr>
          <w:rFonts w:ascii="Times New Roman" w:eastAsia="Calibri" w:hAnsi="Times New Roman" w:cs="Times New Roman"/>
          <w:sz w:val="24"/>
          <w:szCs w:val="24"/>
        </w:rPr>
      </w:pPr>
    </w:p>
    <w:p w14:paraId="6F84FC99" w14:textId="63071B2D" w:rsidR="008C590E" w:rsidRDefault="00F072FA" w:rsidP="00A61F27">
      <w:pPr>
        <w:spacing w:after="0" w:line="480" w:lineRule="auto"/>
        <w:ind w:left="-5" w:firstLine="725"/>
        <w:jc w:val="both"/>
        <w:rPr>
          <w:rFonts w:ascii="Times New Roman" w:eastAsia="Calibri" w:hAnsi="Times New Roman" w:cs="Times New Roman"/>
          <w:sz w:val="24"/>
          <w:szCs w:val="24"/>
        </w:rPr>
      </w:pPr>
      <w:r w:rsidRPr="00F126C0">
        <w:rPr>
          <w:rFonts w:ascii="Times New Roman" w:eastAsia="Calibri" w:hAnsi="Times New Roman" w:cs="Times New Roman"/>
          <w:bCs/>
          <w:sz w:val="24"/>
          <w:szCs w:val="24"/>
        </w:rPr>
        <w:lastRenderedPageBreak/>
        <w:t xml:space="preserve">The applicant </w:t>
      </w:r>
      <w:r>
        <w:rPr>
          <w:rFonts w:ascii="Times New Roman" w:eastAsia="Calibri" w:hAnsi="Times New Roman" w:cs="Times New Roman"/>
          <w:bCs/>
          <w:sz w:val="24"/>
          <w:szCs w:val="24"/>
        </w:rPr>
        <w:t>contends</w:t>
      </w:r>
      <w:r w:rsidRPr="00F126C0">
        <w:rPr>
          <w:rFonts w:ascii="Times New Roman" w:eastAsia="Calibri" w:hAnsi="Times New Roman" w:cs="Times New Roman"/>
          <w:bCs/>
          <w:sz w:val="24"/>
          <w:szCs w:val="24"/>
        </w:rPr>
        <w:t xml:space="preserve"> that the </w:t>
      </w:r>
      <w:r w:rsidR="00CE6065">
        <w:rPr>
          <w:rFonts w:ascii="Times New Roman" w:eastAsia="Calibri" w:hAnsi="Times New Roman" w:cs="Times New Roman"/>
          <w:bCs/>
          <w:sz w:val="24"/>
          <w:szCs w:val="24"/>
        </w:rPr>
        <w:t xml:space="preserve">court </w:t>
      </w:r>
      <w:r w:rsidR="00CE6065">
        <w:rPr>
          <w:rFonts w:ascii="Times New Roman" w:eastAsia="Calibri" w:hAnsi="Times New Roman" w:cs="Times New Roman"/>
          <w:bCs/>
          <w:i/>
          <w:iCs/>
          <w:sz w:val="24"/>
          <w:szCs w:val="24"/>
        </w:rPr>
        <w:t>a quo</w:t>
      </w:r>
      <w:r w:rsidR="00CE6065">
        <w:rPr>
          <w:rFonts w:ascii="Times New Roman" w:eastAsia="Calibri" w:hAnsi="Times New Roman" w:cs="Times New Roman"/>
          <w:bCs/>
          <w:sz w:val="24"/>
          <w:szCs w:val="24"/>
        </w:rPr>
        <w:t xml:space="preserve"> was</w:t>
      </w:r>
      <w:r w:rsidRPr="00F126C0">
        <w:rPr>
          <w:rFonts w:ascii="Times New Roman" w:eastAsia="Calibri" w:hAnsi="Times New Roman" w:cs="Times New Roman"/>
          <w:bCs/>
          <w:sz w:val="24"/>
          <w:szCs w:val="24"/>
        </w:rPr>
        <w:t xml:space="preserve"> inconsistent in the manner in which it interpreted and applied the provisions of </w:t>
      </w:r>
      <w:r w:rsidR="00556091">
        <w:rPr>
          <w:rFonts w:ascii="Times New Roman" w:eastAsia="Calibri" w:hAnsi="Times New Roman" w:cs="Times New Roman"/>
          <w:bCs/>
          <w:sz w:val="24"/>
          <w:szCs w:val="24"/>
        </w:rPr>
        <w:t>the law</w:t>
      </w:r>
      <w:r w:rsidRPr="00F126C0">
        <w:rPr>
          <w:rFonts w:ascii="Times New Roman" w:eastAsia="Calibri" w:hAnsi="Times New Roman" w:cs="Times New Roman"/>
          <w:bCs/>
          <w:sz w:val="24"/>
          <w:szCs w:val="24"/>
        </w:rPr>
        <w:t xml:space="preserve">. </w:t>
      </w:r>
      <w:r w:rsidR="00A61F27">
        <w:rPr>
          <w:rFonts w:ascii="Times New Roman" w:eastAsia="Calibri" w:hAnsi="Times New Roman" w:cs="Times New Roman"/>
          <w:sz w:val="24"/>
          <w:szCs w:val="24"/>
        </w:rPr>
        <w:t>In my view,</w:t>
      </w:r>
      <w:r w:rsidR="008C590E" w:rsidRPr="008C590E">
        <w:rPr>
          <w:rFonts w:ascii="Times New Roman" w:eastAsia="Calibri" w:hAnsi="Times New Roman" w:cs="Times New Roman"/>
          <w:sz w:val="24"/>
          <w:szCs w:val="24"/>
        </w:rPr>
        <w:t xml:space="preserve"> </w:t>
      </w:r>
      <w:r w:rsidR="00A61F27">
        <w:rPr>
          <w:rFonts w:ascii="Times New Roman" w:eastAsia="Calibri" w:hAnsi="Times New Roman" w:cs="Times New Roman"/>
          <w:sz w:val="24"/>
          <w:szCs w:val="24"/>
        </w:rPr>
        <w:t xml:space="preserve">the </w:t>
      </w:r>
      <w:r w:rsidR="008C590E" w:rsidRPr="008C590E">
        <w:rPr>
          <w:rFonts w:ascii="Times New Roman" w:eastAsia="Calibri" w:hAnsi="Times New Roman" w:cs="Times New Roman"/>
          <w:sz w:val="24"/>
          <w:szCs w:val="24"/>
        </w:rPr>
        <w:t>cases concerning the application of SI 33 of 2019, which were decided by the Supreme Court during the relevant period, were determined by that court on the basis of the juristic facts that were peculiar to each case. They yielded different outcomes on the basis of differing facts and not on the basis of the individual circumstances or characteristics of the litigants involved. Therefore, it cannot be said that the applicant itself was discriminated against when compared with other employers who were in the same or similar position as the applicant. Accordingly, I am unable to perceive any violation of its right to equal protection and benefit of the applicable law</w:t>
      </w:r>
      <w:r w:rsidR="00E0156D">
        <w:rPr>
          <w:rFonts w:ascii="Times New Roman" w:eastAsia="Calibri" w:hAnsi="Times New Roman" w:cs="Times New Roman"/>
          <w:sz w:val="24"/>
          <w:szCs w:val="24"/>
        </w:rPr>
        <w:t xml:space="preserve"> in contravention of s 56(1) of the Constitution.</w:t>
      </w:r>
    </w:p>
    <w:p w14:paraId="60B1C002" w14:textId="77777777" w:rsidR="00F072FA" w:rsidRDefault="00F072FA" w:rsidP="00F072FA">
      <w:pPr>
        <w:spacing w:after="0" w:line="480" w:lineRule="auto"/>
        <w:jc w:val="both"/>
        <w:rPr>
          <w:rFonts w:ascii="Times New Roman" w:eastAsia="Calibri" w:hAnsi="Times New Roman" w:cs="Times New Roman"/>
          <w:sz w:val="24"/>
          <w:szCs w:val="24"/>
        </w:rPr>
      </w:pPr>
    </w:p>
    <w:p w14:paraId="08046E0A" w14:textId="77777777" w:rsidR="00F072FA" w:rsidRPr="00D1435C" w:rsidRDefault="00F072FA" w:rsidP="00F072FA">
      <w:pPr>
        <w:spacing w:after="0" w:line="480" w:lineRule="auto"/>
        <w:jc w:val="both"/>
        <w:rPr>
          <w:rFonts w:ascii="Times New Roman" w:eastAsia="Calibri" w:hAnsi="Times New Roman" w:cs="Times New Roman"/>
          <w:bCs/>
          <w:sz w:val="24"/>
          <w:szCs w:val="24"/>
        </w:rPr>
      </w:pPr>
      <w:r>
        <w:rPr>
          <w:rFonts w:ascii="Times New Roman" w:eastAsia="Calibri" w:hAnsi="Times New Roman" w:cs="Times New Roman"/>
          <w:b/>
          <w:sz w:val="24"/>
          <w:szCs w:val="24"/>
        </w:rPr>
        <w:t>Finality of Supreme Court Decisions</w:t>
      </w:r>
    </w:p>
    <w:p w14:paraId="2CFE1CBF" w14:textId="77777777" w:rsidR="00F072FA" w:rsidRDefault="00F072FA" w:rsidP="00F072FA">
      <w:pPr>
        <w:spacing w:after="0" w:line="480" w:lineRule="auto"/>
        <w:ind w:firstLine="720"/>
        <w:jc w:val="both"/>
        <w:rPr>
          <w:rFonts w:ascii="Times New Roman" w:eastAsia="Calibri" w:hAnsi="Times New Roman" w:cs="Times New Roman"/>
          <w:bCs/>
          <w:sz w:val="24"/>
          <w:szCs w:val="24"/>
        </w:rPr>
      </w:pPr>
      <w:r w:rsidRPr="00F126C0">
        <w:rPr>
          <w:rFonts w:ascii="Times New Roman" w:eastAsia="Calibri" w:hAnsi="Times New Roman" w:cs="Times New Roman"/>
          <w:bCs/>
          <w:sz w:val="24"/>
          <w:szCs w:val="24"/>
        </w:rPr>
        <w:t xml:space="preserve">It is important to </w:t>
      </w:r>
      <w:r>
        <w:rPr>
          <w:rFonts w:ascii="Times New Roman" w:eastAsia="Calibri" w:hAnsi="Times New Roman" w:cs="Times New Roman"/>
          <w:bCs/>
          <w:sz w:val="24"/>
          <w:szCs w:val="24"/>
        </w:rPr>
        <w:t>emphasise</w:t>
      </w:r>
      <w:r w:rsidRPr="00F126C0">
        <w:rPr>
          <w:rFonts w:ascii="Times New Roman" w:eastAsia="Calibri" w:hAnsi="Times New Roman" w:cs="Times New Roman"/>
          <w:bCs/>
          <w:sz w:val="24"/>
          <w:szCs w:val="24"/>
        </w:rPr>
        <w:t xml:space="preserve"> at this juncture that the matter in the court </w:t>
      </w:r>
      <w:r w:rsidRPr="00F126C0">
        <w:rPr>
          <w:rFonts w:ascii="Times New Roman" w:eastAsia="Calibri" w:hAnsi="Times New Roman" w:cs="Times New Roman"/>
          <w:bCs/>
          <w:i/>
          <w:sz w:val="24"/>
          <w:szCs w:val="24"/>
        </w:rPr>
        <w:t xml:space="preserve">a quo </w:t>
      </w:r>
      <w:r w:rsidRPr="00F126C0">
        <w:rPr>
          <w:rFonts w:ascii="Times New Roman" w:eastAsia="Calibri" w:hAnsi="Times New Roman" w:cs="Times New Roman"/>
          <w:bCs/>
          <w:sz w:val="24"/>
          <w:szCs w:val="24"/>
        </w:rPr>
        <w:t xml:space="preserve">was not premised on the interpretation, </w:t>
      </w:r>
      <w:r>
        <w:rPr>
          <w:rFonts w:ascii="Times New Roman" w:eastAsia="Calibri" w:hAnsi="Times New Roman" w:cs="Times New Roman"/>
          <w:bCs/>
          <w:sz w:val="24"/>
          <w:szCs w:val="24"/>
        </w:rPr>
        <w:t xml:space="preserve">protection or </w:t>
      </w:r>
      <w:r w:rsidRPr="00F126C0">
        <w:rPr>
          <w:rFonts w:ascii="Times New Roman" w:eastAsia="Calibri" w:hAnsi="Times New Roman" w:cs="Times New Roman"/>
          <w:bCs/>
          <w:sz w:val="24"/>
          <w:szCs w:val="24"/>
        </w:rPr>
        <w:t>enforcement</w:t>
      </w:r>
      <w:r>
        <w:rPr>
          <w:rFonts w:ascii="Times New Roman" w:eastAsia="Calibri" w:hAnsi="Times New Roman" w:cs="Times New Roman"/>
          <w:bCs/>
          <w:sz w:val="24"/>
          <w:szCs w:val="24"/>
        </w:rPr>
        <w:t xml:space="preserve"> of</w:t>
      </w:r>
      <w:r w:rsidRPr="00F126C0">
        <w:rPr>
          <w:rFonts w:ascii="Times New Roman" w:eastAsia="Calibri" w:hAnsi="Times New Roman" w:cs="Times New Roman"/>
          <w:bCs/>
          <w:sz w:val="24"/>
          <w:szCs w:val="24"/>
        </w:rPr>
        <w:t xml:space="preserve"> the Constitution. </w:t>
      </w:r>
      <w:r>
        <w:rPr>
          <w:rFonts w:ascii="Times New Roman" w:eastAsia="Calibri" w:hAnsi="Times New Roman" w:cs="Times New Roman"/>
          <w:bCs/>
          <w:sz w:val="24"/>
          <w:szCs w:val="24"/>
        </w:rPr>
        <w:t>In other words, there was no constitutional question for determination before the court.</w:t>
      </w:r>
      <w:r w:rsidRPr="00F126C0">
        <w:rPr>
          <w:rFonts w:ascii="Times New Roman" w:eastAsia="Calibri" w:hAnsi="Times New Roman" w:cs="Times New Roman"/>
          <w:bCs/>
          <w:sz w:val="24"/>
          <w:szCs w:val="24"/>
        </w:rPr>
        <w:t xml:space="preserve"> Rather, the main issue was whether the respondent’s damages </w:t>
      </w:r>
      <w:r>
        <w:rPr>
          <w:rFonts w:ascii="Times New Roman" w:eastAsia="Calibri" w:hAnsi="Times New Roman" w:cs="Times New Roman"/>
          <w:bCs/>
          <w:sz w:val="24"/>
          <w:szCs w:val="24"/>
        </w:rPr>
        <w:t>were</w:t>
      </w:r>
      <w:r w:rsidRPr="00F126C0">
        <w:rPr>
          <w:rFonts w:ascii="Times New Roman" w:eastAsia="Calibri" w:hAnsi="Times New Roman" w:cs="Times New Roman"/>
          <w:bCs/>
          <w:sz w:val="24"/>
          <w:szCs w:val="24"/>
        </w:rPr>
        <w:t xml:space="preserve"> to be paid using the interbank rate</w:t>
      </w:r>
      <w:r>
        <w:rPr>
          <w:rFonts w:ascii="Times New Roman" w:eastAsia="Calibri" w:hAnsi="Times New Roman" w:cs="Times New Roman"/>
          <w:bCs/>
          <w:sz w:val="24"/>
          <w:szCs w:val="24"/>
        </w:rPr>
        <w:t xml:space="preserve"> of exchange </w:t>
      </w:r>
      <w:r w:rsidRPr="00F126C0">
        <w:rPr>
          <w:rFonts w:ascii="Times New Roman" w:eastAsia="Calibri" w:hAnsi="Times New Roman" w:cs="Times New Roman"/>
          <w:bCs/>
          <w:sz w:val="24"/>
          <w:szCs w:val="24"/>
        </w:rPr>
        <w:t xml:space="preserve">or the rate of one United States </w:t>
      </w:r>
      <w:r>
        <w:rPr>
          <w:rFonts w:ascii="Times New Roman" w:eastAsia="Calibri" w:hAnsi="Times New Roman" w:cs="Times New Roman"/>
          <w:bCs/>
          <w:sz w:val="24"/>
          <w:szCs w:val="24"/>
        </w:rPr>
        <w:t>dollar</w:t>
      </w:r>
      <w:r w:rsidRPr="00F126C0">
        <w:rPr>
          <w:rFonts w:ascii="Times New Roman" w:eastAsia="Calibri" w:hAnsi="Times New Roman" w:cs="Times New Roman"/>
          <w:bCs/>
          <w:sz w:val="24"/>
          <w:szCs w:val="24"/>
        </w:rPr>
        <w:t xml:space="preserve"> to one Zimbabwean dollar.</w:t>
      </w:r>
    </w:p>
    <w:p w14:paraId="2BA19E2F" w14:textId="77777777" w:rsidR="00F072FA" w:rsidRDefault="00F072FA" w:rsidP="00F072FA">
      <w:pPr>
        <w:spacing w:after="0" w:line="480" w:lineRule="auto"/>
        <w:ind w:firstLine="720"/>
        <w:jc w:val="both"/>
        <w:rPr>
          <w:rFonts w:ascii="Times New Roman" w:eastAsia="Calibri" w:hAnsi="Times New Roman" w:cs="Times New Roman"/>
          <w:bCs/>
          <w:sz w:val="24"/>
          <w:szCs w:val="24"/>
          <w:lang w:val="en-GB"/>
        </w:rPr>
      </w:pPr>
    </w:p>
    <w:p w14:paraId="723E3FE5" w14:textId="77777777" w:rsidR="00F072FA" w:rsidRPr="00F126C0" w:rsidRDefault="00F072FA" w:rsidP="00F072FA">
      <w:pPr>
        <w:spacing w:after="0" w:line="480" w:lineRule="auto"/>
        <w:ind w:firstLine="720"/>
        <w:jc w:val="both"/>
        <w:rPr>
          <w:rFonts w:ascii="Times New Roman" w:eastAsia="Calibri" w:hAnsi="Times New Roman" w:cs="Times New Roman"/>
          <w:bCs/>
          <w:sz w:val="24"/>
          <w:szCs w:val="24"/>
        </w:rPr>
      </w:pPr>
      <w:r>
        <w:rPr>
          <w:rFonts w:ascii="Times New Roman" w:eastAsia="Calibri" w:hAnsi="Times New Roman" w:cs="Times New Roman"/>
          <w:bCs/>
          <w:sz w:val="24"/>
          <w:szCs w:val="24"/>
          <w:lang w:val="en-GB"/>
        </w:rPr>
        <w:t>Generally speaking, t</w:t>
      </w:r>
      <w:r w:rsidRPr="00F126C0">
        <w:rPr>
          <w:rFonts w:ascii="Times New Roman" w:eastAsia="Calibri" w:hAnsi="Times New Roman" w:cs="Times New Roman"/>
          <w:bCs/>
          <w:sz w:val="24"/>
          <w:szCs w:val="24"/>
          <w:lang w:val="en-GB"/>
        </w:rPr>
        <w:t xml:space="preserve">he jurisdiction of this Court </w:t>
      </w:r>
      <w:r>
        <w:rPr>
          <w:rFonts w:ascii="Times New Roman" w:eastAsia="Calibri" w:hAnsi="Times New Roman" w:cs="Times New Roman"/>
          <w:bCs/>
          <w:sz w:val="24"/>
          <w:szCs w:val="24"/>
          <w:lang w:val="en-GB"/>
        </w:rPr>
        <w:t>in relation to any decision of the Supreme Court is</w:t>
      </w:r>
      <w:r w:rsidRPr="00F126C0">
        <w:rPr>
          <w:rFonts w:ascii="Times New Roman" w:eastAsia="Calibri" w:hAnsi="Times New Roman" w:cs="Times New Roman"/>
          <w:bCs/>
          <w:sz w:val="24"/>
          <w:szCs w:val="24"/>
          <w:lang w:val="en-GB"/>
        </w:rPr>
        <w:t xml:space="preserve"> </w:t>
      </w:r>
      <w:r>
        <w:rPr>
          <w:rFonts w:ascii="Times New Roman" w:eastAsia="Calibri" w:hAnsi="Times New Roman" w:cs="Times New Roman"/>
          <w:bCs/>
          <w:sz w:val="24"/>
          <w:szCs w:val="24"/>
          <w:lang w:val="en-GB"/>
        </w:rPr>
        <w:t xml:space="preserve">ordinarily only </w:t>
      </w:r>
      <w:r w:rsidRPr="00F126C0">
        <w:rPr>
          <w:rFonts w:ascii="Times New Roman" w:eastAsia="Calibri" w:hAnsi="Times New Roman" w:cs="Times New Roman"/>
          <w:bCs/>
          <w:sz w:val="24"/>
          <w:szCs w:val="24"/>
          <w:lang w:val="en-GB"/>
        </w:rPr>
        <w:t xml:space="preserve">triggered where there is evidence to </w:t>
      </w:r>
      <w:r>
        <w:rPr>
          <w:rFonts w:ascii="Times New Roman" w:eastAsia="Calibri" w:hAnsi="Times New Roman" w:cs="Times New Roman"/>
          <w:bCs/>
          <w:sz w:val="24"/>
          <w:szCs w:val="24"/>
          <w:lang w:val="en-GB"/>
        </w:rPr>
        <w:t>demonstrate</w:t>
      </w:r>
      <w:r w:rsidRPr="00F126C0">
        <w:rPr>
          <w:rFonts w:ascii="Times New Roman" w:eastAsia="Calibri" w:hAnsi="Times New Roman" w:cs="Times New Roman"/>
          <w:bCs/>
          <w:sz w:val="24"/>
          <w:szCs w:val="24"/>
          <w:lang w:val="en-GB"/>
        </w:rPr>
        <w:t xml:space="preserve"> that </w:t>
      </w:r>
      <w:r>
        <w:rPr>
          <w:rFonts w:ascii="Times New Roman" w:eastAsia="Calibri" w:hAnsi="Times New Roman" w:cs="Times New Roman"/>
          <w:bCs/>
          <w:sz w:val="24"/>
          <w:szCs w:val="24"/>
          <w:lang w:val="en-GB"/>
        </w:rPr>
        <w:t>such</w:t>
      </w:r>
      <w:r w:rsidRPr="00F126C0">
        <w:rPr>
          <w:rFonts w:ascii="Times New Roman" w:eastAsia="Calibri" w:hAnsi="Times New Roman" w:cs="Times New Roman"/>
          <w:bCs/>
          <w:sz w:val="24"/>
          <w:szCs w:val="24"/>
          <w:lang w:val="en-GB"/>
        </w:rPr>
        <w:t xml:space="preserve"> decision violated </w:t>
      </w:r>
      <w:r>
        <w:rPr>
          <w:rFonts w:ascii="Times New Roman" w:eastAsia="Calibri" w:hAnsi="Times New Roman" w:cs="Times New Roman"/>
          <w:bCs/>
          <w:sz w:val="24"/>
          <w:szCs w:val="24"/>
          <w:lang w:val="en-GB"/>
        </w:rPr>
        <w:t>one or more of the applicant’s fundamental rights.</w:t>
      </w:r>
      <w:r w:rsidRPr="00F126C0">
        <w:rPr>
          <w:rFonts w:ascii="Times New Roman" w:eastAsia="Calibri" w:hAnsi="Times New Roman" w:cs="Times New Roman"/>
          <w:bCs/>
          <w:sz w:val="24"/>
          <w:szCs w:val="24"/>
          <w:lang w:val="en-GB"/>
        </w:rPr>
        <w:t xml:space="preserve"> </w:t>
      </w:r>
      <w:r>
        <w:rPr>
          <w:rFonts w:ascii="Times New Roman" w:eastAsia="Calibri" w:hAnsi="Times New Roman" w:cs="Times New Roman"/>
          <w:bCs/>
          <w:sz w:val="24"/>
          <w:szCs w:val="24"/>
          <w:lang w:val="en-GB"/>
        </w:rPr>
        <w:t>The</w:t>
      </w:r>
      <w:r w:rsidRPr="00F126C0">
        <w:rPr>
          <w:rFonts w:ascii="Times New Roman" w:eastAsia="Calibri" w:hAnsi="Times New Roman" w:cs="Times New Roman"/>
          <w:bCs/>
          <w:sz w:val="24"/>
          <w:szCs w:val="24"/>
        </w:rPr>
        <w:t xml:space="preserve"> mere allegation of an infringement of a human right does not </w:t>
      </w:r>
      <w:r>
        <w:rPr>
          <w:rFonts w:ascii="Times New Roman" w:eastAsia="Calibri" w:hAnsi="Times New Roman" w:cs="Times New Roman"/>
          <w:bCs/>
          <w:sz w:val="24"/>
          <w:szCs w:val="24"/>
        </w:rPr>
        <w:t>necessarily mean that</w:t>
      </w:r>
      <w:r w:rsidRPr="00F126C0">
        <w:rPr>
          <w:rFonts w:ascii="Times New Roman" w:eastAsia="Calibri" w:hAnsi="Times New Roman" w:cs="Times New Roman"/>
          <w:bCs/>
          <w:sz w:val="24"/>
          <w:szCs w:val="24"/>
        </w:rPr>
        <w:t xml:space="preserve"> a constitutional issue has arisen. </w:t>
      </w:r>
      <w:r>
        <w:rPr>
          <w:rFonts w:ascii="Times New Roman" w:eastAsia="Calibri" w:hAnsi="Times New Roman" w:cs="Times New Roman"/>
          <w:bCs/>
          <w:sz w:val="24"/>
          <w:szCs w:val="24"/>
        </w:rPr>
        <w:t>This position was reiterated</w:t>
      </w:r>
      <w:r w:rsidRPr="00F126C0">
        <w:rPr>
          <w:rFonts w:ascii="Times New Roman" w:eastAsia="Calibri" w:hAnsi="Times New Roman" w:cs="Times New Roman"/>
          <w:bCs/>
          <w:sz w:val="24"/>
          <w:szCs w:val="24"/>
        </w:rPr>
        <w:t xml:space="preserve"> in the case of </w:t>
      </w:r>
      <w:r w:rsidRPr="00F126C0">
        <w:rPr>
          <w:rFonts w:ascii="Times New Roman" w:eastAsia="Calibri" w:hAnsi="Times New Roman" w:cs="Times New Roman"/>
          <w:i/>
          <w:iCs/>
          <w:sz w:val="24"/>
          <w:szCs w:val="24"/>
          <w:lang w:val="en-GB"/>
        </w:rPr>
        <w:t>Mukondo</w:t>
      </w:r>
      <w:r w:rsidRPr="00F126C0">
        <w:rPr>
          <w:rFonts w:ascii="Times New Roman" w:eastAsia="Calibri" w:hAnsi="Times New Roman" w:cs="Times New Roman"/>
          <w:sz w:val="24"/>
          <w:szCs w:val="24"/>
          <w:lang w:val="en-GB"/>
        </w:rPr>
        <w:t xml:space="preserve"> v</w:t>
      </w:r>
      <w:r w:rsidRPr="00F126C0">
        <w:rPr>
          <w:rFonts w:ascii="Times New Roman" w:eastAsia="Calibri" w:hAnsi="Times New Roman" w:cs="Times New Roman"/>
          <w:i/>
          <w:iCs/>
          <w:sz w:val="24"/>
          <w:szCs w:val="24"/>
          <w:lang w:val="en-GB"/>
        </w:rPr>
        <w:t xml:space="preserve"> The State</w:t>
      </w:r>
      <w:r w:rsidRPr="00F126C0">
        <w:rPr>
          <w:rFonts w:ascii="Times New Roman" w:eastAsia="Calibri" w:hAnsi="Times New Roman" w:cs="Times New Roman"/>
          <w:sz w:val="24"/>
          <w:szCs w:val="24"/>
          <w:lang w:val="en-GB"/>
        </w:rPr>
        <w:t xml:space="preserve"> CCZ-8-20</w:t>
      </w:r>
      <w:r>
        <w:rPr>
          <w:rFonts w:ascii="Times New Roman" w:eastAsia="Calibri" w:hAnsi="Times New Roman" w:cs="Times New Roman"/>
          <w:sz w:val="24"/>
          <w:szCs w:val="24"/>
          <w:lang w:val="en-GB"/>
        </w:rPr>
        <w:t>, at p</w:t>
      </w:r>
      <w:r w:rsidRPr="00F126C0">
        <w:rPr>
          <w:rFonts w:ascii="Times New Roman" w:eastAsia="Calibri" w:hAnsi="Times New Roman" w:cs="Times New Roman"/>
          <w:bCs/>
          <w:sz w:val="24"/>
          <w:szCs w:val="24"/>
          <w:lang w:val="en-GB"/>
        </w:rPr>
        <w:t xml:space="preserve"> 7, wherein it was held that:</w:t>
      </w:r>
    </w:p>
    <w:p w14:paraId="592637B0" w14:textId="77777777" w:rsidR="00F072FA" w:rsidRDefault="00F072FA" w:rsidP="00F072FA">
      <w:pPr>
        <w:spacing w:after="0"/>
        <w:ind w:left="720"/>
        <w:jc w:val="both"/>
        <w:rPr>
          <w:rFonts w:ascii="Times New Roman" w:eastAsia="Calibri" w:hAnsi="Times New Roman" w:cs="Times New Roman"/>
          <w:bCs/>
          <w:sz w:val="24"/>
          <w:szCs w:val="24"/>
          <w:lang w:val="en-GB"/>
        </w:rPr>
      </w:pPr>
      <w:r w:rsidRPr="00F126C0">
        <w:rPr>
          <w:rFonts w:ascii="Times New Roman" w:eastAsia="Calibri" w:hAnsi="Times New Roman" w:cs="Times New Roman"/>
          <w:bCs/>
          <w:sz w:val="24"/>
          <w:szCs w:val="24"/>
        </w:rPr>
        <w:t>“</w:t>
      </w:r>
      <w:r w:rsidRPr="00F126C0">
        <w:rPr>
          <w:rFonts w:ascii="Times New Roman" w:eastAsia="Calibri" w:hAnsi="Times New Roman" w:cs="Times New Roman"/>
          <w:bCs/>
          <w:sz w:val="24"/>
          <w:szCs w:val="24"/>
          <w:lang w:val="en-GB"/>
        </w:rPr>
        <w:t xml:space="preserve">The mere allegation that a fundamental human right enshrined in Chapter 4 of the Constitution has been infringed does not mean that a constitutional issue has arisen </w:t>
      </w:r>
      <w:r w:rsidRPr="00F126C0">
        <w:rPr>
          <w:rFonts w:ascii="Times New Roman" w:eastAsia="Calibri" w:hAnsi="Times New Roman" w:cs="Times New Roman"/>
          <w:bCs/>
          <w:sz w:val="24"/>
          <w:szCs w:val="24"/>
          <w:lang w:val="en-GB"/>
        </w:rPr>
        <w:lastRenderedPageBreak/>
        <w:t>from a decision of a subordinate court. A decision of a subordinate court on any matter within the ambit of its jurisdiction would not be found to have given rise to a constitutional matter on the basis of a founding affidavit complaining about an alleged incorrectness of the decision of the subordinate court.”</w:t>
      </w:r>
    </w:p>
    <w:p w14:paraId="2A3352C0" w14:textId="77777777" w:rsidR="00F072FA" w:rsidRDefault="00F072FA" w:rsidP="00F072FA">
      <w:pPr>
        <w:spacing w:after="0" w:line="480" w:lineRule="auto"/>
        <w:ind w:firstLine="720"/>
        <w:jc w:val="both"/>
        <w:rPr>
          <w:rFonts w:ascii="Times New Roman" w:eastAsia="Calibri" w:hAnsi="Times New Roman" w:cs="Times New Roman"/>
          <w:bCs/>
          <w:sz w:val="24"/>
          <w:szCs w:val="24"/>
        </w:rPr>
      </w:pPr>
    </w:p>
    <w:p w14:paraId="0DFA543D" w14:textId="77777777" w:rsidR="00F072FA" w:rsidRDefault="00F072FA" w:rsidP="00F072FA">
      <w:pPr>
        <w:spacing w:after="0" w:line="480" w:lineRule="auto"/>
        <w:ind w:firstLine="720"/>
        <w:jc w:val="both"/>
        <w:rPr>
          <w:rFonts w:ascii="Times New Roman" w:eastAsia="Calibri" w:hAnsi="Times New Roman" w:cs="Times New Roman"/>
          <w:bCs/>
          <w:sz w:val="24"/>
          <w:szCs w:val="24"/>
        </w:rPr>
      </w:pPr>
      <w:r w:rsidRPr="00F126C0">
        <w:rPr>
          <w:rFonts w:ascii="Times New Roman" w:eastAsia="Calibri" w:hAnsi="Times New Roman" w:cs="Times New Roman"/>
          <w:bCs/>
          <w:sz w:val="24"/>
          <w:szCs w:val="24"/>
        </w:rPr>
        <w:t xml:space="preserve">The decision of the court </w:t>
      </w:r>
      <w:r w:rsidRPr="00F126C0">
        <w:rPr>
          <w:rFonts w:ascii="Times New Roman" w:eastAsia="Calibri" w:hAnsi="Times New Roman" w:cs="Times New Roman"/>
          <w:bCs/>
          <w:i/>
          <w:iCs/>
          <w:sz w:val="24"/>
          <w:szCs w:val="24"/>
        </w:rPr>
        <w:t>a quo</w:t>
      </w:r>
      <w:r w:rsidRPr="00F126C0">
        <w:rPr>
          <w:rFonts w:ascii="Times New Roman" w:eastAsia="Calibri" w:hAnsi="Times New Roman" w:cs="Times New Roman"/>
          <w:bCs/>
          <w:sz w:val="24"/>
          <w:szCs w:val="24"/>
        </w:rPr>
        <w:t xml:space="preserve"> was on a non-constitutional matter and is </w:t>
      </w:r>
      <w:r>
        <w:rPr>
          <w:rFonts w:ascii="Times New Roman" w:eastAsia="Calibri" w:hAnsi="Times New Roman" w:cs="Times New Roman"/>
          <w:bCs/>
          <w:sz w:val="24"/>
          <w:szCs w:val="24"/>
        </w:rPr>
        <w:t xml:space="preserve">therefore </w:t>
      </w:r>
      <w:r w:rsidRPr="00F126C0">
        <w:rPr>
          <w:rFonts w:ascii="Times New Roman" w:eastAsia="Calibri" w:hAnsi="Times New Roman" w:cs="Times New Roman"/>
          <w:bCs/>
          <w:sz w:val="24"/>
          <w:szCs w:val="24"/>
        </w:rPr>
        <w:t xml:space="preserve">final. It is trite that the Supreme Court is the last court of appeal and that no decision of </w:t>
      </w:r>
      <w:r>
        <w:rPr>
          <w:rFonts w:ascii="Times New Roman" w:eastAsia="Calibri" w:hAnsi="Times New Roman" w:cs="Times New Roman"/>
          <w:bCs/>
          <w:sz w:val="24"/>
          <w:szCs w:val="24"/>
        </w:rPr>
        <w:t>that court</w:t>
      </w:r>
      <w:r w:rsidRPr="00F126C0">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 xml:space="preserve">is </w:t>
      </w:r>
      <w:r w:rsidRPr="00F126C0">
        <w:rPr>
          <w:rFonts w:ascii="Times New Roman" w:eastAsia="Calibri" w:hAnsi="Times New Roman" w:cs="Times New Roman"/>
          <w:bCs/>
          <w:sz w:val="24"/>
          <w:szCs w:val="24"/>
        </w:rPr>
        <w:t xml:space="preserve">appealable unless </w:t>
      </w:r>
      <w:r>
        <w:rPr>
          <w:rFonts w:ascii="Times New Roman" w:eastAsia="Calibri" w:hAnsi="Times New Roman" w:cs="Times New Roman"/>
          <w:bCs/>
          <w:sz w:val="24"/>
          <w:szCs w:val="24"/>
        </w:rPr>
        <w:t>it</w:t>
      </w:r>
      <w:r w:rsidRPr="00F126C0">
        <w:rPr>
          <w:rFonts w:ascii="Times New Roman" w:eastAsia="Calibri" w:hAnsi="Times New Roman" w:cs="Times New Roman"/>
          <w:bCs/>
          <w:sz w:val="24"/>
          <w:szCs w:val="24"/>
        </w:rPr>
        <w:t xml:space="preserve"> determines a constitutional matter. </w:t>
      </w:r>
      <w:r>
        <w:rPr>
          <w:rFonts w:ascii="Times New Roman" w:eastAsia="Calibri" w:hAnsi="Times New Roman" w:cs="Times New Roman"/>
          <w:bCs/>
          <w:sz w:val="24"/>
          <w:szCs w:val="24"/>
        </w:rPr>
        <w:t>In this regard, the</w:t>
      </w:r>
      <w:r w:rsidRPr="00F126C0">
        <w:rPr>
          <w:rFonts w:ascii="Times New Roman" w:eastAsia="Calibri" w:hAnsi="Times New Roman" w:cs="Times New Roman"/>
          <w:bCs/>
          <w:sz w:val="24"/>
          <w:szCs w:val="24"/>
        </w:rPr>
        <w:t xml:space="preserve"> decision </w:t>
      </w:r>
      <w:r>
        <w:rPr>
          <w:rFonts w:ascii="Times New Roman" w:eastAsia="Calibri" w:hAnsi="Times New Roman" w:cs="Times New Roman"/>
          <w:bCs/>
          <w:sz w:val="24"/>
          <w:szCs w:val="24"/>
        </w:rPr>
        <w:t xml:space="preserve">of this Court </w:t>
      </w:r>
      <w:r w:rsidRPr="00F126C0">
        <w:rPr>
          <w:rFonts w:ascii="Times New Roman" w:eastAsia="Calibri" w:hAnsi="Times New Roman" w:cs="Times New Roman"/>
          <w:bCs/>
          <w:sz w:val="24"/>
          <w:szCs w:val="24"/>
        </w:rPr>
        <w:t xml:space="preserve">in </w:t>
      </w:r>
      <w:r w:rsidRPr="00F126C0">
        <w:rPr>
          <w:rFonts w:ascii="Times New Roman" w:eastAsia="Calibri" w:hAnsi="Times New Roman" w:cs="Times New Roman"/>
          <w:i/>
          <w:iCs/>
          <w:sz w:val="24"/>
          <w:szCs w:val="24"/>
        </w:rPr>
        <w:t>Lytton Investments (Pvt) Ltd</w:t>
      </w:r>
      <w:r>
        <w:rPr>
          <w:rFonts w:ascii="Times New Roman" w:eastAsia="Calibri" w:hAnsi="Times New Roman" w:cs="Times New Roman"/>
          <w:i/>
          <w:iCs/>
          <w:sz w:val="24"/>
          <w:szCs w:val="24"/>
        </w:rPr>
        <w:t xml:space="preserve"> </w:t>
      </w:r>
      <w:r>
        <w:rPr>
          <w:rFonts w:ascii="Times New Roman" w:eastAsia="Calibri" w:hAnsi="Times New Roman" w:cs="Times New Roman"/>
          <w:sz w:val="24"/>
          <w:szCs w:val="24"/>
        </w:rPr>
        <w:t>v</w:t>
      </w:r>
      <w:r>
        <w:rPr>
          <w:rFonts w:ascii="Times New Roman" w:eastAsia="Calibri" w:hAnsi="Times New Roman" w:cs="Times New Roman"/>
          <w:i/>
          <w:iCs/>
          <w:sz w:val="24"/>
          <w:szCs w:val="24"/>
        </w:rPr>
        <w:t xml:space="preserve"> Standard Chartered Bank Zimbabwe Ltd &amp; Anor</w:t>
      </w:r>
      <w:r>
        <w:rPr>
          <w:rFonts w:ascii="Times New Roman" w:eastAsia="Calibri" w:hAnsi="Times New Roman" w:cs="Times New Roman"/>
          <w:sz w:val="24"/>
          <w:szCs w:val="24"/>
        </w:rPr>
        <w:t xml:space="preserve"> CCZ 11-18</w:t>
      </w:r>
      <w:r w:rsidRPr="00F126C0">
        <w:rPr>
          <w:rFonts w:ascii="Times New Roman" w:eastAsia="Calibri" w:hAnsi="Times New Roman" w:cs="Times New Roman"/>
          <w:bCs/>
          <w:sz w:val="24"/>
          <w:szCs w:val="24"/>
        </w:rPr>
        <w:t xml:space="preserve"> becomes apposite. </w:t>
      </w:r>
      <w:r>
        <w:rPr>
          <w:rFonts w:ascii="Times New Roman" w:eastAsia="Calibri" w:hAnsi="Times New Roman" w:cs="Times New Roman"/>
          <w:bCs/>
          <w:sz w:val="24"/>
          <w:szCs w:val="24"/>
        </w:rPr>
        <w:t>In the words of Malaba CJ, at p 22:</w:t>
      </w:r>
    </w:p>
    <w:p w14:paraId="577E5C62" w14:textId="77777777" w:rsidR="00F072FA" w:rsidRPr="00F126C0" w:rsidRDefault="00F072FA" w:rsidP="00F072FA">
      <w:pPr>
        <w:spacing w:after="0" w:line="240" w:lineRule="auto"/>
        <w:ind w:left="720"/>
        <w:jc w:val="both"/>
        <w:rPr>
          <w:rFonts w:ascii="Times New Roman" w:eastAsia="Calibri" w:hAnsi="Times New Roman" w:cs="Times New Roman"/>
          <w:bCs/>
          <w:sz w:val="24"/>
          <w:szCs w:val="24"/>
        </w:rPr>
      </w:pPr>
      <w:r w:rsidRPr="00F126C0">
        <w:rPr>
          <w:rFonts w:ascii="Times New Roman" w:eastAsia="Calibri" w:hAnsi="Times New Roman" w:cs="Times New Roman"/>
          <w:bCs/>
          <w:sz w:val="24"/>
          <w:szCs w:val="24"/>
        </w:rPr>
        <w:t>“</w:t>
      </w:r>
      <w:r w:rsidRPr="00F455F4">
        <w:rPr>
          <w:rFonts w:ascii="Times New Roman" w:eastAsia="Calibri" w:hAnsi="Times New Roman" w:cs="Times New Roman"/>
          <w:bCs/>
          <w:sz w:val="24"/>
          <w:szCs w:val="24"/>
        </w:rPr>
        <w:t>The principles that emerge from s 169(1) of the Constitution, as read with s 26 of the</w:t>
      </w:r>
      <w:r>
        <w:rPr>
          <w:rFonts w:ascii="Times New Roman" w:eastAsia="Calibri" w:hAnsi="Times New Roman" w:cs="Times New Roman"/>
          <w:bCs/>
          <w:sz w:val="24"/>
          <w:szCs w:val="24"/>
        </w:rPr>
        <w:t xml:space="preserve"> [Supreme Court] </w:t>
      </w:r>
      <w:r w:rsidRPr="00F455F4">
        <w:rPr>
          <w:rFonts w:ascii="Times New Roman" w:eastAsia="Calibri" w:hAnsi="Times New Roman" w:cs="Times New Roman"/>
          <w:bCs/>
          <w:sz w:val="24"/>
          <w:szCs w:val="24"/>
        </w:rPr>
        <w:t>Act, are clear.</w:t>
      </w:r>
      <w:r>
        <w:rPr>
          <w:rFonts w:ascii="Times New Roman" w:eastAsia="Calibri" w:hAnsi="Times New Roman" w:cs="Times New Roman"/>
          <w:bCs/>
          <w:sz w:val="24"/>
          <w:szCs w:val="24"/>
        </w:rPr>
        <w:t xml:space="preserve"> </w:t>
      </w:r>
      <w:r w:rsidRPr="00F455F4">
        <w:rPr>
          <w:rFonts w:ascii="Times New Roman" w:eastAsia="Calibri" w:hAnsi="Times New Roman" w:cs="Times New Roman"/>
          <w:b/>
          <w:sz w:val="24"/>
          <w:szCs w:val="24"/>
        </w:rPr>
        <w:t>A decision of the Supreme Court on any non-constitutional matter in an appeal is final and binding on the parties and all courts except the Supreme Court itself. No court has the power to alter the decision of the Supreme Court on a non-constitutional matter. Only the Supreme Court can depart from or overrule its previous decision, ruling, or opinion on a non-constitutional matter.</w:t>
      </w:r>
      <w:r w:rsidRPr="00F126C0">
        <w:rPr>
          <w:rFonts w:ascii="Times New Roman" w:eastAsia="Calibri" w:hAnsi="Times New Roman" w:cs="Times New Roman"/>
          <w:bCs/>
          <w:sz w:val="24"/>
          <w:szCs w:val="24"/>
        </w:rPr>
        <w:t xml:space="preserve"> The </w:t>
      </w:r>
      <w:r w:rsidRPr="00F126C0">
        <w:rPr>
          <w:rFonts w:ascii="Times New Roman" w:eastAsia="Calibri" w:hAnsi="Times New Roman" w:cs="Times New Roman"/>
          <w:bCs/>
          <w:i/>
          <w:sz w:val="24"/>
          <w:szCs w:val="24"/>
        </w:rPr>
        <w:t xml:space="preserve">onus </w:t>
      </w:r>
      <w:r w:rsidRPr="00F126C0">
        <w:rPr>
          <w:rFonts w:ascii="Times New Roman" w:eastAsia="Calibri" w:hAnsi="Times New Roman" w:cs="Times New Roman"/>
          <w:bCs/>
          <w:sz w:val="24"/>
          <w:szCs w:val="24"/>
        </w:rPr>
        <w:t>is on the applicant to allege and prove that the decision in question is not a decision on the non-constitutional matter.”</w:t>
      </w:r>
      <w:r>
        <w:rPr>
          <w:rFonts w:ascii="Times New Roman" w:eastAsia="Calibri" w:hAnsi="Times New Roman" w:cs="Times New Roman"/>
          <w:bCs/>
          <w:sz w:val="24"/>
          <w:szCs w:val="24"/>
        </w:rPr>
        <w:t xml:space="preserve"> </w:t>
      </w:r>
      <w:r w:rsidRPr="00F126C0">
        <w:rPr>
          <w:rFonts w:ascii="Times New Roman" w:eastAsia="Calibri" w:hAnsi="Times New Roman" w:cs="Times New Roman"/>
          <w:bCs/>
          <w:sz w:val="24"/>
          <w:szCs w:val="24"/>
        </w:rPr>
        <w:t>(</w:t>
      </w:r>
      <w:r>
        <w:rPr>
          <w:rFonts w:ascii="Times New Roman" w:eastAsia="Calibri" w:hAnsi="Times New Roman" w:cs="Times New Roman"/>
          <w:bCs/>
          <w:sz w:val="24"/>
          <w:szCs w:val="24"/>
        </w:rPr>
        <w:t>My emphasis</w:t>
      </w:r>
      <w:r w:rsidRPr="00F126C0">
        <w:rPr>
          <w:rFonts w:ascii="Times New Roman" w:eastAsia="Calibri" w:hAnsi="Times New Roman" w:cs="Times New Roman"/>
          <w:bCs/>
          <w:sz w:val="24"/>
          <w:szCs w:val="24"/>
        </w:rPr>
        <w:t>)</w:t>
      </w:r>
    </w:p>
    <w:p w14:paraId="25AB0C98" w14:textId="77777777" w:rsidR="00F072FA" w:rsidRDefault="00F072FA" w:rsidP="00F072FA">
      <w:pPr>
        <w:spacing w:after="0" w:line="480" w:lineRule="auto"/>
        <w:jc w:val="both"/>
        <w:rPr>
          <w:rFonts w:ascii="Times New Roman" w:eastAsia="Calibri" w:hAnsi="Times New Roman" w:cs="Times New Roman"/>
          <w:bCs/>
          <w:sz w:val="24"/>
          <w:szCs w:val="24"/>
        </w:rPr>
      </w:pPr>
    </w:p>
    <w:p w14:paraId="2E0EF9C3" w14:textId="77777777" w:rsidR="00F072FA" w:rsidRPr="00F126C0" w:rsidRDefault="00F072FA" w:rsidP="00F072FA">
      <w:pPr>
        <w:spacing w:after="0" w:line="360" w:lineRule="auto"/>
        <w:ind w:firstLine="720"/>
        <w:jc w:val="both"/>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The same </w:t>
      </w:r>
      <w:r w:rsidRPr="00F126C0">
        <w:rPr>
          <w:rFonts w:ascii="Times New Roman" w:eastAsia="Calibri" w:hAnsi="Times New Roman" w:cs="Times New Roman"/>
          <w:bCs/>
          <w:sz w:val="24"/>
          <w:szCs w:val="24"/>
        </w:rPr>
        <w:t xml:space="preserve">sentiments were </w:t>
      </w:r>
      <w:r>
        <w:rPr>
          <w:rFonts w:ascii="Times New Roman" w:eastAsia="Calibri" w:hAnsi="Times New Roman" w:cs="Times New Roman"/>
          <w:bCs/>
          <w:sz w:val="24"/>
          <w:szCs w:val="24"/>
        </w:rPr>
        <w:t>repeated</w:t>
      </w:r>
      <w:r w:rsidRPr="00F126C0">
        <w:rPr>
          <w:rFonts w:ascii="Times New Roman" w:eastAsia="Calibri" w:hAnsi="Times New Roman" w:cs="Times New Roman"/>
          <w:bCs/>
          <w:sz w:val="24"/>
          <w:szCs w:val="24"/>
        </w:rPr>
        <w:t xml:space="preserve"> in the </w:t>
      </w:r>
      <w:r w:rsidRPr="00F126C0">
        <w:rPr>
          <w:rFonts w:ascii="Times New Roman" w:eastAsia="Calibri" w:hAnsi="Times New Roman" w:cs="Times New Roman"/>
          <w:i/>
          <w:iCs/>
          <w:sz w:val="24"/>
          <w:szCs w:val="24"/>
        </w:rPr>
        <w:t>Denhere</w:t>
      </w:r>
      <w:r w:rsidRPr="00F126C0">
        <w:rPr>
          <w:rFonts w:ascii="Times New Roman" w:eastAsia="Calibri" w:hAnsi="Times New Roman" w:cs="Times New Roman"/>
          <w:b/>
          <w:bCs/>
          <w:i/>
          <w:sz w:val="24"/>
          <w:szCs w:val="24"/>
        </w:rPr>
        <w:t xml:space="preserve"> </w:t>
      </w:r>
      <w:r w:rsidRPr="00F126C0">
        <w:rPr>
          <w:rFonts w:ascii="Times New Roman" w:eastAsia="Calibri" w:hAnsi="Times New Roman" w:cs="Times New Roman"/>
          <w:bCs/>
          <w:sz w:val="24"/>
          <w:szCs w:val="24"/>
        </w:rPr>
        <w:t>case</w:t>
      </w:r>
      <w:r>
        <w:rPr>
          <w:rFonts w:ascii="Times New Roman" w:eastAsia="Calibri" w:hAnsi="Times New Roman" w:cs="Times New Roman"/>
          <w:bCs/>
          <w:sz w:val="24"/>
          <w:szCs w:val="24"/>
        </w:rPr>
        <w:t>,</w:t>
      </w:r>
      <w:r w:rsidRPr="00F126C0">
        <w:rPr>
          <w:rFonts w:ascii="Times New Roman" w:eastAsia="Calibri" w:hAnsi="Times New Roman" w:cs="Times New Roman"/>
          <w:bCs/>
          <w:sz w:val="24"/>
          <w:szCs w:val="24"/>
        </w:rPr>
        <w:t xml:space="preserve"> </w:t>
      </w:r>
      <w:r w:rsidRPr="00F126C0">
        <w:rPr>
          <w:rFonts w:ascii="Times New Roman" w:eastAsia="Calibri" w:hAnsi="Times New Roman" w:cs="Times New Roman"/>
          <w:bCs/>
          <w:i/>
          <w:sz w:val="24"/>
          <w:szCs w:val="24"/>
        </w:rPr>
        <w:t>supra</w:t>
      </w:r>
      <w:r>
        <w:rPr>
          <w:rFonts w:ascii="Times New Roman" w:eastAsia="Calibri" w:hAnsi="Times New Roman" w:cs="Times New Roman"/>
          <w:bCs/>
          <w:iCs/>
          <w:sz w:val="24"/>
          <w:szCs w:val="24"/>
        </w:rPr>
        <w:t>,</w:t>
      </w:r>
      <w:r w:rsidRPr="00F455F4">
        <w:rPr>
          <w:rFonts w:ascii="Times New Roman" w:eastAsia="Calibri" w:hAnsi="Times New Roman" w:cs="Times New Roman"/>
          <w:bCs/>
          <w:iCs/>
          <w:sz w:val="24"/>
          <w:szCs w:val="24"/>
        </w:rPr>
        <w:t xml:space="preserve"> </w:t>
      </w:r>
      <w:r>
        <w:rPr>
          <w:rFonts w:ascii="Times New Roman" w:eastAsia="Calibri" w:hAnsi="Times New Roman" w:cs="Times New Roman"/>
          <w:bCs/>
          <w:iCs/>
          <w:sz w:val="24"/>
          <w:szCs w:val="24"/>
        </w:rPr>
        <w:t xml:space="preserve">at p 23, </w:t>
      </w:r>
      <w:r w:rsidRPr="00F126C0">
        <w:rPr>
          <w:rFonts w:ascii="Times New Roman" w:eastAsia="Calibri" w:hAnsi="Times New Roman" w:cs="Times New Roman"/>
          <w:bCs/>
          <w:sz w:val="24"/>
          <w:szCs w:val="24"/>
        </w:rPr>
        <w:t>wherein this Court held that:</w:t>
      </w:r>
    </w:p>
    <w:p w14:paraId="0F907FD1" w14:textId="77777777" w:rsidR="00F072FA" w:rsidRDefault="00F072FA" w:rsidP="00556091">
      <w:pPr>
        <w:spacing w:line="240" w:lineRule="auto"/>
        <w:ind w:left="720"/>
        <w:jc w:val="both"/>
        <w:rPr>
          <w:rFonts w:ascii="Times New Roman" w:eastAsia="Calibri" w:hAnsi="Times New Roman" w:cs="Times New Roman"/>
          <w:bCs/>
          <w:sz w:val="24"/>
          <w:szCs w:val="24"/>
          <w:lang w:val="en-GB"/>
        </w:rPr>
      </w:pPr>
      <w:r w:rsidRPr="00F126C0">
        <w:rPr>
          <w:rFonts w:ascii="Times New Roman" w:eastAsia="Calibri" w:hAnsi="Times New Roman" w:cs="Times New Roman"/>
          <w:bCs/>
          <w:sz w:val="24"/>
          <w:szCs w:val="24"/>
        </w:rPr>
        <w:t>“</w:t>
      </w:r>
      <w:r w:rsidRPr="00F126C0">
        <w:rPr>
          <w:rFonts w:ascii="Times New Roman" w:eastAsia="Calibri" w:hAnsi="Times New Roman" w:cs="Times New Roman"/>
          <w:bCs/>
          <w:sz w:val="24"/>
          <w:szCs w:val="24"/>
          <w:lang w:val="en-GB"/>
        </w:rPr>
        <w:t xml:space="preserve">It is only an appeal court that can make a declaration on the correctness or otherwise of a judgment. In the absence of the right to appeal, the judgment cannot be said to be wrong. </w:t>
      </w:r>
      <w:r w:rsidRPr="00F072FA">
        <w:rPr>
          <w:rFonts w:ascii="Times New Roman" w:eastAsia="Calibri" w:hAnsi="Times New Roman" w:cs="Times New Roman"/>
          <w:bCs/>
          <w:sz w:val="24"/>
          <w:szCs w:val="24"/>
          <w:lang w:val="en-GB"/>
        </w:rPr>
        <w:t>Just because a party thinks a judgment is wrong, that does not make it so.</w:t>
      </w:r>
      <w:r w:rsidRPr="00F072FA">
        <w:rPr>
          <w:rFonts w:ascii="Times New Roman" w:eastAsia="Calibri" w:hAnsi="Times New Roman" w:cs="Times New Roman"/>
          <w:b/>
          <w:sz w:val="24"/>
          <w:szCs w:val="24"/>
          <w:lang w:val="en-GB"/>
        </w:rPr>
        <w:t xml:space="preserve"> No judicial authority can pronounce on the correctness or otherwise of decisions of the Supreme Court on non-constitutional matters.”</w:t>
      </w:r>
      <w:r w:rsidRPr="00F126C0">
        <w:rPr>
          <w:rFonts w:ascii="Times New Roman" w:eastAsia="Calibri" w:hAnsi="Times New Roman" w:cs="Times New Roman"/>
          <w:bCs/>
          <w:sz w:val="24"/>
          <w:szCs w:val="24"/>
          <w:lang w:val="en-GB"/>
        </w:rPr>
        <w:t xml:space="preserve"> (</w:t>
      </w:r>
      <w:r>
        <w:rPr>
          <w:rFonts w:ascii="Times New Roman" w:eastAsia="Calibri" w:hAnsi="Times New Roman" w:cs="Times New Roman"/>
          <w:bCs/>
          <w:sz w:val="24"/>
          <w:szCs w:val="24"/>
          <w:lang w:val="en-GB"/>
        </w:rPr>
        <w:t>My emphasis</w:t>
      </w:r>
      <w:r w:rsidRPr="00F126C0">
        <w:rPr>
          <w:rFonts w:ascii="Times New Roman" w:eastAsia="Calibri" w:hAnsi="Times New Roman" w:cs="Times New Roman"/>
          <w:bCs/>
          <w:sz w:val="24"/>
          <w:szCs w:val="24"/>
          <w:lang w:val="en-GB"/>
        </w:rPr>
        <w:t>)</w:t>
      </w:r>
    </w:p>
    <w:p w14:paraId="35841D77" w14:textId="77777777" w:rsidR="00F072FA" w:rsidRPr="00F126C0" w:rsidRDefault="00F072FA" w:rsidP="00556091">
      <w:pPr>
        <w:spacing w:after="0" w:line="480" w:lineRule="auto"/>
        <w:ind w:left="720"/>
        <w:jc w:val="both"/>
        <w:rPr>
          <w:rFonts w:ascii="Times New Roman" w:eastAsia="Calibri" w:hAnsi="Times New Roman" w:cs="Times New Roman"/>
          <w:bCs/>
          <w:sz w:val="24"/>
          <w:szCs w:val="24"/>
          <w:u w:val="single"/>
          <w:lang w:val="en-GB"/>
        </w:rPr>
      </w:pPr>
    </w:p>
    <w:p w14:paraId="759CF767" w14:textId="1EAEA641" w:rsidR="00C76672" w:rsidRPr="00F126C0" w:rsidRDefault="00C76672" w:rsidP="00C76672">
      <w:pPr>
        <w:spacing w:after="0" w:line="480" w:lineRule="auto"/>
        <w:jc w:val="both"/>
        <w:rPr>
          <w:rFonts w:ascii="Times New Roman" w:eastAsia="Times New Roman" w:hAnsi="Times New Roman" w:cs="Times New Roman"/>
          <w:i/>
          <w:sz w:val="24"/>
          <w:szCs w:val="24"/>
          <w:lang w:val="en-GB"/>
        </w:rPr>
      </w:pPr>
      <w:r>
        <w:rPr>
          <w:rFonts w:ascii="Times New Roman" w:eastAsia="Times New Roman" w:hAnsi="Times New Roman" w:cs="Times New Roman"/>
          <w:b/>
          <w:bCs/>
          <w:iCs/>
          <w:sz w:val="24"/>
          <w:szCs w:val="24"/>
          <w:lang w:val="en-GB"/>
        </w:rPr>
        <w:t>Present Status of S.I. 33 of 2019</w:t>
      </w:r>
      <w:r w:rsidR="003F72E4">
        <w:rPr>
          <w:rFonts w:ascii="Times New Roman" w:eastAsia="Times New Roman" w:hAnsi="Times New Roman" w:cs="Times New Roman"/>
          <w:b/>
          <w:bCs/>
          <w:iCs/>
          <w:sz w:val="24"/>
          <w:szCs w:val="24"/>
          <w:lang w:val="en-GB"/>
        </w:rPr>
        <w:t xml:space="preserve"> : Exchange Rate</w:t>
      </w:r>
      <w:r w:rsidR="00F71B29">
        <w:rPr>
          <w:rFonts w:ascii="Times New Roman" w:eastAsia="Times New Roman" w:hAnsi="Times New Roman" w:cs="Times New Roman"/>
          <w:b/>
          <w:bCs/>
          <w:iCs/>
          <w:sz w:val="24"/>
          <w:szCs w:val="24"/>
          <w:lang w:val="en-GB"/>
        </w:rPr>
        <w:t>s</w:t>
      </w:r>
      <w:r w:rsidR="003F72E4">
        <w:rPr>
          <w:rFonts w:ascii="Times New Roman" w:eastAsia="Times New Roman" w:hAnsi="Times New Roman" w:cs="Times New Roman"/>
          <w:b/>
          <w:bCs/>
          <w:iCs/>
          <w:sz w:val="24"/>
          <w:szCs w:val="24"/>
          <w:lang w:val="en-GB"/>
        </w:rPr>
        <w:t xml:space="preserve"> after Effective Date</w:t>
      </w:r>
    </w:p>
    <w:p w14:paraId="21CC18B7" w14:textId="4F3C560D" w:rsidR="00C76672" w:rsidRDefault="00C76672" w:rsidP="004172AC">
      <w:pPr>
        <w:spacing w:after="0" w:line="480" w:lineRule="auto"/>
        <w:jc w:val="both"/>
        <w:rPr>
          <w:rFonts w:ascii="Times New Roman" w:eastAsia="Times New Roman" w:hAnsi="Times New Roman" w:cs="Times New Roman"/>
          <w:sz w:val="24"/>
          <w:szCs w:val="24"/>
          <w:lang w:val="en-GB"/>
        </w:rPr>
      </w:pPr>
      <w:r w:rsidRPr="00F126C0">
        <w:rPr>
          <w:rFonts w:ascii="Times New Roman" w:eastAsia="Times New Roman" w:hAnsi="Times New Roman" w:cs="Times New Roman"/>
          <w:sz w:val="24"/>
          <w:szCs w:val="24"/>
          <w:lang w:val="en-GB"/>
        </w:rPr>
        <w:tab/>
        <w:t>For the sake of completeness, it is necessary to address and clarify the present status of S.I. 33 of 2019</w:t>
      </w:r>
      <w:r w:rsidR="00E573C0">
        <w:rPr>
          <w:rFonts w:ascii="Times New Roman" w:eastAsia="Times New Roman" w:hAnsi="Times New Roman" w:cs="Times New Roman"/>
          <w:sz w:val="24"/>
          <w:szCs w:val="24"/>
          <w:lang w:val="en-GB"/>
        </w:rPr>
        <w:t>. This statutory instrument</w:t>
      </w:r>
      <w:r w:rsidRPr="00F126C0">
        <w:rPr>
          <w:rFonts w:ascii="Times New Roman" w:eastAsia="Times New Roman" w:hAnsi="Times New Roman" w:cs="Times New Roman"/>
          <w:sz w:val="24"/>
          <w:szCs w:val="24"/>
          <w:lang w:val="en-GB"/>
        </w:rPr>
        <w:t xml:space="preserve"> was enacted in terms of s 2 of the Presidential Powers (Temporary Measures) Act [</w:t>
      </w:r>
      <w:r w:rsidRPr="00F126C0">
        <w:rPr>
          <w:rFonts w:ascii="Times New Roman" w:eastAsia="Times New Roman" w:hAnsi="Times New Roman" w:cs="Times New Roman"/>
          <w:i/>
          <w:sz w:val="24"/>
          <w:szCs w:val="24"/>
          <w:lang w:val="en-GB"/>
        </w:rPr>
        <w:t>Chapter 10:20]</w:t>
      </w:r>
      <w:r w:rsidR="00E573C0">
        <w:rPr>
          <w:rFonts w:ascii="Times New Roman" w:eastAsia="Times New Roman" w:hAnsi="Times New Roman" w:cs="Times New Roman"/>
          <w:iCs/>
          <w:sz w:val="24"/>
          <w:szCs w:val="24"/>
          <w:lang w:val="en-GB"/>
        </w:rPr>
        <w:t>. By virtue</w:t>
      </w:r>
      <w:r w:rsidRPr="00F126C0">
        <w:rPr>
          <w:rFonts w:ascii="Times New Roman" w:eastAsia="Times New Roman" w:hAnsi="Times New Roman" w:cs="Times New Roman"/>
          <w:sz w:val="24"/>
          <w:szCs w:val="24"/>
          <w:lang w:val="en-GB"/>
        </w:rPr>
        <w:t xml:space="preserve"> of s 6(1) of that Act, S.I. 33 of 2019 lapsed after the expiry of a period of 180 days. However, its provisions have been re-enacted, with crucial modifications, through s 22 of the Finance (No. 2) Act 2019 (Act No. 7 of 2019). </w:t>
      </w:r>
      <w:r w:rsidRPr="00F126C0">
        <w:rPr>
          <w:rFonts w:ascii="Times New Roman" w:eastAsia="Times New Roman" w:hAnsi="Times New Roman" w:cs="Times New Roman"/>
          <w:sz w:val="24"/>
          <w:szCs w:val="24"/>
          <w:lang w:val="en-GB"/>
        </w:rPr>
        <w:lastRenderedPageBreak/>
        <w:t>This Act was promulgated on 21 August 2019 and came into operation and effect on the same date.</w:t>
      </w:r>
    </w:p>
    <w:p w14:paraId="10545EE8" w14:textId="77777777" w:rsidR="004172AC" w:rsidRPr="00F126C0" w:rsidRDefault="004172AC" w:rsidP="004172AC">
      <w:pPr>
        <w:spacing w:after="0" w:line="480" w:lineRule="auto"/>
        <w:jc w:val="both"/>
        <w:rPr>
          <w:rFonts w:ascii="Times New Roman" w:eastAsia="Times New Roman" w:hAnsi="Times New Roman" w:cs="Times New Roman"/>
          <w:sz w:val="24"/>
          <w:szCs w:val="24"/>
          <w:lang w:val="en-GB"/>
        </w:rPr>
      </w:pPr>
    </w:p>
    <w:p w14:paraId="0E7D8AD9" w14:textId="61BB5A0D" w:rsidR="00C76672" w:rsidRDefault="00C76672" w:rsidP="004172AC">
      <w:pPr>
        <w:spacing w:after="0" w:line="480" w:lineRule="auto"/>
        <w:jc w:val="both"/>
        <w:rPr>
          <w:rFonts w:ascii="Times New Roman" w:eastAsia="Times New Roman" w:hAnsi="Times New Roman" w:cs="Times New Roman"/>
          <w:sz w:val="24"/>
          <w:szCs w:val="24"/>
          <w:lang w:val="en-GB"/>
        </w:rPr>
      </w:pPr>
      <w:r w:rsidRPr="00F126C0">
        <w:rPr>
          <w:rFonts w:ascii="Times New Roman" w:eastAsia="Times New Roman" w:hAnsi="Times New Roman" w:cs="Times New Roman"/>
          <w:sz w:val="24"/>
          <w:szCs w:val="24"/>
          <w:lang w:val="en-GB"/>
        </w:rPr>
        <w:tab/>
        <w:t xml:space="preserve">Section 21 of the 2019 Act inserts and re-enacts, with effect from the “first effective date”, </w:t>
      </w:r>
      <w:r w:rsidRPr="00F126C0">
        <w:rPr>
          <w:rFonts w:ascii="Times New Roman" w:eastAsia="Times New Roman" w:hAnsi="Times New Roman" w:cs="Times New Roman"/>
          <w:i/>
          <w:sz w:val="24"/>
          <w:szCs w:val="24"/>
          <w:lang w:val="en-GB"/>
        </w:rPr>
        <w:t>i.e.</w:t>
      </w:r>
      <w:r w:rsidRPr="00F126C0">
        <w:rPr>
          <w:rFonts w:ascii="Times New Roman" w:eastAsia="Times New Roman" w:hAnsi="Times New Roman" w:cs="Times New Roman"/>
          <w:sz w:val="24"/>
          <w:szCs w:val="24"/>
          <w:lang w:val="en-GB"/>
        </w:rPr>
        <w:t xml:space="preserve"> 22 February 2019, the entirety of s 44C of the Reserve Bank Act</w:t>
      </w:r>
      <w:r w:rsidR="00712FDF">
        <w:rPr>
          <w:rFonts w:ascii="Times New Roman" w:eastAsia="Times New Roman" w:hAnsi="Times New Roman" w:cs="Times New Roman"/>
          <w:sz w:val="24"/>
          <w:szCs w:val="24"/>
          <w:lang w:val="en-GB"/>
        </w:rPr>
        <w:t xml:space="preserve"> [</w:t>
      </w:r>
      <w:r w:rsidR="00712FDF">
        <w:rPr>
          <w:rFonts w:ascii="Times New Roman" w:eastAsia="Times New Roman" w:hAnsi="Times New Roman" w:cs="Times New Roman"/>
          <w:i/>
          <w:iCs/>
          <w:sz w:val="24"/>
          <w:szCs w:val="24"/>
          <w:lang w:val="en-GB"/>
        </w:rPr>
        <w:t>Chapter 2215</w:t>
      </w:r>
      <w:r w:rsidR="0076144D">
        <w:rPr>
          <w:rFonts w:ascii="Times New Roman" w:eastAsia="Times New Roman" w:hAnsi="Times New Roman" w:cs="Times New Roman"/>
          <w:sz w:val="24"/>
          <w:szCs w:val="24"/>
          <w:lang w:val="en-GB"/>
        </w:rPr>
        <w:t>]</w:t>
      </w:r>
      <w:r w:rsidRPr="00F126C0">
        <w:rPr>
          <w:rFonts w:ascii="Times New Roman" w:eastAsia="Times New Roman" w:hAnsi="Times New Roman" w:cs="Times New Roman"/>
          <w:sz w:val="24"/>
          <w:szCs w:val="24"/>
          <w:lang w:val="en-GB"/>
        </w:rPr>
        <w:t xml:space="preserve"> as was contained in s 3 of S.I. 33 of 2019. Section 44C(2) preserves the position of funds held in foreign currency designated accounts as well as the continued acquittal of foreign loans and foreign obligations denominated in any foreign currency in such foreign currency.</w:t>
      </w:r>
    </w:p>
    <w:p w14:paraId="695579EA" w14:textId="77777777" w:rsidR="00116BFA" w:rsidRPr="00F126C0" w:rsidRDefault="00116BFA" w:rsidP="00116BFA">
      <w:pPr>
        <w:spacing w:after="0" w:line="480" w:lineRule="auto"/>
        <w:jc w:val="both"/>
        <w:rPr>
          <w:rFonts w:ascii="Times New Roman" w:eastAsia="Times New Roman" w:hAnsi="Times New Roman" w:cs="Times New Roman"/>
          <w:sz w:val="24"/>
          <w:szCs w:val="24"/>
          <w:lang w:val="en-GB"/>
        </w:rPr>
      </w:pPr>
    </w:p>
    <w:p w14:paraId="4BA00852" w14:textId="51513E1A" w:rsidR="00C76672" w:rsidRPr="00F126C0" w:rsidRDefault="00C76672" w:rsidP="008E0DC1">
      <w:pPr>
        <w:spacing w:after="0" w:line="480" w:lineRule="auto"/>
        <w:jc w:val="both"/>
        <w:rPr>
          <w:rFonts w:ascii="Times New Roman" w:eastAsia="Times New Roman" w:hAnsi="Times New Roman" w:cs="Times New Roman"/>
          <w:sz w:val="24"/>
          <w:szCs w:val="24"/>
          <w:lang w:val="en-GB"/>
        </w:rPr>
      </w:pPr>
      <w:r w:rsidRPr="00F126C0">
        <w:rPr>
          <w:rFonts w:ascii="Times New Roman" w:eastAsia="Times New Roman" w:hAnsi="Times New Roman" w:cs="Times New Roman"/>
          <w:sz w:val="24"/>
          <w:szCs w:val="24"/>
          <w:lang w:val="en-GB"/>
        </w:rPr>
        <w:tab/>
        <w:t xml:space="preserve">As regards the issuance and legal tender of RTGS dollars, s 22 of the 2019 Act re-enacts the provisions of S.I. 33 of 2019, but with certain critical changes, with retrospective effect from the first effective date, </w:t>
      </w:r>
      <w:r w:rsidRPr="00F126C0">
        <w:rPr>
          <w:rFonts w:ascii="Times New Roman" w:eastAsia="Times New Roman" w:hAnsi="Times New Roman" w:cs="Times New Roman"/>
          <w:i/>
          <w:sz w:val="24"/>
          <w:szCs w:val="24"/>
          <w:lang w:val="en-GB"/>
        </w:rPr>
        <w:t>i.e.</w:t>
      </w:r>
      <w:r w:rsidRPr="00F126C0">
        <w:rPr>
          <w:rFonts w:ascii="Times New Roman" w:eastAsia="Times New Roman" w:hAnsi="Times New Roman" w:cs="Times New Roman"/>
          <w:sz w:val="24"/>
          <w:szCs w:val="24"/>
          <w:lang w:val="en-GB"/>
        </w:rPr>
        <w:t xml:space="preserve"> 22 February 2019. Section 22(2) equates bond notes and coins at parity with the RTGS dollar, while s 22(3) validates the use of the RTGS currency with effect from the first effective date. The crucial alterations that I have adverted to are to be found in subss (1) and (4) of s 22. Subsection (1), in its relevant portions, provides as follows:</w:t>
      </w:r>
    </w:p>
    <w:p w14:paraId="556C190A" w14:textId="77777777" w:rsidR="00C76672" w:rsidRPr="00F126C0" w:rsidRDefault="00C76672" w:rsidP="00C76672">
      <w:pPr>
        <w:spacing w:after="0" w:line="240" w:lineRule="auto"/>
        <w:ind w:left="720"/>
        <w:jc w:val="both"/>
        <w:rPr>
          <w:rFonts w:ascii="Times New Roman" w:eastAsia="Times New Roman" w:hAnsi="Times New Roman" w:cs="Times New Roman"/>
          <w:sz w:val="24"/>
          <w:szCs w:val="24"/>
          <w:lang w:val="en-GB"/>
        </w:rPr>
      </w:pPr>
      <w:r w:rsidRPr="00F126C0">
        <w:rPr>
          <w:rFonts w:ascii="Times New Roman" w:eastAsia="Times New Roman" w:hAnsi="Times New Roman" w:cs="Times New Roman"/>
          <w:sz w:val="24"/>
          <w:szCs w:val="24"/>
          <w:lang w:val="en-GB"/>
        </w:rPr>
        <w:t xml:space="preserve">“(d) that, for accounting and other purposes (including the discharge of financial or contractual obligations), all assets and liabilities that were, </w:t>
      </w:r>
      <w:r w:rsidRPr="00F126C0">
        <w:rPr>
          <w:rFonts w:ascii="Times New Roman" w:eastAsia="Times New Roman" w:hAnsi="Times New Roman" w:cs="Times New Roman"/>
          <w:sz w:val="24"/>
          <w:szCs w:val="24"/>
          <w:lang w:val="en-GB"/>
        </w:rPr>
        <w:tab/>
      </w:r>
      <w:r w:rsidRPr="00815407">
        <w:rPr>
          <w:rFonts w:ascii="Times New Roman" w:eastAsia="Times New Roman" w:hAnsi="Times New Roman" w:cs="Times New Roman"/>
          <w:b/>
          <w:bCs/>
          <w:sz w:val="24"/>
          <w:szCs w:val="24"/>
          <w:lang w:val="en-GB"/>
        </w:rPr>
        <w:t>immediately before the first effective date</w:t>
      </w:r>
      <w:r w:rsidRPr="00F126C0">
        <w:rPr>
          <w:rFonts w:ascii="Times New Roman" w:eastAsia="Times New Roman" w:hAnsi="Times New Roman" w:cs="Times New Roman"/>
          <w:sz w:val="24"/>
          <w:szCs w:val="24"/>
          <w:lang w:val="en-GB"/>
        </w:rPr>
        <w:t xml:space="preserve">, valued and expressed in United States dollars (other than assets and liabilities referred to in section 44C(2) of the principal Act) shall </w:t>
      </w:r>
      <w:r w:rsidRPr="00815407">
        <w:rPr>
          <w:rFonts w:ascii="Times New Roman" w:eastAsia="Times New Roman" w:hAnsi="Times New Roman" w:cs="Times New Roman"/>
          <w:b/>
          <w:bCs/>
          <w:sz w:val="24"/>
          <w:szCs w:val="24"/>
          <w:lang w:val="en-GB"/>
        </w:rPr>
        <w:t>on the first effective date</w:t>
      </w:r>
      <w:r w:rsidRPr="00F126C0">
        <w:rPr>
          <w:rFonts w:ascii="Times New Roman" w:eastAsia="Times New Roman" w:hAnsi="Times New Roman" w:cs="Times New Roman"/>
          <w:sz w:val="24"/>
          <w:szCs w:val="24"/>
          <w:lang w:val="en-GB"/>
        </w:rPr>
        <w:t xml:space="preserve"> be deemed to be values in RTGS dollars at a rate of one-to-one to the United States dollar; and </w:t>
      </w:r>
    </w:p>
    <w:p w14:paraId="2F097A03" w14:textId="77777777" w:rsidR="00C76672" w:rsidRPr="00F126C0" w:rsidRDefault="00C76672" w:rsidP="00C76672">
      <w:pPr>
        <w:spacing w:after="0" w:line="240" w:lineRule="auto"/>
        <w:jc w:val="both"/>
        <w:rPr>
          <w:rFonts w:ascii="Times New Roman" w:eastAsia="Times New Roman" w:hAnsi="Times New Roman" w:cs="Times New Roman"/>
          <w:sz w:val="24"/>
          <w:szCs w:val="24"/>
          <w:lang w:val="en-GB"/>
        </w:rPr>
      </w:pPr>
      <w:r w:rsidRPr="00F126C0">
        <w:rPr>
          <w:rFonts w:ascii="Times New Roman" w:eastAsia="Times New Roman" w:hAnsi="Times New Roman" w:cs="Times New Roman"/>
          <w:sz w:val="24"/>
          <w:szCs w:val="24"/>
          <w:lang w:val="en-GB"/>
        </w:rPr>
        <w:tab/>
        <w:t xml:space="preserve">(e) that </w:t>
      </w:r>
      <w:r w:rsidRPr="00815407">
        <w:rPr>
          <w:rFonts w:ascii="Times New Roman" w:eastAsia="Times New Roman" w:hAnsi="Times New Roman" w:cs="Times New Roman"/>
          <w:b/>
          <w:bCs/>
          <w:sz w:val="24"/>
          <w:szCs w:val="24"/>
          <w:lang w:val="en-GB"/>
        </w:rPr>
        <w:t>after the first effective date</w:t>
      </w:r>
      <w:r w:rsidRPr="00F126C0">
        <w:rPr>
          <w:rFonts w:ascii="Times New Roman" w:eastAsia="Times New Roman" w:hAnsi="Times New Roman" w:cs="Times New Roman"/>
          <w:sz w:val="24"/>
          <w:szCs w:val="24"/>
          <w:lang w:val="en-GB"/>
        </w:rPr>
        <w:t xml:space="preserve"> any variance from the opening parity rate shall </w:t>
      </w:r>
      <w:r w:rsidRPr="00F126C0">
        <w:rPr>
          <w:rFonts w:ascii="Times New Roman" w:eastAsia="Times New Roman" w:hAnsi="Times New Roman" w:cs="Times New Roman"/>
          <w:sz w:val="24"/>
          <w:szCs w:val="24"/>
          <w:lang w:val="en-GB"/>
        </w:rPr>
        <w:tab/>
        <w:t xml:space="preserve">be determined from time to time by the rate or rates at which authorised dealers </w:t>
      </w:r>
      <w:r w:rsidRPr="00F126C0">
        <w:rPr>
          <w:rFonts w:ascii="Times New Roman" w:eastAsia="Times New Roman" w:hAnsi="Times New Roman" w:cs="Times New Roman"/>
          <w:sz w:val="24"/>
          <w:szCs w:val="24"/>
          <w:lang w:val="en-GB"/>
        </w:rPr>
        <w:tab/>
        <w:t>exchange the RTGS dollar for the United States dollar on a willing-seller willing-</w:t>
      </w:r>
      <w:r w:rsidRPr="00F126C0">
        <w:rPr>
          <w:rFonts w:ascii="Times New Roman" w:eastAsia="Times New Roman" w:hAnsi="Times New Roman" w:cs="Times New Roman"/>
          <w:sz w:val="24"/>
          <w:szCs w:val="24"/>
          <w:lang w:val="en-GB"/>
        </w:rPr>
        <w:tab/>
        <w:t>buyer basis; and</w:t>
      </w:r>
    </w:p>
    <w:p w14:paraId="199A95B7" w14:textId="03D7E93A" w:rsidR="00C76672" w:rsidRDefault="00C76672" w:rsidP="00116BFA">
      <w:pPr>
        <w:spacing w:after="0" w:line="240" w:lineRule="auto"/>
        <w:ind w:left="720"/>
        <w:jc w:val="both"/>
        <w:rPr>
          <w:rFonts w:ascii="Times New Roman" w:eastAsia="Times New Roman" w:hAnsi="Times New Roman" w:cs="Times New Roman"/>
          <w:sz w:val="24"/>
          <w:szCs w:val="24"/>
          <w:lang w:val="en-GB"/>
        </w:rPr>
      </w:pPr>
      <w:r w:rsidRPr="00F126C0">
        <w:rPr>
          <w:rFonts w:ascii="Times New Roman" w:eastAsia="Times New Roman" w:hAnsi="Times New Roman" w:cs="Times New Roman"/>
          <w:sz w:val="24"/>
          <w:szCs w:val="24"/>
          <w:lang w:val="en-GB"/>
        </w:rPr>
        <w:t xml:space="preserve">(f) every enactment in which an amount is expressed in United States dollars shall </w:t>
      </w:r>
      <w:r w:rsidRPr="00815407">
        <w:rPr>
          <w:rFonts w:ascii="Times New Roman" w:eastAsia="Times New Roman" w:hAnsi="Times New Roman" w:cs="Times New Roman"/>
          <w:b/>
          <w:bCs/>
          <w:sz w:val="24"/>
          <w:szCs w:val="24"/>
          <w:lang w:val="en-GB"/>
        </w:rPr>
        <w:t>on the first effective date</w:t>
      </w:r>
      <w:r w:rsidRPr="00F126C0">
        <w:rPr>
          <w:rFonts w:ascii="Times New Roman" w:eastAsia="Times New Roman" w:hAnsi="Times New Roman" w:cs="Times New Roman"/>
          <w:sz w:val="24"/>
          <w:szCs w:val="24"/>
          <w:lang w:val="en-GB"/>
        </w:rPr>
        <w:t xml:space="preserve"> (but subject to subsection (4)), be construed as reference to the RTGS dollar, at parity with the United States dollar, that is to say, at a one-to-one rate.” (My emphasis)</w:t>
      </w:r>
    </w:p>
    <w:p w14:paraId="7C1A1BE9" w14:textId="77777777" w:rsidR="00116BFA" w:rsidRPr="00F126C0" w:rsidRDefault="00116BFA" w:rsidP="00116BFA">
      <w:pPr>
        <w:spacing w:after="0" w:line="480" w:lineRule="auto"/>
        <w:ind w:left="720"/>
        <w:jc w:val="both"/>
        <w:rPr>
          <w:rFonts w:ascii="Times New Roman" w:eastAsia="Times New Roman" w:hAnsi="Times New Roman" w:cs="Times New Roman"/>
          <w:sz w:val="24"/>
          <w:szCs w:val="24"/>
          <w:lang w:val="en-GB"/>
        </w:rPr>
      </w:pPr>
    </w:p>
    <w:p w14:paraId="554E2B30" w14:textId="54572605" w:rsidR="00C76672" w:rsidRPr="00F126C0" w:rsidRDefault="00C76672" w:rsidP="00116BFA">
      <w:pPr>
        <w:spacing w:after="0" w:line="480" w:lineRule="auto"/>
        <w:jc w:val="both"/>
        <w:rPr>
          <w:rFonts w:ascii="Times New Roman" w:eastAsia="Times New Roman" w:hAnsi="Times New Roman" w:cs="Times New Roman"/>
          <w:sz w:val="24"/>
          <w:szCs w:val="24"/>
          <w:lang w:val="en-GB"/>
        </w:rPr>
      </w:pPr>
      <w:r w:rsidRPr="00F126C0">
        <w:rPr>
          <w:rFonts w:ascii="Times New Roman" w:eastAsia="Times New Roman" w:hAnsi="Times New Roman" w:cs="Times New Roman"/>
          <w:sz w:val="24"/>
          <w:szCs w:val="24"/>
          <w:lang w:val="en-GB"/>
        </w:rPr>
        <w:t xml:space="preserve">  </w:t>
      </w:r>
      <w:r w:rsidRPr="00F126C0">
        <w:rPr>
          <w:rFonts w:ascii="Times New Roman" w:eastAsia="Times New Roman" w:hAnsi="Times New Roman" w:cs="Times New Roman"/>
          <w:sz w:val="24"/>
          <w:szCs w:val="24"/>
          <w:lang w:val="en-GB"/>
        </w:rPr>
        <w:tab/>
        <w:t xml:space="preserve">Subsection (4) clarifies the impact of subs (1) in relation to financial or contractual obligations concluded or incurred before 22 February 2019. It also addresses the incidence of </w:t>
      </w:r>
      <w:r w:rsidRPr="00F126C0">
        <w:rPr>
          <w:rFonts w:ascii="Times New Roman" w:eastAsia="Times New Roman" w:hAnsi="Times New Roman" w:cs="Times New Roman"/>
          <w:sz w:val="24"/>
          <w:szCs w:val="24"/>
          <w:lang w:val="en-GB"/>
        </w:rPr>
        <w:lastRenderedPageBreak/>
        <w:t>statutory penalties or fines and statutory fees that were incurred before that date and which were expressed in any statute to be payable in United States dollars. It provides that:</w:t>
      </w:r>
    </w:p>
    <w:p w14:paraId="32DBBD4F" w14:textId="77777777" w:rsidR="00C76672" w:rsidRPr="00F126C0" w:rsidRDefault="00C76672" w:rsidP="00C76672">
      <w:pPr>
        <w:spacing w:after="0" w:line="240" w:lineRule="auto"/>
        <w:jc w:val="both"/>
        <w:rPr>
          <w:rFonts w:ascii="Times New Roman" w:eastAsia="Times New Roman" w:hAnsi="Times New Roman" w:cs="Times New Roman"/>
          <w:sz w:val="24"/>
          <w:szCs w:val="24"/>
          <w:lang w:val="en-GB"/>
        </w:rPr>
      </w:pPr>
      <w:r w:rsidRPr="00F126C0">
        <w:rPr>
          <w:rFonts w:ascii="Times New Roman" w:eastAsia="Times New Roman" w:hAnsi="Times New Roman" w:cs="Times New Roman"/>
          <w:sz w:val="24"/>
          <w:szCs w:val="24"/>
          <w:lang w:val="en-GB"/>
        </w:rPr>
        <w:tab/>
        <w:t xml:space="preserve">“For the purposes of this section – </w:t>
      </w:r>
    </w:p>
    <w:p w14:paraId="32FA569E" w14:textId="77777777" w:rsidR="00C76672" w:rsidRPr="00F126C0" w:rsidRDefault="00C76672" w:rsidP="00C76672">
      <w:pPr>
        <w:numPr>
          <w:ilvl w:val="0"/>
          <w:numId w:val="10"/>
        </w:numPr>
        <w:spacing w:after="0" w:line="240" w:lineRule="auto"/>
        <w:contextualSpacing/>
        <w:jc w:val="both"/>
        <w:rPr>
          <w:rFonts w:ascii="Times New Roman" w:eastAsia="Times New Roman" w:hAnsi="Times New Roman" w:cs="Times New Roman"/>
          <w:sz w:val="24"/>
          <w:szCs w:val="24"/>
          <w:lang w:val="en-GB"/>
        </w:rPr>
      </w:pPr>
      <w:r w:rsidRPr="00F126C0">
        <w:rPr>
          <w:rFonts w:ascii="Times New Roman" w:eastAsia="Times New Roman" w:hAnsi="Times New Roman" w:cs="Times New Roman"/>
          <w:sz w:val="24"/>
          <w:szCs w:val="24"/>
          <w:lang w:val="en-GB"/>
        </w:rPr>
        <w:t xml:space="preserve">it is declared for the avoidance of doubt that financial or contractual obligations concluded or incurred </w:t>
      </w:r>
      <w:r w:rsidRPr="0076144D">
        <w:rPr>
          <w:rFonts w:ascii="Times New Roman" w:eastAsia="Times New Roman" w:hAnsi="Times New Roman" w:cs="Times New Roman"/>
          <w:b/>
          <w:bCs/>
          <w:sz w:val="24"/>
          <w:szCs w:val="24"/>
          <w:lang w:val="en-GB"/>
        </w:rPr>
        <w:t>before the first effective date</w:t>
      </w:r>
      <w:r w:rsidRPr="00F126C0">
        <w:rPr>
          <w:rFonts w:ascii="Times New Roman" w:eastAsia="Times New Roman" w:hAnsi="Times New Roman" w:cs="Times New Roman"/>
          <w:sz w:val="24"/>
          <w:szCs w:val="24"/>
          <w:lang w:val="en-GB"/>
        </w:rPr>
        <w:t xml:space="preserve">, that were valued and expressed in United States dollars (other than assets and liabilities referred to in section 44C(2) of the principal Act) shall </w:t>
      </w:r>
      <w:r w:rsidRPr="0076144D">
        <w:rPr>
          <w:rFonts w:ascii="Times New Roman" w:eastAsia="Times New Roman" w:hAnsi="Times New Roman" w:cs="Times New Roman"/>
          <w:b/>
          <w:bCs/>
          <w:sz w:val="24"/>
          <w:szCs w:val="24"/>
          <w:lang w:val="en-GB"/>
        </w:rPr>
        <w:t>on the first effective date</w:t>
      </w:r>
      <w:r w:rsidRPr="00F126C0">
        <w:rPr>
          <w:rFonts w:ascii="Times New Roman" w:eastAsia="Times New Roman" w:hAnsi="Times New Roman" w:cs="Times New Roman"/>
          <w:sz w:val="24"/>
          <w:szCs w:val="24"/>
          <w:lang w:val="en-GB"/>
        </w:rPr>
        <w:t xml:space="preserve"> be deemed to be values in RTGS dollars at a rate of one-to-one to the United States dollar;</w:t>
      </w:r>
    </w:p>
    <w:p w14:paraId="48D9B9D9" w14:textId="77777777" w:rsidR="00C76672" w:rsidRPr="00F126C0" w:rsidRDefault="00C76672" w:rsidP="00C76672">
      <w:pPr>
        <w:numPr>
          <w:ilvl w:val="0"/>
          <w:numId w:val="10"/>
        </w:numPr>
        <w:spacing w:after="0" w:line="240" w:lineRule="auto"/>
        <w:contextualSpacing/>
        <w:jc w:val="both"/>
        <w:rPr>
          <w:rFonts w:ascii="Times New Roman" w:eastAsia="Times New Roman" w:hAnsi="Times New Roman" w:cs="Times New Roman"/>
          <w:sz w:val="24"/>
          <w:szCs w:val="24"/>
          <w:lang w:val="en-GB"/>
        </w:rPr>
      </w:pPr>
      <w:r w:rsidRPr="00F126C0">
        <w:rPr>
          <w:rFonts w:ascii="Times New Roman" w:eastAsia="Times New Roman" w:hAnsi="Times New Roman" w:cs="Times New Roman"/>
          <w:sz w:val="24"/>
          <w:szCs w:val="24"/>
          <w:lang w:val="en-GB"/>
        </w:rPr>
        <w:t xml:space="preserve">where a person was adjudged to be liable for the payment of any statutory monetary penalty or statutory fine </w:t>
      </w:r>
      <w:r w:rsidRPr="0076144D">
        <w:rPr>
          <w:rFonts w:ascii="Times New Roman" w:eastAsia="Times New Roman" w:hAnsi="Times New Roman" w:cs="Times New Roman"/>
          <w:b/>
          <w:bCs/>
          <w:sz w:val="24"/>
          <w:szCs w:val="24"/>
          <w:lang w:val="en-GB"/>
        </w:rPr>
        <w:t>before the first effective date</w:t>
      </w:r>
      <w:r w:rsidRPr="00F126C0">
        <w:rPr>
          <w:rFonts w:ascii="Times New Roman" w:eastAsia="Times New Roman" w:hAnsi="Times New Roman" w:cs="Times New Roman"/>
          <w:sz w:val="24"/>
          <w:szCs w:val="24"/>
          <w:lang w:val="en-GB"/>
        </w:rPr>
        <w:t xml:space="preserve"> …….. such person is liable </w:t>
      </w:r>
      <w:r w:rsidRPr="0076144D">
        <w:rPr>
          <w:rFonts w:ascii="Times New Roman" w:eastAsia="Times New Roman" w:hAnsi="Times New Roman" w:cs="Times New Roman"/>
          <w:b/>
          <w:bCs/>
          <w:sz w:val="24"/>
          <w:szCs w:val="24"/>
          <w:lang w:val="en-GB"/>
        </w:rPr>
        <w:t>after the first effective date</w:t>
      </w:r>
      <w:r w:rsidRPr="00F126C0">
        <w:rPr>
          <w:rFonts w:ascii="Times New Roman" w:eastAsia="Times New Roman" w:hAnsi="Times New Roman" w:cs="Times New Roman"/>
          <w:sz w:val="24"/>
          <w:szCs w:val="24"/>
          <w:lang w:val="en-GB"/>
        </w:rPr>
        <w:t xml:space="preserve"> to pay the penalty or the fine or the unpaid portion of it in RTGS dollars at a rate of one-to-one to the United States dollar;</w:t>
      </w:r>
    </w:p>
    <w:p w14:paraId="63BB9A7D" w14:textId="0948879F" w:rsidR="00C76672" w:rsidRDefault="00C76672" w:rsidP="00C76672">
      <w:pPr>
        <w:numPr>
          <w:ilvl w:val="0"/>
          <w:numId w:val="10"/>
        </w:numPr>
        <w:spacing w:line="240" w:lineRule="auto"/>
        <w:contextualSpacing/>
        <w:jc w:val="both"/>
        <w:rPr>
          <w:rFonts w:ascii="Times New Roman" w:eastAsia="Times New Roman" w:hAnsi="Times New Roman" w:cs="Times New Roman"/>
          <w:sz w:val="24"/>
          <w:szCs w:val="24"/>
          <w:lang w:val="en-GB"/>
        </w:rPr>
      </w:pPr>
      <w:r w:rsidRPr="00F126C0">
        <w:rPr>
          <w:rFonts w:ascii="Times New Roman" w:eastAsia="Times New Roman" w:hAnsi="Times New Roman" w:cs="Times New Roman"/>
          <w:sz w:val="24"/>
          <w:szCs w:val="24"/>
          <w:lang w:val="en-GB"/>
        </w:rPr>
        <w:t xml:space="preserve">where a person became liable for the payment of any statutory fee </w:t>
      </w:r>
      <w:r w:rsidRPr="0076144D">
        <w:rPr>
          <w:rFonts w:ascii="Times New Roman" w:eastAsia="Times New Roman" w:hAnsi="Times New Roman" w:cs="Times New Roman"/>
          <w:b/>
          <w:bCs/>
          <w:sz w:val="24"/>
          <w:szCs w:val="24"/>
          <w:lang w:val="en-GB"/>
        </w:rPr>
        <w:t>before the first effective date</w:t>
      </w:r>
      <w:r w:rsidRPr="00F126C0">
        <w:rPr>
          <w:rFonts w:ascii="Times New Roman" w:eastAsia="Times New Roman" w:hAnsi="Times New Roman" w:cs="Times New Roman"/>
          <w:sz w:val="24"/>
          <w:szCs w:val="24"/>
          <w:lang w:val="en-GB"/>
        </w:rPr>
        <w:t xml:space="preserve"> …….. such person is liable </w:t>
      </w:r>
      <w:r w:rsidRPr="0076144D">
        <w:rPr>
          <w:rFonts w:ascii="Times New Roman" w:eastAsia="Times New Roman" w:hAnsi="Times New Roman" w:cs="Times New Roman"/>
          <w:b/>
          <w:bCs/>
          <w:sz w:val="24"/>
          <w:szCs w:val="24"/>
          <w:lang w:val="en-GB"/>
        </w:rPr>
        <w:t>after the first effective date</w:t>
      </w:r>
      <w:r w:rsidRPr="00F126C0">
        <w:rPr>
          <w:rFonts w:ascii="Times New Roman" w:eastAsia="Times New Roman" w:hAnsi="Times New Roman" w:cs="Times New Roman"/>
          <w:sz w:val="24"/>
          <w:szCs w:val="24"/>
          <w:lang w:val="en-GB"/>
        </w:rPr>
        <w:t xml:space="preserve"> to pay the fee or the unpaid portion of it in RTGS dollars at a rate of one-to-one to the United States dollar.” (My emphasis)</w:t>
      </w:r>
    </w:p>
    <w:p w14:paraId="2BA0BC47" w14:textId="77777777" w:rsidR="00C76672" w:rsidRPr="00F126C0" w:rsidRDefault="00C76672" w:rsidP="00116BFA">
      <w:pPr>
        <w:spacing w:line="480" w:lineRule="auto"/>
        <w:contextualSpacing/>
        <w:jc w:val="both"/>
        <w:rPr>
          <w:rFonts w:ascii="Times New Roman" w:eastAsia="Times New Roman" w:hAnsi="Times New Roman" w:cs="Times New Roman"/>
          <w:sz w:val="24"/>
          <w:szCs w:val="24"/>
          <w:lang w:val="en-GB"/>
        </w:rPr>
      </w:pPr>
    </w:p>
    <w:p w14:paraId="5C7D1EF8" w14:textId="69FCC4FA" w:rsidR="00C76672" w:rsidRDefault="00C76672" w:rsidP="00116BFA">
      <w:pPr>
        <w:spacing w:after="0" w:line="480" w:lineRule="auto"/>
        <w:jc w:val="both"/>
        <w:rPr>
          <w:rFonts w:ascii="Times New Roman" w:eastAsia="Times New Roman" w:hAnsi="Times New Roman" w:cs="Times New Roman"/>
          <w:sz w:val="24"/>
          <w:szCs w:val="24"/>
          <w:lang w:val="en-GB"/>
        </w:rPr>
      </w:pPr>
      <w:r w:rsidRPr="00F126C0">
        <w:rPr>
          <w:rFonts w:ascii="Times New Roman" w:eastAsia="Times New Roman" w:hAnsi="Times New Roman" w:cs="Times New Roman"/>
          <w:sz w:val="24"/>
          <w:szCs w:val="24"/>
          <w:lang w:val="en-GB"/>
        </w:rPr>
        <w:tab/>
        <w:t xml:space="preserve">The clear and unambiguous effect of the above-cited provisions of the 2019 Act is to modify and clarify, with retrospective effect, the position that previously obtained under S.I. 33 of 2019. As regards the values of assets and liabilities, as well as the values of financial or contractual obligations, these were originally deemed to be values in RTGS dollars at a rate of one-to-one to the United States dollar, for accounting and other purposes, both on and after the effective date. That position has now been altered through an Act of Parliament so that the deemed parity rate between the RTGS dollar and the United States dollar applies only on the first effective date, </w:t>
      </w:r>
      <w:r w:rsidRPr="00F126C0">
        <w:rPr>
          <w:rFonts w:ascii="Times New Roman" w:eastAsia="Times New Roman" w:hAnsi="Times New Roman" w:cs="Times New Roman"/>
          <w:i/>
          <w:sz w:val="24"/>
          <w:szCs w:val="24"/>
          <w:lang w:val="en-GB"/>
        </w:rPr>
        <w:t>i.e.</w:t>
      </w:r>
      <w:r w:rsidRPr="00F126C0">
        <w:rPr>
          <w:rFonts w:ascii="Times New Roman" w:eastAsia="Times New Roman" w:hAnsi="Times New Roman" w:cs="Times New Roman"/>
          <w:sz w:val="24"/>
          <w:szCs w:val="24"/>
          <w:lang w:val="en-GB"/>
        </w:rPr>
        <w:t xml:space="preserve"> 22 February 2019. After that date, any variance from the opening parity rate is to be determined from time to time at the inter-bank market exchange rate. The position is different, however, insofar as concerns the payment of statutory monetary penalties or fines and statutory fees that were expressed in any statute to be payable in United States dollars. Where the liability to pay any such penalty, fine or fee was incurred before 22 February 2019, such liability remains due and payable after that date in RTGS dollars at a rate of one-to-one to the United States dollar.</w:t>
      </w:r>
    </w:p>
    <w:p w14:paraId="2D972808" w14:textId="77777777" w:rsidR="00116BFA" w:rsidRPr="00F126C0" w:rsidRDefault="00116BFA" w:rsidP="00116BFA">
      <w:pPr>
        <w:spacing w:after="0" w:line="480" w:lineRule="auto"/>
        <w:jc w:val="both"/>
        <w:rPr>
          <w:rFonts w:ascii="Times New Roman" w:eastAsia="Times New Roman" w:hAnsi="Times New Roman" w:cs="Times New Roman"/>
          <w:sz w:val="24"/>
          <w:szCs w:val="24"/>
          <w:lang w:val="en-GB"/>
        </w:rPr>
      </w:pPr>
    </w:p>
    <w:p w14:paraId="4B8EA0B3" w14:textId="5063C18A" w:rsidR="00C76672" w:rsidRDefault="00C76672" w:rsidP="00116BFA">
      <w:pPr>
        <w:spacing w:after="0" w:line="480" w:lineRule="auto"/>
        <w:jc w:val="both"/>
        <w:rPr>
          <w:rFonts w:ascii="Times New Roman" w:eastAsia="Times New Roman" w:hAnsi="Times New Roman" w:cs="Times New Roman"/>
          <w:sz w:val="24"/>
          <w:szCs w:val="24"/>
          <w:lang w:val="en-GB"/>
        </w:rPr>
      </w:pPr>
      <w:r w:rsidRPr="00F126C0">
        <w:rPr>
          <w:rFonts w:ascii="Times New Roman" w:eastAsia="Times New Roman" w:hAnsi="Times New Roman" w:cs="Times New Roman"/>
          <w:sz w:val="24"/>
          <w:szCs w:val="24"/>
          <w:lang w:val="en-GB"/>
        </w:rPr>
        <w:lastRenderedPageBreak/>
        <w:tab/>
        <w:t>In summation, apart from foreign loans and foreign obligations, all financial or contractual obligations that were previously valued and expressed in United States dollars are now to be settled or discharged in RTGS dollars at the inter-bank market exchange rate prevailing on the date of settlement or discharge. On the other hand, all statutory penalties, fines or fees that were previously due and payable in United States dollars are now to be paid at parity in RTGS dollars.</w:t>
      </w:r>
    </w:p>
    <w:p w14:paraId="2ADBB730" w14:textId="77777777" w:rsidR="00116BFA" w:rsidRDefault="00116BFA" w:rsidP="00116BFA">
      <w:pPr>
        <w:spacing w:after="0" w:line="480" w:lineRule="auto"/>
        <w:jc w:val="both"/>
        <w:rPr>
          <w:rFonts w:ascii="Times New Roman" w:eastAsia="Times New Roman" w:hAnsi="Times New Roman" w:cs="Times New Roman"/>
          <w:sz w:val="24"/>
          <w:szCs w:val="24"/>
          <w:lang w:val="en-GB"/>
        </w:rPr>
      </w:pPr>
    </w:p>
    <w:p w14:paraId="2CC5D49B" w14:textId="380BF7ED" w:rsidR="00D5335F" w:rsidRDefault="0081213E" w:rsidP="00116BFA">
      <w:pPr>
        <w:spacing w:after="0" w:line="48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ab/>
      </w:r>
      <w:r w:rsidR="00401EDB">
        <w:rPr>
          <w:rFonts w:ascii="Times New Roman" w:eastAsia="Times New Roman" w:hAnsi="Times New Roman" w:cs="Times New Roman"/>
          <w:sz w:val="24"/>
          <w:szCs w:val="24"/>
          <w:lang w:val="en-GB"/>
        </w:rPr>
        <w:t xml:space="preserve">The construction that I have enunciated </w:t>
      </w:r>
      <w:r w:rsidR="00BE12E1">
        <w:rPr>
          <w:rFonts w:ascii="Times New Roman" w:eastAsia="Times New Roman" w:hAnsi="Times New Roman" w:cs="Times New Roman"/>
          <w:sz w:val="24"/>
          <w:szCs w:val="24"/>
          <w:lang w:val="en-GB"/>
        </w:rPr>
        <w:t>and adopted above</w:t>
      </w:r>
      <w:r w:rsidR="00401EDB">
        <w:rPr>
          <w:rFonts w:ascii="Times New Roman" w:eastAsia="Times New Roman" w:hAnsi="Times New Roman" w:cs="Times New Roman"/>
          <w:sz w:val="24"/>
          <w:szCs w:val="24"/>
          <w:lang w:val="en-GB"/>
        </w:rPr>
        <w:t xml:space="preserve"> </w:t>
      </w:r>
      <w:r w:rsidR="00BE12E1">
        <w:rPr>
          <w:rFonts w:ascii="Times New Roman" w:eastAsia="Times New Roman" w:hAnsi="Times New Roman" w:cs="Times New Roman"/>
          <w:i/>
          <w:iCs/>
          <w:sz w:val="24"/>
          <w:szCs w:val="24"/>
          <w:lang w:val="en-GB"/>
        </w:rPr>
        <w:t>apropos</w:t>
      </w:r>
      <w:r w:rsidR="00401EDB">
        <w:rPr>
          <w:rFonts w:ascii="Times New Roman" w:eastAsia="Times New Roman" w:hAnsi="Times New Roman" w:cs="Times New Roman"/>
          <w:sz w:val="24"/>
          <w:szCs w:val="24"/>
          <w:lang w:val="en-GB"/>
        </w:rPr>
        <w:t xml:space="preserve"> the rates of exchange applicable after the effective date is entirely concordant with the golden rule of interpretation. That rule enjoins the application of the principle that the words of every enactment must be construed in accordance with their ordinary and grammatical meaning, unless to do so would result in some absurdity</w:t>
      </w:r>
      <w:r w:rsidR="00D5335F">
        <w:rPr>
          <w:rFonts w:ascii="Times New Roman" w:eastAsia="Times New Roman" w:hAnsi="Times New Roman" w:cs="Times New Roman"/>
          <w:sz w:val="24"/>
          <w:szCs w:val="24"/>
          <w:lang w:val="en-GB"/>
        </w:rPr>
        <w:t>,</w:t>
      </w:r>
      <w:r w:rsidR="00401EDB">
        <w:rPr>
          <w:rFonts w:ascii="Times New Roman" w:eastAsia="Times New Roman" w:hAnsi="Times New Roman" w:cs="Times New Roman"/>
          <w:sz w:val="24"/>
          <w:szCs w:val="24"/>
          <w:lang w:val="en-GB"/>
        </w:rPr>
        <w:t xml:space="preserve"> </w:t>
      </w:r>
      <w:r w:rsidR="00D5335F">
        <w:rPr>
          <w:rFonts w:ascii="Times New Roman" w:eastAsia="Times New Roman" w:hAnsi="Times New Roman" w:cs="Times New Roman"/>
          <w:sz w:val="24"/>
          <w:szCs w:val="24"/>
          <w:lang w:val="en-GB"/>
        </w:rPr>
        <w:t>i</w:t>
      </w:r>
      <w:r w:rsidR="00401EDB">
        <w:rPr>
          <w:rFonts w:ascii="Times New Roman" w:eastAsia="Times New Roman" w:hAnsi="Times New Roman" w:cs="Times New Roman"/>
          <w:sz w:val="24"/>
          <w:szCs w:val="24"/>
          <w:lang w:val="en-GB"/>
        </w:rPr>
        <w:t>ncongruity or repugnancy.</w:t>
      </w:r>
    </w:p>
    <w:p w14:paraId="3F3C9867" w14:textId="77777777" w:rsidR="00116BFA" w:rsidRDefault="00116BFA" w:rsidP="00116BFA">
      <w:pPr>
        <w:spacing w:after="0" w:line="480" w:lineRule="auto"/>
        <w:jc w:val="both"/>
        <w:rPr>
          <w:rFonts w:ascii="Times New Roman" w:eastAsia="Times New Roman" w:hAnsi="Times New Roman" w:cs="Times New Roman"/>
          <w:sz w:val="24"/>
          <w:szCs w:val="24"/>
          <w:lang w:val="en-GB"/>
        </w:rPr>
      </w:pPr>
    </w:p>
    <w:p w14:paraId="3C8D47BD" w14:textId="4E341970" w:rsidR="00401EDB" w:rsidRDefault="00D5335F" w:rsidP="00116BFA">
      <w:pPr>
        <w:spacing w:after="0" w:line="480" w:lineRule="auto"/>
        <w:ind w:firstLine="72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I do not perceive any such anomaly in my interpretation of the provisions in question. </w:t>
      </w:r>
      <w:r w:rsidR="00CA6E9F">
        <w:rPr>
          <w:rFonts w:ascii="Times New Roman" w:eastAsia="Times New Roman" w:hAnsi="Times New Roman" w:cs="Times New Roman"/>
          <w:sz w:val="24"/>
          <w:szCs w:val="24"/>
          <w:lang w:val="en-GB"/>
        </w:rPr>
        <w:t>On the contrary, apart</w:t>
      </w:r>
      <w:r>
        <w:rPr>
          <w:rFonts w:ascii="Times New Roman" w:eastAsia="Times New Roman" w:hAnsi="Times New Roman" w:cs="Times New Roman"/>
          <w:sz w:val="24"/>
          <w:szCs w:val="24"/>
          <w:lang w:val="en-GB"/>
        </w:rPr>
        <w:t xml:space="preserve"> from conforming with the language used, it also </w:t>
      </w:r>
      <w:r w:rsidR="00BE12E1">
        <w:rPr>
          <w:rFonts w:ascii="Times New Roman" w:eastAsia="Times New Roman" w:hAnsi="Times New Roman" w:cs="Times New Roman"/>
          <w:sz w:val="24"/>
          <w:szCs w:val="24"/>
          <w:lang w:val="en-GB"/>
        </w:rPr>
        <w:t>accords</w:t>
      </w:r>
      <w:r>
        <w:rPr>
          <w:rFonts w:ascii="Times New Roman" w:eastAsia="Times New Roman" w:hAnsi="Times New Roman" w:cs="Times New Roman"/>
          <w:sz w:val="24"/>
          <w:szCs w:val="24"/>
          <w:lang w:val="en-GB"/>
        </w:rPr>
        <w:t xml:space="preserve"> with the basic</w:t>
      </w:r>
      <w:r w:rsidR="00BE12E1">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 xml:space="preserve">precepts of commercial equity. Given the extraordinary devaluation that the Zimbabwean dollar was subjected to between February 2019 and the introduction of the ZIG currency in April 2024, any contrary interpretation </w:t>
      </w:r>
      <w:r w:rsidR="00CA6E9F">
        <w:rPr>
          <w:rFonts w:ascii="Times New Roman" w:eastAsia="Times New Roman" w:hAnsi="Times New Roman" w:cs="Times New Roman"/>
          <w:sz w:val="24"/>
          <w:szCs w:val="24"/>
          <w:lang w:val="en-GB"/>
        </w:rPr>
        <w:t xml:space="preserve">applying the parity rate after the effective date </w:t>
      </w:r>
      <w:r>
        <w:rPr>
          <w:rFonts w:ascii="Times New Roman" w:eastAsia="Times New Roman" w:hAnsi="Times New Roman" w:cs="Times New Roman"/>
          <w:sz w:val="24"/>
          <w:szCs w:val="24"/>
          <w:lang w:val="en-GB"/>
        </w:rPr>
        <w:t xml:space="preserve">would operate to the </w:t>
      </w:r>
      <w:r w:rsidR="00092FB1">
        <w:rPr>
          <w:rFonts w:ascii="Times New Roman" w:eastAsia="Times New Roman" w:hAnsi="Times New Roman" w:cs="Times New Roman"/>
          <w:sz w:val="24"/>
          <w:szCs w:val="24"/>
          <w:lang w:val="en-GB"/>
        </w:rPr>
        <w:t>grave and extreme</w:t>
      </w:r>
      <w:r>
        <w:rPr>
          <w:rFonts w:ascii="Times New Roman" w:eastAsia="Times New Roman" w:hAnsi="Times New Roman" w:cs="Times New Roman"/>
          <w:sz w:val="24"/>
          <w:szCs w:val="24"/>
          <w:lang w:val="en-GB"/>
        </w:rPr>
        <w:t xml:space="preserve"> prejudice and disadvantage of local sellers, creditors and lenders who contracted or transacted with their respective buyers, debtors and borrowers in foreign currency.</w:t>
      </w:r>
    </w:p>
    <w:p w14:paraId="4D7A6CBB" w14:textId="77777777" w:rsidR="00116BFA" w:rsidRDefault="00116BFA" w:rsidP="00116BFA">
      <w:pPr>
        <w:spacing w:after="0" w:line="480" w:lineRule="auto"/>
        <w:ind w:firstLine="720"/>
        <w:jc w:val="both"/>
        <w:rPr>
          <w:rFonts w:ascii="Times New Roman" w:eastAsia="Times New Roman" w:hAnsi="Times New Roman" w:cs="Times New Roman"/>
          <w:sz w:val="24"/>
          <w:szCs w:val="24"/>
          <w:lang w:val="en-GB"/>
        </w:rPr>
      </w:pPr>
    </w:p>
    <w:p w14:paraId="5E293ACA" w14:textId="2B2105E1" w:rsidR="00CA6E9F" w:rsidRDefault="00CA6E9F" w:rsidP="00116BFA">
      <w:pPr>
        <w:spacing w:after="0" w:line="480" w:lineRule="auto"/>
        <w:ind w:firstLine="72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In my considered opinion, the “golden” interpretation of the provisions under scrutiny operates to safeguard the rights and interests of all the parties concerned. And in the particular context of the present case, it also entails the result that the judgment of the court </w:t>
      </w:r>
      <w:r>
        <w:rPr>
          <w:rFonts w:ascii="Times New Roman" w:eastAsia="Times New Roman" w:hAnsi="Times New Roman" w:cs="Times New Roman"/>
          <w:i/>
          <w:iCs/>
          <w:sz w:val="24"/>
          <w:szCs w:val="24"/>
          <w:lang w:val="en-GB"/>
        </w:rPr>
        <w:t>a quo</w:t>
      </w:r>
      <w:r>
        <w:rPr>
          <w:rFonts w:ascii="Times New Roman" w:eastAsia="Times New Roman" w:hAnsi="Times New Roman" w:cs="Times New Roman"/>
          <w:sz w:val="24"/>
          <w:szCs w:val="24"/>
          <w:lang w:val="en-GB"/>
        </w:rPr>
        <w:t xml:space="preserve">, by </w:t>
      </w:r>
      <w:r>
        <w:rPr>
          <w:rFonts w:ascii="Times New Roman" w:eastAsia="Times New Roman" w:hAnsi="Times New Roman" w:cs="Times New Roman"/>
          <w:sz w:val="24"/>
          <w:szCs w:val="24"/>
          <w:lang w:val="en-GB"/>
        </w:rPr>
        <w:lastRenderedPageBreak/>
        <w:t xml:space="preserve">dint of which the respondent is to be </w:t>
      </w:r>
      <w:r w:rsidR="0081213E">
        <w:rPr>
          <w:rFonts w:ascii="Times New Roman" w:eastAsia="Times New Roman" w:hAnsi="Times New Roman" w:cs="Times New Roman"/>
          <w:sz w:val="24"/>
          <w:szCs w:val="24"/>
          <w:lang w:val="en-GB"/>
        </w:rPr>
        <w:t>fairly and adequately</w:t>
      </w:r>
      <w:r>
        <w:rPr>
          <w:rFonts w:ascii="Times New Roman" w:eastAsia="Times New Roman" w:hAnsi="Times New Roman" w:cs="Times New Roman"/>
          <w:sz w:val="24"/>
          <w:szCs w:val="24"/>
          <w:lang w:val="en-GB"/>
        </w:rPr>
        <w:t xml:space="preserve"> compensated, </w:t>
      </w:r>
      <w:r w:rsidR="0081213E">
        <w:rPr>
          <w:rFonts w:ascii="Times New Roman" w:eastAsia="Times New Roman" w:hAnsi="Times New Roman" w:cs="Times New Roman"/>
          <w:sz w:val="24"/>
          <w:szCs w:val="24"/>
          <w:lang w:val="en-GB"/>
        </w:rPr>
        <w:t>ultimately arrived at the correct conclusion, albeit from a different perspective and for different reasons.</w:t>
      </w:r>
    </w:p>
    <w:p w14:paraId="4C9EE8E5" w14:textId="77777777" w:rsidR="00116BFA" w:rsidRDefault="00116BFA" w:rsidP="00116BFA">
      <w:pPr>
        <w:spacing w:after="0" w:line="480" w:lineRule="auto"/>
        <w:jc w:val="both"/>
        <w:rPr>
          <w:rFonts w:ascii="Times New Roman" w:eastAsia="Century Gothic" w:hAnsi="Times New Roman" w:cs="Times New Roman"/>
          <w:color w:val="212529"/>
          <w:sz w:val="24"/>
          <w:szCs w:val="24"/>
          <w:lang w:val="en-US"/>
        </w:rPr>
      </w:pPr>
    </w:p>
    <w:p w14:paraId="09CB45D6" w14:textId="77777777" w:rsidR="00D1435C" w:rsidRDefault="00D1435C" w:rsidP="00116BFA">
      <w:pPr>
        <w:spacing w:after="0" w:line="480" w:lineRule="auto"/>
        <w:jc w:val="both"/>
        <w:rPr>
          <w:rFonts w:ascii="Times New Roman" w:eastAsia="Calibri" w:hAnsi="Times New Roman" w:cs="Times New Roman"/>
          <w:bCs/>
          <w:sz w:val="24"/>
          <w:szCs w:val="24"/>
        </w:rPr>
      </w:pPr>
      <w:r>
        <w:rPr>
          <w:rFonts w:ascii="Times New Roman" w:eastAsia="Calibri" w:hAnsi="Times New Roman" w:cs="Times New Roman"/>
          <w:b/>
          <w:sz w:val="24"/>
          <w:szCs w:val="24"/>
        </w:rPr>
        <w:t>Prospects of Success</w:t>
      </w:r>
    </w:p>
    <w:p w14:paraId="40F5B1F2" w14:textId="4FCDC98C" w:rsidR="004B5389" w:rsidRPr="004B5389" w:rsidRDefault="004B5389" w:rsidP="00116BFA">
      <w:pPr>
        <w:spacing w:after="0" w:line="480"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ab/>
        <w:t xml:space="preserve">The test to be applied in the constitutional review of decisions of subordinate courts in non-constitutional matters was succinctly spelt out by Malaba CJ in the </w:t>
      </w:r>
      <w:r>
        <w:rPr>
          <w:rFonts w:ascii="Times New Roman" w:eastAsia="Calibri" w:hAnsi="Times New Roman" w:cs="Times New Roman"/>
          <w:bCs/>
          <w:i/>
          <w:iCs/>
          <w:sz w:val="24"/>
          <w:szCs w:val="24"/>
        </w:rPr>
        <w:t>Lytton Investments</w:t>
      </w:r>
      <w:r>
        <w:rPr>
          <w:rFonts w:ascii="Times New Roman" w:eastAsia="Calibri" w:hAnsi="Times New Roman" w:cs="Times New Roman"/>
          <w:bCs/>
          <w:sz w:val="24"/>
          <w:szCs w:val="24"/>
        </w:rPr>
        <w:t xml:space="preserve"> case, </w:t>
      </w:r>
      <w:r>
        <w:rPr>
          <w:rFonts w:ascii="Times New Roman" w:eastAsia="Calibri" w:hAnsi="Times New Roman" w:cs="Times New Roman"/>
          <w:bCs/>
          <w:i/>
          <w:iCs/>
          <w:sz w:val="24"/>
          <w:szCs w:val="24"/>
        </w:rPr>
        <w:t>supra</w:t>
      </w:r>
      <w:r>
        <w:rPr>
          <w:rFonts w:ascii="Times New Roman" w:eastAsia="Calibri" w:hAnsi="Times New Roman" w:cs="Times New Roman"/>
          <w:bCs/>
          <w:sz w:val="24"/>
          <w:szCs w:val="24"/>
        </w:rPr>
        <w:t>,</w:t>
      </w:r>
      <w:r w:rsidR="00F46711">
        <w:rPr>
          <w:rFonts w:ascii="Times New Roman" w:eastAsia="Calibri" w:hAnsi="Times New Roman" w:cs="Times New Roman"/>
          <w:bCs/>
          <w:sz w:val="24"/>
          <w:szCs w:val="24"/>
        </w:rPr>
        <w:t xml:space="preserve"> at pp 19-20, as follows:</w:t>
      </w:r>
      <w:r>
        <w:rPr>
          <w:rFonts w:ascii="Times New Roman" w:eastAsia="Calibri" w:hAnsi="Times New Roman" w:cs="Times New Roman"/>
          <w:bCs/>
          <w:sz w:val="24"/>
          <w:szCs w:val="24"/>
        </w:rPr>
        <w:t xml:space="preserve"> </w:t>
      </w:r>
    </w:p>
    <w:p w14:paraId="43143AA7" w14:textId="49C71633" w:rsidR="003B32AB" w:rsidRPr="004B5389" w:rsidRDefault="004B5389" w:rsidP="004B5389">
      <w:pPr>
        <w:spacing w:after="0" w:line="240" w:lineRule="auto"/>
        <w:ind w:left="360" w:firstLine="360"/>
        <w:jc w:val="both"/>
        <w:rPr>
          <w:rFonts w:ascii="Times New Roman" w:eastAsia="Calibri" w:hAnsi="Times New Roman" w:cs="Times New Roman"/>
          <w:b/>
          <w:sz w:val="24"/>
          <w:szCs w:val="24"/>
        </w:rPr>
      </w:pPr>
      <w:r>
        <w:rPr>
          <w:rFonts w:ascii="Times New Roman" w:eastAsia="Calibri" w:hAnsi="Times New Roman" w:cs="Times New Roman"/>
          <w:bCs/>
          <w:sz w:val="24"/>
          <w:szCs w:val="24"/>
        </w:rPr>
        <w:t>“</w:t>
      </w:r>
      <w:r w:rsidR="003B32AB" w:rsidRPr="003B32AB">
        <w:rPr>
          <w:rFonts w:ascii="Times New Roman" w:eastAsia="Calibri" w:hAnsi="Times New Roman" w:cs="Times New Roman"/>
          <w:bCs/>
          <w:sz w:val="24"/>
          <w:szCs w:val="24"/>
        </w:rPr>
        <w:t>The facts must show that there is a real likelihood of the Court finding that the Supreme</w:t>
      </w:r>
      <w:r w:rsidR="003B32AB" w:rsidRPr="003B32AB">
        <w:rPr>
          <w:rFonts w:ascii="Times New Roman" w:eastAsia="Calibri" w:hAnsi="Times New Roman" w:cs="Times New Roman"/>
          <w:bCs/>
          <w:sz w:val="24"/>
          <w:szCs w:val="24"/>
        </w:rPr>
        <w:br/>
        <w:t xml:space="preserve">Court infringed the applicant’s right to judicial protection. </w:t>
      </w:r>
      <w:r w:rsidR="003B32AB" w:rsidRPr="004B5389">
        <w:rPr>
          <w:rFonts w:ascii="Times New Roman" w:eastAsia="Calibri" w:hAnsi="Times New Roman" w:cs="Times New Roman"/>
          <w:b/>
          <w:sz w:val="24"/>
          <w:szCs w:val="24"/>
        </w:rPr>
        <w:t>The Supreme Court must have failed to act in accordance with the requirements of the law governing the proceedings or prescribing the rights and obligations subject to determination. The failure to act lawfully would have to be shown to have disabled the court from making a decision on the non-constitutional issue.</w:t>
      </w:r>
    </w:p>
    <w:p w14:paraId="10B03E80" w14:textId="742BCE1D" w:rsidR="003B32AB" w:rsidRPr="003B32AB" w:rsidRDefault="003B32AB" w:rsidP="004B5389">
      <w:pPr>
        <w:spacing w:after="0" w:line="240" w:lineRule="auto"/>
        <w:ind w:left="360" w:firstLine="360"/>
        <w:jc w:val="both"/>
        <w:rPr>
          <w:rFonts w:ascii="Times New Roman" w:eastAsia="Calibri" w:hAnsi="Times New Roman" w:cs="Times New Roman"/>
          <w:bCs/>
          <w:sz w:val="24"/>
          <w:szCs w:val="24"/>
        </w:rPr>
      </w:pPr>
      <w:r>
        <w:rPr>
          <w:rFonts w:ascii="Times New Roman" w:eastAsia="Calibri" w:hAnsi="Times New Roman" w:cs="Times New Roman"/>
          <w:bCs/>
          <w:sz w:val="24"/>
          <w:szCs w:val="24"/>
        </w:rPr>
        <w:t>T</w:t>
      </w:r>
      <w:r w:rsidRPr="003B32AB">
        <w:rPr>
          <w:rFonts w:ascii="Times New Roman" w:eastAsia="Calibri" w:hAnsi="Times New Roman" w:cs="Times New Roman"/>
          <w:bCs/>
          <w:sz w:val="24"/>
          <w:szCs w:val="24"/>
        </w:rPr>
        <w:t>he theory of constitutional review of a decision of the Supreme Court in a case</w:t>
      </w:r>
      <w:r w:rsidRPr="003B32AB">
        <w:rPr>
          <w:rFonts w:ascii="Times New Roman" w:eastAsia="Calibri" w:hAnsi="Times New Roman" w:cs="Times New Roman"/>
          <w:bCs/>
          <w:sz w:val="24"/>
          <w:szCs w:val="24"/>
        </w:rPr>
        <w:br/>
        <w:t>involving a non-constitutional matter is based on the principle of loss of rights in such</w:t>
      </w:r>
      <w:r w:rsidRPr="003B32AB">
        <w:rPr>
          <w:rFonts w:ascii="Times New Roman" w:eastAsia="Calibri" w:hAnsi="Times New Roman" w:cs="Times New Roman"/>
          <w:bCs/>
          <w:sz w:val="24"/>
          <w:szCs w:val="24"/>
        </w:rPr>
        <w:br/>
        <w:t>proceedings because of the court’s failure to act in terms of the law, thereby producing an</w:t>
      </w:r>
      <w:r w:rsidRPr="003B32AB">
        <w:rPr>
          <w:rFonts w:ascii="Times New Roman" w:eastAsia="Calibri" w:hAnsi="Times New Roman" w:cs="Times New Roman"/>
          <w:bCs/>
          <w:sz w:val="24"/>
          <w:szCs w:val="24"/>
        </w:rPr>
        <w:br/>
        <w:t xml:space="preserve">irrational decision. </w:t>
      </w:r>
      <w:r w:rsidRPr="003B32AB">
        <w:rPr>
          <w:rFonts w:ascii="Times New Roman" w:eastAsia="Calibri" w:hAnsi="Times New Roman" w:cs="Times New Roman"/>
          <w:b/>
          <w:sz w:val="24"/>
          <w:szCs w:val="24"/>
        </w:rPr>
        <w:t xml:space="preserve">There must, therefore, be proof of the failure to comply with the law. </w:t>
      </w:r>
      <w:r w:rsidR="004B5389" w:rsidRPr="004B5389">
        <w:rPr>
          <w:rFonts w:ascii="Times New Roman" w:eastAsia="Calibri" w:hAnsi="Times New Roman" w:cs="Times New Roman"/>
          <w:b/>
          <w:sz w:val="24"/>
          <w:szCs w:val="24"/>
        </w:rPr>
        <w:t xml:space="preserve">The </w:t>
      </w:r>
      <w:r w:rsidRPr="003B32AB">
        <w:rPr>
          <w:rFonts w:ascii="Times New Roman" w:eastAsia="Calibri" w:hAnsi="Times New Roman" w:cs="Times New Roman"/>
          <w:b/>
          <w:sz w:val="24"/>
          <w:szCs w:val="24"/>
        </w:rPr>
        <w:t>failure must be shown to have produced an arbitrary decision.</w:t>
      </w:r>
      <w:r w:rsidR="004B5389">
        <w:rPr>
          <w:rFonts w:ascii="Times New Roman" w:eastAsia="Calibri" w:hAnsi="Times New Roman" w:cs="Times New Roman"/>
          <w:bCs/>
          <w:sz w:val="24"/>
          <w:szCs w:val="24"/>
        </w:rPr>
        <w:t>” (My emphasis)</w:t>
      </w:r>
    </w:p>
    <w:p w14:paraId="763C9761" w14:textId="545A626E" w:rsidR="003B32AB" w:rsidRPr="003B32AB" w:rsidRDefault="003B32AB" w:rsidP="00F46711">
      <w:pPr>
        <w:spacing w:after="0" w:line="480" w:lineRule="auto"/>
        <w:jc w:val="both"/>
        <w:rPr>
          <w:rFonts w:ascii="Times New Roman" w:eastAsia="Calibri" w:hAnsi="Times New Roman" w:cs="Times New Roman"/>
          <w:bCs/>
          <w:sz w:val="24"/>
          <w:szCs w:val="24"/>
        </w:rPr>
      </w:pPr>
    </w:p>
    <w:p w14:paraId="6C47EAAD" w14:textId="138B1EE6" w:rsidR="00D1435C" w:rsidRDefault="00F46711" w:rsidP="00030A16">
      <w:pPr>
        <w:spacing w:after="0" w:line="480"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ab/>
        <w:t xml:space="preserve">In other words, it must be shown that the subordinate court has failed to act in accordance with the applicable substantive and/or procedural law and thereby rendered an arbitrary or irrational decision entailing the violation of a fundamental right. As I have already concluded earlier, the applicant has failed to evince any failure on the part of the court </w:t>
      </w:r>
      <w:r>
        <w:rPr>
          <w:rFonts w:ascii="Times New Roman" w:eastAsia="Calibri" w:hAnsi="Times New Roman" w:cs="Times New Roman"/>
          <w:bCs/>
          <w:i/>
          <w:iCs/>
          <w:sz w:val="24"/>
          <w:szCs w:val="24"/>
        </w:rPr>
        <w:t>a quo</w:t>
      </w:r>
      <w:r>
        <w:rPr>
          <w:rFonts w:ascii="Times New Roman" w:eastAsia="Calibri" w:hAnsi="Times New Roman" w:cs="Times New Roman"/>
          <w:bCs/>
          <w:sz w:val="24"/>
          <w:szCs w:val="24"/>
        </w:rPr>
        <w:t xml:space="preserve"> to adhere to the substantive law governing </w:t>
      </w:r>
      <w:r w:rsidR="00030A16">
        <w:rPr>
          <w:rFonts w:ascii="Times New Roman" w:eastAsia="Calibri" w:hAnsi="Times New Roman" w:cs="Times New Roman"/>
          <w:bCs/>
          <w:sz w:val="24"/>
          <w:szCs w:val="24"/>
        </w:rPr>
        <w:t>the interpretation of the relevant provisions of S.I. 33 of 2019. Moreover, as</w:t>
      </w:r>
      <w:r w:rsidR="008E0DC1">
        <w:rPr>
          <w:rFonts w:ascii="Times New Roman" w:eastAsia="Calibri" w:hAnsi="Times New Roman" w:cs="Times New Roman"/>
          <w:bCs/>
          <w:sz w:val="24"/>
          <w:szCs w:val="24"/>
        </w:rPr>
        <w:t xml:space="preserve"> was quite correctly conceded by </w:t>
      </w:r>
      <w:r w:rsidR="00030A16">
        <w:rPr>
          <w:rFonts w:ascii="Times New Roman" w:eastAsia="Calibri" w:hAnsi="Times New Roman" w:cs="Times New Roman"/>
          <w:bCs/>
          <w:sz w:val="24"/>
          <w:szCs w:val="24"/>
        </w:rPr>
        <w:t>counsel</w:t>
      </w:r>
      <w:r w:rsidR="008E0DC1">
        <w:rPr>
          <w:rFonts w:ascii="Times New Roman" w:eastAsia="Calibri" w:hAnsi="Times New Roman" w:cs="Times New Roman"/>
          <w:bCs/>
          <w:sz w:val="24"/>
          <w:szCs w:val="24"/>
        </w:rPr>
        <w:t xml:space="preserve"> for the applicant, the founding affidavit does not show anything to suggest that </w:t>
      </w:r>
      <w:r w:rsidR="00404290">
        <w:rPr>
          <w:rFonts w:ascii="Times New Roman" w:eastAsia="Calibri" w:hAnsi="Times New Roman" w:cs="Times New Roman"/>
          <w:bCs/>
          <w:sz w:val="24"/>
          <w:szCs w:val="24"/>
        </w:rPr>
        <w:t xml:space="preserve">the court </w:t>
      </w:r>
      <w:r w:rsidR="00404290">
        <w:rPr>
          <w:rFonts w:ascii="Times New Roman" w:eastAsia="Calibri" w:hAnsi="Times New Roman" w:cs="Times New Roman"/>
          <w:bCs/>
          <w:i/>
          <w:iCs/>
          <w:sz w:val="24"/>
          <w:szCs w:val="24"/>
        </w:rPr>
        <w:t>a quo</w:t>
      </w:r>
      <w:r w:rsidR="00404290">
        <w:rPr>
          <w:rFonts w:ascii="Times New Roman" w:eastAsia="Calibri" w:hAnsi="Times New Roman" w:cs="Times New Roman"/>
          <w:bCs/>
          <w:sz w:val="24"/>
          <w:szCs w:val="24"/>
        </w:rPr>
        <w:t xml:space="preserve"> disabled itself procedurally within the contemplation of the test expounded in the </w:t>
      </w:r>
      <w:r w:rsidR="00404290">
        <w:rPr>
          <w:rFonts w:ascii="Times New Roman" w:eastAsia="Calibri" w:hAnsi="Times New Roman" w:cs="Times New Roman"/>
          <w:bCs/>
          <w:i/>
          <w:iCs/>
          <w:sz w:val="24"/>
          <w:szCs w:val="24"/>
        </w:rPr>
        <w:t>Lytton Investments</w:t>
      </w:r>
      <w:r w:rsidR="00404290">
        <w:rPr>
          <w:rFonts w:ascii="Times New Roman" w:eastAsia="Calibri" w:hAnsi="Times New Roman" w:cs="Times New Roman"/>
          <w:bCs/>
          <w:sz w:val="24"/>
          <w:szCs w:val="24"/>
        </w:rPr>
        <w:t xml:space="preserve"> case.</w:t>
      </w:r>
    </w:p>
    <w:p w14:paraId="6EC1A5BC" w14:textId="77777777" w:rsidR="00030A16" w:rsidRDefault="00030A16" w:rsidP="00030A16">
      <w:pPr>
        <w:spacing w:after="0" w:line="480" w:lineRule="auto"/>
        <w:jc w:val="both"/>
        <w:rPr>
          <w:rFonts w:ascii="Times New Roman" w:eastAsia="Calibri" w:hAnsi="Times New Roman" w:cs="Times New Roman"/>
          <w:bCs/>
          <w:sz w:val="24"/>
          <w:szCs w:val="24"/>
        </w:rPr>
      </w:pPr>
    </w:p>
    <w:p w14:paraId="43A39B7F" w14:textId="1F0F250C" w:rsidR="0072079F" w:rsidRDefault="00030A16" w:rsidP="004D2AE5">
      <w:pPr>
        <w:spacing w:after="0" w:line="480"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ab/>
        <w:t xml:space="preserve">As regards the alleged violation of the right to equal protection and benefit of the law, the applicant has been unable to demonstrate any infringement of </w:t>
      </w:r>
      <w:r w:rsidR="00A2619B">
        <w:rPr>
          <w:rFonts w:ascii="Times New Roman" w:eastAsia="Calibri" w:hAnsi="Times New Roman" w:cs="Times New Roman"/>
          <w:bCs/>
          <w:sz w:val="24"/>
          <w:szCs w:val="24"/>
        </w:rPr>
        <w:t>s</w:t>
      </w:r>
      <w:r>
        <w:rPr>
          <w:rFonts w:ascii="Times New Roman" w:eastAsia="Calibri" w:hAnsi="Times New Roman" w:cs="Times New Roman"/>
          <w:bCs/>
          <w:sz w:val="24"/>
          <w:szCs w:val="24"/>
        </w:rPr>
        <w:t xml:space="preserve"> 56(1) of the Constitution </w:t>
      </w:r>
      <w:r>
        <w:rPr>
          <w:rFonts w:ascii="Times New Roman" w:eastAsia="Calibri" w:hAnsi="Times New Roman" w:cs="Times New Roman"/>
          <w:bCs/>
          <w:sz w:val="24"/>
          <w:szCs w:val="24"/>
        </w:rPr>
        <w:lastRenderedPageBreak/>
        <w:t>as consistently construed and applied in previous decisions of this Court.</w:t>
      </w:r>
      <w:r w:rsidR="0072079F">
        <w:rPr>
          <w:rFonts w:ascii="Times New Roman" w:eastAsia="Calibri" w:hAnsi="Times New Roman" w:cs="Times New Roman"/>
          <w:bCs/>
          <w:sz w:val="24"/>
          <w:szCs w:val="24"/>
        </w:rPr>
        <w:t xml:space="preserve"> </w:t>
      </w:r>
      <w:r w:rsidR="0072079F" w:rsidRPr="00F126C0">
        <w:rPr>
          <w:rFonts w:ascii="Times New Roman" w:eastAsia="Calibri" w:hAnsi="Times New Roman" w:cs="Times New Roman"/>
          <w:bCs/>
          <w:sz w:val="24"/>
          <w:szCs w:val="24"/>
          <w:lang w:val="en-GB"/>
        </w:rPr>
        <w:t xml:space="preserve">The applicant has </w:t>
      </w:r>
      <w:r w:rsidR="0072079F">
        <w:rPr>
          <w:rFonts w:ascii="Times New Roman" w:eastAsia="Calibri" w:hAnsi="Times New Roman" w:cs="Times New Roman"/>
          <w:bCs/>
          <w:sz w:val="24"/>
          <w:szCs w:val="24"/>
          <w:lang w:val="en-GB"/>
        </w:rPr>
        <w:t xml:space="preserve">not shown </w:t>
      </w:r>
      <w:r w:rsidR="0072079F" w:rsidRPr="00F126C0">
        <w:rPr>
          <w:rFonts w:ascii="Times New Roman" w:eastAsia="Calibri" w:hAnsi="Times New Roman" w:cs="Times New Roman"/>
          <w:bCs/>
          <w:sz w:val="24"/>
          <w:szCs w:val="24"/>
          <w:lang w:val="en-GB"/>
        </w:rPr>
        <w:t xml:space="preserve">that other persons in the same circumstances as </w:t>
      </w:r>
      <w:r w:rsidR="0072079F">
        <w:rPr>
          <w:rFonts w:ascii="Times New Roman" w:eastAsia="Calibri" w:hAnsi="Times New Roman" w:cs="Times New Roman"/>
          <w:bCs/>
          <w:sz w:val="24"/>
          <w:szCs w:val="24"/>
          <w:lang w:val="en-GB"/>
        </w:rPr>
        <w:t>the applicant</w:t>
      </w:r>
      <w:r w:rsidR="0072079F" w:rsidRPr="00F126C0">
        <w:rPr>
          <w:rFonts w:ascii="Times New Roman" w:eastAsia="Calibri" w:hAnsi="Times New Roman" w:cs="Times New Roman"/>
          <w:bCs/>
          <w:sz w:val="24"/>
          <w:szCs w:val="24"/>
          <w:lang w:val="en-GB"/>
        </w:rPr>
        <w:t xml:space="preserve"> were allowed to pay the amount</w:t>
      </w:r>
      <w:r w:rsidR="0072079F">
        <w:rPr>
          <w:rFonts w:ascii="Times New Roman" w:eastAsia="Calibri" w:hAnsi="Times New Roman" w:cs="Times New Roman"/>
          <w:bCs/>
          <w:sz w:val="24"/>
          <w:szCs w:val="24"/>
          <w:lang w:val="en-GB"/>
        </w:rPr>
        <w:t>s</w:t>
      </w:r>
      <w:r w:rsidR="0072079F" w:rsidRPr="00F126C0">
        <w:rPr>
          <w:rFonts w:ascii="Times New Roman" w:eastAsia="Calibri" w:hAnsi="Times New Roman" w:cs="Times New Roman"/>
          <w:bCs/>
          <w:sz w:val="24"/>
          <w:szCs w:val="24"/>
          <w:lang w:val="en-GB"/>
        </w:rPr>
        <w:t xml:space="preserve"> owed in</w:t>
      </w:r>
      <w:r w:rsidR="0072079F">
        <w:rPr>
          <w:rFonts w:ascii="Times New Roman" w:eastAsia="Calibri" w:hAnsi="Times New Roman" w:cs="Times New Roman"/>
          <w:bCs/>
          <w:sz w:val="24"/>
          <w:szCs w:val="24"/>
          <w:lang w:val="en-GB"/>
        </w:rPr>
        <w:t xml:space="preserve"> Zimbabwean</w:t>
      </w:r>
      <w:r w:rsidR="0072079F" w:rsidRPr="00F126C0">
        <w:rPr>
          <w:rFonts w:ascii="Times New Roman" w:eastAsia="Calibri" w:hAnsi="Times New Roman" w:cs="Times New Roman"/>
          <w:bCs/>
          <w:sz w:val="24"/>
          <w:szCs w:val="24"/>
          <w:lang w:val="en-GB"/>
        </w:rPr>
        <w:t xml:space="preserve"> </w:t>
      </w:r>
      <w:r w:rsidR="0072079F">
        <w:rPr>
          <w:rFonts w:ascii="Times New Roman" w:eastAsia="Calibri" w:hAnsi="Times New Roman" w:cs="Times New Roman"/>
          <w:bCs/>
          <w:sz w:val="24"/>
          <w:szCs w:val="24"/>
          <w:lang w:val="en-GB"/>
        </w:rPr>
        <w:t xml:space="preserve">dollars </w:t>
      </w:r>
      <w:r w:rsidR="0072079F" w:rsidRPr="00F126C0">
        <w:rPr>
          <w:rFonts w:ascii="Times New Roman" w:eastAsia="Calibri" w:hAnsi="Times New Roman" w:cs="Times New Roman"/>
          <w:bCs/>
          <w:sz w:val="24"/>
          <w:szCs w:val="24"/>
          <w:lang w:val="en-GB"/>
        </w:rPr>
        <w:t xml:space="preserve">at the </w:t>
      </w:r>
      <w:r w:rsidR="0072079F">
        <w:rPr>
          <w:rFonts w:ascii="Times New Roman" w:eastAsia="Calibri" w:hAnsi="Times New Roman" w:cs="Times New Roman"/>
          <w:bCs/>
          <w:sz w:val="24"/>
          <w:szCs w:val="24"/>
          <w:lang w:val="en-GB"/>
        </w:rPr>
        <w:t xml:space="preserve">parity </w:t>
      </w:r>
      <w:r w:rsidR="0072079F" w:rsidRPr="00F126C0">
        <w:rPr>
          <w:rFonts w:ascii="Times New Roman" w:eastAsia="Calibri" w:hAnsi="Times New Roman" w:cs="Times New Roman"/>
          <w:bCs/>
          <w:sz w:val="24"/>
          <w:szCs w:val="24"/>
          <w:lang w:val="en-GB"/>
        </w:rPr>
        <w:t>rate of one to one</w:t>
      </w:r>
      <w:r w:rsidR="0072079F">
        <w:rPr>
          <w:rFonts w:ascii="Times New Roman" w:eastAsia="Calibri" w:hAnsi="Times New Roman" w:cs="Times New Roman"/>
          <w:bCs/>
          <w:sz w:val="24"/>
          <w:szCs w:val="24"/>
          <w:lang w:val="en-GB"/>
        </w:rPr>
        <w:t xml:space="preserve"> to the United States dollar,</w:t>
      </w:r>
      <w:r w:rsidR="0072079F" w:rsidRPr="00F126C0">
        <w:rPr>
          <w:rFonts w:ascii="Times New Roman" w:eastAsia="Calibri" w:hAnsi="Times New Roman" w:cs="Times New Roman"/>
          <w:bCs/>
          <w:sz w:val="24"/>
          <w:szCs w:val="24"/>
          <w:lang w:val="en-GB"/>
        </w:rPr>
        <w:t xml:space="preserve"> where the value </w:t>
      </w:r>
      <w:r w:rsidR="0072079F">
        <w:rPr>
          <w:rFonts w:ascii="Times New Roman" w:eastAsia="Calibri" w:hAnsi="Times New Roman" w:cs="Times New Roman"/>
          <w:bCs/>
          <w:sz w:val="24"/>
          <w:szCs w:val="24"/>
          <w:lang w:val="en-GB"/>
        </w:rPr>
        <w:t xml:space="preserve">of the debt or liability in question </w:t>
      </w:r>
      <w:r w:rsidR="0072079F" w:rsidRPr="00F126C0">
        <w:rPr>
          <w:rFonts w:ascii="Times New Roman" w:eastAsia="Calibri" w:hAnsi="Times New Roman" w:cs="Times New Roman"/>
          <w:bCs/>
          <w:sz w:val="24"/>
          <w:szCs w:val="24"/>
          <w:lang w:val="en-GB"/>
        </w:rPr>
        <w:t>was</w:t>
      </w:r>
      <w:r w:rsidR="0072079F">
        <w:rPr>
          <w:rFonts w:ascii="Times New Roman" w:eastAsia="Calibri" w:hAnsi="Times New Roman" w:cs="Times New Roman"/>
          <w:bCs/>
          <w:sz w:val="24"/>
          <w:szCs w:val="24"/>
          <w:lang w:val="en-GB"/>
        </w:rPr>
        <w:t xml:space="preserve"> quantified and</w:t>
      </w:r>
      <w:r w:rsidR="0072079F" w:rsidRPr="00F126C0">
        <w:rPr>
          <w:rFonts w:ascii="Times New Roman" w:eastAsia="Calibri" w:hAnsi="Times New Roman" w:cs="Times New Roman"/>
          <w:bCs/>
          <w:sz w:val="24"/>
          <w:szCs w:val="24"/>
          <w:lang w:val="en-GB"/>
        </w:rPr>
        <w:t xml:space="preserve"> expressed after the effective date. There is no evidence to establish that a person other than the applicant has been </w:t>
      </w:r>
      <w:r w:rsidR="0072079F">
        <w:rPr>
          <w:rFonts w:ascii="Times New Roman" w:eastAsia="Calibri" w:hAnsi="Times New Roman" w:cs="Times New Roman"/>
          <w:bCs/>
          <w:sz w:val="24"/>
          <w:szCs w:val="24"/>
          <w:lang w:val="en-GB"/>
        </w:rPr>
        <w:t>accorded</w:t>
      </w:r>
      <w:r w:rsidR="0072079F" w:rsidRPr="00F126C0">
        <w:rPr>
          <w:rFonts w:ascii="Times New Roman" w:eastAsia="Calibri" w:hAnsi="Times New Roman" w:cs="Times New Roman"/>
          <w:bCs/>
          <w:sz w:val="24"/>
          <w:szCs w:val="24"/>
          <w:lang w:val="en-GB"/>
        </w:rPr>
        <w:t xml:space="preserve"> </w:t>
      </w:r>
      <w:r w:rsidR="0072079F">
        <w:rPr>
          <w:rFonts w:ascii="Times New Roman" w:eastAsia="Calibri" w:hAnsi="Times New Roman" w:cs="Times New Roman"/>
          <w:bCs/>
          <w:sz w:val="24"/>
          <w:szCs w:val="24"/>
          <w:lang w:val="en-GB"/>
        </w:rPr>
        <w:t xml:space="preserve">any </w:t>
      </w:r>
      <w:r w:rsidR="0072079F" w:rsidRPr="00F126C0">
        <w:rPr>
          <w:rFonts w:ascii="Times New Roman" w:eastAsia="Calibri" w:hAnsi="Times New Roman" w:cs="Times New Roman"/>
          <w:bCs/>
          <w:sz w:val="24"/>
          <w:szCs w:val="24"/>
          <w:lang w:val="en-GB"/>
        </w:rPr>
        <w:t xml:space="preserve">protection </w:t>
      </w:r>
      <w:r w:rsidR="0072079F">
        <w:rPr>
          <w:rFonts w:ascii="Times New Roman" w:eastAsia="Calibri" w:hAnsi="Times New Roman" w:cs="Times New Roman"/>
          <w:bCs/>
          <w:sz w:val="24"/>
          <w:szCs w:val="24"/>
          <w:lang w:val="en-GB"/>
        </w:rPr>
        <w:t>or benefit of</w:t>
      </w:r>
      <w:r w:rsidR="0072079F" w:rsidRPr="00F126C0">
        <w:rPr>
          <w:rFonts w:ascii="Times New Roman" w:eastAsia="Calibri" w:hAnsi="Times New Roman" w:cs="Times New Roman"/>
          <w:bCs/>
          <w:sz w:val="24"/>
          <w:szCs w:val="24"/>
          <w:lang w:val="en-GB"/>
        </w:rPr>
        <w:t xml:space="preserve"> the law, which was not the same </w:t>
      </w:r>
      <w:r w:rsidR="0072079F">
        <w:rPr>
          <w:rFonts w:ascii="Times New Roman" w:eastAsia="Calibri" w:hAnsi="Times New Roman" w:cs="Times New Roman"/>
          <w:bCs/>
          <w:sz w:val="24"/>
          <w:szCs w:val="24"/>
          <w:lang w:val="en-GB"/>
        </w:rPr>
        <w:t>as or different from that which</w:t>
      </w:r>
      <w:r w:rsidR="0072079F" w:rsidRPr="00F126C0">
        <w:rPr>
          <w:rFonts w:ascii="Times New Roman" w:eastAsia="Calibri" w:hAnsi="Times New Roman" w:cs="Times New Roman"/>
          <w:bCs/>
          <w:sz w:val="24"/>
          <w:szCs w:val="24"/>
          <w:lang w:val="en-GB"/>
        </w:rPr>
        <w:t xml:space="preserve"> was afforded to </w:t>
      </w:r>
      <w:r w:rsidR="0072079F">
        <w:rPr>
          <w:rFonts w:ascii="Times New Roman" w:eastAsia="Calibri" w:hAnsi="Times New Roman" w:cs="Times New Roman"/>
          <w:bCs/>
          <w:sz w:val="24"/>
          <w:szCs w:val="24"/>
          <w:lang w:val="en-GB"/>
        </w:rPr>
        <w:t>the applicant.</w:t>
      </w:r>
    </w:p>
    <w:p w14:paraId="3C4A0A65" w14:textId="77777777" w:rsidR="0072079F" w:rsidRDefault="0072079F" w:rsidP="0072079F">
      <w:pPr>
        <w:spacing w:after="0" w:line="480" w:lineRule="auto"/>
        <w:ind w:firstLine="720"/>
        <w:jc w:val="both"/>
        <w:rPr>
          <w:rFonts w:ascii="Times New Roman" w:eastAsia="Calibri" w:hAnsi="Times New Roman" w:cs="Times New Roman"/>
          <w:bCs/>
          <w:sz w:val="24"/>
          <w:szCs w:val="24"/>
        </w:rPr>
      </w:pPr>
    </w:p>
    <w:p w14:paraId="1299701B" w14:textId="01F824C5" w:rsidR="00116BFA" w:rsidRDefault="004D2AE5" w:rsidP="0072079F">
      <w:pPr>
        <w:spacing w:after="0" w:line="480" w:lineRule="auto"/>
        <w:ind w:firstLine="720"/>
        <w:jc w:val="both"/>
        <w:rPr>
          <w:rFonts w:ascii="Times New Roman" w:eastAsia="Calibri" w:hAnsi="Times New Roman" w:cs="Times New Roman"/>
          <w:bCs/>
          <w:sz w:val="24"/>
          <w:szCs w:val="24"/>
        </w:rPr>
      </w:pPr>
      <w:r>
        <w:rPr>
          <w:rFonts w:ascii="Times New Roman" w:eastAsia="Calibri" w:hAnsi="Times New Roman" w:cs="Times New Roman"/>
          <w:bCs/>
          <w:sz w:val="24"/>
          <w:szCs w:val="24"/>
        </w:rPr>
        <w:t>Lastly, it must be re-emphasised that the decision of the Supreme Court in a</w:t>
      </w:r>
      <w:r w:rsidR="00D1435C">
        <w:rPr>
          <w:rFonts w:ascii="Times New Roman" w:eastAsia="Calibri" w:hAnsi="Times New Roman" w:cs="Times New Roman"/>
          <w:bCs/>
          <w:sz w:val="24"/>
          <w:szCs w:val="24"/>
        </w:rPr>
        <w:t xml:space="preserve"> non-constitutional matter is final</w:t>
      </w:r>
      <w:r>
        <w:rPr>
          <w:rFonts w:ascii="Times New Roman" w:eastAsia="Calibri" w:hAnsi="Times New Roman" w:cs="Times New Roman"/>
          <w:bCs/>
          <w:sz w:val="24"/>
          <w:szCs w:val="24"/>
        </w:rPr>
        <w:t xml:space="preserve"> and binding in the absence of any fundamental substantive incorrectness or procedural irregularity. In short, the applicant’s prospects of success in its intended application before the full bench of this Court are </w:t>
      </w:r>
      <w:r w:rsidR="00A2619B">
        <w:rPr>
          <w:rFonts w:ascii="Times New Roman" w:eastAsia="Calibri" w:hAnsi="Times New Roman" w:cs="Times New Roman"/>
          <w:bCs/>
          <w:sz w:val="24"/>
          <w:szCs w:val="24"/>
        </w:rPr>
        <w:t xml:space="preserve">eminently </w:t>
      </w:r>
      <w:r>
        <w:rPr>
          <w:rFonts w:ascii="Times New Roman" w:eastAsia="Calibri" w:hAnsi="Times New Roman" w:cs="Times New Roman"/>
          <w:bCs/>
          <w:sz w:val="24"/>
          <w:szCs w:val="24"/>
        </w:rPr>
        <w:t xml:space="preserve">non-existent </w:t>
      </w:r>
      <w:r w:rsidR="00A2619B">
        <w:rPr>
          <w:rFonts w:ascii="Times New Roman" w:eastAsia="Calibri" w:hAnsi="Times New Roman" w:cs="Times New Roman"/>
          <w:bCs/>
          <w:sz w:val="24"/>
          <w:szCs w:val="24"/>
        </w:rPr>
        <w:t xml:space="preserve">and do not </w:t>
      </w:r>
      <w:r w:rsidR="00516058">
        <w:rPr>
          <w:rFonts w:ascii="Times New Roman" w:eastAsia="Calibri" w:hAnsi="Times New Roman" w:cs="Times New Roman"/>
          <w:bCs/>
          <w:sz w:val="24"/>
          <w:szCs w:val="24"/>
        </w:rPr>
        <w:t>justify</w:t>
      </w:r>
      <w:r w:rsidR="00A2619B">
        <w:rPr>
          <w:rFonts w:ascii="Times New Roman" w:eastAsia="Calibri" w:hAnsi="Times New Roman" w:cs="Times New Roman"/>
          <w:bCs/>
          <w:sz w:val="24"/>
          <w:szCs w:val="24"/>
        </w:rPr>
        <w:t xml:space="preserve"> the grant of direct access that is sought in the </w:t>
      </w:r>
      <w:r w:rsidR="00516058">
        <w:rPr>
          <w:rFonts w:ascii="Times New Roman" w:eastAsia="Calibri" w:hAnsi="Times New Roman" w:cs="Times New Roman"/>
          <w:bCs/>
          <w:sz w:val="24"/>
          <w:szCs w:val="24"/>
        </w:rPr>
        <w:t>present</w:t>
      </w:r>
      <w:r w:rsidR="00A2619B">
        <w:rPr>
          <w:rFonts w:ascii="Times New Roman" w:eastAsia="Calibri" w:hAnsi="Times New Roman" w:cs="Times New Roman"/>
          <w:bCs/>
          <w:sz w:val="24"/>
          <w:szCs w:val="24"/>
        </w:rPr>
        <w:t xml:space="preserve"> application.</w:t>
      </w:r>
    </w:p>
    <w:p w14:paraId="0EEC5733" w14:textId="77777777" w:rsidR="00116BFA" w:rsidRPr="00116BFA" w:rsidRDefault="00116BFA" w:rsidP="00116BFA">
      <w:pPr>
        <w:spacing w:after="0" w:line="480" w:lineRule="auto"/>
        <w:jc w:val="both"/>
        <w:rPr>
          <w:rFonts w:ascii="Times New Roman" w:eastAsia="Calibri" w:hAnsi="Times New Roman" w:cs="Times New Roman"/>
          <w:bCs/>
          <w:sz w:val="24"/>
          <w:szCs w:val="24"/>
        </w:rPr>
      </w:pPr>
    </w:p>
    <w:p w14:paraId="77C71D3A" w14:textId="16F01A1C" w:rsidR="00613DDD" w:rsidRPr="00C76672" w:rsidRDefault="00C76672" w:rsidP="00116BFA">
      <w:pPr>
        <w:spacing w:after="0" w:line="480" w:lineRule="auto"/>
        <w:jc w:val="both"/>
        <w:rPr>
          <w:rFonts w:ascii="Times New Roman" w:eastAsia="Century Gothic" w:hAnsi="Times New Roman" w:cs="Times New Roman"/>
          <w:color w:val="212529"/>
          <w:sz w:val="24"/>
          <w:szCs w:val="24"/>
          <w:lang w:val="en-US"/>
        </w:rPr>
      </w:pPr>
      <w:r>
        <w:rPr>
          <w:rFonts w:ascii="Times New Roman" w:eastAsia="Century Gothic" w:hAnsi="Times New Roman" w:cs="Times New Roman"/>
          <w:b/>
          <w:bCs/>
          <w:color w:val="212529"/>
          <w:sz w:val="24"/>
          <w:szCs w:val="24"/>
          <w:lang w:val="en-US"/>
        </w:rPr>
        <w:t>Disposition</w:t>
      </w:r>
    </w:p>
    <w:p w14:paraId="6030A3EA" w14:textId="5C867132" w:rsidR="00367CF6" w:rsidRDefault="008F63C2" w:rsidP="00F03483">
      <w:pPr>
        <w:spacing w:after="0" w:line="480" w:lineRule="auto"/>
        <w:ind w:firstLine="720"/>
        <w:jc w:val="both"/>
        <w:rPr>
          <w:rFonts w:ascii="Times New Roman" w:eastAsia="Calibri" w:hAnsi="Times New Roman" w:cs="Times New Roman"/>
          <w:bCs/>
          <w:sz w:val="24"/>
          <w:szCs w:val="24"/>
          <w:lang w:val="en-GB"/>
        </w:rPr>
      </w:pPr>
      <w:r>
        <w:rPr>
          <w:rFonts w:ascii="Times New Roman" w:eastAsia="Calibri" w:hAnsi="Times New Roman" w:cs="Times New Roman"/>
          <w:bCs/>
          <w:sz w:val="24"/>
          <w:szCs w:val="24"/>
          <w:lang w:val="en-GB"/>
        </w:rPr>
        <w:t>Having failed to demonstrate any prospects of success in the intended substantive application, it is not in the interests of justice that the applicant be granted leave for direct access to this Court.</w:t>
      </w:r>
    </w:p>
    <w:p w14:paraId="7933FF25" w14:textId="77777777" w:rsidR="00116BFA" w:rsidRDefault="00116BFA" w:rsidP="00E77EDE">
      <w:pPr>
        <w:spacing w:after="0" w:line="480" w:lineRule="auto"/>
        <w:jc w:val="both"/>
        <w:rPr>
          <w:rFonts w:ascii="Times New Roman" w:eastAsia="Century Gothic" w:hAnsi="Times New Roman" w:cs="Times New Roman"/>
          <w:color w:val="212529"/>
          <w:sz w:val="24"/>
          <w:szCs w:val="24"/>
          <w:lang w:val="en-US"/>
        </w:rPr>
      </w:pPr>
    </w:p>
    <w:p w14:paraId="7BD74CEF" w14:textId="5C0269CA" w:rsidR="00116BFA" w:rsidRDefault="00116BFA" w:rsidP="00F03483">
      <w:pPr>
        <w:spacing w:after="0" w:line="480" w:lineRule="auto"/>
        <w:ind w:firstLine="720"/>
        <w:jc w:val="both"/>
        <w:rPr>
          <w:rFonts w:ascii="Times New Roman" w:eastAsia="Century Gothic" w:hAnsi="Times New Roman" w:cs="Times New Roman"/>
          <w:color w:val="212529"/>
          <w:sz w:val="24"/>
          <w:szCs w:val="24"/>
          <w:lang w:val="en-US"/>
        </w:rPr>
      </w:pPr>
      <w:r>
        <w:rPr>
          <w:rFonts w:ascii="Times New Roman" w:eastAsia="Century Gothic" w:hAnsi="Times New Roman" w:cs="Times New Roman"/>
          <w:color w:val="212529"/>
          <w:sz w:val="24"/>
          <w:szCs w:val="24"/>
          <w:lang w:val="en-US"/>
        </w:rPr>
        <w:t xml:space="preserve">As regards costs, nothing has been </w:t>
      </w:r>
      <w:r w:rsidR="0072079F">
        <w:rPr>
          <w:rFonts w:ascii="Times New Roman" w:eastAsia="Century Gothic" w:hAnsi="Times New Roman" w:cs="Times New Roman"/>
          <w:color w:val="212529"/>
          <w:sz w:val="24"/>
          <w:szCs w:val="24"/>
          <w:lang w:val="en-US"/>
        </w:rPr>
        <w:t>put forward</w:t>
      </w:r>
      <w:r>
        <w:rPr>
          <w:rFonts w:ascii="Times New Roman" w:eastAsia="Century Gothic" w:hAnsi="Times New Roman" w:cs="Times New Roman"/>
          <w:color w:val="212529"/>
          <w:sz w:val="24"/>
          <w:szCs w:val="24"/>
          <w:lang w:val="en-US"/>
        </w:rPr>
        <w:t xml:space="preserve"> by either party to warrant the imposition of costs on the other party. </w:t>
      </w:r>
      <w:r w:rsidR="00E77EDE">
        <w:rPr>
          <w:rFonts w:ascii="Times New Roman" w:eastAsia="Century Gothic" w:hAnsi="Times New Roman" w:cs="Times New Roman"/>
          <w:color w:val="212529"/>
          <w:sz w:val="24"/>
          <w:szCs w:val="24"/>
          <w:lang w:val="en-US"/>
        </w:rPr>
        <w:t>Accordingly, I see no reason to depart from the established practice of not awarding costs in constitutional matters.</w:t>
      </w:r>
    </w:p>
    <w:p w14:paraId="5C03474C" w14:textId="77777777" w:rsidR="00E77EDE" w:rsidRPr="00F126C0" w:rsidRDefault="00E77EDE" w:rsidP="00E77EDE">
      <w:pPr>
        <w:spacing w:after="0" w:line="480" w:lineRule="auto"/>
        <w:jc w:val="both"/>
        <w:rPr>
          <w:rFonts w:ascii="Times New Roman" w:eastAsia="Century Gothic" w:hAnsi="Times New Roman" w:cs="Times New Roman"/>
          <w:color w:val="212529"/>
          <w:sz w:val="24"/>
          <w:szCs w:val="24"/>
          <w:lang w:val="en-US"/>
        </w:rPr>
      </w:pPr>
    </w:p>
    <w:p w14:paraId="2C549BCB" w14:textId="68F6BB87" w:rsidR="00E00520" w:rsidRPr="008C590E" w:rsidRDefault="00E00520" w:rsidP="00F03483">
      <w:pPr>
        <w:spacing w:after="0" w:line="480" w:lineRule="auto"/>
        <w:ind w:firstLine="720"/>
        <w:jc w:val="both"/>
        <w:rPr>
          <w:rFonts w:ascii="Times New Roman" w:hAnsi="Times New Roman" w:cs="Times New Roman"/>
          <w:iCs/>
          <w:sz w:val="24"/>
          <w:szCs w:val="24"/>
        </w:rPr>
      </w:pPr>
      <w:r w:rsidRPr="00F126C0">
        <w:rPr>
          <w:rFonts w:ascii="Times New Roman" w:hAnsi="Times New Roman" w:cs="Times New Roman"/>
          <w:sz w:val="24"/>
          <w:szCs w:val="24"/>
        </w:rPr>
        <w:t xml:space="preserve">In the result, </w:t>
      </w:r>
      <w:r w:rsidR="008C590E">
        <w:rPr>
          <w:rFonts w:ascii="Times New Roman" w:hAnsi="Times New Roman" w:cs="Times New Roman"/>
          <w:sz w:val="24"/>
          <w:szCs w:val="24"/>
        </w:rPr>
        <w:t xml:space="preserve">it is ordered that </w:t>
      </w:r>
      <w:r w:rsidR="008C590E">
        <w:rPr>
          <w:rFonts w:ascii="Times New Roman" w:hAnsi="Times New Roman" w:cs="Times New Roman"/>
          <w:iCs/>
          <w:sz w:val="24"/>
          <w:szCs w:val="24"/>
        </w:rPr>
        <w:t>the</w:t>
      </w:r>
      <w:r w:rsidRPr="008C590E">
        <w:rPr>
          <w:rFonts w:ascii="Times New Roman" w:hAnsi="Times New Roman" w:cs="Times New Roman"/>
          <w:iCs/>
          <w:sz w:val="24"/>
          <w:szCs w:val="24"/>
        </w:rPr>
        <w:t xml:space="preserve"> </w:t>
      </w:r>
      <w:r w:rsidR="00516058">
        <w:rPr>
          <w:rFonts w:ascii="Times New Roman" w:hAnsi="Times New Roman" w:cs="Times New Roman"/>
          <w:iCs/>
          <w:sz w:val="24"/>
          <w:szCs w:val="24"/>
        </w:rPr>
        <w:t xml:space="preserve">instant </w:t>
      </w:r>
      <w:r w:rsidR="00367CF6" w:rsidRPr="008C590E">
        <w:rPr>
          <w:rFonts w:ascii="Times New Roman" w:hAnsi="Times New Roman" w:cs="Times New Roman"/>
          <w:iCs/>
          <w:sz w:val="24"/>
          <w:szCs w:val="24"/>
        </w:rPr>
        <w:t>application be and is hereby dismissed</w:t>
      </w:r>
      <w:r w:rsidR="0091198B" w:rsidRPr="008C590E">
        <w:rPr>
          <w:rFonts w:ascii="Times New Roman" w:hAnsi="Times New Roman" w:cs="Times New Roman"/>
          <w:iCs/>
          <w:sz w:val="24"/>
          <w:szCs w:val="24"/>
        </w:rPr>
        <w:t xml:space="preserve"> </w:t>
      </w:r>
      <w:r w:rsidR="00D67BCA" w:rsidRPr="008C590E">
        <w:rPr>
          <w:rFonts w:ascii="Times New Roman" w:hAnsi="Times New Roman" w:cs="Times New Roman"/>
          <w:iCs/>
          <w:sz w:val="24"/>
          <w:szCs w:val="24"/>
        </w:rPr>
        <w:t>with no order as to costs</w:t>
      </w:r>
      <w:r w:rsidRPr="008C590E">
        <w:rPr>
          <w:rFonts w:ascii="Times New Roman" w:hAnsi="Times New Roman" w:cs="Times New Roman"/>
          <w:iCs/>
          <w:sz w:val="24"/>
          <w:szCs w:val="24"/>
        </w:rPr>
        <w:t>.</w:t>
      </w:r>
    </w:p>
    <w:p w14:paraId="7CDE73D8" w14:textId="77777777" w:rsidR="00C76672" w:rsidRDefault="00C76672" w:rsidP="0072079F">
      <w:pPr>
        <w:spacing w:line="480" w:lineRule="auto"/>
        <w:jc w:val="both"/>
        <w:rPr>
          <w:rFonts w:ascii="Times New Roman" w:hAnsi="Times New Roman" w:cs="Times New Roman"/>
          <w:b/>
          <w:sz w:val="24"/>
          <w:szCs w:val="24"/>
        </w:rPr>
      </w:pPr>
    </w:p>
    <w:p w14:paraId="138F6E11" w14:textId="77777777" w:rsidR="0072079F" w:rsidRDefault="0072079F" w:rsidP="0072079F">
      <w:pPr>
        <w:spacing w:line="480" w:lineRule="auto"/>
        <w:jc w:val="both"/>
        <w:rPr>
          <w:rFonts w:ascii="Times New Roman" w:hAnsi="Times New Roman" w:cs="Times New Roman"/>
          <w:b/>
          <w:sz w:val="24"/>
          <w:szCs w:val="24"/>
        </w:rPr>
      </w:pPr>
    </w:p>
    <w:p w14:paraId="006CFEB2" w14:textId="7CCB115F" w:rsidR="007145E6" w:rsidRPr="00F126C0" w:rsidRDefault="007145E6" w:rsidP="00397CD4">
      <w:pPr>
        <w:spacing w:line="480" w:lineRule="auto"/>
        <w:ind w:firstLine="1134"/>
        <w:jc w:val="both"/>
        <w:rPr>
          <w:rFonts w:ascii="Times New Roman" w:hAnsi="Times New Roman" w:cs="Times New Roman"/>
          <w:b/>
          <w:sz w:val="24"/>
          <w:szCs w:val="24"/>
        </w:rPr>
      </w:pPr>
      <w:r w:rsidRPr="00F126C0">
        <w:rPr>
          <w:rFonts w:ascii="Times New Roman" w:hAnsi="Times New Roman" w:cs="Times New Roman"/>
          <w:b/>
          <w:sz w:val="24"/>
          <w:szCs w:val="24"/>
        </w:rPr>
        <w:t>MAKARAU JCC</w:t>
      </w:r>
      <w:r w:rsidRPr="00F126C0">
        <w:rPr>
          <w:rFonts w:ascii="Times New Roman" w:hAnsi="Times New Roman" w:cs="Times New Roman"/>
          <w:b/>
          <w:sz w:val="24"/>
          <w:szCs w:val="24"/>
        </w:rPr>
        <w:tab/>
        <w:t>:</w:t>
      </w:r>
      <w:r w:rsidR="00B042F2">
        <w:rPr>
          <w:rFonts w:ascii="Times New Roman" w:hAnsi="Times New Roman" w:cs="Times New Roman"/>
          <w:b/>
          <w:sz w:val="24"/>
          <w:szCs w:val="24"/>
        </w:rPr>
        <w:tab/>
      </w:r>
      <w:r w:rsidR="00B042F2">
        <w:rPr>
          <w:rFonts w:ascii="Times New Roman" w:hAnsi="Times New Roman" w:cs="Times New Roman"/>
          <w:b/>
          <w:sz w:val="24"/>
          <w:szCs w:val="24"/>
        </w:rPr>
        <w:tab/>
        <w:t>I Agree</w:t>
      </w:r>
    </w:p>
    <w:p w14:paraId="669CD971" w14:textId="77777777" w:rsidR="00531D5C" w:rsidRDefault="00531D5C" w:rsidP="00397CD4">
      <w:pPr>
        <w:spacing w:line="480" w:lineRule="auto"/>
        <w:ind w:firstLine="1134"/>
        <w:jc w:val="both"/>
        <w:rPr>
          <w:rFonts w:ascii="Times New Roman" w:hAnsi="Times New Roman" w:cs="Times New Roman"/>
          <w:b/>
          <w:sz w:val="24"/>
          <w:szCs w:val="24"/>
        </w:rPr>
      </w:pPr>
    </w:p>
    <w:p w14:paraId="2750DC17" w14:textId="14ECA37D" w:rsidR="00D67BCA" w:rsidRPr="00F126C0" w:rsidRDefault="00D67BCA" w:rsidP="00397CD4">
      <w:pPr>
        <w:spacing w:line="480" w:lineRule="auto"/>
        <w:ind w:firstLine="1134"/>
        <w:jc w:val="both"/>
        <w:rPr>
          <w:rFonts w:ascii="Times New Roman" w:hAnsi="Times New Roman" w:cs="Times New Roman"/>
          <w:b/>
          <w:sz w:val="24"/>
          <w:szCs w:val="24"/>
        </w:rPr>
      </w:pPr>
      <w:r w:rsidRPr="00F126C0">
        <w:rPr>
          <w:rFonts w:ascii="Times New Roman" w:hAnsi="Times New Roman" w:cs="Times New Roman"/>
          <w:b/>
          <w:sz w:val="24"/>
          <w:szCs w:val="24"/>
        </w:rPr>
        <w:t>HLATSHWAYO JCC</w:t>
      </w:r>
      <w:r w:rsidRPr="00F126C0">
        <w:rPr>
          <w:rFonts w:ascii="Times New Roman" w:hAnsi="Times New Roman" w:cs="Times New Roman"/>
          <w:b/>
          <w:sz w:val="24"/>
          <w:szCs w:val="24"/>
        </w:rPr>
        <w:tab/>
        <w:t>:</w:t>
      </w:r>
      <w:r w:rsidR="00B042F2">
        <w:rPr>
          <w:rFonts w:ascii="Times New Roman" w:hAnsi="Times New Roman" w:cs="Times New Roman"/>
          <w:b/>
          <w:sz w:val="24"/>
          <w:szCs w:val="24"/>
        </w:rPr>
        <w:tab/>
      </w:r>
      <w:r w:rsidR="00B042F2">
        <w:rPr>
          <w:rFonts w:ascii="Times New Roman" w:hAnsi="Times New Roman" w:cs="Times New Roman"/>
          <w:b/>
          <w:sz w:val="24"/>
          <w:szCs w:val="24"/>
        </w:rPr>
        <w:tab/>
        <w:t>I Agree</w:t>
      </w:r>
    </w:p>
    <w:p w14:paraId="0C75B6B5" w14:textId="7E601CE7" w:rsidR="00C828AC" w:rsidRDefault="00C828AC" w:rsidP="0099543F">
      <w:pPr>
        <w:spacing w:line="480" w:lineRule="auto"/>
        <w:jc w:val="both"/>
        <w:rPr>
          <w:rFonts w:ascii="Times New Roman" w:hAnsi="Times New Roman" w:cs="Times New Roman"/>
          <w:sz w:val="24"/>
          <w:szCs w:val="24"/>
        </w:rPr>
      </w:pPr>
    </w:p>
    <w:p w14:paraId="1437B239" w14:textId="77777777" w:rsidR="00531D5C" w:rsidRDefault="00531D5C" w:rsidP="0099543F">
      <w:pPr>
        <w:spacing w:line="480" w:lineRule="auto"/>
        <w:jc w:val="both"/>
        <w:rPr>
          <w:rFonts w:ascii="Times New Roman" w:hAnsi="Times New Roman" w:cs="Times New Roman"/>
          <w:sz w:val="24"/>
          <w:szCs w:val="24"/>
        </w:rPr>
      </w:pPr>
    </w:p>
    <w:p w14:paraId="7D757E83" w14:textId="42B49446" w:rsidR="00C828AC" w:rsidRPr="00F126C0" w:rsidRDefault="0025765C" w:rsidP="00397CD4">
      <w:pPr>
        <w:spacing w:after="0" w:line="480" w:lineRule="auto"/>
        <w:jc w:val="both"/>
        <w:rPr>
          <w:rFonts w:ascii="Times New Roman" w:hAnsi="Times New Roman" w:cs="Times New Roman"/>
          <w:sz w:val="24"/>
          <w:szCs w:val="24"/>
        </w:rPr>
      </w:pPr>
      <w:r w:rsidRPr="00F126C0">
        <w:rPr>
          <w:rFonts w:ascii="Times New Roman" w:hAnsi="Times New Roman" w:cs="Times New Roman"/>
          <w:i/>
          <w:iCs/>
          <w:sz w:val="24"/>
          <w:szCs w:val="24"/>
        </w:rPr>
        <w:t>Matsikidze Attorneys at Law</w:t>
      </w:r>
      <w:r w:rsidR="00E06EB1" w:rsidRPr="00F126C0">
        <w:rPr>
          <w:rFonts w:ascii="Times New Roman" w:hAnsi="Times New Roman" w:cs="Times New Roman"/>
          <w:sz w:val="24"/>
          <w:szCs w:val="24"/>
        </w:rPr>
        <w:t>, app</w:t>
      </w:r>
      <w:r w:rsidRPr="00F126C0">
        <w:rPr>
          <w:rFonts w:ascii="Times New Roman" w:hAnsi="Times New Roman" w:cs="Times New Roman"/>
          <w:sz w:val="24"/>
          <w:szCs w:val="24"/>
        </w:rPr>
        <w:t>licant</w:t>
      </w:r>
      <w:r w:rsidR="00E06EB1" w:rsidRPr="00F126C0">
        <w:rPr>
          <w:rFonts w:ascii="Times New Roman" w:hAnsi="Times New Roman" w:cs="Times New Roman"/>
          <w:sz w:val="24"/>
          <w:szCs w:val="24"/>
        </w:rPr>
        <w:t>’s legal practitioners</w:t>
      </w:r>
    </w:p>
    <w:p w14:paraId="1C77E3A6" w14:textId="58351593" w:rsidR="00DC713E" w:rsidRDefault="004748CC" w:rsidP="00397CD4">
      <w:pPr>
        <w:spacing w:after="0" w:line="480" w:lineRule="auto"/>
        <w:jc w:val="both"/>
        <w:rPr>
          <w:rFonts w:ascii="Times New Roman" w:hAnsi="Times New Roman" w:cs="Times New Roman"/>
          <w:sz w:val="24"/>
          <w:szCs w:val="24"/>
        </w:rPr>
      </w:pPr>
      <w:r w:rsidRPr="00F126C0">
        <w:rPr>
          <w:rFonts w:ascii="Times New Roman" w:hAnsi="Times New Roman" w:cs="Times New Roman"/>
          <w:i/>
          <w:iCs/>
          <w:sz w:val="24"/>
          <w:szCs w:val="24"/>
        </w:rPr>
        <w:t xml:space="preserve">Makuwaza &amp; </w:t>
      </w:r>
      <w:r w:rsidR="00014D17" w:rsidRPr="00F126C0">
        <w:rPr>
          <w:rFonts w:ascii="Times New Roman" w:hAnsi="Times New Roman" w:cs="Times New Roman"/>
          <w:i/>
          <w:iCs/>
          <w:sz w:val="24"/>
          <w:szCs w:val="24"/>
        </w:rPr>
        <w:t>Gwamanda</w:t>
      </w:r>
      <w:r w:rsidRPr="00F126C0">
        <w:rPr>
          <w:rFonts w:ascii="Times New Roman" w:hAnsi="Times New Roman" w:cs="Times New Roman"/>
          <w:i/>
          <w:iCs/>
          <w:sz w:val="24"/>
          <w:szCs w:val="24"/>
        </w:rPr>
        <w:t xml:space="preserve"> Attorneys</w:t>
      </w:r>
      <w:r w:rsidR="00014D17" w:rsidRPr="00F126C0">
        <w:rPr>
          <w:rFonts w:ascii="Times New Roman" w:hAnsi="Times New Roman" w:cs="Times New Roman"/>
          <w:sz w:val="24"/>
          <w:szCs w:val="24"/>
        </w:rPr>
        <w:t>,</w:t>
      </w:r>
      <w:r w:rsidR="00AB141C" w:rsidRPr="00F126C0">
        <w:rPr>
          <w:rFonts w:ascii="Times New Roman" w:hAnsi="Times New Roman" w:cs="Times New Roman"/>
          <w:sz w:val="24"/>
          <w:szCs w:val="24"/>
        </w:rPr>
        <w:t xml:space="preserve"> respo</w:t>
      </w:r>
      <w:r w:rsidR="007145E6" w:rsidRPr="00F126C0">
        <w:rPr>
          <w:rFonts w:ascii="Times New Roman" w:hAnsi="Times New Roman" w:cs="Times New Roman"/>
          <w:sz w:val="24"/>
          <w:szCs w:val="24"/>
        </w:rPr>
        <w:t>ndents</w:t>
      </w:r>
      <w:r w:rsidR="00B547C0" w:rsidRPr="00F126C0">
        <w:rPr>
          <w:rFonts w:ascii="Times New Roman" w:hAnsi="Times New Roman" w:cs="Times New Roman"/>
          <w:sz w:val="24"/>
          <w:szCs w:val="24"/>
        </w:rPr>
        <w:t>’</w:t>
      </w:r>
      <w:r w:rsidR="007145E6" w:rsidRPr="00F126C0">
        <w:rPr>
          <w:rFonts w:ascii="Times New Roman" w:hAnsi="Times New Roman" w:cs="Times New Roman"/>
          <w:sz w:val="24"/>
          <w:szCs w:val="24"/>
        </w:rPr>
        <w:t xml:space="preserve"> legal practitioners</w:t>
      </w:r>
    </w:p>
    <w:p w14:paraId="403CA2DF" w14:textId="77777777" w:rsidR="003B21F5" w:rsidRPr="00F126C0" w:rsidRDefault="003B21F5" w:rsidP="00397CD4">
      <w:pPr>
        <w:spacing w:after="0" w:line="480" w:lineRule="auto"/>
        <w:jc w:val="both"/>
        <w:rPr>
          <w:rFonts w:ascii="Times New Roman" w:hAnsi="Times New Roman" w:cs="Times New Roman"/>
          <w:sz w:val="24"/>
          <w:szCs w:val="24"/>
        </w:rPr>
      </w:pPr>
    </w:p>
    <w:sectPr w:rsidR="003B21F5" w:rsidRPr="00F126C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0F5AA3" w14:textId="77777777" w:rsidR="002554E2" w:rsidRDefault="002554E2">
      <w:pPr>
        <w:spacing w:after="0" w:line="240" w:lineRule="auto"/>
      </w:pPr>
      <w:r>
        <w:separator/>
      </w:r>
    </w:p>
  </w:endnote>
  <w:endnote w:type="continuationSeparator" w:id="0">
    <w:p w14:paraId="35BD3E98" w14:textId="77777777" w:rsidR="002554E2" w:rsidRDefault="00255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D859D1" w14:textId="77777777" w:rsidR="002554E2" w:rsidRDefault="002554E2">
      <w:pPr>
        <w:spacing w:after="0" w:line="240" w:lineRule="auto"/>
      </w:pPr>
      <w:r>
        <w:separator/>
      </w:r>
    </w:p>
  </w:footnote>
  <w:footnote w:type="continuationSeparator" w:id="0">
    <w:p w14:paraId="70E5B3FA" w14:textId="77777777" w:rsidR="002554E2" w:rsidRDefault="002554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B91BF" w14:textId="1E03E132" w:rsidR="00C812FB" w:rsidRPr="001B4C03" w:rsidRDefault="00C812FB">
    <w:pPr>
      <w:pStyle w:val="Header"/>
      <w:rPr>
        <w:rFonts w:ascii="Times New Roman" w:hAnsi="Times New Roman" w:cs="Times New Roman"/>
        <w:b/>
      </w:rPr>
    </w:pPr>
    <w:r w:rsidRPr="00843EF1">
      <w:rPr>
        <w:rFonts w:ascii="Times New Roman" w:hAnsi="Times New Roman" w:cs="Times New Roman"/>
        <w:b/>
        <w:noProof/>
        <w:lang w:eastAsia="en-ZW"/>
      </w:rPr>
      <mc:AlternateContent>
        <mc:Choice Requires="wps">
          <w:drawing>
            <wp:anchor distT="0" distB="0" distL="114300" distR="114300" simplePos="0" relativeHeight="251657728" behindDoc="0" locked="0" layoutInCell="0" allowOverlap="1" wp14:anchorId="682F0D6F" wp14:editId="70234E90">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28EDC7" w14:textId="6678B03F" w:rsidR="00C812FB" w:rsidRPr="0037429F" w:rsidRDefault="00C812FB">
                          <w:pPr>
                            <w:spacing w:after="0" w:line="240" w:lineRule="auto"/>
                            <w:jc w:val="right"/>
                            <w:rPr>
                              <w:rFonts w:ascii="Times New Roman" w:hAnsi="Times New Roman" w:cs="Times New Roman"/>
                              <w:b/>
                              <w:noProof/>
                              <w:sz w:val="24"/>
                              <w:szCs w:val="24"/>
                            </w:rPr>
                          </w:pPr>
                          <w:r w:rsidRPr="0037429F">
                            <w:rPr>
                              <w:rFonts w:ascii="Times New Roman" w:hAnsi="Times New Roman" w:cs="Times New Roman"/>
                              <w:b/>
                              <w:noProof/>
                              <w:sz w:val="24"/>
                              <w:szCs w:val="24"/>
                            </w:rPr>
                            <w:t xml:space="preserve">Judgment No. CCZ </w:t>
                          </w:r>
                          <w:r w:rsidR="009A3E25">
                            <w:rPr>
                              <w:rFonts w:ascii="Times New Roman" w:hAnsi="Times New Roman" w:cs="Times New Roman"/>
                              <w:b/>
                              <w:noProof/>
                              <w:sz w:val="24"/>
                              <w:szCs w:val="24"/>
                            </w:rPr>
                            <w:t>13/</w:t>
                          </w:r>
                          <w:r w:rsidRPr="0037429F">
                            <w:rPr>
                              <w:rFonts w:ascii="Times New Roman" w:hAnsi="Times New Roman" w:cs="Times New Roman"/>
                              <w:b/>
                              <w:noProof/>
                              <w:sz w:val="24"/>
                              <w:szCs w:val="24"/>
                            </w:rPr>
                            <w:t>2</w:t>
                          </w:r>
                          <w:r>
                            <w:rPr>
                              <w:rFonts w:ascii="Times New Roman" w:hAnsi="Times New Roman" w:cs="Times New Roman"/>
                              <w:b/>
                              <w:noProof/>
                              <w:sz w:val="24"/>
                              <w:szCs w:val="24"/>
                            </w:rPr>
                            <w:t>4</w:t>
                          </w:r>
                        </w:p>
                        <w:p w14:paraId="0E3698ED" w14:textId="4183F0A3" w:rsidR="00C812FB" w:rsidRPr="0037429F" w:rsidRDefault="00C812FB">
                          <w:pPr>
                            <w:spacing w:after="0" w:line="240" w:lineRule="auto"/>
                            <w:jc w:val="right"/>
                            <w:rPr>
                              <w:rFonts w:ascii="Times New Roman" w:hAnsi="Times New Roman" w:cs="Times New Roman"/>
                              <w:b/>
                              <w:noProof/>
                              <w:sz w:val="24"/>
                              <w:szCs w:val="24"/>
                            </w:rPr>
                          </w:pPr>
                          <w:r w:rsidRPr="0037429F">
                            <w:rPr>
                              <w:rFonts w:ascii="Times New Roman" w:hAnsi="Times New Roman" w:cs="Times New Roman"/>
                              <w:b/>
                              <w:noProof/>
                              <w:sz w:val="24"/>
                              <w:szCs w:val="24"/>
                            </w:rPr>
                            <w:t xml:space="preserve">Constitutional </w:t>
                          </w:r>
                          <w:r w:rsidR="000B4D4E">
                            <w:rPr>
                              <w:rFonts w:ascii="Times New Roman" w:hAnsi="Times New Roman" w:cs="Times New Roman"/>
                              <w:b/>
                              <w:noProof/>
                              <w:sz w:val="24"/>
                              <w:szCs w:val="24"/>
                            </w:rPr>
                            <w:t>Case No.</w:t>
                          </w:r>
                          <w:r w:rsidRPr="0037429F">
                            <w:rPr>
                              <w:rFonts w:ascii="Times New Roman" w:hAnsi="Times New Roman" w:cs="Times New Roman"/>
                              <w:b/>
                              <w:noProof/>
                              <w:sz w:val="24"/>
                              <w:szCs w:val="24"/>
                            </w:rPr>
                            <w:t xml:space="preserve"> CCZ </w:t>
                          </w:r>
                          <w:r>
                            <w:rPr>
                              <w:rFonts w:ascii="Times New Roman" w:hAnsi="Times New Roman" w:cs="Times New Roman"/>
                              <w:b/>
                              <w:noProof/>
                              <w:sz w:val="24"/>
                              <w:szCs w:val="24"/>
                            </w:rPr>
                            <w:t>42</w:t>
                          </w:r>
                          <w:r w:rsidRPr="0037429F">
                            <w:rPr>
                              <w:rFonts w:ascii="Times New Roman" w:hAnsi="Times New Roman" w:cs="Times New Roman"/>
                              <w:b/>
                              <w:noProof/>
                              <w:sz w:val="24"/>
                              <w:szCs w:val="24"/>
                            </w:rPr>
                            <w:t>/2</w:t>
                          </w:r>
                          <w:r>
                            <w:rPr>
                              <w:rFonts w:ascii="Times New Roman" w:hAnsi="Times New Roman" w:cs="Times New Roman"/>
                              <w:b/>
                              <w:noProof/>
                              <w:sz w:val="24"/>
                              <w:szCs w:val="24"/>
                            </w:rPr>
                            <w:t>3</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82F0D6F" id="_x0000_t202" coordsize="21600,21600" o:spt="202" path="m,l,21600r21600,l21600,xe">
              <v:stroke joinstyle="miter"/>
              <v:path gradientshapeok="t" o:connecttype="rect"/>
            </v:shapetype>
            <v:shape id="Text Box 220" o:spid="_x0000_s1026" type="#_x0000_t202" style="position:absolute;margin-left:0;margin-top:0;width:468pt;height:13.7pt;z-index:2516577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0528EDC7" w14:textId="6678B03F" w:rsidR="00C812FB" w:rsidRPr="0037429F" w:rsidRDefault="00C812FB">
                    <w:pPr>
                      <w:spacing w:after="0" w:line="240" w:lineRule="auto"/>
                      <w:jc w:val="right"/>
                      <w:rPr>
                        <w:rFonts w:ascii="Times New Roman" w:hAnsi="Times New Roman" w:cs="Times New Roman"/>
                        <w:b/>
                        <w:noProof/>
                        <w:sz w:val="24"/>
                        <w:szCs w:val="24"/>
                      </w:rPr>
                    </w:pPr>
                    <w:r w:rsidRPr="0037429F">
                      <w:rPr>
                        <w:rFonts w:ascii="Times New Roman" w:hAnsi="Times New Roman" w:cs="Times New Roman"/>
                        <w:b/>
                        <w:noProof/>
                        <w:sz w:val="24"/>
                        <w:szCs w:val="24"/>
                      </w:rPr>
                      <w:t xml:space="preserve">Judgment No. CCZ </w:t>
                    </w:r>
                    <w:r w:rsidR="009A3E25">
                      <w:rPr>
                        <w:rFonts w:ascii="Times New Roman" w:hAnsi="Times New Roman" w:cs="Times New Roman"/>
                        <w:b/>
                        <w:noProof/>
                        <w:sz w:val="24"/>
                        <w:szCs w:val="24"/>
                      </w:rPr>
                      <w:t>13/</w:t>
                    </w:r>
                    <w:r w:rsidRPr="0037429F">
                      <w:rPr>
                        <w:rFonts w:ascii="Times New Roman" w:hAnsi="Times New Roman" w:cs="Times New Roman"/>
                        <w:b/>
                        <w:noProof/>
                        <w:sz w:val="24"/>
                        <w:szCs w:val="24"/>
                      </w:rPr>
                      <w:t>2</w:t>
                    </w:r>
                    <w:r>
                      <w:rPr>
                        <w:rFonts w:ascii="Times New Roman" w:hAnsi="Times New Roman" w:cs="Times New Roman"/>
                        <w:b/>
                        <w:noProof/>
                        <w:sz w:val="24"/>
                        <w:szCs w:val="24"/>
                      </w:rPr>
                      <w:t>4</w:t>
                    </w:r>
                  </w:p>
                  <w:p w14:paraId="0E3698ED" w14:textId="4183F0A3" w:rsidR="00C812FB" w:rsidRPr="0037429F" w:rsidRDefault="00C812FB">
                    <w:pPr>
                      <w:spacing w:after="0" w:line="240" w:lineRule="auto"/>
                      <w:jc w:val="right"/>
                      <w:rPr>
                        <w:rFonts w:ascii="Times New Roman" w:hAnsi="Times New Roman" w:cs="Times New Roman"/>
                        <w:b/>
                        <w:noProof/>
                        <w:sz w:val="24"/>
                        <w:szCs w:val="24"/>
                      </w:rPr>
                    </w:pPr>
                    <w:r w:rsidRPr="0037429F">
                      <w:rPr>
                        <w:rFonts w:ascii="Times New Roman" w:hAnsi="Times New Roman" w:cs="Times New Roman"/>
                        <w:b/>
                        <w:noProof/>
                        <w:sz w:val="24"/>
                        <w:szCs w:val="24"/>
                      </w:rPr>
                      <w:t xml:space="preserve">Constitutional </w:t>
                    </w:r>
                    <w:r w:rsidR="000B4D4E">
                      <w:rPr>
                        <w:rFonts w:ascii="Times New Roman" w:hAnsi="Times New Roman" w:cs="Times New Roman"/>
                        <w:b/>
                        <w:noProof/>
                        <w:sz w:val="24"/>
                        <w:szCs w:val="24"/>
                      </w:rPr>
                      <w:t>Case No.</w:t>
                    </w:r>
                    <w:r w:rsidRPr="0037429F">
                      <w:rPr>
                        <w:rFonts w:ascii="Times New Roman" w:hAnsi="Times New Roman" w:cs="Times New Roman"/>
                        <w:b/>
                        <w:noProof/>
                        <w:sz w:val="24"/>
                        <w:szCs w:val="24"/>
                      </w:rPr>
                      <w:t xml:space="preserve"> CCZ </w:t>
                    </w:r>
                    <w:r>
                      <w:rPr>
                        <w:rFonts w:ascii="Times New Roman" w:hAnsi="Times New Roman" w:cs="Times New Roman"/>
                        <w:b/>
                        <w:noProof/>
                        <w:sz w:val="24"/>
                        <w:szCs w:val="24"/>
                      </w:rPr>
                      <w:t>42</w:t>
                    </w:r>
                    <w:r w:rsidRPr="0037429F">
                      <w:rPr>
                        <w:rFonts w:ascii="Times New Roman" w:hAnsi="Times New Roman" w:cs="Times New Roman"/>
                        <w:b/>
                        <w:noProof/>
                        <w:sz w:val="24"/>
                        <w:szCs w:val="24"/>
                      </w:rPr>
                      <w:t>/2</w:t>
                    </w:r>
                    <w:r>
                      <w:rPr>
                        <w:rFonts w:ascii="Times New Roman" w:hAnsi="Times New Roman" w:cs="Times New Roman"/>
                        <w:b/>
                        <w:noProof/>
                        <w:sz w:val="24"/>
                        <w:szCs w:val="24"/>
                      </w:rPr>
                      <w:t>3</w:t>
                    </w:r>
                  </w:p>
                </w:txbxContent>
              </v:textbox>
              <w10:wrap anchorx="margin" anchory="margin"/>
            </v:shape>
          </w:pict>
        </mc:Fallback>
      </mc:AlternateContent>
    </w:r>
    <w:r w:rsidRPr="00843EF1">
      <w:rPr>
        <w:rFonts w:ascii="Times New Roman" w:hAnsi="Times New Roman" w:cs="Times New Roman"/>
        <w:b/>
        <w:noProof/>
        <w:lang w:eastAsia="en-ZW"/>
      </w:rPr>
      <mc:AlternateContent>
        <mc:Choice Requires="wps">
          <w:drawing>
            <wp:anchor distT="0" distB="0" distL="114300" distR="114300" simplePos="0" relativeHeight="251656704" behindDoc="0" locked="0" layoutInCell="0" allowOverlap="1" wp14:anchorId="1589E918" wp14:editId="66BFFE15">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06756315" w14:textId="4703499E" w:rsidR="00C812FB" w:rsidRDefault="00C812FB">
                          <w:pPr>
                            <w:spacing w:after="0" w:line="240" w:lineRule="auto"/>
                            <w:rPr>
                              <w:color w:val="FFFFFF" w:themeColor="background1"/>
                            </w:rPr>
                          </w:pPr>
                          <w:r>
                            <w:fldChar w:fldCharType="begin"/>
                          </w:r>
                          <w:r>
                            <w:instrText xml:space="preserve"> PAGE   \* MERGEFORMAT </w:instrText>
                          </w:r>
                          <w:r>
                            <w:fldChar w:fldCharType="separate"/>
                          </w:r>
                          <w:r w:rsidR="001B3D6C" w:rsidRPr="001B3D6C">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1589E918" id="_x0000_t202" coordsize="21600,21600" o:spt="202" path="m,l,21600r21600,l21600,xe">
              <v:stroke joinstyle="miter"/>
              <v:path gradientshapeok="t" o:connecttype="rect"/>
            </v:shapetype>
            <v:shape id="Text Box 221" o:spid="_x0000_s1027" type="#_x0000_t202" style="position:absolute;margin-left:20.6pt;margin-top:0;width:71.8pt;height:13.45pt;z-index:25165670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06756315" w14:textId="4703499E" w:rsidR="00C812FB" w:rsidRDefault="00C812FB">
                    <w:pPr>
                      <w:spacing w:after="0" w:line="240" w:lineRule="auto"/>
                      <w:rPr>
                        <w:color w:val="FFFFFF" w:themeColor="background1"/>
                      </w:rPr>
                    </w:pPr>
                    <w:r>
                      <w:fldChar w:fldCharType="begin"/>
                    </w:r>
                    <w:r>
                      <w:instrText xml:space="preserve"> PAGE   \* MERGEFORMAT </w:instrText>
                    </w:r>
                    <w:r>
                      <w:fldChar w:fldCharType="separate"/>
                    </w:r>
                    <w:r w:rsidR="001B3D6C" w:rsidRPr="001B3D6C">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96BD1"/>
    <w:multiLevelType w:val="hybridMultilevel"/>
    <w:tmpl w:val="CC14BF86"/>
    <w:lvl w:ilvl="0" w:tplc="F84E7DDC">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nsid w:val="16A200FC"/>
    <w:multiLevelType w:val="multilevel"/>
    <w:tmpl w:val="7890B842"/>
    <w:lvl w:ilvl="0">
      <w:start w:val="1"/>
      <w:numFmt w:val="decimal"/>
      <w:lvlText w:val="%1."/>
      <w:lvlJc w:val="left"/>
      <w:pPr>
        <w:tabs>
          <w:tab w:val="num" w:pos="720"/>
        </w:tabs>
        <w:ind w:left="720" w:hanging="360"/>
      </w:pPr>
    </w:lvl>
    <w:lvl w:ilvl="1">
      <w:start w:val="1"/>
      <w:numFmt w:val="decimal"/>
      <w:lvlText w:val="(%2)"/>
      <w:lvlJc w:val="left"/>
      <w:pPr>
        <w:ind w:left="1800" w:hanging="72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C2957B2"/>
    <w:multiLevelType w:val="hybridMultilevel"/>
    <w:tmpl w:val="8488DCA6"/>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nsid w:val="37C6744F"/>
    <w:multiLevelType w:val="hybridMultilevel"/>
    <w:tmpl w:val="93B04D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2C243A"/>
    <w:multiLevelType w:val="hybridMultilevel"/>
    <w:tmpl w:val="DF460396"/>
    <w:lvl w:ilvl="0" w:tplc="877402C6">
      <w:start w:val="1"/>
      <w:numFmt w:val="lowerLetter"/>
      <w:lvlText w:val="(%1)"/>
      <w:lvlJc w:val="left"/>
      <w:pPr>
        <w:ind w:left="1080" w:hanging="360"/>
      </w:pPr>
    </w:lvl>
    <w:lvl w:ilvl="1" w:tplc="30090019">
      <w:start w:val="1"/>
      <w:numFmt w:val="lowerLetter"/>
      <w:lvlText w:val="%2."/>
      <w:lvlJc w:val="left"/>
      <w:pPr>
        <w:ind w:left="1800" w:hanging="360"/>
      </w:pPr>
    </w:lvl>
    <w:lvl w:ilvl="2" w:tplc="3009001B">
      <w:start w:val="1"/>
      <w:numFmt w:val="lowerRoman"/>
      <w:lvlText w:val="%3."/>
      <w:lvlJc w:val="right"/>
      <w:pPr>
        <w:ind w:left="2520" w:hanging="180"/>
      </w:pPr>
    </w:lvl>
    <w:lvl w:ilvl="3" w:tplc="3009000F">
      <w:start w:val="1"/>
      <w:numFmt w:val="decimal"/>
      <w:lvlText w:val="%4."/>
      <w:lvlJc w:val="left"/>
      <w:pPr>
        <w:ind w:left="3240" w:hanging="360"/>
      </w:pPr>
    </w:lvl>
    <w:lvl w:ilvl="4" w:tplc="30090019">
      <w:start w:val="1"/>
      <w:numFmt w:val="lowerLetter"/>
      <w:lvlText w:val="%5."/>
      <w:lvlJc w:val="left"/>
      <w:pPr>
        <w:ind w:left="3960" w:hanging="360"/>
      </w:pPr>
    </w:lvl>
    <w:lvl w:ilvl="5" w:tplc="3009001B">
      <w:start w:val="1"/>
      <w:numFmt w:val="lowerRoman"/>
      <w:lvlText w:val="%6."/>
      <w:lvlJc w:val="right"/>
      <w:pPr>
        <w:ind w:left="4680" w:hanging="180"/>
      </w:pPr>
    </w:lvl>
    <w:lvl w:ilvl="6" w:tplc="3009000F">
      <w:start w:val="1"/>
      <w:numFmt w:val="decimal"/>
      <w:lvlText w:val="%7."/>
      <w:lvlJc w:val="left"/>
      <w:pPr>
        <w:ind w:left="5400" w:hanging="360"/>
      </w:pPr>
    </w:lvl>
    <w:lvl w:ilvl="7" w:tplc="30090019">
      <w:start w:val="1"/>
      <w:numFmt w:val="lowerLetter"/>
      <w:lvlText w:val="%8."/>
      <w:lvlJc w:val="left"/>
      <w:pPr>
        <w:ind w:left="6120" w:hanging="360"/>
      </w:pPr>
    </w:lvl>
    <w:lvl w:ilvl="8" w:tplc="3009001B">
      <w:start w:val="1"/>
      <w:numFmt w:val="lowerRoman"/>
      <w:lvlText w:val="%9."/>
      <w:lvlJc w:val="right"/>
      <w:pPr>
        <w:ind w:left="6840" w:hanging="180"/>
      </w:pPr>
    </w:lvl>
  </w:abstractNum>
  <w:abstractNum w:abstractNumId="5">
    <w:nsid w:val="4B1A6E71"/>
    <w:multiLevelType w:val="hybridMultilevel"/>
    <w:tmpl w:val="4ABC988E"/>
    <w:lvl w:ilvl="0" w:tplc="615EEB16">
      <w:start w:val="1"/>
      <w:numFmt w:val="decimal"/>
      <w:lvlText w:val="%1."/>
      <w:lvlJc w:val="left"/>
      <w:pPr>
        <w:ind w:left="1080" w:hanging="360"/>
      </w:pPr>
    </w:lvl>
    <w:lvl w:ilvl="1" w:tplc="30090019">
      <w:start w:val="1"/>
      <w:numFmt w:val="lowerLetter"/>
      <w:lvlText w:val="%2."/>
      <w:lvlJc w:val="left"/>
      <w:pPr>
        <w:ind w:left="1800" w:hanging="360"/>
      </w:pPr>
    </w:lvl>
    <w:lvl w:ilvl="2" w:tplc="3009001B">
      <w:start w:val="1"/>
      <w:numFmt w:val="lowerRoman"/>
      <w:lvlText w:val="%3."/>
      <w:lvlJc w:val="right"/>
      <w:pPr>
        <w:ind w:left="2520" w:hanging="180"/>
      </w:pPr>
    </w:lvl>
    <w:lvl w:ilvl="3" w:tplc="3009000F">
      <w:start w:val="1"/>
      <w:numFmt w:val="decimal"/>
      <w:lvlText w:val="%4."/>
      <w:lvlJc w:val="left"/>
      <w:pPr>
        <w:ind w:left="3240" w:hanging="360"/>
      </w:pPr>
    </w:lvl>
    <w:lvl w:ilvl="4" w:tplc="30090019">
      <w:start w:val="1"/>
      <w:numFmt w:val="lowerLetter"/>
      <w:lvlText w:val="%5."/>
      <w:lvlJc w:val="left"/>
      <w:pPr>
        <w:ind w:left="3960" w:hanging="360"/>
      </w:pPr>
    </w:lvl>
    <w:lvl w:ilvl="5" w:tplc="3009001B">
      <w:start w:val="1"/>
      <w:numFmt w:val="lowerRoman"/>
      <w:lvlText w:val="%6."/>
      <w:lvlJc w:val="right"/>
      <w:pPr>
        <w:ind w:left="4680" w:hanging="180"/>
      </w:pPr>
    </w:lvl>
    <w:lvl w:ilvl="6" w:tplc="3009000F">
      <w:start w:val="1"/>
      <w:numFmt w:val="decimal"/>
      <w:lvlText w:val="%7."/>
      <w:lvlJc w:val="left"/>
      <w:pPr>
        <w:ind w:left="5400" w:hanging="360"/>
      </w:pPr>
    </w:lvl>
    <w:lvl w:ilvl="7" w:tplc="30090019">
      <w:start w:val="1"/>
      <w:numFmt w:val="lowerLetter"/>
      <w:lvlText w:val="%8."/>
      <w:lvlJc w:val="left"/>
      <w:pPr>
        <w:ind w:left="6120" w:hanging="360"/>
      </w:pPr>
    </w:lvl>
    <w:lvl w:ilvl="8" w:tplc="3009001B">
      <w:start w:val="1"/>
      <w:numFmt w:val="lowerRoman"/>
      <w:lvlText w:val="%9."/>
      <w:lvlJc w:val="right"/>
      <w:pPr>
        <w:ind w:left="6840" w:hanging="180"/>
      </w:pPr>
    </w:lvl>
  </w:abstractNum>
  <w:abstractNum w:abstractNumId="6">
    <w:nsid w:val="4C952512"/>
    <w:multiLevelType w:val="hybridMultilevel"/>
    <w:tmpl w:val="A0B00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0E3A11"/>
    <w:multiLevelType w:val="hybridMultilevel"/>
    <w:tmpl w:val="67048AA2"/>
    <w:lvl w:ilvl="0" w:tplc="80D4ECCC">
      <w:start w:val="1"/>
      <w:numFmt w:val="decimal"/>
      <w:lvlText w:val="[%1]"/>
      <w:lvlJc w:val="left"/>
      <w:pPr>
        <w:ind w:left="360" w:hanging="360"/>
      </w:pPr>
      <w:rPr>
        <w:rFonts w:hint="default"/>
        <w:i w:val="0"/>
        <w:iCs/>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8">
    <w:nsid w:val="53540A78"/>
    <w:multiLevelType w:val="hybridMultilevel"/>
    <w:tmpl w:val="7F30D4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AD2A2E"/>
    <w:multiLevelType w:val="multilevel"/>
    <w:tmpl w:val="9724CCE0"/>
    <w:lvl w:ilvl="0">
      <w:start w:val="2"/>
      <w:numFmt w:val="decimal"/>
      <w:lvlText w:val="%1."/>
      <w:lvlJc w:val="left"/>
      <w:pPr>
        <w:tabs>
          <w:tab w:val="num" w:pos="720"/>
        </w:tabs>
        <w:ind w:left="720" w:hanging="360"/>
      </w:pPr>
    </w:lvl>
    <w:lvl w:ilvl="1">
      <w:start w:val="1"/>
      <w:numFmt w:val="decimal"/>
      <w:lvlText w:val="(%2)"/>
      <w:lvlJc w:val="left"/>
      <w:pPr>
        <w:ind w:left="1800" w:hanging="720"/>
      </w:pPr>
    </w:lvl>
    <w:lvl w:ilvl="2">
      <w:start w:val="1"/>
      <w:numFmt w:val="lowerLetter"/>
      <w:lvlText w:val="(%3)"/>
      <w:lvlJc w:val="left"/>
      <w:pPr>
        <w:ind w:left="2520" w:hanging="72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7BC03C00"/>
    <w:multiLevelType w:val="hybridMultilevel"/>
    <w:tmpl w:val="26585AB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1">
    <w:nsid w:val="7F04127C"/>
    <w:multiLevelType w:val="hybridMultilevel"/>
    <w:tmpl w:val="64D240D0"/>
    <w:lvl w:ilvl="0" w:tplc="843EE504">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7"/>
  </w:num>
  <w:num w:numId="2">
    <w:abstractNumId w:val="11"/>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3"/>
  </w:num>
  <w:num w:numId="9">
    <w:abstractNumId w:val="8"/>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8AC"/>
    <w:rsid w:val="0000094A"/>
    <w:rsid w:val="0000097C"/>
    <w:rsid w:val="00001B13"/>
    <w:rsid w:val="000028DE"/>
    <w:rsid w:val="0000422D"/>
    <w:rsid w:val="000044CF"/>
    <w:rsid w:val="00005A08"/>
    <w:rsid w:val="0000619E"/>
    <w:rsid w:val="000131A2"/>
    <w:rsid w:val="000137EA"/>
    <w:rsid w:val="00013C28"/>
    <w:rsid w:val="00014D17"/>
    <w:rsid w:val="00015A98"/>
    <w:rsid w:val="00016949"/>
    <w:rsid w:val="00017339"/>
    <w:rsid w:val="000202E1"/>
    <w:rsid w:val="00020427"/>
    <w:rsid w:val="000206C8"/>
    <w:rsid w:val="000209AE"/>
    <w:rsid w:val="00020B9E"/>
    <w:rsid w:val="00022323"/>
    <w:rsid w:val="0002234F"/>
    <w:rsid w:val="00022457"/>
    <w:rsid w:val="00023630"/>
    <w:rsid w:val="00025622"/>
    <w:rsid w:val="00025925"/>
    <w:rsid w:val="00030A16"/>
    <w:rsid w:val="0003172D"/>
    <w:rsid w:val="00032059"/>
    <w:rsid w:val="000322D2"/>
    <w:rsid w:val="00032A1B"/>
    <w:rsid w:val="00034D7E"/>
    <w:rsid w:val="00034DCA"/>
    <w:rsid w:val="0003577F"/>
    <w:rsid w:val="0003592A"/>
    <w:rsid w:val="00035FC4"/>
    <w:rsid w:val="000371C4"/>
    <w:rsid w:val="00037D3C"/>
    <w:rsid w:val="000427DF"/>
    <w:rsid w:val="00043443"/>
    <w:rsid w:val="0004362C"/>
    <w:rsid w:val="00043921"/>
    <w:rsid w:val="00044055"/>
    <w:rsid w:val="00044EF2"/>
    <w:rsid w:val="00045008"/>
    <w:rsid w:val="00045B89"/>
    <w:rsid w:val="000475F1"/>
    <w:rsid w:val="000506DB"/>
    <w:rsid w:val="000510FB"/>
    <w:rsid w:val="00051A8F"/>
    <w:rsid w:val="00054CF3"/>
    <w:rsid w:val="0006556C"/>
    <w:rsid w:val="00067B8F"/>
    <w:rsid w:val="000713DB"/>
    <w:rsid w:val="000715E8"/>
    <w:rsid w:val="00072CAE"/>
    <w:rsid w:val="0007321B"/>
    <w:rsid w:val="00073E6A"/>
    <w:rsid w:val="00074EC0"/>
    <w:rsid w:val="00076B40"/>
    <w:rsid w:val="00080C37"/>
    <w:rsid w:val="000812E4"/>
    <w:rsid w:val="00082B67"/>
    <w:rsid w:val="000843B9"/>
    <w:rsid w:val="000862F6"/>
    <w:rsid w:val="000876EB"/>
    <w:rsid w:val="00092FB1"/>
    <w:rsid w:val="00093DD5"/>
    <w:rsid w:val="00096FFC"/>
    <w:rsid w:val="000A0417"/>
    <w:rsid w:val="000A4189"/>
    <w:rsid w:val="000A4ADA"/>
    <w:rsid w:val="000A4B71"/>
    <w:rsid w:val="000A62D9"/>
    <w:rsid w:val="000B0C0A"/>
    <w:rsid w:val="000B0E78"/>
    <w:rsid w:val="000B1948"/>
    <w:rsid w:val="000B2230"/>
    <w:rsid w:val="000B2D15"/>
    <w:rsid w:val="000B453D"/>
    <w:rsid w:val="000B4D4E"/>
    <w:rsid w:val="000B5478"/>
    <w:rsid w:val="000B700D"/>
    <w:rsid w:val="000B7F6A"/>
    <w:rsid w:val="000C02CC"/>
    <w:rsid w:val="000C0D0A"/>
    <w:rsid w:val="000C31F5"/>
    <w:rsid w:val="000C3F69"/>
    <w:rsid w:val="000C4B80"/>
    <w:rsid w:val="000C511E"/>
    <w:rsid w:val="000C5D3C"/>
    <w:rsid w:val="000C76EF"/>
    <w:rsid w:val="000D0BC7"/>
    <w:rsid w:val="000D15E5"/>
    <w:rsid w:val="000D1999"/>
    <w:rsid w:val="000D274F"/>
    <w:rsid w:val="000D2FB1"/>
    <w:rsid w:val="000D5693"/>
    <w:rsid w:val="000D5923"/>
    <w:rsid w:val="000D5C62"/>
    <w:rsid w:val="000D7A14"/>
    <w:rsid w:val="000D7ACF"/>
    <w:rsid w:val="000E0373"/>
    <w:rsid w:val="000E1EB0"/>
    <w:rsid w:val="000E2633"/>
    <w:rsid w:val="000E2985"/>
    <w:rsid w:val="000E2C12"/>
    <w:rsid w:val="000E425C"/>
    <w:rsid w:val="000E5512"/>
    <w:rsid w:val="000E64A7"/>
    <w:rsid w:val="000E68B2"/>
    <w:rsid w:val="000E6F70"/>
    <w:rsid w:val="000F2968"/>
    <w:rsid w:val="000F3D41"/>
    <w:rsid w:val="000F4362"/>
    <w:rsid w:val="000F7C44"/>
    <w:rsid w:val="000F7C61"/>
    <w:rsid w:val="00100E75"/>
    <w:rsid w:val="001010BD"/>
    <w:rsid w:val="0010165C"/>
    <w:rsid w:val="0010172B"/>
    <w:rsid w:val="00102732"/>
    <w:rsid w:val="0010342D"/>
    <w:rsid w:val="00105A2C"/>
    <w:rsid w:val="00106446"/>
    <w:rsid w:val="00111B56"/>
    <w:rsid w:val="00114273"/>
    <w:rsid w:val="00116BFA"/>
    <w:rsid w:val="00120BB6"/>
    <w:rsid w:val="00121002"/>
    <w:rsid w:val="001225C1"/>
    <w:rsid w:val="00122DBA"/>
    <w:rsid w:val="001301D4"/>
    <w:rsid w:val="001310D9"/>
    <w:rsid w:val="00131773"/>
    <w:rsid w:val="00131A2E"/>
    <w:rsid w:val="00132DC6"/>
    <w:rsid w:val="00133C6B"/>
    <w:rsid w:val="00134776"/>
    <w:rsid w:val="00135045"/>
    <w:rsid w:val="001367E3"/>
    <w:rsid w:val="00136F40"/>
    <w:rsid w:val="001419EE"/>
    <w:rsid w:val="0014203E"/>
    <w:rsid w:val="00144838"/>
    <w:rsid w:val="001457B0"/>
    <w:rsid w:val="00147385"/>
    <w:rsid w:val="00150858"/>
    <w:rsid w:val="001509AC"/>
    <w:rsid w:val="00152034"/>
    <w:rsid w:val="00152393"/>
    <w:rsid w:val="0015275B"/>
    <w:rsid w:val="00152AB7"/>
    <w:rsid w:val="00153EC1"/>
    <w:rsid w:val="001563BF"/>
    <w:rsid w:val="00156CCC"/>
    <w:rsid w:val="001605FD"/>
    <w:rsid w:val="00160E32"/>
    <w:rsid w:val="00160EF9"/>
    <w:rsid w:val="00161775"/>
    <w:rsid w:val="00165D5C"/>
    <w:rsid w:val="001672B6"/>
    <w:rsid w:val="00167960"/>
    <w:rsid w:val="00167ED8"/>
    <w:rsid w:val="00171F71"/>
    <w:rsid w:val="001759B3"/>
    <w:rsid w:val="001809C3"/>
    <w:rsid w:val="00180B5D"/>
    <w:rsid w:val="001812B7"/>
    <w:rsid w:val="00182F15"/>
    <w:rsid w:val="0018454A"/>
    <w:rsid w:val="00184A59"/>
    <w:rsid w:val="00184D87"/>
    <w:rsid w:val="00186C70"/>
    <w:rsid w:val="00187392"/>
    <w:rsid w:val="00190AC4"/>
    <w:rsid w:val="00193928"/>
    <w:rsid w:val="001941F9"/>
    <w:rsid w:val="001950FC"/>
    <w:rsid w:val="001A05CA"/>
    <w:rsid w:val="001A4068"/>
    <w:rsid w:val="001A53E1"/>
    <w:rsid w:val="001A5637"/>
    <w:rsid w:val="001A6380"/>
    <w:rsid w:val="001A7FA3"/>
    <w:rsid w:val="001B0740"/>
    <w:rsid w:val="001B0CFC"/>
    <w:rsid w:val="001B27FD"/>
    <w:rsid w:val="001B3D6C"/>
    <w:rsid w:val="001B4096"/>
    <w:rsid w:val="001B41ED"/>
    <w:rsid w:val="001B469E"/>
    <w:rsid w:val="001C02A5"/>
    <w:rsid w:val="001C02F5"/>
    <w:rsid w:val="001C0710"/>
    <w:rsid w:val="001C088C"/>
    <w:rsid w:val="001C09CA"/>
    <w:rsid w:val="001C1A32"/>
    <w:rsid w:val="001C208D"/>
    <w:rsid w:val="001C2643"/>
    <w:rsid w:val="001C2F41"/>
    <w:rsid w:val="001C5FBF"/>
    <w:rsid w:val="001D0FEB"/>
    <w:rsid w:val="001D28DC"/>
    <w:rsid w:val="001D41B4"/>
    <w:rsid w:val="001D42CF"/>
    <w:rsid w:val="001D5DD4"/>
    <w:rsid w:val="001D7273"/>
    <w:rsid w:val="001D738D"/>
    <w:rsid w:val="001D73B9"/>
    <w:rsid w:val="001D7D4D"/>
    <w:rsid w:val="001E31FD"/>
    <w:rsid w:val="001E62D6"/>
    <w:rsid w:val="001F1138"/>
    <w:rsid w:val="001F13A0"/>
    <w:rsid w:val="001F1A57"/>
    <w:rsid w:val="001F1EF2"/>
    <w:rsid w:val="001F280D"/>
    <w:rsid w:val="001F4FC2"/>
    <w:rsid w:val="001F57B3"/>
    <w:rsid w:val="001F59D9"/>
    <w:rsid w:val="001F5CC2"/>
    <w:rsid w:val="001F62AD"/>
    <w:rsid w:val="001F79D1"/>
    <w:rsid w:val="0020019D"/>
    <w:rsid w:val="002011CC"/>
    <w:rsid w:val="0020226F"/>
    <w:rsid w:val="00203163"/>
    <w:rsid w:val="00203D88"/>
    <w:rsid w:val="0020444D"/>
    <w:rsid w:val="002052AC"/>
    <w:rsid w:val="0020555B"/>
    <w:rsid w:val="002066BE"/>
    <w:rsid w:val="002106E4"/>
    <w:rsid w:val="00212D38"/>
    <w:rsid w:val="0022004D"/>
    <w:rsid w:val="00222674"/>
    <w:rsid w:val="00222FBB"/>
    <w:rsid w:val="00223E3E"/>
    <w:rsid w:val="00225871"/>
    <w:rsid w:val="00226173"/>
    <w:rsid w:val="00226278"/>
    <w:rsid w:val="002329EB"/>
    <w:rsid w:val="00232D06"/>
    <w:rsid w:val="00233433"/>
    <w:rsid w:val="00237FBB"/>
    <w:rsid w:val="002429E8"/>
    <w:rsid w:val="002458E2"/>
    <w:rsid w:val="00246305"/>
    <w:rsid w:val="00250D6C"/>
    <w:rsid w:val="00251B06"/>
    <w:rsid w:val="0025262D"/>
    <w:rsid w:val="0025320D"/>
    <w:rsid w:val="00253EE5"/>
    <w:rsid w:val="002554E2"/>
    <w:rsid w:val="002558DB"/>
    <w:rsid w:val="0025605B"/>
    <w:rsid w:val="0025765C"/>
    <w:rsid w:val="0026357A"/>
    <w:rsid w:val="00264946"/>
    <w:rsid w:val="002664A6"/>
    <w:rsid w:val="00267265"/>
    <w:rsid w:val="00270D15"/>
    <w:rsid w:val="002717DA"/>
    <w:rsid w:val="0027225A"/>
    <w:rsid w:val="002725ED"/>
    <w:rsid w:val="0027339E"/>
    <w:rsid w:val="002777E2"/>
    <w:rsid w:val="00280556"/>
    <w:rsid w:val="002807AA"/>
    <w:rsid w:val="002812B3"/>
    <w:rsid w:val="002910ED"/>
    <w:rsid w:val="002937E0"/>
    <w:rsid w:val="002959CF"/>
    <w:rsid w:val="00295E5E"/>
    <w:rsid w:val="00296537"/>
    <w:rsid w:val="0029657E"/>
    <w:rsid w:val="00296EE7"/>
    <w:rsid w:val="00297235"/>
    <w:rsid w:val="002A0383"/>
    <w:rsid w:val="002A0A74"/>
    <w:rsid w:val="002A1171"/>
    <w:rsid w:val="002A19C1"/>
    <w:rsid w:val="002A225D"/>
    <w:rsid w:val="002A2C26"/>
    <w:rsid w:val="002A32FE"/>
    <w:rsid w:val="002A3425"/>
    <w:rsid w:val="002A362D"/>
    <w:rsid w:val="002A467B"/>
    <w:rsid w:val="002A4C11"/>
    <w:rsid w:val="002A5691"/>
    <w:rsid w:val="002A7CB0"/>
    <w:rsid w:val="002B11E2"/>
    <w:rsid w:val="002B157E"/>
    <w:rsid w:val="002B36D6"/>
    <w:rsid w:val="002B5736"/>
    <w:rsid w:val="002B7873"/>
    <w:rsid w:val="002C2B5A"/>
    <w:rsid w:val="002C4827"/>
    <w:rsid w:val="002C5C4E"/>
    <w:rsid w:val="002C65CD"/>
    <w:rsid w:val="002C6611"/>
    <w:rsid w:val="002C7DE2"/>
    <w:rsid w:val="002D0F96"/>
    <w:rsid w:val="002D1F48"/>
    <w:rsid w:val="002D3169"/>
    <w:rsid w:val="002D3A58"/>
    <w:rsid w:val="002D3EC7"/>
    <w:rsid w:val="002D3FED"/>
    <w:rsid w:val="002E0238"/>
    <w:rsid w:val="002E0310"/>
    <w:rsid w:val="002E126B"/>
    <w:rsid w:val="002E19FB"/>
    <w:rsid w:val="002E2E65"/>
    <w:rsid w:val="002E3172"/>
    <w:rsid w:val="002E47BE"/>
    <w:rsid w:val="002E6C4A"/>
    <w:rsid w:val="002E6FA1"/>
    <w:rsid w:val="002E78A9"/>
    <w:rsid w:val="002F0950"/>
    <w:rsid w:val="002F1139"/>
    <w:rsid w:val="002F1F0E"/>
    <w:rsid w:val="002F2DC8"/>
    <w:rsid w:val="002F5507"/>
    <w:rsid w:val="002F60E7"/>
    <w:rsid w:val="002F62CC"/>
    <w:rsid w:val="003006D4"/>
    <w:rsid w:val="00300923"/>
    <w:rsid w:val="0030389A"/>
    <w:rsid w:val="0030666E"/>
    <w:rsid w:val="003068AB"/>
    <w:rsid w:val="00306B32"/>
    <w:rsid w:val="00310287"/>
    <w:rsid w:val="00311FA7"/>
    <w:rsid w:val="00312DF9"/>
    <w:rsid w:val="00316673"/>
    <w:rsid w:val="00321047"/>
    <w:rsid w:val="00321227"/>
    <w:rsid w:val="00321BE4"/>
    <w:rsid w:val="0032245D"/>
    <w:rsid w:val="003232B7"/>
    <w:rsid w:val="00323539"/>
    <w:rsid w:val="003257F0"/>
    <w:rsid w:val="003302DC"/>
    <w:rsid w:val="00333209"/>
    <w:rsid w:val="003335A7"/>
    <w:rsid w:val="003337C4"/>
    <w:rsid w:val="0033665D"/>
    <w:rsid w:val="00337434"/>
    <w:rsid w:val="00342D83"/>
    <w:rsid w:val="003460DE"/>
    <w:rsid w:val="003467AE"/>
    <w:rsid w:val="00351F9C"/>
    <w:rsid w:val="00352369"/>
    <w:rsid w:val="00352469"/>
    <w:rsid w:val="00354E2F"/>
    <w:rsid w:val="003556CE"/>
    <w:rsid w:val="00360B70"/>
    <w:rsid w:val="00360C31"/>
    <w:rsid w:val="0036111E"/>
    <w:rsid w:val="0036114E"/>
    <w:rsid w:val="003611A7"/>
    <w:rsid w:val="00362766"/>
    <w:rsid w:val="003631AC"/>
    <w:rsid w:val="00363351"/>
    <w:rsid w:val="00363D81"/>
    <w:rsid w:val="003644A6"/>
    <w:rsid w:val="003644F5"/>
    <w:rsid w:val="00364D46"/>
    <w:rsid w:val="00365E2C"/>
    <w:rsid w:val="00366685"/>
    <w:rsid w:val="003667CF"/>
    <w:rsid w:val="0036720A"/>
    <w:rsid w:val="00367CF6"/>
    <w:rsid w:val="00367E47"/>
    <w:rsid w:val="00370202"/>
    <w:rsid w:val="00370578"/>
    <w:rsid w:val="0037203C"/>
    <w:rsid w:val="00374110"/>
    <w:rsid w:val="00374802"/>
    <w:rsid w:val="00374999"/>
    <w:rsid w:val="00374A5C"/>
    <w:rsid w:val="00374CEF"/>
    <w:rsid w:val="00375741"/>
    <w:rsid w:val="00376D36"/>
    <w:rsid w:val="00377996"/>
    <w:rsid w:val="00381160"/>
    <w:rsid w:val="00382795"/>
    <w:rsid w:val="0038358B"/>
    <w:rsid w:val="0038437F"/>
    <w:rsid w:val="00385917"/>
    <w:rsid w:val="00391448"/>
    <w:rsid w:val="00392BB1"/>
    <w:rsid w:val="0039338D"/>
    <w:rsid w:val="00393582"/>
    <w:rsid w:val="0039579B"/>
    <w:rsid w:val="0039784D"/>
    <w:rsid w:val="00397CD4"/>
    <w:rsid w:val="00397F28"/>
    <w:rsid w:val="003A26B0"/>
    <w:rsid w:val="003A3195"/>
    <w:rsid w:val="003A49FA"/>
    <w:rsid w:val="003A5FA4"/>
    <w:rsid w:val="003B077E"/>
    <w:rsid w:val="003B1841"/>
    <w:rsid w:val="003B21F5"/>
    <w:rsid w:val="003B22C7"/>
    <w:rsid w:val="003B29EA"/>
    <w:rsid w:val="003B32AB"/>
    <w:rsid w:val="003B448C"/>
    <w:rsid w:val="003B536E"/>
    <w:rsid w:val="003B7E6D"/>
    <w:rsid w:val="003C12F0"/>
    <w:rsid w:val="003C4AF5"/>
    <w:rsid w:val="003C5384"/>
    <w:rsid w:val="003C6079"/>
    <w:rsid w:val="003C78E7"/>
    <w:rsid w:val="003D0A82"/>
    <w:rsid w:val="003D0AA8"/>
    <w:rsid w:val="003D1CC2"/>
    <w:rsid w:val="003D3CED"/>
    <w:rsid w:val="003E2DAF"/>
    <w:rsid w:val="003E4359"/>
    <w:rsid w:val="003E51A0"/>
    <w:rsid w:val="003E6534"/>
    <w:rsid w:val="003E6EDE"/>
    <w:rsid w:val="003F0834"/>
    <w:rsid w:val="003F1C4C"/>
    <w:rsid w:val="003F1C77"/>
    <w:rsid w:val="003F4B5A"/>
    <w:rsid w:val="003F4F94"/>
    <w:rsid w:val="003F69DF"/>
    <w:rsid w:val="003F72E4"/>
    <w:rsid w:val="003F7ADC"/>
    <w:rsid w:val="00400558"/>
    <w:rsid w:val="0040180F"/>
    <w:rsid w:val="00401EDB"/>
    <w:rsid w:val="00402977"/>
    <w:rsid w:val="00402EF2"/>
    <w:rsid w:val="00403147"/>
    <w:rsid w:val="00404290"/>
    <w:rsid w:val="00404552"/>
    <w:rsid w:val="004046CE"/>
    <w:rsid w:val="004055EB"/>
    <w:rsid w:val="004071FA"/>
    <w:rsid w:val="004107C1"/>
    <w:rsid w:val="00410B8E"/>
    <w:rsid w:val="00411BE1"/>
    <w:rsid w:val="00412C87"/>
    <w:rsid w:val="004141F6"/>
    <w:rsid w:val="0041578B"/>
    <w:rsid w:val="0041625A"/>
    <w:rsid w:val="004172AC"/>
    <w:rsid w:val="004174CE"/>
    <w:rsid w:val="0041794B"/>
    <w:rsid w:val="00423A3A"/>
    <w:rsid w:val="004259FF"/>
    <w:rsid w:val="00426ECF"/>
    <w:rsid w:val="00427C87"/>
    <w:rsid w:val="0043184A"/>
    <w:rsid w:val="00432E0B"/>
    <w:rsid w:val="00433374"/>
    <w:rsid w:val="004334E9"/>
    <w:rsid w:val="00435122"/>
    <w:rsid w:val="00435821"/>
    <w:rsid w:val="00436284"/>
    <w:rsid w:val="00440920"/>
    <w:rsid w:val="00440B62"/>
    <w:rsid w:val="00442C77"/>
    <w:rsid w:val="00444AEF"/>
    <w:rsid w:val="0044508E"/>
    <w:rsid w:val="00445943"/>
    <w:rsid w:val="00445D2D"/>
    <w:rsid w:val="004466CA"/>
    <w:rsid w:val="00446BBD"/>
    <w:rsid w:val="00450FF2"/>
    <w:rsid w:val="004510AF"/>
    <w:rsid w:val="00451996"/>
    <w:rsid w:val="004536B0"/>
    <w:rsid w:val="0045634B"/>
    <w:rsid w:val="00457757"/>
    <w:rsid w:val="00460FDE"/>
    <w:rsid w:val="004613AA"/>
    <w:rsid w:val="004614BD"/>
    <w:rsid w:val="00462A6F"/>
    <w:rsid w:val="00463C07"/>
    <w:rsid w:val="0046523C"/>
    <w:rsid w:val="00465F0E"/>
    <w:rsid w:val="004708A7"/>
    <w:rsid w:val="00471782"/>
    <w:rsid w:val="0047279C"/>
    <w:rsid w:val="004735F3"/>
    <w:rsid w:val="004748CC"/>
    <w:rsid w:val="00480C75"/>
    <w:rsid w:val="004819BC"/>
    <w:rsid w:val="00481D2B"/>
    <w:rsid w:val="00482813"/>
    <w:rsid w:val="00483273"/>
    <w:rsid w:val="004835F5"/>
    <w:rsid w:val="004848A7"/>
    <w:rsid w:val="00484E27"/>
    <w:rsid w:val="00484FAD"/>
    <w:rsid w:val="00485C6D"/>
    <w:rsid w:val="0048709F"/>
    <w:rsid w:val="00487738"/>
    <w:rsid w:val="0049025B"/>
    <w:rsid w:val="00490856"/>
    <w:rsid w:val="0049091C"/>
    <w:rsid w:val="00490DA6"/>
    <w:rsid w:val="00492283"/>
    <w:rsid w:val="004938A6"/>
    <w:rsid w:val="004974FC"/>
    <w:rsid w:val="004A14FE"/>
    <w:rsid w:val="004A3DC8"/>
    <w:rsid w:val="004A468C"/>
    <w:rsid w:val="004A769A"/>
    <w:rsid w:val="004B0F1F"/>
    <w:rsid w:val="004B3678"/>
    <w:rsid w:val="004B37D5"/>
    <w:rsid w:val="004B45A0"/>
    <w:rsid w:val="004B5389"/>
    <w:rsid w:val="004B7535"/>
    <w:rsid w:val="004B7F45"/>
    <w:rsid w:val="004C0E90"/>
    <w:rsid w:val="004C1A78"/>
    <w:rsid w:val="004C1C4E"/>
    <w:rsid w:val="004C2F8F"/>
    <w:rsid w:val="004C33FB"/>
    <w:rsid w:val="004C3C88"/>
    <w:rsid w:val="004C5C9C"/>
    <w:rsid w:val="004C76F2"/>
    <w:rsid w:val="004D2A41"/>
    <w:rsid w:val="004D2AE5"/>
    <w:rsid w:val="004D3987"/>
    <w:rsid w:val="004D41B2"/>
    <w:rsid w:val="004D4762"/>
    <w:rsid w:val="004D500B"/>
    <w:rsid w:val="004D6020"/>
    <w:rsid w:val="004E000A"/>
    <w:rsid w:val="004E031B"/>
    <w:rsid w:val="004E0BF8"/>
    <w:rsid w:val="004E0CAD"/>
    <w:rsid w:val="004E135D"/>
    <w:rsid w:val="004E153B"/>
    <w:rsid w:val="004E17BD"/>
    <w:rsid w:val="004E2375"/>
    <w:rsid w:val="004E2955"/>
    <w:rsid w:val="004E3CD4"/>
    <w:rsid w:val="004E5231"/>
    <w:rsid w:val="004E566D"/>
    <w:rsid w:val="004E6099"/>
    <w:rsid w:val="004E7D7B"/>
    <w:rsid w:val="004F0271"/>
    <w:rsid w:val="004F0D72"/>
    <w:rsid w:val="004F188A"/>
    <w:rsid w:val="004F18FC"/>
    <w:rsid w:val="004F2CC9"/>
    <w:rsid w:val="004F439B"/>
    <w:rsid w:val="004F5F63"/>
    <w:rsid w:val="004F7033"/>
    <w:rsid w:val="004F7F70"/>
    <w:rsid w:val="005005C2"/>
    <w:rsid w:val="00500A67"/>
    <w:rsid w:val="00500B3B"/>
    <w:rsid w:val="00503C07"/>
    <w:rsid w:val="005040EE"/>
    <w:rsid w:val="00505273"/>
    <w:rsid w:val="00510EEF"/>
    <w:rsid w:val="0051349C"/>
    <w:rsid w:val="00516058"/>
    <w:rsid w:val="00517811"/>
    <w:rsid w:val="005178F0"/>
    <w:rsid w:val="00520542"/>
    <w:rsid w:val="005224F2"/>
    <w:rsid w:val="00522CF5"/>
    <w:rsid w:val="00523E00"/>
    <w:rsid w:val="00524028"/>
    <w:rsid w:val="00525C75"/>
    <w:rsid w:val="00525DEE"/>
    <w:rsid w:val="00527703"/>
    <w:rsid w:val="00527BF6"/>
    <w:rsid w:val="0053013F"/>
    <w:rsid w:val="00531D5C"/>
    <w:rsid w:val="0053285B"/>
    <w:rsid w:val="0053570F"/>
    <w:rsid w:val="0053645D"/>
    <w:rsid w:val="005412F5"/>
    <w:rsid w:val="00541C32"/>
    <w:rsid w:val="0054496E"/>
    <w:rsid w:val="0054529A"/>
    <w:rsid w:val="00546E57"/>
    <w:rsid w:val="00554A4E"/>
    <w:rsid w:val="00556091"/>
    <w:rsid w:val="00560D11"/>
    <w:rsid w:val="005620CD"/>
    <w:rsid w:val="005636E6"/>
    <w:rsid w:val="00565083"/>
    <w:rsid w:val="0056670C"/>
    <w:rsid w:val="00567465"/>
    <w:rsid w:val="00571BBB"/>
    <w:rsid w:val="00573E5B"/>
    <w:rsid w:val="00573F4E"/>
    <w:rsid w:val="00574AE5"/>
    <w:rsid w:val="00574EE6"/>
    <w:rsid w:val="00577E91"/>
    <w:rsid w:val="00580F17"/>
    <w:rsid w:val="0058445D"/>
    <w:rsid w:val="00585C24"/>
    <w:rsid w:val="00585C4F"/>
    <w:rsid w:val="00590A08"/>
    <w:rsid w:val="00590DF5"/>
    <w:rsid w:val="00592B2C"/>
    <w:rsid w:val="00593439"/>
    <w:rsid w:val="00594B89"/>
    <w:rsid w:val="0059557B"/>
    <w:rsid w:val="00597A1F"/>
    <w:rsid w:val="005A2E57"/>
    <w:rsid w:val="005A37B7"/>
    <w:rsid w:val="005A41B2"/>
    <w:rsid w:val="005A5785"/>
    <w:rsid w:val="005A6668"/>
    <w:rsid w:val="005A7010"/>
    <w:rsid w:val="005B1C57"/>
    <w:rsid w:val="005B30F8"/>
    <w:rsid w:val="005B4476"/>
    <w:rsid w:val="005B7C7A"/>
    <w:rsid w:val="005C224D"/>
    <w:rsid w:val="005C2944"/>
    <w:rsid w:val="005C4171"/>
    <w:rsid w:val="005C44E8"/>
    <w:rsid w:val="005C4633"/>
    <w:rsid w:val="005C6CE7"/>
    <w:rsid w:val="005C7A10"/>
    <w:rsid w:val="005D03B4"/>
    <w:rsid w:val="005D1AD7"/>
    <w:rsid w:val="005D3139"/>
    <w:rsid w:val="005D4BB1"/>
    <w:rsid w:val="005D60B4"/>
    <w:rsid w:val="005D63E5"/>
    <w:rsid w:val="005D645D"/>
    <w:rsid w:val="005D6C57"/>
    <w:rsid w:val="005D7126"/>
    <w:rsid w:val="005D7F7E"/>
    <w:rsid w:val="005E062E"/>
    <w:rsid w:val="005E1208"/>
    <w:rsid w:val="005E38E2"/>
    <w:rsid w:val="005E47ED"/>
    <w:rsid w:val="005E5838"/>
    <w:rsid w:val="005E5DBC"/>
    <w:rsid w:val="005E5F49"/>
    <w:rsid w:val="005F0EE7"/>
    <w:rsid w:val="005F1197"/>
    <w:rsid w:val="005F5219"/>
    <w:rsid w:val="005F6894"/>
    <w:rsid w:val="00600E55"/>
    <w:rsid w:val="00601430"/>
    <w:rsid w:val="006022F6"/>
    <w:rsid w:val="0060448A"/>
    <w:rsid w:val="006077A3"/>
    <w:rsid w:val="00607D4E"/>
    <w:rsid w:val="006126FC"/>
    <w:rsid w:val="0061397F"/>
    <w:rsid w:val="00613DDD"/>
    <w:rsid w:val="006162A6"/>
    <w:rsid w:val="00616BF4"/>
    <w:rsid w:val="0062023B"/>
    <w:rsid w:val="00623486"/>
    <w:rsid w:val="0062484C"/>
    <w:rsid w:val="00624933"/>
    <w:rsid w:val="00624F36"/>
    <w:rsid w:val="00626ADB"/>
    <w:rsid w:val="0062725B"/>
    <w:rsid w:val="00634804"/>
    <w:rsid w:val="00634910"/>
    <w:rsid w:val="0063516B"/>
    <w:rsid w:val="006414B0"/>
    <w:rsid w:val="00641D34"/>
    <w:rsid w:val="00641DA0"/>
    <w:rsid w:val="006439B0"/>
    <w:rsid w:val="006468BA"/>
    <w:rsid w:val="00646CBF"/>
    <w:rsid w:val="00650A91"/>
    <w:rsid w:val="0065168D"/>
    <w:rsid w:val="00651B24"/>
    <w:rsid w:val="006533AB"/>
    <w:rsid w:val="0065414D"/>
    <w:rsid w:val="0065475F"/>
    <w:rsid w:val="00655395"/>
    <w:rsid w:val="00655E0C"/>
    <w:rsid w:val="006561C9"/>
    <w:rsid w:val="0065645E"/>
    <w:rsid w:val="0066218E"/>
    <w:rsid w:val="006638D6"/>
    <w:rsid w:val="00666A62"/>
    <w:rsid w:val="0067362B"/>
    <w:rsid w:val="0067454A"/>
    <w:rsid w:val="00677F10"/>
    <w:rsid w:val="00677F51"/>
    <w:rsid w:val="006805D9"/>
    <w:rsid w:val="00682A87"/>
    <w:rsid w:val="00683A4C"/>
    <w:rsid w:val="006840E1"/>
    <w:rsid w:val="00684130"/>
    <w:rsid w:val="00686C6F"/>
    <w:rsid w:val="006913CC"/>
    <w:rsid w:val="00694B4F"/>
    <w:rsid w:val="006974A1"/>
    <w:rsid w:val="00697DB6"/>
    <w:rsid w:val="006A05D5"/>
    <w:rsid w:val="006A3FBE"/>
    <w:rsid w:val="006A4114"/>
    <w:rsid w:val="006A5289"/>
    <w:rsid w:val="006A529D"/>
    <w:rsid w:val="006A616F"/>
    <w:rsid w:val="006B0033"/>
    <w:rsid w:val="006B0C96"/>
    <w:rsid w:val="006B2538"/>
    <w:rsid w:val="006B4356"/>
    <w:rsid w:val="006B496F"/>
    <w:rsid w:val="006B5E63"/>
    <w:rsid w:val="006B7F6A"/>
    <w:rsid w:val="006C175A"/>
    <w:rsid w:val="006C217D"/>
    <w:rsid w:val="006C3CA9"/>
    <w:rsid w:val="006D09C3"/>
    <w:rsid w:val="006D1FC2"/>
    <w:rsid w:val="006D31FD"/>
    <w:rsid w:val="006D6B46"/>
    <w:rsid w:val="006E01DA"/>
    <w:rsid w:val="006E0B41"/>
    <w:rsid w:val="006E19E9"/>
    <w:rsid w:val="006E2538"/>
    <w:rsid w:val="006E296C"/>
    <w:rsid w:val="006E2E5A"/>
    <w:rsid w:val="006E3DF9"/>
    <w:rsid w:val="006E69EE"/>
    <w:rsid w:val="006F179C"/>
    <w:rsid w:val="006F18A8"/>
    <w:rsid w:val="006F3822"/>
    <w:rsid w:val="006F46B3"/>
    <w:rsid w:val="006F522B"/>
    <w:rsid w:val="00703B49"/>
    <w:rsid w:val="0070409D"/>
    <w:rsid w:val="007048CE"/>
    <w:rsid w:val="00706218"/>
    <w:rsid w:val="0070710F"/>
    <w:rsid w:val="0071126D"/>
    <w:rsid w:val="00712FDF"/>
    <w:rsid w:val="00713276"/>
    <w:rsid w:val="0071394E"/>
    <w:rsid w:val="00713B3C"/>
    <w:rsid w:val="007145E6"/>
    <w:rsid w:val="0071588D"/>
    <w:rsid w:val="007160D6"/>
    <w:rsid w:val="00717957"/>
    <w:rsid w:val="0072079F"/>
    <w:rsid w:val="0072596C"/>
    <w:rsid w:val="00726016"/>
    <w:rsid w:val="0072706A"/>
    <w:rsid w:val="007271CB"/>
    <w:rsid w:val="00731752"/>
    <w:rsid w:val="007324E3"/>
    <w:rsid w:val="00733EFD"/>
    <w:rsid w:val="00734CDB"/>
    <w:rsid w:val="00735C14"/>
    <w:rsid w:val="00735D91"/>
    <w:rsid w:val="007364A9"/>
    <w:rsid w:val="0073782F"/>
    <w:rsid w:val="00737874"/>
    <w:rsid w:val="0074182D"/>
    <w:rsid w:val="00744A41"/>
    <w:rsid w:val="00745213"/>
    <w:rsid w:val="0074640D"/>
    <w:rsid w:val="00750CE2"/>
    <w:rsid w:val="00751581"/>
    <w:rsid w:val="00752542"/>
    <w:rsid w:val="007530DE"/>
    <w:rsid w:val="00753620"/>
    <w:rsid w:val="0075542E"/>
    <w:rsid w:val="007563D8"/>
    <w:rsid w:val="007578B4"/>
    <w:rsid w:val="00757923"/>
    <w:rsid w:val="0076144D"/>
    <w:rsid w:val="00762AA4"/>
    <w:rsid w:val="0076301B"/>
    <w:rsid w:val="00765939"/>
    <w:rsid w:val="00765A51"/>
    <w:rsid w:val="00767309"/>
    <w:rsid w:val="00767EFD"/>
    <w:rsid w:val="0077060A"/>
    <w:rsid w:val="00771FE5"/>
    <w:rsid w:val="00773919"/>
    <w:rsid w:val="00773BA2"/>
    <w:rsid w:val="00774F6D"/>
    <w:rsid w:val="0078001F"/>
    <w:rsid w:val="00780404"/>
    <w:rsid w:val="007813B0"/>
    <w:rsid w:val="00781818"/>
    <w:rsid w:val="007821DF"/>
    <w:rsid w:val="00782DFA"/>
    <w:rsid w:val="0078574C"/>
    <w:rsid w:val="007871CA"/>
    <w:rsid w:val="00787B08"/>
    <w:rsid w:val="00790C54"/>
    <w:rsid w:val="00792011"/>
    <w:rsid w:val="0079460C"/>
    <w:rsid w:val="007956BB"/>
    <w:rsid w:val="00795875"/>
    <w:rsid w:val="007973C7"/>
    <w:rsid w:val="00797B0F"/>
    <w:rsid w:val="007A0B39"/>
    <w:rsid w:val="007A18E4"/>
    <w:rsid w:val="007A3C7A"/>
    <w:rsid w:val="007A4448"/>
    <w:rsid w:val="007A5EBC"/>
    <w:rsid w:val="007A7B1B"/>
    <w:rsid w:val="007B07E1"/>
    <w:rsid w:val="007B0AEF"/>
    <w:rsid w:val="007B0E2D"/>
    <w:rsid w:val="007B0E49"/>
    <w:rsid w:val="007B10B3"/>
    <w:rsid w:val="007B16C9"/>
    <w:rsid w:val="007B1714"/>
    <w:rsid w:val="007B3C79"/>
    <w:rsid w:val="007B4E06"/>
    <w:rsid w:val="007B57A3"/>
    <w:rsid w:val="007B592C"/>
    <w:rsid w:val="007C0403"/>
    <w:rsid w:val="007C0F11"/>
    <w:rsid w:val="007C0FFC"/>
    <w:rsid w:val="007C3832"/>
    <w:rsid w:val="007C4AFF"/>
    <w:rsid w:val="007C4E6F"/>
    <w:rsid w:val="007C5872"/>
    <w:rsid w:val="007C6D5C"/>
    <w:rsid w:val="007D2944"/>
    <w:rsid w:val="007D4817"/>
    <w:rsid w:val="007E2D2B"/>
    <w:rsid w:val="007E43F3"/>
    <w:rsid w:val="007E727F"/>
    <w:rsid w:val="007F018C"/>
    <w:rsid w:val="007F0791"/>
    <w:rsid w:val="007F1ABB"/>
    <w:rsid w:val="007F249F"/>
    <w:rsid w:val="007F37BC"/>
    <w:rsid w:val="007F454E"/>
    <w:rsid w:val="007F46F3"/>
    <w:rsid w:val="007F7982"/>
    <w:rsid w:val="00800466"/>
    <w:rsid w:val="00800A66"/>
    <w:rsid w:val="00800FE2"/>
    <w:rsid w:val="00801053"/>
    <w:rsid w:val="00804D97"/>
    <w:rsid w:val="008052CD"/>
    <w:rsid w:val="00807268"/>
    <w:rsid w:val="00810E01"/>
    <w:rsid w:val="0081213E"/>
    <w:rsid w:val="00814AC0"/>
    <w:rsid w:val="00815407"/>
    <w:rsid w:val="00827658"/>
    <w:rsid w:val="008316EC"/>
    <w:rsid w:val="00832B81"/>
    <w:rsid w:val="00833C13"/>
    <w:rsid w:val="0083651B"/>
    <w:rsid w:val="00837900"/>
    <w:rsid w:val="008402BD"/>
    <w:rsid w:val="00841127"/>
    <w:rsid w:val="008427B7"/>
    <w:rsid w:val="0084354E"/>
    <w:rsid w:val="00843637"/>
    <w:rsid w:val="00843D6C"/>
    <w:rsid w:val="008449A3"/>
    <w:rsid w:val="0084618A"/>
    <w:rsid w:val="008467A6"/>
    <w:rsid w:val="00846F37"/>
    <w:rsid w:val="008478E8"/>
    <w:rsid w:val="008503A2"/>
    <w:rsid w:val="00852FBD"/>
    <w:rsid w:val="008541B8"/>
    <w:rsid w:val="00854469"/>
    <w:rsid w:val="008545EF"/>
    <w:rsid w:val="0085507C"/>
    <w:rsid w:val="00855535"/>
    <w:rsid w:val="008564B0"/>
    <w:rsid w:val="00856873"/>
    <w:rsid w:val="00856AFA"/>
    <w:rsid w:val="00856BF9"/>
    <w:rsid w:val="0086166A"/>
    <w:rsid w:val="0086285D"/>
    <w:rsid w:val="00863804"/>
    <w:rsid w:val="0086380D"/>
    <w:rsid w:val="008638B3"/>
    <w:rsid w:val="00866523"/>
    <w:rsid w:val="00866C6B"/>
    <w:rsid w:val="0087042D"/>
    <w:rsid w:val="00870885"/>
    <w:rsid w:val="00871FA6"/>
    <w:rsid w:val="00873BFB"/>
    <w:rsid w:val="00876518"/>
    <w:rsid w:val="00877FC8"/>
    <w:rsid w:val="00881F37"/>
    <w:rsid w:val="00881F7C"/>
    <w:rsid w:val="00883B9A"/>
    <w:rsid w:val="00884592"/>
    <w:rsid w:val="00885EBE"/>
    <w:rsid w:val="008874BA"/>
    <w:rsid w:val="008911BD"/>
    <w:rsid w:val="0089243C"/>
    <w:rsid w:val="00893284"/>
    <w:rsid w:val="00896860"/>
    <w:rsid w:val="008971D6"/>
    <w:rsid w:val="008A0BEC"/>
    <w:rsid w:val="008A2D0B"/>
    <w:rsid w:val="008A2E82"/>
    <w:rsid w:val="008A34C5"/>
    <w:rsid w:val="008A45BA"/>
    <w:rsid w:val="008A4F6C"/>
    <w:rsid w:val="008A522B"/>
    <w:rsid w:val="008A5695"/>
    <w:rsid w:val="008A65E5"/>
    <w:rsid w:val="008B19E2"/>
    <w:rsid w:val="008B2612"/>
    <w:rsid w:val="008B4CCF"/>
    <w:rsid w:val="008B7241"/>
    <w:rsid w:val="008B776A"/>
    <w:rsid w:val="008C075E"/>
    <w:rsid w:val="008C176F"/>
    <w:rsid w:val="008C590E"/>
    <w:rsid w:val="008C621E"/>
    <w:rsid w:val="008C762C"/>
    <w:rsid w:val="008C7CF3"/>
    <w:rsid w:val="008D1F90"/>
    <w:rsid w:val="008D28B6"/>
    <w:rsid w:val="008D2BE6"/>
    <w:rsid w:val="008D4E39"/>
    <w:rsid w:val="008D61E4"/>
    <w:rsid w:val="008D7AEE"/>
    <w:rsid w:val="008E0DC1"/>
    <w:rsid w:val="008E40AD"/>
    <w:rsid w:val="008E4E05"/>
    <w:rsid w:val="008E56ED"/>
    <w:rsid w:val="008E575C"/>
    <w:rsid w:val="008F007B"/>
    <w:rsid w:val="008F2F3B"/>
    <w:rsid w:val="008F2FEE"/>
    <w:rsid w:val="008F63C2"/>
    <w:rsid w:val="008F6F17"/>
    <w:rsid w:val="008F7B62"/>
    <w:rsid w:val="00900C46"/>
    <w:rsid w:val="009026B5"/>
    <w:rsid w:val="00902841"/>
    <w:rsid w:val="00906738"/>
    <w:rsid w:val="00906C79"/>
    <w:rsid w:val="00907F3A"/>
    <w:rsid w:val="009108C9"/>
    <w:rsid w:val="009116F0"/>
    <w:rsid w:val="0091198B"/>
    <w:rsid w:val="00911A48"/>
    <w:rsid w:val="00911DFB"/>
    <w:rsid w:val="00912755"/>
    <w:rsid w:val="009138D8"/>
    <w:rsid w:val="009152CB"/>
    <w:rsid w:val="00920A6F"/>
    <w:rsid w:val="00920D1D"/>
    <w:rsid w:val="0092263C"/>
    <w:rsid w:val="009247D8"/>
    <w:rsid w:val="009270FF"/>
    <w:rsid w:val="00930BFF"/>
    <w:rsid w:val="00930CDF"/>
    <w:rsid w:val="00933E6C"/>
    <w:rsid w:val="00934647"/>
    <w:rsid w:val="009365D9"/>
    <w:rsid w:val="009371E3"/>
    <w:rsid w:val="009400A3"/>
    <w:rsid w:val="00940201"/>
    <w:rsid w:val="00941159"/>
    <w:rsid w:val="0094313B"/>
    <w:rsid w:val="00945D3F"/>
    <w:rsid w:val="00947C94"/>
    <w:rsid w:val="009508DA"/>
    <w:rsid w:val="00950B32"/>
    <w:rsid w:val="009518FA"/>
    <w:rsid w:val="00953D37"/>
    <w:rsid w:val="00956233"/>
    <w:rsid w:val="009562CF"/>
    <w:rsid w:val="00956D79"/>
    <w:rsid w:val="00957800"/>
    <w:rsid w:val="00957D22"/>
    <w:rsid w:val="0096175A"/>
    <w:rsid w:val="00962C2A"/>
    <w:rsid w:val="0096324E"/>
    <w:rsid w:val="009634E2"/>
    <w:rsid w:val="009635D4"/>
    <w:rsid w:val="00963B95"/>
    <w:rsid w:val="009648BE"/>
    <w:rsid w:val="009701E4"/>
    <w:rsid w:val="009720B4"/>
    <w:rsid w:val="0097442E"/>
    <w:rsid w:val="00974A81"/>
    <w:rsid w:val="00975779"/>
    <w:rsid w:val="00976D47"/>
    <w:rsid w:val="00976E24"/>
    <w:rsid w:val="00977225"/>
    <w:rsid w:val="00981440"/>
    <w:rsid w:val="0098188E"/>
    <w:rsid w:val="009832FF"/>
    <w:rsid w:val="009844F0"/>
    <w:rsid w:val="00985A7D"/>
    <w:rsid w:val="0099344F"/>
    <w:rsid w:val="009945BD"/>
    <w:rsid w:val="009949C9"/>
    <w:rsid w:val="0099543F"/>
    <w:rsid w:val="009957A5"/>
    <w:rsid w:val="00995F1D"/>
    <w:rsid w:val="0099678B"/>
    <w:rsid w:val="00996D89"/>
    <w:rsid w:val="00997378"/>
    <w:rsid w:val="009A02D2"/>
    <w:rsid w:val="009A072C"/>
    <w:rsid w:val="009A1C16"/>
    <w:rsid w:val="009A3E25"/>
    <w:rsid w:val="009A5183"/>
    <w:rsid w:val="009A64FA"/>
    <w:rsid w:val="009A67E3"/>
    <w:rsid w:val="009A6936"/>
    <w:rsid w:val="009A6F13"/>
    <w:rsid w:val="009B0812"/>
    <w:rsid w:val="009B6010"/>
    <w:rsid w:val="009C062A"/>
    <w:rsid w:val="009C3FCE"/>
    <w:rsid w:val="009C58DB"/>
    <w:rsid w:val="009C6DEA"/>
    <w:rsid w:val="009C710C"/>
    <w:rsid w:val="009C7870"/>
    <w:rsid w:val="009D124B"/>
    <w:rsid w:val="009D286D"/>
    <w:rsid w:val="009D492F"/>
    <w:rsid w:val="009E0A4A"/>
    <w:rsid w:val="009E29A6"/>
    <w:rsid w:val="009E40E3"/>
    <w:rsid w:val="009E4F2E"/>
    <w:rsid w:val="009E665E"/>
    <w:rsid w:val="009F1CCB"/>
    <w:rsid w:val="009F3021"/>
    <w:rsid w:val="009F3360"/>
    <w:rsid w:val="009F34C9"/>
    <w:rsid w:val="009F35A2"/>
    <w:rsid w:val="00A00107"/>
    <w:rsid w:val="00A00118"/>
    <w:rsid w:val="00A00571"/>
    <w:rsid w:val="00A01463"/>
    <w:rsid w:val="00A038D1"/>
    <w:rsid w:val="00A063A8"/>
    <w:rsid w:val="00A06ED3"/>
    <w:rsid w:val="00A0742C"/>
    <w:rsid w:val="00A07949"/>
    <w:rsid w:val="00A079C4"/>
    <w:rsid w:val="00A104B9"/>
    <w:rsid w:val="00A10C94"/>
    <w:rsid w:val="00A11499"/>
    <w:rsid w:val="00A131B8"/>
    <w:rsid w:val="00A15C53"/>
    <w:rsid w:val="00A16862"/>
    <w:rsid w:val="00A21380"/>
    <w:rsid w:val="00A22204"/>
    <w:rsid w:val="00A23BB5"/>
    <w:rsid w:val="00A2444A"/>
    <w:rsid w:val="00A252DF"/>
    <w:rsid w:val="00A255CE"/>
    <w:rsid w:val="00A25E0B"/>
    <w:rsid w:val="00A2619B"/>
    <w:rsid w:val="00A3081C"/>
    <w:rsid w:val="00A31074"/>
    <w:rsid w:val="00A31551"/>
    <w:rsid w:val="00A3170E"/>
    <w:rsid w:val="00A31955"/>
    <w:rsid w:val="00A323B6"/>
    <w:rsid w:val="00A3267F"/>
    <w:rsid w:val="00A331A7"/>
    <w:rsid w:val="00A3360C"/>
    <w:rsid w:val="00A34CA6"/>
    <w:rsid w:val="00A36089"/>
    <w:rsid w:val="00A36683"/>
    <w:rsid w:val="00A3725C"/>
    <w:rsid w:val="00A376AB"/>
    <w:rsid w:val="00A3799A"/>
    <w:rsid w:val="00A41620"/>
    <w:rsid w:val="00A43478"/>
    <w:rsid w:val="00A45B5A"/>
    <w:rsid w:val="00A47280"/>
    <w:rsid w:val="00A478BA"/>
    <w:rsid w:val="00A53EEA"/>
    <w:rsid w:val="00A542A8"/>
    <w:rsid w:val="00A603D2"/>
    <w:rsid w:val="00A608FD"/>
    <w:rsid w:val="00A61F27"/>
    <w:rsid w:val="00A630AC"/>
    <w:rsid w:val="00A644AB"/>
    <w:rsid w:val="00A64A57"/>
    <w:rsid w:val="00A6720E"/>
    <w:rsid w:val="00A67E3D"/>
    <w:rsid w:val="00A712B4"/>
    <w:rsid w:val="00A7159B"/>
    <w:rsid w:val="00A7347C"/>
    <w:rsid w:val="00A73F21"/>
    <w:rsid w:val="00A7439E"/>
    <w:rsid w:val="00A74949"/>
    <w:rsid w:val="00A8087A"/>
    <w:rsid w:val="00A81E25"/>
    <w:rsid w:val="00A81EA1"/>
    <w:rsid w:val="00A8264F"/>
    <w:rsid w:val="00A85B30"/>
    <w:rsid w:val="00A862AA"/>
    <w:rsid w:val="00A8784A"/>
    <w:rsid w:val="00A90957"/>
    <w:rsid w:val="00A9427D"/>
    <w:rsid w:val="00A95713"/>
    <w:rsid w:val="00A9666D"/>
    <w:rsid w:val="00A96A76"/>
    <w:rsid w:val="00A96ECF"/>
    <w:rsid w:val="00A9738B"/>
    <w:rsid w:val="00AA1CD0"/>
    <w:rsid w:val="00AA2B19"/>
    <w:rsid w:val="00AA3590"/>
    <w:rsid w:val="00AA411A"/>
    <w:rsid w:val="00AA45CD"/>
    <w:rsid w:val="00AA462A"/>
    <w:rsid w:val="00AA5397"/>
    <w:rsid w:val="00AA5D21"/>
    <w:rsid w:val="00AA647E"/>
    <w:rsid w:val="00AA739B"/>
    <w:rsid w:val="00AA7D6B"/>
    <w:rsid w:val="00AB0E97"/>
    <w:rsid w:val="00AB141C"/>
    <w:rsid w:val="00AB1809"/>
    <w:rsid w:val="00AB2DE5"/>
    <w:rsid w:val="00AB53A8"/>
    <w:rsid w:val="00AB59FC"/>
    <w:rsid w:val="00AB6F7E"/>
    <w:rsid w:val="00AB7205"/>
    <w:rsid w:val="00AC262E"/>
    <w:rsid w:val="00AC303E"/>
    <w:rsid w:val="00AC4963"/>
    <w:rsid w:val="00AC5A4E"/>
    <w:rsid w:val="00AC5FCA"/>
    <w:rsid w:val="00AC72E7"/>
    <w:rsid w:val="00AD085C"/>
    <w:rsid w:val="00AD2B2E"/>
    <w:rsid w:val="00AD2F8B"/>
    <w:rsid w:val="00AD31CE"/>
    <w:rsid w:val="00AD3930"/>
    <w:rsid w:val="00AD6348"/>
    <w:rsid w:val="00AD7441"/>
    <w:rsid w:val="00AE10E9"/>
    <w:rsid w:val="00AE16AD"/>
    <w:rsid w:val="00AE65DD"/>
    <w:rsid w:val="00AF179A"/>
    <w:rsid w:val="00AF4E47"/>
    <w:rsid w:val="00AF62A8"/>
    <w:rsid w:val="00AF6DEB"/>
    <w:rsid w:val="00B042F2"/>
    <w:rsid w:val="00B05637"/>
    <w:rsid w:val="00B0605E"/>
    <w:rsid w:val="00B07A63"/>
    <w:rsid w:val="00B14282"/>
    <w:rsid w:val="00B1441E"/>
    <w:rsid w:val="00B1458F"/>
    <w:rsid w:val="00B14EC0"/>
    <w:rsid w:val="00B21237"/>
    <w:rsid w:val="00B219C8"/>
    <w:rsid w:val="00B2470A"/>
    <w:rsid w:val="00B24F87"/>
    <w:rsid w:val="00B25D2F"/>
    <w:rsid w:val="00B25D53"/>
    <w:rsid w:val="00B317ED"/>
    <w:rsid w:val="00B32363"/>
    <w:rsid w:val="00B33BA7"/>
    <w:rsid w:val="00B362BF"/>
    <w:rsid w:val="00B36706"/>
    <w:rsid w:val="00B37219"/>
    <w:rsid w:val="00B444A6"/>
    <w:rsid w:val="00B45124"/>
    <w:rsid w:val="00B46F5A"/>
    <w:rsid w:val="00B50974"/>
    <w:rsid w:val="00B51AC2"/>
    <w:rsid w:val="00B51C48"/>
    <w:rsid w:val="00B526A2"/>
    <w:rsid w:val="00B53BA5"/>
    <w:rsid w:val="00B547C0"/>
    <w:rsid w:val="00B550E3"/>
    <w:rsid w:val="00B55D69"/>
    <w:rsid w:val="00B5627A"/>
    <w:rsid w:val="00B5641F"/>
    <w:rsid w:val="00B564CC"/>
    <w:rsid w:val="00B56DF8"/>
    <w:rsid w:val="00B57202"/>
    <w:rsid w:val="00B605C7"/>
    <w:rsid w:val="00B613DA"/>
    <w:rsid w:val="00B6160D"/>
    <w:rsid w:val="00B61DDE"/>
    <w:rsid w:val="00B62A5A"/>
    <w:rsid w:val="00B644DD"/>
    <w:rsid w:val="00B6489E"/>
    <w:rsid w:val="00B6597F"/>
    <w:rsid w:val="00B66490"/>
    <w:rsid w:val="00B66A46"/>
    <w:rsid w:val="00B66FCE"/>
    <w:rsid w:val="00B67614"/>
    <w:rsid w:val="00B7014D"/>
    <w:rsid w:val="00B71442"/>
    <w:rsid w:val="00B71E44"/>
    <w:rsid w:val="00B720F3"/>
    <w:rsid w:val="00B73FF9"/>
    <w:rsid w:val="00B74125"/>
    <w:rsid w:val="00B74DC5"/>
    <w:rsid w:val="00B75751"/>
    <w:rsid w:val="00B82407"/>
    <w:rsid w:val="00B82ADC"/>
    <w:rsid w:val="00B84254"/>
    <w:rsid w:val="00B85107"/>
    <w:rsid w:val="00B91E8D"/>
    <w:rsid w:val="00B93F41"/>
    <w:rsid w:val="00B94331"/>
    <w:rsid w:val="00B9702B"/>
    <w:rsid w:val="00B97CCC"/>
    <w:rsid w:val="00BA0481"/>
    <w:rsid w:val="00BA0648"/>
    <w:rsid w:val="00BA5F3F"/>
    <w:rsid w:val="00BA6D35"/>
    <w:rsid w:val="00BB04EE"/>
    <w:rsid w:val="00BB177D"/>
    <w:rsid w:val="00BB2430"/>
    <w:rsid w:val="00BB2670"/>
    <w:rsid w:val="00BB28A6"/>
    <w:rsid w:val="00BB2CDF"/>
    <w:rsid w:val="00BB66EA"/>
    <w:rsid w:val="00BB6CBA"/>
    <w:rsid w:val="00BC0B41"/>
    <w:rsid w:val="00BC0C38"/>
    <w:rsid w:val="00BC1C9B"/>
    <w:rsid w:val="00BC2359"/>
    <w:rsid w:val="00BC26D9"/>
    <w:rsid w:val="00BC2CED"/>
    <w:rsid w:val="00BC3CE7"/>
    <w:rsid w:val="00BC4864"/>
    <w:rsid w:val="00BC5AC9"/>
    <w:rsid w:val="00BC6A03"/>
    <w:rsid w:val="00BC7754"/>
    <w:rsid w:val="00BC7BAF"/>
    <w:rsid w:val="00BC7CA3"/>
    <w:rsid w:val="00BD1D71"/>
    <w:rsid w:val="00BD5DCB"/>
    <w:rsid w:val="00BE026A"/>
    <w:rsid w:val="00BE12E1"/>
    <w:rsid w:val="00BE170B"/>
    <w:rsid w:val="00BE26CF"/>
    <w:rsid w:val="00BE3303"/>
    <w:rsid w:val="00BE5DC9"/>
    <w:rsid w:val="00BE7FD2"/>
    <w:rsid w:val="00BF1398"/>
    <w:rsid w:val="00BF20E8"/>
    <w:rsid w:val="00BF2A1E"/>
    <w:rsid w:val="00BF5119"/>
    <w:rsid w:val="00BF64FE"/>
    <w:rsid w:val="00C04CAF"/>
    <w:rsid w:val="00C05ABD"/>
    <w:rsid w:val="00C05F52"/>
    <w:rsid w:val="00C06746"/>
    <w:rsid w:val="00C0742A"/>
    <w:rsid w:val="00C1120A"/>
    <w:rsid w:val="00C123B7"/>
    <w:rsid w:val="00C13DAF"/>
    <w:rsid w:val="00C1666B"/>
    <w:rsid w:val="00C17089"/>
    <w:rsid w:val="00C21A64"/>
    <w:rsid w:val="00C23464"/>
    <w:rsid w:val="00C23BD0"/>
    <w:rsid w:val="00C243BD"/>
    <w:rsid w:val="00C24BD8"/>
    <w:rsid w:val="00C24C2A"/>
    <w:rsid w:val="00C255B6"/>
    <w:rsid w:val="00C276BD"/>
    <w:rsid w:val="00C27F6E"/>
    <w:rsid w:val="00C32B42"/>
    <w:rsid w:val="00C34077"/>
    <w:rsid w:val="00C34CAB"/>
    <w:rsid w:val="00C3533D"/>
    <w:rsid w:val="00C355A4"/>
    <w:rsid w:val="00C366AB"/>
    <w:rsid w:val="00C41A94"/>
    <w:rsid w:val="00C4231C"/>
    <w:rsid w:val="00C4344A"/>
    <w:rsid w:val="00C46138"/>
    <w:rsid w:val="00C46362"/>
    <w:rsid w:val="00C5193E"/>
    <w:rsid w:val="00C53888"/>
    <w:rsid w:val="00C54076"/>
    <w:rsid w:val="00C5759A"/>
    <w:rsid w:val="00C60ADD"/>
    <w:rsid w:val="00C627B6"/>
    <w:rsid w:val="00C63E03"/>
    <w:rsid w:val="00C67411"/>
    <w:rsid w:val="00C6774F"/>
    <w:rsid w:val="00C67E9C"/>
    <w:rsid w:val="00C70872"/>
    <w:rsid w:val="00C72267"/>
    <w:rsid w:val="00C73860"/>
    <w:rsid w:val="00C75F66"/>
    <w:rsid w:val="00C76672"/>
    <w:rsid w:val="00C77747"/>
    <w:rsid w:val="00C77FD1"/>
    <w:rsid w:val="00C812FB"/>
    <w:rsid w:val="00C825BD"/>
    <w:rsid w:val="00C82833"/>
    <w:rsid w:val="00C828AC"/>
    <w:rsid w:val="00C83392"/>
    <w:rsid w:val="00C84A29"/>
    <w:rsid w:val="00C85B5D"/>
    <w:rsid w:val="00C86278"/>
    <w:rsid w:val="00C873D5"/>
    <w:rsid w:val="00C9146D"/>
    <w:rsid w:val="00C91A18"/>
    <w:rsid w:val="00C92531"/>
    <w:rsid w:val="00C92D98"/>
    <w:rsid w:val="00C93FA3"/>
    <w:rsid w:val="00C949D6"/>
    <w:rsid w:val="00CA103B"/>
    <w:rsid w:val="00CA1A99"/>
    <w:rsid w:val="00CA20D8"/>
    <w:rsid w:val="00CA2706"/>
    <w:rsid w:val="00CA2901"/>
    <w:rsid w:val="00CA2F26"/>
    <w:rsid w:val="00CA4D4E"/>
    <w:rsid w:val="00CA53EA"/>
    <w:rsid w:val="00CA5B9B"/>
    <w:rsid w:val="00CA6E9F"/>
    <w:rsid w:val="00CB1D23"/>
    <w:rsid w:val="00CB2F66"/>
    <w:rsid w:val="00CB64A9"/>
    <w:rsid w:val="00CB71BA"/>
    <w:rsid w:val="00CC0001"/>
    <w:rsid w:val="00CC0303"/>
    <w:rsid w:val="00CC6B90"/>
    <w:rsid w:val="00CC7EC4"/>
    <w:rsid w:val="00CD0144"/>
    <w:rsid w:val="00CD0CFD"/>
    <w:rsid w:val="00CD1D41"/>
    <w:rsid w:val="00CD2C42"/>
    <w:rsid w:val="00CD36BE"/>
    <w:rsid w:val="00CD596A"/>
    <w:rsid w:val="00CD7415"/>
    <w:rsid w:val="00CD7991"/>
    <w:rsid w:val="00CD7DF8"/>
    <w:rsid w:val="00CE1920"/>
    <w:rsid w:val="00CE2DD1"/>
    <w:rsid w:val="00CE4973"/>
    <w:rsid w:val="00CE6065"/>
    <w:rsid w:val="00CE65E2"/>
    <w:rsid w:val="00CF5DF0"/>
    <w:rsid w:val="00D006B4"/>
    <w:rsid w:val="00D0100D"/>
    <w:rsid w:val="00D0276A"/>
    <w:rsid w:val="00D04056"/>
    <w:rsid w:val="00D051D9"/>
    <w:rsid w:val="00D118A5"/>
    <w:rsid w:val="00D12F0F"/>
    <w:rsid w:val="00D1321B"/>
    <w:rsid w:val="00D13E5C"/>
    <w:rsid w:val="00D1435C"/>
    <w:rsid w:val="00D156D8"/>
    <w:rsid w:val="00D15835"/>
    <w:rsid w:val="00D15BC7"/>
    <w:rsid w:val="00D16BC7"/>
    <w:rsid w:val="00D173E1"/>
    <w:rsid w:val="00D17F23"/>
    <w:rsid w:val="00D212F6"/>
    <w:rsid w:val="00D21600"/>
    <w:rsid w:val="00D21BA8"/>
    <w:rsid w:val="00D2312D"/>
    <w:rsid w:val="00D26E75"/>
    <w:rsid w:val="00D31336"/>
    <w:rsid w:val="00D3332D"/>
    <w:rsid w:val="00D35482"/>
    <w:rsid w:val="00D371F8"/>
    <w:rsid w:val="00D37CB0"/>
    <w:rsid w:val="00D41BC8"/>
    <w:rsid w:val="00D45907"/>
    <w:rsid w:val="00D4796E"/>
    <w:rsid w:val="00D51038"/>
    <w:rsid w:val="00D523EE"/>
    <w:rsid w:val="00D52970"/>
    <w:rsid w:val="00D5298F"/>
    <w:rsid w:val="00D52A94"/>
    <w:rsid w:val="00D52C02"/>
    <w:rsid w:val="00D52F69"/>
    <w:rsid w:val="00D53009"/>
    <w:rsid w:val="00D5335F"/>
    <w:rsid w:val="00D572C9"/>
    <w:rsid w:val="00D57D23"/>
    <w:rsid w:val="00D615AA"/>
    <w:rsid w:val="00D625D6"/>
    <w:rsid w:val="00D62F54"/>
    <w:rsid w:val="00D661F8"/>
    <w:rsid w:val="00D6715C"/>
    <w:rsid w:val="00D67BCA"/>
    <w:rsid w:val="00D70CC5"/>
    <w:rsid w:val="00D70D32"/>
    <w:rsid w:val="00D7363A"/>
    <w:rsid w:val="00D767F0"/>
    <w:rsid w:val="00D7739D"/>
    <w:rsid w:val="00D8090E"/>
    <w:rsid w:val="00D8433F"/>
    <w:rsid w:val="00D86E32"/>
    <w:rsid w:val="00D9050D"/>
    <w:rsid w:val="00D90A8B"/>
    <w:rsid w:val="00D9113C"/>
    <w:rsid w:val="00D91219"/>
    <w:rsid w:val="00D91A3A"/>
    <w:rsid w:val="00D93677"/>
    <w:rsid w:val="00D94341"/>
    <w:rsid w:val="00D94365"/>
    <w:rsid w:val="00D95DFA"/>
    <w:rsid w:val="00D963F6"/>
    <w:rsid w:val="00D969E7"/>
    <w:rsid w:val="00DA0679"/>
    <w:rsid w:val="00DA083A"/>
    <w:rsid w:val="00DA1444"/>
    <w:rsid w:val="00DA15E5"/>
    <w:rsid w:val="00DA1D7D"/>
    <w:rsid w:val="00DA40EC"/>
    <w:rsid w:val="00DB1024"/>
    <w:rsid w:val="00DB7442"/>
    <w:rsid w:val="00DC0D25"/>
    <w:rsid w:val="00DC0EF0"/>
    <w:rsid w:val="00DC18F7"/>
    <w:rsid w:val="00DC221A"/>
    <w:rsid w:val="00DC4024"/>
    <w:rsid w:val="00DC40CA"/>
    <w:rsid w:val="00DC5637"/>
    <w:rsid w:val="00DC60E8"/>
    <w:rsid w:val="00DC713E"/>
    <w:rsid w:val="00DC71E1"/>
    <w:rsid w:val="00DD1272"/>
    <w:rsid w:val="00DD3102"/>
    <w:rsid w:val="00DD48BD"/>
    <w:rsid w:val="00DD49BA"/>
    <w:rsid w:val="00DD5AAE"/>
    <w:rsid w:val="00DD7E6D"/>
    <w:rsid w:val="00DD7FB0"/>
    <w:rsid w:val="00DE1157"/>
    <w:rsid w:val="00DE6449"/>
    <w:rsid w:val="00DE7359"/>
    <w:rsid w:val="00DE757C"/>
    <w:rsid w:val="00DE7B83"/>
    <w:rsid w:val="00DF08A8"/>
    <w:rsid w:val="00DF0BB1"/>
    <w:rsid w:val="00DF2A80"/>
    <w:rsid w:val="00DF66E9"/>
    <w:rsid w:val="00DF6A4C"/>
    <w:rsid w:val="00E00520"/>
    <w:rsid w:val="00E0156D"/>
    <w:rsid w:val="00E04A6D"/>
    <w:rsid w:val="00E06EAC"/>
    <w:rsid w:val="00E06EB1"/>
    <w:rsid w:val="00E11C34"/>
    <w:rsid w:val="00E12065"/>
    <w:rsid w:val="00E12865"/>
    <w:rsid w:val="00E159A0"/>
    <w:rsid w:val="00E2023F"/>
    <w:rsid w:val="00E21C45"/>
    <w:rsid w:val="00E26021"/>
    <w:rsid w:val="00E26918"/>
    <w:rsid w:val="00E304C6"/>
    <w:rsid w:val="00E3102E"/>
    <w:rsid w:val="00E31041"/>
    <w:rsid w:val="00E33CB5"/>
    <w:rsid w:val="00E34B87"/>
    <w:rsid w:val="00E35FEA"/>
    <w:rsid w:val="00E36178"/>
    <w:rsid w:val="00E367CF"/>
    <w:rsid w:val="00E40471"/>
    <w:rsid w:val="00E4087A"/>
    <w:rsid w:val="00E41AE4"/>
    <w:rsid w:val="00E427FA"/>
    <w:rsid w:val="00E43D2F"/>
    <w:rsid w:val="00E4553E"/>
    <w:rsid w:val="00E51A8A"/>
    <w:rsid w:val="00E51B85"/>
    <w:rsid w:val="00E52BAE"/>
    <w:rsid w:val="00E538E0"/>
    <w:rsid w:val="00E5439C"/>
    <w:rsid w:val="00E54B5E"/>
    <w:rsid w:val="00E57122"/>
    <w:rsid w:val="00E573C0"/>
    <w:rsid w:val="00E63E3F"/>
    <w:rsid w:val="00E64C24"/>
    <w:rsid w:val="00E6560D"/>
    <w:rsid w:val="00E704DE"/>
    <w:rsid w:val="00E72A58"/>
    <w:rsid w:val="00E770AC"/>
    <w:rsid w:val="00E77646"/>
    <w:rsid w:val="00E77EDE"/>
    <w:rsid w:val="00E81343"/>
    <w:rsid w:val="00E821B0"/>
    <w:rsid w:val="00E82C8B"/>
    <w:rsid w:val="00E83411"/>
    <w:rsid w:val="00E84857"/>
    <w:rsid w:val="00E864E7"/>
    <w:rsid w:val="00E8651A"/>
    <w:rsid w:val="00E8718C"/>
    <w:rsid w:val="00E92278"/>
    <w:rsid w:val="00E9248C"/>
    <w:rsid w:val="00E92EFE"/>
    <w:rsid w:val="00E92F4C"/>
    <w:rsid w:val="00E948EB"/>
    <w:rsid w:val="00E95D46"/>
    <w:rsid w:val="00E97559"/>
    <w:rsid w:val="00EA0C86"/>
    <w:rsid w:val="00EA166F"/>
    <w:rsid w:val="00EA190C"/>
    <w:rsid w:val="00EA2689"/>
    <w:rsid w:val="00EA3730"/>
    <w:rsid w:val="00EA56F8"/>
    <w:rsid w:val="00EA699B"/>
    <w:rsid w:val="00EA69CD"/>
    <w:rsid w:val="00EA6D91"/>
    <w:rsid w:val="00EA71BA"/>
    <w:rsid w:val="00EA7774"/>
    <w:rsid w:val="00EB038A"/>
    <w:rsid w:val="00EB2A92"/>
    <w:rsid w:val="00EB484A"/>
    <w:rsid w:val="00EB6556"/>
    <w:rsid w:val="00EB7998"/>
    <w:rsid w:val="00EC07E6"/>
    <w:rsid w:val="00EC3849"/>
    <w:rsid w:val="00EC3E87"/>
    <w:rsid w:val="00EC4413"/>
    <w:rsid w:val="00EC654E"/>
    <w:rsid w:val="00EC68B0"/>
    <w:rsid w:val="00ED0FB8"/>
    <w:rsid w:val="00ED1652"/>
    <w:rsid w:val="00ED209C"/>
    <w:rsid w:val="00ED46F2"/>
    <w:rsid w:val="00ED4BF8"/>
    <w:rsid w:val="00ED5518"/>
    <w:rsid w:val="00ED6BE9"/>
    <w:rsid w:val="00EE40CA"/>
    <w:rsid w:val="00EE51EA"/>
    <w:rsid w:val="00EE5557"/>
    <w:rsid w:val="00EF1808"/>
    <w:rsid w:val="00EF3024"/>
    <w:rsid w:val="00EF5334"/>
    <w:rsid w:val="00EF7B28"/>
    <w:rsid w:val="00EF7F94"/>
    <w:rsid w:val="00F015A1"/>
    <w:rsid w:val="00F01CC1"/>
    <w:rsid w:val="00F03483"/>
    <w:rsid w:val="00F072FA"/>
    <w:rsid w:val="00F07321"/>
    <w:rsid w:val="00F11AD5"/>
    <w:rsid w:val="00F1223D"/>
    <w:rsid w:val="00F126C0"/>
    <w:rsid w:val="00F12B12"/>
    <w:rsid w:val="00F133A0"/>
    <w:rsid w:val="00F13514"/>
    <w:rsid w:val="00F13E84"/>
    <w:rsid w:val="00F13F62"/>
    <w:rsid w:val="00F16D62"/>
    <w:rsid w:val="00F16DF5"/>
    <w:rsid w:val="00F171C3"/>
    <w:rsid w:val="00F17A15"/>
    <w:rsid w:val="00F22DC8"/>
    <w:rsid w:val="00F23090"/>
    <w:rsid w:val="00F32A7B"/>
    <w:rsid w:val="00F346CA"/>
    <w:rsid w:val="00F3726B"/>
    <w:rsid w:val="00F37338"/>
    <w:rsid w:val="00F4143E"/>
    <w:rsid w:val="00F41EBF"/>
    <w:rsid w:val="00F42BC9"/>
    <w:rsid w:val="00F43DC2"/>
    <w:rsid w:val="00F441D7"/>
    <w:rsid w:val="00F454B5"/>
    <w:rsid w:val="00F455F4"/>
    <w:rsid w:val="00F46711"/>
    <w:rsid w:val="00F505A2"/>
    <w:rsid w:val="00F50D11"/>
    <w:rsid w:val="00F52914"/>
    <w:rsid w:val="00F54130"/>
    <w:rsid w:val="00F57629"/>
    <w:rsid w:val="00F579EA"/>
    <w:rsid w:val="00F60470"/>
    <w:rsid w:val="00F626A1"/>
    <w:rsid w:val="00F63B7E"/>
    <w:rsid w:val="00F67454"/>
    <w:rsid w:val="00F71B29"/>
    <w:rsid w:val="00F71DFD"/>
    <w:rsid w:val="00F72E82"/>
    <w:rsid w:val="00F74A40"/>
    <w:rsid w:val="00F74ABE"/>
    <w:rsid w:val="00F76819"/>
    <w:rsid w:val="00F77F40"/>
    <w:rsid w:val="00F8632B"/>
    <w:rsid w:val="00F90F6C"/>
    <w:rsid w:val="00F9118D"/>
    <w:rsid w:val="00F9338C"/>
    <w:rsid w:val="00F94A17"/>
    <w:rsid w:val="00F95571"/>
    <w:rsid w:val="00F9685B"/>
    <w:rsid w:val="00F9759C"/>
    <w:rsid w:val="00F97DA6"/>
    <w:rsid w:val="00FA34B8"/>
    <w:rsid w:val="00FA42A8"/>
    <w:rsid w:val="00FA47BF"/>
    <w:rsid w:val="00FA499D"/>
    <w:rsid w:val="00FA4A3B"/>
    <w:rsid w:val="00FA4C41"/>
    <w:rsid w:val="00FA4E0E"/>
    <w:rsid w:val="00FA5B12"/>
    <w:rsid w:val="00FA6B93"/>
    <w:rsid w:val="00FA7342"/>
    <w:rsid w:val="00FB229E"/>
    <w:rsid w:val="00FB22D2"/>
    <w:rsid w:val="00FB275B"/>
    <w:rsid w:val="00FB295C"/>
    <w:rsid w:val="00FB3FBD"/>
    <w:rsid w:val="00FB4A3B"/>
    <w:rsid w:val="00FB54DF"/>
    <w:rsid w:val="00FB6239"/>
    <w:rsid w:val="00FB6786"/>
    <w:rsid w:val="00FC3925"/>
    <w:rsid w:val="00FC4A29"/>
    <w:rsid w:val="00FC5521"/>
    <w:rsid w:val="00FC568A"/>
    <w:rsid w:val="00FC750C"/>
    <w:rsid w:val="00FD0685"/>
    <w:rsid w:val="00FD14C2"/>
    <w:rsid w:val="00FD4271"/>
    <w:rsid w:val="00FD6582"/>
    <w:rsid w:val="00FD794E"/>
    <w:rsid w:val="00FE05CF"/>
    <w:rsid w:val="00FE295A"/>
    <w:rsid w:val="00FE55F2"/>
    <w:rsid w:val="00FE5F30"/>
    <w:rsid w:val="00FE624C"/>
    <w:rsid w:val="00FE71AE"/>
    <w:rsid w:val="00FF26A3"/>
    <w:rsid w:val="00FF2FB6"/>
    <w:rsid w:val="00FF3EF8"/>
    <w:rsid w:val="00FF4F8C"/>
    <w:rsid w:val="00FF54E1"/>
    <w:rsid w:val="00FF5E83"/>
    <w:rsid w:val="00FF710D"/>
    <w:rsid w:val="00FF7826"/>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1F5FB2"/>
  <w15:chartTrackingRefBased/>
  <w15:docId w15:val="{5A8896FA-852B-47FA-8FA0-C3E7EF52C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28A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28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28AC"/>
  </w:style>
  <w:style w:type="paragraph" w:styleId="ListParagraph">
    <w:name w:val="List Paragraph"/>
    <w:basedOn w:val="Normal"/>
    <w:uiPriority w:val="34"/>
    <w:qFormat/>
    <w:rsid w:val="00C828AC"/>
    <w:pPr>
      <w:ind w:left="720"/>
      <w:contextualSpacing/>
    </w:pPr>
  </w:style>
  <w:style w:type="paragraph" w:styleId="Footer">
    <w:name w:val="footer"/>
    <w:basedOn w:val="Normal"/>
    <w:link w:val="FooterChar"/>
    <w:uiPriority w:val="99"/>
    <w:unhideWhenUsed/>
    <w:rsid w:val="00FE5F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5F30"/>
  </w:style>
  <w:style w:type="paragraph" w:styleId="BalloonText">
    <w:name w:val="Balloon Text"/>
    <w:basedOn w:val="Normal"/>
    <w:link w:val="BalloonTextChar"/>
    <w:uiPriority w:val="99"/>
    <w:semiHidden/>
    <w:unhideWhenUsed/>
    <w:rsid w:val="005844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445D"/>
    <w:rPr>
      <w:rFonts w:ascii="Segoe UI" w:hAnsi="Segoe UI" w:cs="Segoe UI"/>
      <w:sz w:val="18"/>
      <w:szCs w:val="18"/>
    </w:rPr>
  </w:style>
  <w:style w:type="character" w:styleId="FootnoteReference">
    <w:name w:val="footnote reference"/>
    <w:basedOn w:val="DefaultParagraphFont"/>
    <w:uiPriority w:val="99"/>
    <w:semiHidden/>
    <w:unhideWhenUsed/>
    <w:rsid w:val="00B219C8"/>
    <w:rPr>
      <w:vertAlign w:val="superscript"/>
    </w:rPr>
  </w:style>
  <w:style w:type="paragraph" w:styleId="FootnoteText">
    <w:name w:val="footnote text"/>
    <w:basedOn w:val="Normal"/>
    <w:link w:val="FootnoteTextChar"/>
    <w:uiPriority w:val="99"/>
    <w:semiHidden/>
    <w:unhideWhenUsed/>
    <w:rsid w:val="000A41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4189"/>
    <w:rPr>
      <w:sz w:val="20"/>
      <w:szCs w:val="20"/>
    </w:rPr>
  </w:style>
  <w:style w:type="paragraph" w:customStyle="1" w:styleId="Default">
    <w:name w:val="Default"/>
    <w:rsid w:val="00426ECF"/>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3E51A0"/>
    <w:rPr>
      <w:sz w:val="16"/>
      <w:szCs w:val="16"/>
    </w:rPr>
  </w:style>
  <w:style w:type="paragraph" w:styleId="CommentText">
    <w:name w:val="annotation text"/>
    <w:basedOn w:val="Normal"/>
    <w:link w:val="CommentTextChar"/>
    <w:uiPriority w:val="99"/>
    <w:semiHidden/>
    <w:unhideWhenUsed/>
    <w:rsid w:val="003E51A0"/>
    <w:pPr>
      <w:spacing w:line="240" w:lineRule="auto"/>
    </w:pPr>
    <w:rPr>
      <w:sz w:val="20"/>
      <w:szCs w:val="20"/>
    </w:rPr>
  </w:style>
  <w:style w:type="character" w:customStyle="1" w:styleId="CommentTextChar">
    <w:name w:val="Comment Text Char"/>
    <w:basedOn w:val="DefaultParagraphFont"/>
    <w:link w:val="CommentText"/>
    <w:uiPriority w:val="99"/>
    <w:semiHidden/>
    <w:rsid w:val="003E51A0"/>
    <w:rPr>
      <w:sz w:val="20"/>
      <w:szCs w:val="20"/>
    </w:rPr>
  </w:style>
  <w:style w:type="paragraph" w:styleId="CommentSubject">
    <w:name w:val="annotation subject"/>
    <w:basedOn w:val="CommentText"/>
    <w:next w:val="CommentText"/>
    <w:link w:val="CommentSubjectChar"/>
    <w:uiPriority w:val="99"/>
    <w:semiHidden/>
    <w:unhideWhenUsed/>
    <w:rsid w:val="003E51A0"/>
    <w:rPr>
      <w:b/>
      <w:bCs/>
    </w:rPr>
  </w:style>
  <w:style w:type="character" w:customStyle="1" w:styleId="CommentSubjectChar">
    <w:name w:val="Comment Subject Char"/>
    <w:basedOn w:val="CommentTextChar"/>
    <w:link w:val="CommentSubject"/>
    <w:uiPriority w:val="99"/>
    <w:semiHidden/>
    <w:rsid w:val="003E51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860421">
      <w:bodyDiv w:val="1"/>
      <w:marLeft w:val="0"/>
      <w:marRight w:val="0"/>
      <w:marTop w:val="0"/>
      <w:marBottom w:val="0"/>
      <w:divBdr>
        <w:top w:val="none" w:sz="0" w:space="0" w:color="auto"/>
        <w:left w:val="none" w:sz="0" w:space="0" w:color="auto"/>
        <w:bottom w:val="none" w:sz="0" w:space="0" w:color="auto"/>
        <w:right w:val="none" w:sz="0" w:space="0" w:color="auto"/>
      </w:divBdr>
    </w:div>
    <w:div w:id="375280158">
      <w:bodyDiv w:val="1"/>
      <w:marLeft w:val="0"/>
      <w:marRight w:val="0"/>
      <w:marTop w:val="0"/>
      <w:marBottom w:val="0"/>
      <w:divBdr>
        <w:top w:val="none" w:sz="0" w:space="0" w:color="auto"/>
        <w:left w:val="none" w:sz="0" w:space="0" w:color="auto"/>
        <w:bottom w:val="none" w:sz="0" w:space="0" w:color="auto"/>
        <w:right w:val="none" w:sz="0" w:space="0" w:color="auto"/>
      </w:divBdr>
    </w:div>
    <w:div w:id="752236288">
      <w:bodyDiv w:val="1"/>
      <w:marLeft w:val="0"/>
      <w:marRight w:val="0"/>
      <w:marTop w:val="0"/>
      <w:marBottom w:val="0"/>
      <w:divBdr>
        <w:top w:val="none" w:sz="0" w:space="0" w:color="auto"/>
        <w:left w:val="none" w:sz="0" w:space="0" w:color="auto"/>
        <w:bottom w:val="none" w:sz="0" w:space="0" w:color="auto"/>
        <w:right w:val="none" w:sz="0" w:space="0" w:color="auto"/>
      </w:divBdr>
      <w:divsChild>
        <w:div w:id="977536294">
          <w:marLeft w:val="0"/>
          <w:marRight w:val="0"/>
          <w:marTop w:val="0"/>
          <w:marBottom w:val="0"/>
          <w:divBdr>
            <w:top w:val="none" w:sz="0" w:space="0" w:color="auto"/>
            <w:left w:val="none" w:sz="0" w:space="0" w:color="auto"/>
            <w:bottom w:val="none" w:sz="0" w:space="0" w:color="auto"/>
            <w:right w:val="none" w:sz="0" w:space="0" w:color="auto"/>
          </w:divBdr>
          <w:divsChild>
            <w:div w:id="295065291">
              <w:marLeft w:val="0"/>
              <w:marRight w:val="0"/>
              <w:marTop w:val="0"/>
              <w:marBottom w:val="0"/>
              <w:divBdr>
                <w:top w:val="none" w:sz="0" w:space="0" w:color="auto"/>
                <w:left w:val="none" w:sz="0" w:space="0" w:color="auto"/>
                <w:bottom w:val="none" w:sz="0" w:space="0" w:color="auto"/>
                <w:right w:val="none" w:sz="0" w:space="0" w:color="auto"/>
              </w:divBdr>
            </w:div>
          </w:divsChild>
        </w:div>
        <w:div w:id="1241674975">
          <w:marLeft w:val="0"/>
          <w:marRight w:val="0"/>
          <w:marTop w:val="0"/>
          <w:marBottom w:val="0"/>
          <w:divBdr>
            <w:top w:val="none" w:sz="0" w:space="0" w:color="auto"/>
            <w:left w:val="none" w:sz="0" w:space="0" w:color="auto"/>
            <w:bottom w:val="none" w:sz="0" w:space="0" w:color="auto"/>
            <w:right w:val="none" w:sz="0" w:space="0" w:color="auto"/>
          </w:divBdr>
          <w:divsChild>
            <w:div w:id="1751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70674">
      <w:bodyDiv w:val="1"/>
      <w:marLeft w:val="0"/>
      <w:marRight w:val="0"/>
      <w:marTop w:val="0"/>
      <w:marBottom w:val="0"/>
      <w:divBdr>
        <w:top w:val="none" w:sz="0" w:space="0" w:color="auto"/>
        <w:left w:val="none" w:sz="0" w:space="0" w:color="auto"/>
        <w:bottom w:val="none" w:sz="0" w:space="0" w:color="auto"/>
        <w:right w:val="none" w:sz="0" w:space="0" w:color="auto"/>
      </w:divBdr>
    </w:div>
    <w:div w:id="1243687380">
      <w:bodyDiv w:val="1"/>
      <w:marLeft w:val="0"/>
      <w:marRight w:val="0"/>
      <w:marTop w:val="0"/>
      <w:marBottom w:val="0"/>
      <w:divBdr>
        <w:top w:val="none" w:sz="0" w:space="0" w:color="auto"/>
        <w:left w:val="none" w:sz="0" w:space="0" w:color="auto"/>
        <w:bottom w:val="none" w:sz="0" w:space="0" w:color="auto"/>
        <w:right w:val="none" w:sz="0" w:space="0" w:color="auto"/>
      </w:divBdr>
    </w:div>
    <w:div w:id="1403407267">
      <w:bodyDiv w:val="1"/>
      <w:marLeft w:val="0"/>
      <w:marRight w:val="0"/>
      <w:marTop w:val="0"/>
      <w:marBottom w:val="0"/>
      <w:divBdr>
        <w:top w:val="none" w:sz="0" w:space="0" w:color="auto"/>
        <w:left w:val="none" w:sz="0" w:space="0" w:color="auto"/>
        <w:bottom w:val="none" w:sz="0" w:space="0" w:color="auto"/>
        <w:right w:val="none" w:sz="0" w:space="0" w:color="auto"/>
      </w:divBdr>
      <w:divsChild>
        <w:div w:id="720634709">
          <w:marLeft w:val="0"/>
          <w:marRight w:val="0"/>
          <w:marTop w:val="0"/>
          <w:marBottom w:val="0"/>
          <w:divBdr>
            <w:top w:val="none" w:sz="0" w:space="0" w:color="auto"/>
            <w:left w:val="none" w:sz="0" w:space="0" w:color="auto"/>
            <w:bottom w:val="none" w:sz="0" w:space="0" w:color="auto"/>
            <w:right w:val="none" w:sz="0" w:space="0" w:color="auto"/>
          </w:divBdr>
        </w:div>
      </w:divsChild>
    </w:div>
    <w:div w:id="1404640556">
      <w:bodyDiv w:val="1"/>
      <w:marLeft w:val="0"/>
      <w:marRight w:val="0"/>
      <w:marTop w:val="0"/>
      <w:marBottom w:val="0"/>
      <w:divBdr>
        <w:top w:val="none" w:sz="0" w:space="0" w:color="auto"/>
        <w:left w:val="none" w:sz="0" w:space="0" w:color="auto"/>
        <w:bottom w:val="none" w:sz="0" w:space="0" w:color="auto"/>
        <w:right w:val="none" w:sz="0" w:space="0" w:color="auto"/>
      </w:divBdr>
      <w:divsChild>
        <w:div w:id="2017032776">
          <w:marLeft w:val="0"/>
          <w:marRight w:val="0"/>
          <w:marTop w:val="0"/>
          <w:marBottom w:val="0"/>
          <w:divBdr>
            <w:top w:val="none" w:sz="0" w:space="0" w:color="auto"/>
            <w:left w:val="none" w:sz="0" w:space="0" w:color="auto"/>
            <w:bottom w:val="none" w:sz="0" w:space="0" w:color="auto"/>
            <w:right w:val="none" w:sz="0" w:space="0" w:color="auto"/>
          </w:divBdr>
        </w:div>
      </w:divsChild>
    </w:div>
    <w:div w:id="1635915389">
      <w:bodyDiv w:val="1"/>
      <w:marLeft w:val="0"/>
      <w:marRight w:val="0"/>
      <w:marTop w:val="0"/>
      <w:marBottom w:val="0"/>
      <w:divBdr>
        <w:top w:val="none" w:sz="0" w:space="0" w:color="auto"/>
        <w:left w:val="none" w:sz="0" w:space="0" w:color="auto"/>
        <w:bottom w:val="none" w:sz="0" w:space="0" w:color="auto"/>
        <w:right w:val="none" w:sz="0" w:space="0" w:color="auto"/>
      </w:divBdr>
    </w:div>
    <w:div w:id="1644969407">
      <w:bodyDiv w:val="1"/>
      <w:marLeft w:val="0"/>
      <w:marRight w:val="0"/>
      <w:marTop w:val="0"/>
      <w:marBottom w:val="0"/>
      <w:divBdr>
        <w:top w:val="none" w:sz="0" w:space="0" w:color="auto"/>
        <w:left w:val="none" w:sz="0" w:space="0" w:color="auto"/>
        <w:bottom w:val="none" w:sz="0" w:space="0" w:color="auto"/>
        <w:right w:val="none" w:sz="0" w:space="0" w:color="auto"/>
      </w:divBdr>
    </w:div>
    <w:div w:id="1808620988">
      <w:bodyDiv w:val="1"/>
      <w:marLeft w:val="0"/>
      <w:marRight w:val="0"/>
      <w:marTop w:val="0"/>
      <w:marBottom w:val="0"/>
      <w:divBdr>
        <w:top w:val="none" w:sz="0" w:space="0" w:color="auto"/>
        <w:left w:val="none" w:sz="0" w:space="0" w:color="auto"/>
        <w:bottom w:val="none" w:sz="0" w:space="0" w:color="auto"/>
        <w:right w:val="none" w:sz="0" w:space="0" w:color="auto"/>
      </w:divBdr>
    </w:div>
    <w:div w:id="1993363380">
      <w:bodyDiv w:val="1"/>
      <w:marLeft w:val="0"/>
      <w:marRight w:val="0"/>
      <w:marTop w:val="0"/>
      <w:marBottom w:val="0"/>
      <w:divBdr>
        <w:top w:val="none" w:sz="0" w:space="0" w:color="auto"/>
        <w:left w:val="none" w:sz="0" w:space="0" w:color="auto"/>
        <w:bottom w:val="none" w:sz="0" w:space="0" w:color="auto"/>
        <w:right w:val="none" w:sz="0" w:space="0" w:color="auto"/>
      </w:divBdr>
      <w:divsChild>
        <w:div w:id="1527522191">
          <w:marLeft w:val="0"/>
          <w:marRight w:val="0"/>
          <w:marTop w:val="0"/>
          <w:marBottom w:val="0"/>
          <w:divBdr>
            <w:top w:val="none" w:sz="0" w:space="0" w:color="auto"/>
            <w:left w:val="none" w:sz="0" w:space="0" w:color="auto"/>
            <w:bottom w:val="none" w:sz="0" w:space="0" w:color="auto"/>
            <w:right w:val="none" w:sz="0" w:space="0" w:color="auto"/>
          </w:divBdr>
          <w:divsChild>
            <w:div w:id="419983877">
              <w:marLeft w:val="0"/>
              <w:marRight w:val="0"/>
              <w:marTop w:val="0"/>
              <w:marBottom w:val="0"/>
              <w:divBdr>
                <w:top w:val="none" w:sz="0" w:space="0" w:color="auto"/>
                <w:left w:val="none" w:sz="0" w:space="0" w:color="auto"/>
                <w:bottom w:val="none" w:sz="0" w:space="0" w:color="auto"/>
                <w:right w:val="none" w:sz="0" w:space="0" w:color="auto"/>
              </w:divBdr>
            </w:div>
          </w:divsChild>
        </w:div>
        <w:div w:id="2108572910">
          <w:marLeft w:val="0"/>
          <w:marRight w:val="0"/>
          <w:marTop w:val="0"/>
          <w:marBottom w:val="0"/>
          <w:divBdr>
            <w:top w:val="none" w:sz="0" w:space="0" w:color="auto"/>
            <w:left w:val="none" w:sz="0" w:space="0" w:color="auto"/>
            <w:bottom w:val="none" w:sz="0" w:space="0" w:color="auto"/>
            <w:right w:val="none" w:sz="0" w:space="0" w:color="auto"/>
          </w:divBdr>
          <w:divsChild>
            <w:div w:id="107743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4973</Words>
  <Characters>28351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Panashe Gombiro</dc:creator>
  <cp:keywords/>
  <dc:description/>
  <cp:lastModifiedBy>Millicent</cp:lastModifiedBy>
  <cp:revision>2</cp:revision>
  <cp:lastPrinted>2022-03-28T12:00:00Z</cp:lastPrinted>
  <dcterms:created xsi:type="dcterms:W3CDTF">2024-09-19T08:31:00Z</dcterms:created>
  <dcterms:modified xsi:type="dcterms:W3CDTF">2024-09-19T08:31:00Z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96411abcdd747c51a6c6ca0ac8f2585abe47f71254b23b77cd4164ff4cd4adc3</vt:lpwstr>
  </property>
</Properties>
</file>