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5105" w14:textId="77777777" w:rsidR="006672A2" w:rsidRDefault="006672A2" w:rsidP="00126474">
      <w:pPr>
        <w:tabs>
          <w:tab w:val="left" w:pos="972"/>
        </w:tabs>
        <w:spacing w:after="0" w:line="240" w:lineRule="auto"/>
        <w:jc w:val="both"/>
        <w:rPr>
          <w:rFonts w:ascii="Times New Roman" w:hAnsi="Times New Roman" w:cs="Times New Roman"/>
          <w:b/>
          <w:sz w:val="24"/>
          <w:szCs w:val="24"/>
          <w:u w:val="single"/>
        </w:rPr>
      </w:pPr>
    </w:p>
    <w:p w14:paraId="249914AE" w14:textId="426F2AE5" w:rsidR="00021092" w:rsidRPr="00880D01" w:rsidRDefault="00126474" w:rsidP="00126474">
      <w:pPr>
        <w:tabs>
          <w:tab w:val="left" w:pos="972"/>
        </w:tabs>
        <w:spacing w:after="0" w:line="240" w:lineRule="auto"/>
        <w:jc w:val="both"/>
        <w:rPr>
          <w:rFonts w:ascii="Times New Roman" w:hAnsi="Times New Roman" w:cs="Times New Roman"/>
          <w:b/>
          <w:sz w:val="24"/>
          <w:szCs w:val="24"/>
        </w:rPr>
      </w:pPr>
      <w:r w:rsidRPr="00880D01">
        <w:rPr>
          <w:rFonts w:ascii="Times New Roman" w:hAnsi="Times New Roman" w:cs="Times New Roman"/>
          <w:b/>
          <w:sz w:val="24"/>
          <w:szCs w:val="24"/>
          <w:u w:val="single"/>
        </w:rPr>
        <w:t>REPORTABLE</w:t>
      </w:r>
      <w:r w:rsidRPr="00880D01">
        <w:rPr>
          <w:rFonts w:ascii="Times New Roman" w:hAnsi="Times New Roman" w:cs="Times New Roman"/>
          <w:b/>
          <w:sz w:val="24"/>
          <w:szCs w:val="24"/>
        </w:rPr>
        <w:t xml:space="preserve"> </w:t>
      </w:r>
      <w:r w:rsidR="00015E56">
        <w:rPr>
          <w:rFonts w:ascii="Times New Roman" w:hAnsi="Times New Roman" w:cs="Times New Roman"/>
          <w:b/>
          <w:sz w:val="24"/>
          <w:szCs w:val="24"/>
        </w:rPr>
        <w:tab/>
      </w:r>
      <w:r w:rsidRPr="00880D01">
        <w:rPr>
          <w:rFonts w:ascii="Times New Roman" w:hAnsi="Times New Roman" w:cs="Times New Roman"/>
          <w:b/>
          <w:sz w:val="24"/>
          <w:szCs w:val="24"/>
        </w:rPr>
        <w:t>(</w:t>
      </w:r>
      <w:r w:rsidR="0092376B">
        <w:rPr>
          <w:rFonts w:ascii="Times New Roman" w:hAnsi="Times New Roman" w:cs="Times New Roman"/>
          <w:b/>
          <w:sz w:val="24"/>
          <w:szCs w:val="24"/>
        </w:rPr>
        <w:t>2</w:t>
      </w:r>
      <w:r w:rsidRPr="00880D01">
        <w:rPr>
          <w:rFonts w:ascii="Times New Roman" w:hAnsi="Times New Roman" w:cs="Times New Roman"/>
          <w:b/>
          <w:sz w:val="24"/>
          <w:szCs w:val="24"/>
        </w:rPr>
        <w:t>)</w:t>
      </w:r>
    </w:p>
    <w:p w14:paraId="1FBB2FC7" w14:textId="27052AE3" w:rsidR="00021092" w:rsidRDefault="00021092" w:rsidP="00126474">
      <w:pPr>
        <w:tabs>
          <w:tab w:val="left" w:pos="5448"/>
        </w:tabs>
        <w:spacing w:after="0" w:line="240" w:lineRule="auto"/>
        <w:jc w:val="center"/>
        <w:rPr>
          <w:rFonts w:ascii="Times New Roman" w:hAnsi="Times New Roman" w:cs="Times New Roman"/>
          <w:b/>
          <w:sz w:val="24"/>
          <w:szCs w:val="24"/>
        </w:rPr>
      </w:pPr>
    </w:p>
    <w:p w14:paraId="08587C8B" w14:textId="77777777" w:rsidR="006672A2" w:rsidRPr="00880D01" w:rsidRDefault="006672A2" w:rsidP="00126474">
      <w:pPr>
        <w:tabs>
          <w:tab w:val="left" w:pos="5448"/>
        </w:tabs>
        <w:spacing w:after="0" w:line="240" w:lineRule="auto"/>
        <w:jc w:val="center"/>
        <w:rPr>
          <w:rFonts w:ascii="Times New Roman" w:hAnsi="Times New Roman" w:cs="Times New Roman"/>
          <w:b/>
          <w:sz w:val="24"/>
          <w:szCs w:val="24"/>
        </w:rPr>
      </w:pPr>
    </w:p>
    <w:p w14:paraId="37B33290" w14:textId="77777777" w:rsidR="00126474" w:rsidRDefault="00126474" w:rsidP="00126474">
      <w:pPr>
        <w:tabs>
          <w:tab w:val="left" w:pos="5448"/>
        </w:tabs>
        <w:spacing w:after="0" w:line="240" w:lineRule="auto"/>
        <w:jc w:val="center"/>
        <w:rPr>
          <w:rFonts w:ascii="Times New Roman" w:hAnsi="Times New Roman" w:cs="Times New Roman"/>
          <w:b/>
          <w:sz w:val="24"/>
          <w:szCs w:val="24"/>
        </w:rPr>
      </w:pPr>
    </w:p>
    <w:p w14:paraId="498DCE9B" w14:textId="77777777" w:rsidR="006355FE" w:rsidRPr="00880D01" w:rsidRDefault="006355FE" w:rsidP="00126474">
      <w:pPr>
        <w:tabs>
          <w:tab w:val="left" w:pos="5448"/>
        </w:tabs>
        <w:spacing w:after="0" w:line="240" w:lineRule="auto"/>
        <w:jc w:val="center"/>
        <w:rPr>
          <w:rFonts w:ascii="Times New Roman" w:hAnsi="Times New Roman" w:cs="Times New Roman"/>
          <w:b/>
          <w:sz w:val="24"/>
          <w:szCs w:val="24"/>
        </w:rPr>
      </w:pPr>
    </w:p>
    <w:p w14:paraId="4A162BAD" w14:textId="77777777" w:rsidR="00A35EC9" w:rsidRPr="00880D01" w:rsidRDefault="00021092" w:rsidP="00126474">
      <w:pPr>
        <w:spacing w:after="0" w:line="240" w:lineRule="auto"/>
        <w:jc w:val="center"/>
        <w:rPr>
          <w:rFonts w:ascii="Times New Roman" w:hAnsi="Times New Roman" w:cs="Times New Roman"/>
          <w:b/>
          <w:sz w:val="24"/>
          <w:szCs w:val="24"/>
        </w:rPr>
      </w:pPr>
      <w:r w:rsidRPr="00880D01">
        <w:rPr>
          <w:rFonts w:ascii="Times New Roman" w:hAnsi="Times New Roman" w:cs="Times New Roman"/>
          <w:b/>
          <w:sz w:val="24"/>
          <w:szCs w:val="24"/>
        </w:rPr>
        <w:t xml:space="preserve">            </w:t>
      </w:r>
      <w:r w:rsidR="00A35EC9" w:rsidRPr="00880D01">
        <w:rPr>
          <w:rFonts w:ascii="Times New Roman" w:hAnsi="Times New Roman" w:cs="Times New Roman"/>
          <w:b/>
          <w:sz w:val="24"/>
          <w:szCs w:val="24"/>
        </w:rPr>
        <w:t xml:space="preserve">ZIMBABWE CONSOLIDATED DIAMOND COMPANY (PVT) LTD </w:t>
      </w:r>
    </w:p>
    <w:p w14:paraId="56D66D79" w14:textId="77777777" w:rsidR="00A35EC9" w:rsidRPr="00880D01" w:rsidRDefault="00A35EC9" w:rsidP="00126474">
      <w:pPr>
        <w:spacing w:after="0" w:line="240" w:lineRule="auto"/>
        <w:jc w:val="center"/>
        <w:rPr>
          <w:rFonts w:ascii="Times New Roman" w:hAnsi="Times New Roman" w:cs="Times New Roman"/>
          <w:b/>
          <w:sz w:val="24"/>
          <w:szCs w:val="24"/>
        </w:rPr>
      </w:pPr>
      <w:proofErr w:type="gramStart"/>
      <w:r w:rsidRPr="00880D01">
        <w:rPr>
          <w:rFonts w:ascii="Times New Roman" w:hAnsi="Times New Roman" w:cs="Times New Roman"/>
          <w:b/>
          <w:sz w:val="24"/>
          <w:szCs w:val="24"/>
        </w:rPr>
        <w:t>v</w:t>
      </w:r>
      <w:proofErr w:type="gramEnd"/>
      <w:r w:rsidRPr="00880D01">
        <w:rPr>
          <w:rFonts w:ascii="Times New Roman" w:hAnsi="Times New Roman" w:cs="Times New Roman"/>
          <w:b/>
          <w:sz w:val="24"/>
          <w:szCs w:val="24"/>
        </w:rPr>
        <w:t xml:space="preserve"> </w:t>
      </w:r>
    </w:p>
    <w:p w14:paraId="6B24B397" w14:textId="72B4F5A0" w:rsidR="00021092" w:rsidRPr="00880D01" w:rsidRDefault="00A35EC9" w:rsidP="00126474">
      <w:pPr>
        <w:spacing w:after="0" w:line="240" w:lineRule="auto"/>
        <w:jc w:val="center"/>
        <w:rPr>
          <w:rFonts w:ascii="Times New Roman" w:hAnsi="Times New Roman" w:cs="Times New Roman"/>
          <w:b/>
          <w:sz w:val="24"/>
          <w:szCs w:val="24"/>
        </w:rPr>
      </w:pPr>
      <w:r w:rsidRPr="00880D01">
        <w:rPr>
          <w:rFonts w:ascii="Times New Roman" w:hAnsi="Times New Roman" w:cs="Times New Roman"/>
          <w:b/>
          <w:sz w:val="24"/>
          <w:szCs w:val="24"/>
        </w:rPr>
        <w:t xml:space="preserve">ADELCRAFT </w:t>
      </w:r>
      <w:r w:rsidR="00126474" w:rsidRPr="00880D01">
        <w:rPr>
          <w:rFonts w:ascii="Times New Roman" w:hAnsi="Times New Roman" w:cs="Times New Roman"/>
          <w:b/>
          <w:sz w:val="24"/>
          <w:szCs w:val="24"/>
        </w:rPr>
        <w:t xml:space="preserve">INVESTMENTS </w:t>
      </w:r>
      <w:r w:rsidRPr="00880D01">
        <w:rPr>
          <w:rFonts w:ascii="Times New Roman" w:hAnsi="Times New Roman" w:cs="Times New Roman"/>
          <w:b/>
          <w:sz w:val="24"/>
          <w:szCs w:val="24"/>
        </w:rPr>
        <w:t xml:space="preserve">(PVT) LTD </w:t>
      </w:r>
    </w:p>
    <w:p w14:paraId="4855481D" w14:textId="77777777" w:rsidR="00021092" w:rsidRPr="00880D01" w:rsidRDefault="00021092" w:rsidP="00126474">
      <w:pPr>
        <w:spacing w:after="0" w:line="240" w:lineRule="auto"/>
        <w:jc w:val="both"/>
        <w:rPr>
          <w:rFonts w:ascii="Times New Roman" w:hAnsi="Times New Roman" w:cs="Times New Roman"/>
          <w:b/>
          <w:sz w:val="24"/>
          <w:szCs w:val="24"/>
        </w:rPr>
      </w:pPr>
    </w:p>
    <w:p w14:paraId="0ABC5881" w14:textId="77777777" w:rsidR="00021092" w:rsidRPr="00880D01" w:rsidRDefault="00021092" w:rsidP="00126474">
      <w:pPr>
        <w:spacing w:after="0" w:line="240" w:lineRule="auto"/>
        <w:jc w:val="both"/>
        <w:rPr>
          <w:rFonts w:ascii="Times New Roman" w:hAnsi="Times New Roman" w:cs="Times New Roman"/>
          <w:b/>
          <w:sz w:val="24"/>
          <w:szCs w:val="24"/>
        </w:rPr>
      </w:pPr>
      <w:r w:rsidRPr="00880D01">
        <w:rPr>
          <w:rFonts w:ascii="Times New Roman" w:hAnsi="Times New Roman" w:cs="Times New Roman"/>
          <w:b/>
          <w:sz w:val="24"/>
          <w:szCs w:val="24"/>
        </w:rPr>
        <w:t>CONSTITUTIONAL COURT OF ZIMBABWE</w:t>
      </w:r>
    </w:p>
    <w:p w14:paraId="5B300AFB" w14:textId="32E624C3" w:rsidR="00021092" w:rsidRPr="00880D01" w:rsidRDefault="00021092" w:rsidP="00126474">
      <w:pPr>
        <w:spacing w:after="0" w:line="240" w:lineRule="auto"/>
        <w:jc w:val="both"/>
        <w:rPr>
          <w:rFonts w:ascii="Times New Roman" w:hAnsi="Times New Roman" w:cs="Times New Roman"/>
          <w:b/>
          <w:sz w:val="24"/>
          <w:szCs w:val="24"/>
        </w:rPr>
      </w:pPr>
      <w:r w:rsidRPr="00880D01">
        <w:rPr>
          <w:rFonts w:ascii="Times New Roman" w:hAnsi="Times New Roman" w:cs="Times New Roman"/>
          <w:b/>
          <w:sz w:val="24"/>
          <w:szCs w:val="24"/>
        </w:rPr>
        <w:t>GWAUNZA DCJ, MAKARAU JC</w:t>
      </w:r>
      <w:r w:rsidR="0016016C" w:rsidRPr="00880D01">
        <w:rPr>
          <w:rFonts w:ascii="Times New Roman" w:hAnsi="Times New Roman" w:cs="Times New Roman"/>
          <w:b/>
          <w:sz w:val="24"/>
          <w:szCs w:val="24"/>
        </w:rPr>
        <w:t>C</w:t>
      </w:r>
      <w:r w:rsidRPr="00880D01">
        <w:rPr>
          <w:rFonts w:ascii="Times New Roman" w:hAnsi="Times New Roman" w:cs="Times New Roman"/>
          <w:b/>
          <w:sz w:val="24"/>
          <w:szCs w:val="24"/>
        </w:rPr>
        <w:t xml:space="preserve"> </w:t>
      </w:r>
      <w:r w:rsidR="00A35EC9" w:rsidRPr="00880D01">
        <w:rPr>
          <w:rFonts w:ascii="Times New Roman" w:hAnsi="Times New Roman" w:cs="Times New Roman"/>
          <w:b/>
          <w:sz w:val="24"/>
          <w:szCs w:val="24"/>
        </w:rPr>
        <w:t>AND</w:t>
      </w:r>
      <w:r w:rsidRPr="00880D01">
        <w:rPr>
          <w:rFonts w:ascii="Times New Roman" w:hAnsi="Times New Roman" w:cs="Times New Roman"/>
          <w:b/>
          <w:sz w:val="24"/>
          <w:szCs w:val="24"/>
        </w:rPr>
        <w:t xml:space="preserve"> PATEL</w:t>
      </w:r>
      <w:r w:rsidR="00A35EC9" w:rsidRPr="00880D01">
        <w:rPr>
          <w:rFonts w:ascii="Times New Roman" w:hAnsi="Times New Roman" w:cs="Times New Roman"/>
          <w:b/>
          <w:sz w:val="24"/>
          <w:szCs w:val="24"/>
        </w:rPr>
        <w:t xml:space="preserve"> JCC</w:t>
      </w:r>
    </w:p>
    <w:p w14:paraId="5D222A68" w14:textId="5F32E94B" w:rsidR="00021092" w:rsidRPr="00880D01" w:rsidRDefault="00021092" w:rsidP="00126474">
      <w:pPr>
        <w:spacing w:after="0" w:line="240" w:lineRule="auto"/>
        <w:jc w:val="both"/>
        <w:rPr>
          <w:rFonts w:ascii="Times New Roman" w:hAnsi="Times New Roman" w:cs="Times New Roman"/>
          <w:b/>
          <w:sz w:val="24"/>
          <w:szCs w:val="24"/>
        </w:rPr>
      </w:pPr>
      <w:r w:rsidRPr="00880D01">
        <w:rPr>
          <w:rFonts w:ascii="Times New Roman" w:hAnsi="Times New Roman" w:cs="Times New Roman"/>
          <w:b/>
          <w:sz w:val="24"/>
          <w:szCs w:val="24"/>
        </w:rPr>
        <w:t xml:space="preserve">HARARE, </w:t>
      </w:r>
      <w:r w:rsidR="00126474" w:rsidRPr="00880D01">
        <w:rPr>
          <w:rFonts w:ascii="Times New Roman" w:hAnsi="Times New Roman" w:cs="Times New Roman"/>
          <w:b/>
          <w:sz w:val="24"/>
          <w:szCs w:val="24"/>
        </w:rPr>
        <w:t xml:space="preserve">12 </w:t>
      </w:r>
      <w:r w:rsidR="00A35EC9" w:rsidRPr="00880D01">
        <w:rPr>
          <w:rFonts w:ascii="Times New Roman" w:hAnsi="Times New Roman" w:cs="Times New Roman"/>
          <w:b/>
          <w:sz w:val="24"/>
          <w:szCs w:val="24"/>
        </w:rPr>
        <w:t xml:space="preserve">SEPTEMBER </w:t>
      </w:r>
      <w:r w:rsidRPr="00880D01">
        <w:rPr>
          <w:rFonts w:ascii="Times New Roman" w:hAnsi="Times New Roman" w:cs="Times New Roman"/>
          <w:b/>
          <w:sz w:val="24"/>
          <w:szCs w:val="24"/>
        </w:rPr>
        <w:t>202</w:t>
      </w:r>
      <w:r w:rsidR="00A35EC9" w:rsidRPr="00880D01">
        <w:rPr>
          <w:rFonts w:ascii="Times New Roman" w:hAnsi="Times New Roman" w:cs="Times New Roman"/>
          <w:b/>
          <w:sz w:val="24"/>
          <w:szCs w:val="24"/>
        </w:rPr>
        <w:t>3</w:t>
      </w:r>
      <w:r w:rsidRPr="00880D01">
        <w:rPr>
          <w:rFonts w:ascii="Times New Roman" w:hAnsi="Times New Roman" w:cs="Times New Roman"/>
          <w:b/>
          <w:sz w:val="24"/>
          <w:szCs w:val="24"/>
        </w:rPr>
        <w:t xml:space="preserve"> &amp;</w:t>
      </w:r>
      <w:r w:rsidR="0092376B">
        <w:rPr>
          <w:rFonts w:ascii="Times New Roman" w:hAnsi="Times New Roman" w:cs="Times New Roman"/>
          <w:b/>
          <w:sz w:val="24"/>
          <w:szCs w:val="24"/>
        </w:rPr>
        <w:t>17 JANUARY 2024</w:t>
      </w:r>
    </w:p>
    <w:p w14:paraId="28A608AD" w14:textId="4155CC02" w:rsidR="00A35EC9" w:rsidRDefault="00A35EC9" w:rsidP="00546C84">
      <w:pPr>
        <w:spacing w:after="0" w:line="480" w:lineRule="auto"/>
        <w:jc w:val="both"/>
        <w:rPr>
          <w:rFonts w:ascii="Times New Roman" w:hAnsi="Times New Roman" w:cs="Times New Roman"/>
          <w:sz w:val="24"/>
          <w:szCs w:val="24"/>
        </w:rPr>
      </w:pPr>
    </w:p>
    <w:p w14:paraId="1259E8D1" w14:textId="77777777" w:rsidR="003A48C5" w:rsidRPr="00880D01" w:rsidRDefault="003A48C5" w:rsidP="00546C84">
      <w:pPr>
        <w:spacing w:after="0" w:line="480" w:lineRule="auto"/>
        <w:jc w:val="both"/>
        <w:rPr>
          <w:rFonts w:ascii="Times New Roman" w:hAnsi="Times New Roman" w:cs="Times New Roman"/>
          <w:sz w:val="24"/>
          <w:szCs w:val="24"/>
        </w:rPr>
      </w:pPr>
    </w:p>
    <w:p w14:paraId="02C1AEDA" w14:textId="01014093" w:rsidR="00021092" w:rsidRPr="00880D01" w:rsidRDefault="001B369B" w:rsidP="00546C84">
      <w:pPr>
        <w:spacing w:after="0" w:line="480" w:lineRule="auto"/>
        <w:jc w:val="both"/>
        <w:rPr>
          <w:rFonts w:ascii="Times New Roman" w:hAnsi="Times New Roman" w:cs="Times New Roman"/>
          <w:sz w:val="24"/>
          <w:szCs w:val="24"/>
        </w:rPr>
      </w:pPr>
      <w:r w:rsidRPr="00880D01">
        <w:rPr>
          <w:rFonts w:ascii="Times New Roman" w:hAnsi="Times New Roman" w:cs="Times New Roman"/>
          <w:i/>
          <w:iCs/>
          <w:sz w:val="24"/>
          <w:szCs w:val="24"/>
        </w:rPr>
        <w:t xml:space="preserve">T. </w:t>
      </w:r>
      <w:proofErr w:type="spellStart"/>
      <w:r w:rsidRPr="00880D01">
        <w:rPr>
          <w:rFonts w:ascii="Times New Roman" w:hAnsi="Times New Roman" w:cs="Times New Roman"/>
          <w:i/>
          <w:iCs/>
          <w:sz w:val="24"/>
          <w:szCs w:val="24"/>
        </w:rPr>
        <w:t>Magwaliba</w:t>
      </w:r>
      <w:proofErr w:type="spellEnd"/>
      <w:r w:rsidRPr="00880D01">
        <w:rPr>
          <w:rFonts w:ascii="Times New Roman" w:hAnsi="Times New Roman" w:cs="Times New Roman"/>
          <w:sz w:val="24"/>
          <w:szCs w:val="24"/>
        </w:rPr>
        <w:t xml:space="preserve">, for the </w:t>
      </w:r>
      <w:r w:rsidR="00126474" w:rsidRPr="00880D01">
        <w:rPr>
          <w:rFonts w:ascii="Times New Roman" w:hAnsi="Times New Roman" w:cs="Times New Roman"/>
          <w:sz w:val="24"/>
          <w:szCs w:val="24"/>
        </w:rPr>
        <w:t>a</w:t>
      </w:r>
      <w:r w:rsidRPr="00880D01">
        <w:rPr>
          <w:rFonts w:ascii="Times New Roman" w:hAnsi="Times New Roman" w:cs="Times New Roman"/>
          <w:sz w:val="24"/>
          <w:szCs w:val="24"/>
        </w:rPr>
        <w:t>pplicant</w:t>
      </w:r>
    </w:p>
    <w:p w14:paraId="07490195" w14:textId="58A5DD2F" w:rsidR="000E74FD" w:rsidRPr="00880D01" w:rsidRDefault="001B369B" w:rsidP="00546C84">
      <w:pPr>
        <w:spacing w:after="0" w:line="480" w:lineRule="auto"/>
        <w:jc w:val="both"/>
        <w:rPr>
          <w:rFonts w:ascii="Times New Roman" w:hAnsi="Times New Roman" w:cs="Times New Roman"/>
          <w:sz w:val="24"/>
          <w:szCs w:val="24"/>
        </w:rPr>
      </w:pPr>
      <w:r w:rsidRPr="00880D01">
        <w:rPr>
          <w:rFonts w:ascii="Times New Roman" w:hAnsi="Times New Roman" w:cs="Times New Roman"/>
          <w:i/>
          <w:iCs/>
          <w:sz w:val="24"/>
          <w:szCs w:val="24"/>
        </w:rPr>
        <w:t xml:space="preserve">M. </w:t>
      </w:r>
      <w:proofErr w:type="spellStart"/>
      <w:r w:rsidRPr="00880D01">
        <w:rPr>
          <w:rFonts w:ascii="Times New Roman" w:hAnsi="Times New Roman" w:cs="Times New Roman"/>
          <w:i/>
          <w:iCs/>
          <w:sz w:val="24"/>
          <w:szCs w:val="24"/>
        </w:rPr>
        <w:t>Ndlovu</w:t>
      </w:r>
      <w:proofErr w:type="spellEnd"/>
      <w:r w:rsidRPr="00880D01">
        <w:rPr>
          <w:rFonts w:ascii="Times New Roman" w:hAnsi="Times New Roman" w:cs="Times New Roman"/>
          <w:i/>
          <w:iCs/>
          <w:sz w:val="24"/>
          <w:szCs w:val="24"/>
        </w:rPr>
        <w:t>,</w:t>
      </w:r>
      <w:r w:rsidRPr="00880D01">
        <w:rPr>
          <w:rFonts w:ascii="Times New Roman" w:hAnsi="Times New Roman" w:cs="Times New Roman"/>
          <w:sz w:val="24"/>
          <w:szCs w:val="24"/>
        </w:rPr>
        <w:t xml:space="preserve"> for the </w:t>
      </w:r>
      <w:r w:rsidR="00126474" w:rsidRPr="00880D01">
        <w:rPr>
          <w:rFonts w:ascii="Times New Roman" w:hAnsi="Times New Roman" w:cs="Times New Roman"/>
          <w:sz w:val="24"/>
          <w:szCs w:val="24"/>
        </w:rPr>
        <w:t>re</w:t>
      </w:r>
      <w:r w:rsidRPr="00880D01">
        <w:rPr>
          <w:rFonts w:ascii="Times New Roman" w:hAnsi="Times New Roman" w:cs="Times New Roman"/>
          <w:sz w:val="24"/>
          <w:szCs w:val="24"/>
        </w:rPr>
        <w:t>spondent</w:t>
      </w:r>
    </w:p>
    <w:p w14:paraId="09DBFE9E" w14:textId="77777777" w:rsidR="000E74FD" w:rsidRPr="00880D01" w:rsidRDefault="000E74FD" w:rsidP="00546C84">
      <w:pPr>
        <w:spacing w:after="0" w:line="480" w:lineRule="auto"/>
        <w:jc w:val="both"/>
        <w:rPr>
          <w:rFonts w:ascii="Times New Roman" w:hAnsi="Times New Roman" w:cs="Times New Roman"/>
          <w:sz w:val="24"/>
          <w:szCs w:val="24"/>
        </w:rPr>
      </w:pPr>
    </w:p>
    <w:p w14:paraId="7ECF9CA5" w14:textId="13CDE7C3" w:rsidR="00BF314B" w:rsidRPr="00880D01" w:rsidRDefault="00A35EC9" w:rsidP="00126474">
      <w:pPr>
        <w:spacing w:after="0" w:line="480" w:lineRule="auto"/>
        <w:ind w:firstLine="720"/>
        <w:jc w:val="both"/>
        <w:rPr>
          <w:rFonts w:ascii="Times New Roman" w:eastAsia="Arial Unicode MS" w:hAnsi="Times New Roman" w:cs="Times New Roman"/>
          <w:sz w:val="24"/>
          <w:szCs w:val="24"/>
        </w:rPr>
      </w:pPr>
      <w:r w:rsidRPr="00880D01">
        <w:rPr>
          <w:rFonts w:ascii="Times New Roman" w:hAnsi="Times New Roman" w:cs="Times New Roman"/>
          <w:b/>
          <w:sz w:val="24"/>
          <w:szCs w:val="24"/>
        </w:rPr>
        <w:t>PATEL</w:t>
      </w:r>
      <w:r w:rsidR="00021092" w:rsidRPr="00880D01">
        <w:rPr>
          <w:rFonts w:ascii="Times New Roman" w:eastAsia="Arial Unicode MS" w:hAnsi="Times New Roman" w:cs="Times New Roman"/>
          <w:b/>
          <w:sz w:val="24"/>
          <w:szCs w:val="24"/>
        </w:rPr>
        <w:t xml:space="preserve"> JCC:</w:t>
      </w:r>
      <w:r w:rsidR="00126474" w:rsidRPr="00880D01">
        <w:rPr>
          <w:rFonts w:ascii="Times New Roman" w:eastAsia="Arial Unicode MS" w:hAnsi="Times New Roman" w:cs="Times New Roman"/>
          <w:b/>
          <w:sz w:val="24"/>
          <w:szCs w:val="24"/>
        </w:rPr>
        <w:tab/>
      </w:r>
      <w:r w:rsidR="00126474" w:rsidRPr="00880D01">
        <w:rPr>
          <w:rFonts w:ascii="Times New Roman" w:eastAsia="Arial Unicode MS" w:hAnsi="Times New Roman" w:cs="Times New Roman"/>
          <w:b/>
          <w:sz w:val="24"/>
          <w:szCs w:val="24"/>
        </w:rPr>
        <w:tab/>
      </w:r>
      <w:r w:rsidR="0029035C" w:rsidRPr="00880D01">
        <w:rPr>
          <w:rFonts w:ascii="Times New Roman" w:eastAsia="Arial Unicode MS" w:hAnsi="Times New Roman" w:cs="Times New Roman"/>
          <w:bCs/>
          <w:sz w:val="24"/>
          <w:szCs w:val="24"/>
        </w:rPr>
        <w:t xml:space="preserve">This is an application for an order </w:t>
      </w:r>
      <w:r w:rsidR="00C635AA" w:rsidRPr="00880D01">
        <w:rPr>
          <w:rFonts w:ascii="Times New Roman" w:eastAsia="Arial Unicode MS" w:hAnsi="Times New Roman" w:cs="Times New Roman"/>
          <w:bCs/>
          <w:sz w:val="24"/>
          <w:szCs w:val="24"/>
        </w:rPr>
        <w:t>for</w:t>
      </w:r>
      <w:r w:rsidR="0029035C" w:rsidRPr="00880D01">
        <w:rPr>
          <w:rFonts w:ascii="Times New Roman" w:eastAsia="Arial Unicode MS" w:hAnsi="Times New Roman" w:cs="Times New Roman"/>
          <w:bCs/>
          <w:sz w:val="24"/>
          <w:szCs w:val="24"/>
        </w:rPr>
        <w:t xml:space="preserve"> direct access to the Constitutional Court in terms of s 167 (5) (a) of the Constitution of Zimbabwe as read with </w:t>
      </w:r>
      <w:r w:rsidR="00126474" w:rsidRPr="00880D01">
        <w:rPr>
          <w:rFonts w:ascii="Times New Roman" w:eastAsia="Arial Unicode MS" w:hAnsi="Times New Roman" w:cs="Times New Roman"/>
          <w:bCs/>
          <w:sz w:val="24"/>
          <w:szCs w:val="24"/>
        </w:rPr>
        <w:t>r</w:t>
      </w:r>
      <w:r w:rsidR="0029035C" w:rsidRPr="00880D01">
        <w:rPr>
          <w:rFonts w:ascii="Times New Roman" w:eastAsia="Arial Unicode MS" w:hAnsi="Times New Roman" w:cs="Times New Roman"/>
          <w:bCs/>
          <w:sz w:val="24"/>
          <w:szCs w:val="24"/>
        </w:rPr>
        <w:t xml:space="preserve"> 21(2) of the Constitutional Court Rules, 2016. In the event that direct access is granted, the applicant intends to file a substantive court application under s 85 (1</w:t>
      </w:r>
      <w:proofErr w:type="gramStart"/>
      <w:r w:rsidR="0029035C" w:rsidRPr="00880D01">
        <w:rPr>
          <w:rFonts w:ascii="Times New Roman" w:eastAsia="Arial Unicode MS" w:hAnsi="Times New Roman" w:cs="Times New Roman"/>
          <w:bCs/>
          <w:sz w:val="24"/>
          <w:szCs w:val="24"/>
        </w:rPr>
        <w:t>)(</w:t>
      </w:r>
      <w:proofErr w:type="gramEnd"/>
      <w:r w:rsidR="0029035C" w:rsidRPr="00880D01">
        <w:rPr>
          <w:rFonts w:ascii="Times New Roman" w:eastAsia="Arial Unicode MS" w:hAnsi="Times New Roman" w:cs="Times New Roman"/>
          <w:bCs/>
          <w:sz w:val="24"/>
          <w:szCs w:val="24"/>
        </w:rPr>
        <w:t>a) of the Constitution</w:t>
      </w:r>
      <w:r w:rsidR="00BF314B" w:rsidRPr="00880D01">
        <w:rPr>
          <w:rFonts w:ascii="Times New Roman" w:eastAsia="Arial Unicode MS" w:hAnsi="Times New Roman" w:cs="Times New Roman"/>
          <w:sz w:val="24"/>
          <w:szCs w:val="24"/>
        </w:rPr>
        <w:t xml:space="preserve"> to set aside </w:t>
      </w:r>
      <w:r w:rsidR="00E43038" w:rsidRPr="00880D01">
        <w:rPr>
          <w:rFonts w:ascii="Times New Roman" w:eastAsia="Arial Unicode MS" w:hAnsi="Times New Roman" w:cs="Times New Roman"/>
          <w:sz w:val="24"/>
          <w:szCs w:val="24"/>
        </w:rPr>
        <w:t>the</w:t>
      </w:r>
      <w:r w:rsidR="00BF314B" w:rsidRPr="00880D01">
        <w:rPr>
          <w:rFonts w:ascii="Times New Roman" w:eastAsia="Arial Unicode MS" w:hAnsi="Times New Roman" w:cs="Times New Roman"/>
          <w:sz w:val="24"/>
          <w:szCs w:val="24"/>
        </w:rPr>
        <w:t xml:space="preserve"> judgment of the Supreme Court in </w:t>
      </w:r>
      <w:r w:rsidR="00E43038" w:rsidRPr="00880D01">
        <w:rPr>
          <w:rFonts w:ascii="Times New Roman" w:eastAsia="Arial Unicode MS" w:hAnsi="Times New Roman" w:cs="Times New Roman"/>
          <w:sz w:val="24"/>
          <w:szCs w:val="24"/>
        </w:rPr>
        <w:t>C</w:t>
      </w:r>
      <w:r w:rsidR="00BF314B" w:rsidRPr="00880D01">
        <w:rPr>
          <w:rFonts w:ascii="Times New Roman" w:eastAsia="Arial Unicode MS" w:hAnsi="Times New Roman" w:cs="Times New Roman"/>
          <w:sz w:val="24"/>
          <w:szCs w:val="24"/>
        </w:rPr>
        <w:t xml:space="preserve">ase </w:t>
      </w:r>
      <w:r w:rsidR="00E43038" w:rsidRPr="00880D01">
        <w:rPr>
          <w:rFonts w:ascii="Times New Roman" w:eastAsia="Arial Unicode MS" w:hAnsi="Times New Roman" w:cs="Times New Roman"/>
          <w:sz w:val="24"/>
          <w:szCs w:val="24"/>
        </w:rPr>
        <w:t>No.</w:t>
      </w:r>
      <w:r w:rsidR="00BF314B" w:rsidRPr="00880D01">
        <w:rPr>
          <w:rFonts w:ascii="Times New Roman" w:eastAsia="Arial Unicode MS" w:hAnsi="Times New Roman" w:cs="Times New Roman"/>
          <w:sz w:val="24"/>
          <w:szCs w:val="24"/>
        </w:rPr>
        <w:t xml:space="preserve"> SC 201/23</w:t>
      </w:r>
      <w:r w:rsidR="00E43038" w:rsidRPr="00880D01">
        <w:rPr>
          <w:rFonts w:ascii="Times New Roman" w:eastAsia="Arial Unicode MS" w:hAnsi="Times New Roman" w:cs="Times New Roman"/>
          <w:sz w:val="24"/>
          <w:szCs w:val="24"/>
        </w:rPr>
        <w:t>,</w:t>
      </w:r>
      <w:r w:rsidR="00BF314B" w:rsidRPr="00880D01">
        <w:rPr>
          <w:rFonts w:ascii="Times New Roman" w:eastAsia="Arial Unicode MS" w:hAnsi="Times New Roman" w:cs="Times New Roman"/>
          <w:sz w:val="24"/>
          <w:szCs w:val="24"/>
        </w:rPr>
        <w:t xml:space="preserve"> on the basis that the </w:t>
      </w:r>
      <w:r w:rsidR="00E43038" w:rsidRPr="00880D01">
        <w:rPr>
          <w:rFonts w:ascii="Times New Roman" w:eastAsia="Arial Unicode MS" w:hAnsi="Times New Roman" w:cs="Times New Roman"/>
          <w:sz w:val="24"/>
          <w:szCs w:val="24"/>
        </w:rPr>
        <w:t>court,</w:t>
      </w:r>
      <w:r w:rsidR="00BF314B" w:rsidRPr="00880D01">
        <w:rPr>
          <w:rFonts w:ascii="Times New Roman" w:eastAsia="Arial Unicode MS" w:hAnsi="Times New Roman" w:cs="Times New Roman"/>
          <w:sz w:val="24"/>
          <w:szCs w:val="24"/>
        </w:rPr>
        <w:t xml:space="preserve"> in dealing with a non-constitutional matter, violated the right of the applicant to </w:t>
      </w:r>
      <w:bookmarkStart w:id="0" w:name="_Hlk146699588"/>
      <w:r w:rsidR="00BF314B" w:rsidRPr="00880D01">
        <w:rPr>
          <w:rFonts w:ascii="Times New Roman" w:eastAsia="Arial Unicode MS" w:hAnsi="Times New Roman" w:cs="Times New Roman"/>
          <w:sz w:val="24"/>
          <w:szCs w:val="24"/>
        </w:rPr>
        <w:t>equal protection and benefit of the law set out in s</w:t>
      </w:r>
      <w:r w:rsidR="00E43038" w:rsidRPr="00880D01">
        <w:rPr>
          <w:rFonts w:ascii="Times New Roman" w:eastAsia="Arial Unicode MS" w:hAnsi="Times New Roman" w:cs="Times New Roman"/>
          <w:sz w:val="24"/>
          <w:szCs w:val="24"/>
        </w:rPr>
        <w:t xml:space="preserve"> 5</w:t>
      </w:r>
      <w:r w:rsidR="00BF314B" w:rsidRPr="00880D01">
        <w:rPr>
          <w:rFonts w:ascii="Times New Roman" w:eastAsia="Arial Unicode MS" w:hAnsi="Times New Roman" w:cs="Times New Roman"/>
          <w:sz w:val="24"/>
          <w:szCs w:val="24"/>
        </w:rPr>
        <w:t xml:space="preserve">6(1) of the Constitution and the right to a fair hearing and access </w:t>
      </w:r>
      <w:r w:rsidR="00E43038" w:rsidRPr="00880D01">
        <w:rPr>
          <w:rFonts w:ascii="Times New Roman" w:eastAsia="Arial Unicode MS" w:hAnsi="Times New Roman" w:cs="Times New Roman"/>
          <w:sz w:val="24"/>
          <w:szCs w:val="24"/>
        </w:rPr>
        <w:t xml:space="preserve">to </w:t>
      </w:r>
      <w:r w:rsidR="00BF314B" w:rsidRPr="00880D01">
        <w:rPr>
          <w:rFonts w:ascii="Times New Roman" w:eastAsia="Arial Unicode MS" w:hAnsi="Times New Roman" w:cs="Times New Roman"/>
          <w:sz w:val="24"/>
          <w:szCs w:val="24"/>
        </w:rPr>
        <w:t>the courts protected by s 69(2) and (3) of the Constitution.</w:t>
      </w:r>
    </w:p>
    <w:p w14:paraId="1E377194" w14:textId="77777777" w:rsidR="00E43038" w:rsidRPr="00880D01" w:rsidRDefault="00E43038" w:rsidP="00E43038">
      <w:pPr>
        <w:spacing w:after="0" w:line="480" w:lineRule="auto"/>
        <w:jc w:val="both"/>
        <w:rPr>
          <w:rFonts w:ascii="Times New Roman" w:eastAsia="Arial Unicode MS" w:hAnsi="Times New Roman" w:cs="Times New Roman"/>
          <w:sz w:val="24"/>
          <w:szCs w:val="24"/>
        </w:rPr>
      </w:pPr>
    </w:p>
    <w:bookmarkEnd w:id="0"/>
    <w:p w14:paraId="292BAB14" w14:textId="1F7A7E88" w:rsidR="009401BC" w:rsidRPr="00305FCA" w:rsidRDefault="00AC26B6" w:rsidP="009401BC">
      <w:pPr>
        <w:spacing w:after="0" w:line="480" w:lineRule="auto"/>
        <w:ind w:left="720" w:hanging="720"/>
        <w:jc w:val="both"/>
        <w:rPr>
          <w:rFonts w:ascii="Times New Roman" w:hAnsi="Times New Roman" w:cs="Times New Roman"/>
          <w:b/>
          <w:iCs/>
          <w:sz w:val="24"/>
          <w:szCs w:val="24"/>
        </w:rPr>
      </w:pPr>
      <w:r w:rsidRPr="00305FCA">
        <w:rPr>
          <w:rFonts w:ascii="Times New Roman" w:hAnsi="Times New Roman" w:cs="Times New Roman"/>
          <w:b/>
          <w:iCs/>
          <w:sz w:val="24"/>
          <w:szCs w:val="24"/>
        </w:rPr>
        <w:t>The Background</w:t>
      </w:r>
    </w:p>
    <w:p w14:paraId="6CD8D67E" w14:textId="3688091C" w:rsidR="009401BC" w:rsidRPr="00880D01" w:rsidRDefault="0089777C"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The applicant is a</w:t>
      </w:r>
      <w:r w:rsidR="00E43038" w:rsidRPr="00880D01">
        <w:rPr>
          <w:rFonts w:ascii="Times New Roman" w:hAnsi="Times New Roman" w:cs="Times New Roman"/>
          <w:sz w:val="24"/>
          <w:szCs w:val="24"/>
        </w:rPr>
        <w:t xml:space="preserve"> duly registered</w:t>
      </w:r>
      <w:r w:rsidRPr="00880D01">
        <w:rPr>
          <w:rFonts w:ascii="Times New Roman" w:hAnsi="Times New Roman" w:cs="Times New Roman"/>
          <w:sz w:val="24"/>
          <w:szCs w:val="24"/>
        </w:rPr>
        <w:t xml:space="preserve"> </w:t>
      </w:r>
      <w:r w:rsidR="00BF314B" w:rsidRPr="00880D01">
        <w:rPr>
          <w:rFonts w:ascii="Times New Roman" w:hAnsi="Times New Roman" w:cs="Times New Roman"/>
          <w:sz w:val="24"/>
          <w:szCs w:val="24"/>
        </w:rPr>
        <w:t xml:space="preserve">Zimbabwean </w:t>
      </w:r>
      <w:r w:rsidR="00E43038" w:rsidRPr="00880D01">
        <w:rPr>
          <w:rFonts w:ascii="Times New Roman" w:hAnsi="Times New Roman" w:cs="Times New Roman"/>
          <w:sz w:val="24"/>
          <w:szCs w:val="24"/>
        </w:rPr>
        <w:t xml:space="preserve">company </w:t>
      </w:r>
      <w:r w:rsidR="00BF314B" w:rsidRPr="00880D01">
        <w:rPr>
          <w:rFonts w:ascii="Times New Roman" w:hAnsi="Times New Roman" w:cs="Times New Roman"/>
          <w:sz w:val="24"/>
          <w:szCs w:val="24"/>
        </w:rPr>
        <w:t xml:space="preserve">owned by the Government of Zimbabwe. The respondent is a company </w:t>
      </w:r>
      <w:r w:rsidR="009425EA" w:rsidRPr="00880D01">
        <w:rPr>
          <w:rFonts w:ascii="Times New Roman" w:hAnsi="Times New Roman" w:cs="Times New Roman"/>
          <w:sz w:val="24"/>
          <w:szCs w:val="24"/>
        </w:rPr>
        <w:t xml:space="preserve">that engages in mining activities and is </w:t>
      </w:r>
      <w:r w:rsidR="00E43038" w:rsidRPr="00880D01">
        <w:rPr>
          <w:rFonts w:ascii="Times New Roman" w:hAnsi="Times New Roman" w:cs="Times New Roman"/>
          <w:sz w:val="24"/>
          <w:szCs w:val="24"/>
        </w:rPr>
        <w:t xml:space="preserve">also </w:t>
      </w:r>
      <w:r w:rsidR="00BF314B" w:rsidRPr="00880D01">
        <w:rPr>
          <w:rFonts w:ascii="Times New Roman" w:hAnsi="Times New Roman" w:cs="Times New Roman"/>
          <w:sz w:val="24"/>
          <w:szCs w:val="24"/>
        </w:rPr>
        <w:t>registered in accordance with the laws of Zimbabwe.</w:t>
      </w:r>
    </w:p>
    <w:p w14:paraId="63015E77" w14:textId="77777777" w:rsidR="009401BC" w:rsidRPr="00880D01" w:rsidRDefault="009401BC" w:rsidP="009401BC">
      <w:pPr>
        <w:spacing w:after="0" w:line="480" w:lineRule="auto"/>
        <w:ind w:firstLine="720"/>
        <w:jc w:val="both"/>
        <w:rPr>
          <w:rFonts w:ascii="Times New Roman" w:hAnsi="Times New Roman" w:cs="Times New Roman"/>
          <w:sz w:val="24"/>
          <w:szCs w:val="24"/>
        </w:rPr>
      </w:pPr>
    </w:p>
    <w:p w14:paraId="7B517C71" w14:textId="5498ED6D" w:rsidR="009401BC" w:rsidRPr="00880D01" w:rsidRDefault="00657442"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On 2 February 2023, t</w:t>
      </w:r>
      <w:r w:rsidR="008255AE" w:rsidRPr="00880D01">
        <w:rPr>
          <w:rFonts w:ascii="Times New Roman" w:hAnsi="Times New Roman" w:cs="Times New Roman"/>
          <w:sz w:val="24"/>
          <w:szCs w:val="24"/>
        </w:rPr>
        <w:t xml:space="preserve">he respondent sued the applicant in the High Court under </w:t>
      </w:r>
      <w:r w:rsidR="00E43038" w:rsidRPr="00880D01">
        <w:rPr>
          <w:rFonts w:ascii="Times New Roman" w:hAnsi="Times New Roman" w:cs="Times New Roman"/>
          <w:sz w:val="24"/>
          <w:szCs w:val="24"/>
        </w:rPr>
        <w:t>C</w:t>
      </w:r>
      <w:r w:rsidR="008255AE" w:rsidRPr="00880D01">
        <w:rPr>
          <w:rFonts w:ascii="Times New Roman" w:hAnsi="Times New Roman" w:cs="Times New Roman"/>
          <w:sz w:val="24"/>
          <w:szCs w:val="24"/>
        </w:rPr>
        <w:t xml:space="preserve">ase </w:t>
      </w:r>
      <w:r w:rsidR="00E43038" w:rsidRPr="00880D01">
        <w:rPr>
          <w:rFonts w:ascii="Times New Roman" w:hAnsi="Times New Roman" w:cs="Times New Roman"/>
          <w:sz w:val="24"/>
          <w:szCs w:val="24"/>
        </w:rPr>
        <w:t>No.</w:t>
      </w:r>
      <w:r w:rsidR="008255AE" w:rsidRPr="00880D01">
        <w:rPr>
          <w:rFonts w:ascii="Times New Roman" w:hAnsi="Times New Roman" w:cs="Times New Roman"/>
          <w:sz w:val="24"/>
          <w:szCs w:val="24"/>
        </w:rPr>
        <w:t xml:space="preserve"> HC723/23 seeking an order compelling the applicant to pay the outstanding balance owed to it for a debt allegedly incurred between 2016 and 2018</w:t>
      </w:r>
      <w:r w:rsidR="00E43038" w:rsidRPr="00880D01">
        <w:rPr>
          <w:rFonts w:ascii="Times New Roman" w:hAnsi="Times New Roman" w:cs="Times New Roman"/>
          <w:sz w:val="24"/>
          <w:szCs w:val="24"/>
        </w:rPr>
        <w:t>,</w:t>
      </w:r>
      <w:r w:rsidR="008255AE" w:rsidRPr="00880D01">
        <w:rPr>
          <w:rFonts w:ascii="Times New Roman" w:hAnsi="Times New Roman" w:cs="Times New Roman"/>
          <w:sz w:val="24"/>
          <w:szCs w:val="24"/>
        </w:rPr>
        <w:t xml:space="preserve"> in the sum of USD</w:t>
      </w:r>
      <w:r w:rsidR="009A62E4" w:rsidRPr="00880D01">
        <w:rPr>
          <w:rFonts w:ascii="Times New Roman" w:hAnsi="Times New Roman" w:cs="Times New Roman"/>
          <w:sz w:val="24"/>
          <w:szCs w:val="24"/>
        </w:rPr>
        <w:t xml:space="preserve"> </w:t>
      </w:r>
      <w:r w:rsidR="008255AE" w:rsidRPr="00880D01">
        <w:rPr>
          <w:rFonts w:ascii="Times New Roman" w:hAnsi="Times New Roman" w:cs="Times New Roman"/>
          <w:sz w:val="24"/>
          <w:szCs w:val="24"/>
        </w:rPr>
        <w:t>13</w:t>
      </w:r>
      <w:r w:rsidR="00E43038" w:rsidRPr="00880D01">
        <w:rPr>
          <w:rFonts w:ascii="Times New Roman" w:hAnsi="Times New Roman" w:cs="Times New Roman"/>
          <w:sz w:val="24"/>
          <w:szCs w:val="24"/>
        </w:rPr>
        <w:t>,</w:t>
      </w:r>
      <w:r w:rsidR="008255AE" w:rsidRPr="00880D01">
        <w:rPr>
          <w:rFonts w:ascii="Times New Roman" w:hAnsi="Times New Roman" w:cs="Times New Roman"/>
          <w:sz w:val="24"/>
          <w:szCs w:val="24"/>
        </w:rPr>
        <w:t>824</w:t>
      </w:r>
      <w:r w:rsidR="00E43038" w:rsidRPr="00880D01">
        <w:rPr>
          <w:rFonts w:ascii="Times New Roman" w:hAnsi="Times New Roman" w:cs="Times New Roman"/>
          <w:sz w:val="24"/>
          <w:szCs w:val="24"/>
        </w:rPr>
        <w:t>,</w:t>
      </w:r>
      <w:r w:rsidR="008255AE" w:rsidRPr="00880D01">
        <w:rPr>
          <w:rFonts w:ascii="Times New Roman" w:hAnsi="Times New Roman" w:cs="Times New Roman"/>
          <w:sz w:val="24"/>
          <w:szCs w:val="24"/>
        </w:rPr>
        <w:t>163.22.</w:t>
      </w:r>
    </w:p>
    <w:p w14:paraId="5B119FF5" w14:textId="4E3250C5" w:rsidR="009401BC" w:rsidRPr="00880D01" w:rsidRDefault="008255AE"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 xml:space="preserve"> </w:t>
      </w:r>
    </w:p>
    <w:p w14:paraId="0C9004DF" w14:textId="489B0395" w:rsidR="009401BC" w:rsidRPr="00880D01" w:rsidRDefault="008255AE"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 xml:space="preserve">On March 15 2023, the High Court issued </w:t>
      </w:r>
      <w:r w:rsidR="00E43038" w:rsidRPr="00880D01">
        <w:rPr>
          <w:rFonts w:ascii="Times New Roman" w:hAnsi="Times New Roman" w:cs="Times New Roman"/>
          <w:sz w:val="24"/>
          <w:szCs w:val="24"/>
        </w:rPr>
        <w:t>its</w:t>
      </w:r>
      <w:r w:rsidRPr="00880D01">
        <w:rPr>
          <w:rFonts w:ascii="Times New Roman" w:hAnsi="Times New Roman" w:cs="Times New Roman"/>
          <w:sz w:val="24"/>
          <w:szCs w:val="24"/>
        </w:rPr>
        <w:t xml:space="preserve"> decision.  The court </w:t>
      </w:r>
      <w:r w:rsidR="009A62E4" w:rsidRPr="00880D01">
        <w:rPr>
          <w:rFonts w:ascii="Times New Roman" w:hAnsi="Times New Roman" w:cs="Times New Roman"/>
          <w:sz w:val="24"/>
          <w:szCs w:val="24"/>
        </w:rPr>
        <w:t xml:space="preserve">found </w:t>
      </w:r>
      <w:r w:rsidRPr="00880D01">
        <w:rPr>
          <w:rFonts w:ascii="Times New Roman" w:hAnsi="Times New Roman" w:cs="Times New Roman"/>
          <w:sz w:val="24"/>
          <w:szCs w:val="24"/>
        </w:rPr>
        <w:t>that the</w:t>
      </w:r>
      <w:r w:rsidR="00491000" w:rsidRPr="00880D01">
        <w:rPr>
          <w:rFonts w:ascii="Times New Roman" w:hAnsi="Times New Roman" w:cs="Times New Roman"/>
          <w:sz w:val="24"/>
          <w:szCs w:val="24"/>
        </w:rPr>
        <w:t xml:space="preserve"> </w:t>
      </w:r>
      <w:r w:rsidRPr="00880D01">
        <w:rPr>
          <w:rFonts w:ascii="Times New Roman" w:hAnsi="Times New Roman" w:cs="Times New Roman"/>
          <w:sz w:val="24"/>
          <w:szCs w:val="24"/>
        </w:rPr>
        <w:t xml:space="preserve">applicant was </w:t>
      </w:r>
      <w:r w:rsidR="009A62E4" w:rsidRPr="00880D01">
        <w:rPr>
          <w:rFonts w:ascii="Times New Roman" w:hAnsi="Times New Roman" w:cs="Times New Roman"/>
          <w:sz w:val="24"/>
          <w:szCs w:val="24"/>
        </w:rPr>
        <w:t>indebted to t</w:t>
      </w:r>
      <w:r w:rsidRPr="00880D01">
        <w:rPr>
          <w:rFonts w:ascii="Times New Roman" w:hAnsi="Times New Roman" w:cs="Times New Roman"/>
          <w:sz w:val="24"/>
          <w:szCs w:val="24"/>
        </w:rPr>
        <w:t xml:space="preserve">he respondent </w:t>
      </w:r>
      <w:r w:rsidR="009A62E4" w:rsidRPr="00880D01">
        <w:rPr>
          <w:rFonts w:ascii="Times New Roman" w:hAnsi="Times New Roman" w:cs="Times New Roman"/>
          <w:sz w:val="24"/>
          <w:szCs w:val="24"/>
        </w:rPr>
        <w:t xml:space="preserve">in the sum of </w:t>
      </w:r>
      <w:r w:rsidRPr="00880D01">
        <w:rPr>
          <w:rFonts w:ascii="Times New Roman" w:hAnsi="Times New Roman" w:cs="Times New Roman"/>
          <w:sz w:val="24"/>
          <w:szCs w:val="24"/>
        </w:rPr>
        <w:t>USD</w:t>
      </w:r>
      <w:r w:rsidR="006332AF" w:rsidRPr="00880D01">
        <w:rPr>
          <w:rFonts w:ascii="Times New Roman" w:hAnsi="Times New Roman" w:cs="Times New Roman"/>
          <w:sz w:val="24"/>
          <w:szCs w:val="24"/>
        </w:rPr>
        <w:t xml:space="preserve"> </w:t>
      </w:r>
      <w:r w:rsidRPr="00880D01">
        <w:rPr>
          <w:rFonts w:ascii="Times New Roman" w:hAnsi="Times New Roman" w:cs="Times New Roman"/>
          <w:sz w:val="24"/>
          <w:szCs w:val="24"/>
        </w:rPr>
        <w:t>10</w:t>
      </w:r>
      <w:r w:rsidR="006332AF" w:rsidRPr="00880D01">
        <w:rPr>
          <w:rFonts w:ascii="Times New Roman" w:hAnsi="Times New Roman" w:cs="Times New Roman"/>
          <w:sz w:val="24"/>
          <w:szCs w:val="24"/>
        </w:rPr>
        <w:t>,</w:t>
      </w:r>
      <w:r w:rsidRPr="00880D01">
        <w:rPr>
          <w:rFonts w:ascii="Times New Roman" w:hAnsi="Times New Roman" w:cs="Times New Roman"/>
          <w:sz w:val="24"/>
          <w:szCs w:val="24"/>
        </w:rPr>
        <w:t>718</w:t>
      </w:r>
      <w:r w:rsidR="006332AF" w:rsidRPr="00880D01">
        <w:rPr>
          <w:rFonts w:ascii="Times New Roman" w:hAnsi="Times New Roman" w:cs="Times New Roman"/>
          <w:sz w:val="24"/>
          <w:szCs w:val="24"/>
        </w:rPr>
        <w:t>,</w:t>
      </w:r>
      <w:r w:rsidRPr="00880D01">
        <w:rPr>
          <w:rFonts w:ascii="Times New Roman" w:hAnsi="Times New Roman" w:cs="Times New Roman"/>
          <w:sz w:val="24"/>
          <w:szCs w:val="24"/>
        </w:rPr>
        <w:t>373.51</w:t>
      </w:r>
      <w:r w:rsidR="002A6DD8">
        <w:rPr>
          <w:rFonts w:ascii="Times New Roman" w:hAnsi="Times New Roman" w:cs="Times New Roman"/>
          <w:sz w:val="24"/>
          <w:szCs w:val="24"/>
        </w:rPr>
        <w:t xml:space="preserve"> plus interest</w:t>
      </w:r>
      <w:r w:rsidRPr="00880D01">
        <w:rPr>
          <w:rFonts w:ascii="Times New Roman" w:hAnsi="Times New Roman" w:cs="Times New Roman"/>
          <w:sz w:val="24"/>
          <w:szCs w:val="24"/>
        </w:rPr>
        <w:t>, together with costs of suit on an attorney</w:t>
      </w:r>
      <w:r w:rsidR="006332AF" w:rsidRPr="00880D01">
        <w:rPr>
          <w:rFonts w:ascii="Times New Roman" w:hAnsi="Times New Roman" w:cs="Times New Roman"/>
          <w:sz w:val="24"/>
          <w:szCs w:val="24"/>
        </w:rPr>
        <w:t xml:space="preserve"> and </w:t>
      </w:r>
      <w:r w:rsidRPr="00880D01">
        <w:rPr>
          <w:rFonts w:ascii="Times New Roman" w:hAnsi="Times New Roman" w:cs="Times New Roman"/>
          <w:sz w:val="24"/>
          <w:szCs w:val="24"/>
        </w:rPr>
        <w:t>client scale</w:t>
      </w:r>
      <w:r w:rsidR="00A31E3E" w:rsidRPr="00880D01">
        <w:rPr>
          <w:rFonts w:ascii="Times New Roman" w:hAnsi="Times New Roman" w:cs="Times New Roman"/>
          <w:sz w:val="24"/>
          <w:szCs w:val="24"/>
        </w:rPr>
        <w:t>.</w:t>
      </w:r>
      <w:r w:rsidR="00AE1AFB" w:rsidRPr="00880D01">
        <w:rPr>
          <w:rFonts w:ascii="Times New Roman" w:hAnsi="Times New Roman" w:cs="Times New Roman"/>
          <w:sz w:val="24"/>
          <w:szCs w:val="24"/>
        </w:rPr>
        <w:t xml:space="preserve"> </w:t>
      </w:r>
      <w:r w:rsidR="00021092" w:rsidRPr="00880D01">
        <w:rPr>
          <w:rFonts w:ascii="Times New Roman" w:hAnsi="Times New Roman" w:cs="Times New Roman"/>
          <w:sz w:val="24"/>
          <w:szCs w:val="24"/>
        </w:rPr>
        <w:t>Irked by the decision of the High Court, the applicant noted an appeal to the Supreme Cour</w:t>
      </w:r>
      <w:r w:rsidR="00491000" w:rsidRPr="00880D01">
        <w:rPr>
          <w:rFonts w:ascii="Times New Roman" w:hAnsi="Times New Roman" w:cs="Times New Roman"/>
          <w:sz w:val="24"/>
          <w:szCs w:val="24"/>
        </w:rPr>
        <w:t xml:space="preserve">t (“the court </w:t>
      </w:r>
      <w:r w:rsidR="00491000" w:rsidRPr="00880D01">
        <w:rPr>
          <w:rFonts w:ascii="Times New Roman" w:hAnsi="Times New Roman" w:cs="Times New Roman"/>
          <w:i/>
          <w:iCs/>
          <w:sz w:val="24"/>
          <w:szCs w:val="24"/>
        </w:rPr>
        <w:t>a quo</w:t>
      </w:r>
      <w:r w:rsidR="00491000" w:rsidRPr="00880D01">
        <w:rPr>
          <w:rFonts w:ascii="Times New Roman" w:hAnsi="Times New Roman" w:cs="Times New Roman"/>
          <w:sz w:val="24"/>
          <w:szCs w:val="24"/>
        </w:rPr>
        <w:t xml:space="preserve">”) </w:t>
      </w:r>
      <w:r w:rsidR="00021092" w:rsidRPr="00880D01">
        <w:rPr>
          <w:rFonts w:ascii="Times New Roman" w:hAnsi="Times New Roman" w:cs="Times New Roman"/>
          <w:sz w:val="24"/>
          <w:szCs w:val="24"/>
        </w:rPr>
        <w:t>on 4 April 2023</w:t>
      </w:r>
      <w:r w:rsidR="00A31E3E" w:rsidRPr="00880D01">
        <w:rPr>
          <w:rFonts w:ascii="Times New Roman" w:hAnsi="Times New Roman" w:cs="Times New Roman"/>
          <w:sz w:val="24"/>
          <w:szCs w:val="24"/>
        </w:rPr>
        <w:t xml:space="preserve"> under </w:t>
      </w:r>
      <w:r w:rsidR="006332AF" w:rsidRPr="00880D01">
        <w:rPr>
          <w:rFonts w:ascii="Times New Roman" w:hAnsi="Times New Roman" w:cs="Times New Roman"/>
          <w:sz w:val="24"/>
          <w:szCs w:val="24"/>
        </w:rPr>
        <w:t>C</w:t>
      </w:r>
      <w:r w:rsidR="00A31E3E" w:rsidRPr="00880D01">
        <w:rPr>
          <w:rFonts w:ascii="Times New Roman" w:hAnsi="Times New Roman" w:cs="Times New Roman"/>
          <w:sz w:val="24"/>
          <w:szCs w:val="24"/>
        </w:rPr>
        <w:t xml:space="preserve">ase </w:t>
      </w:r>
      <w:r w:rsidR="006332AF" w:rsidRPr="00880D01">
        <w:rPr>
          <w:rFonts w:ascii="Times New Roman" w:hAnsi="Times New Roman" w:cs="Times New Roman"/>
          <w:sz w:val="24"/>
          <w:szCs w:val="24"/>
        </w:rPr>
        <w:t>No.</w:t>
      </w:r>
      <w:r w:rsidR="00A31E3E" w:rsidRPr="00880D01">
        <w:rPr>
          <w:rFonts w:ascii="Times New Roman" w:hAnsi="Times New Roman" w:cs="Times New Roman"/>
          <w:sz w:val="24"/>
          <w:szCs w:val="24"/>
        </w:rPr>
        <w:t xml:space="preserve"> SC 201/23</w:t>
      </w:r>
      <w:r w:rsidR="009401BC" w:rsidRPr="00880D01">
        <w:rPr>
          <w:rFonts w:ascii="Times New Roman" w:hAnsi="Times New Roman" w:cs="Times New Roman"/>
          <w:sz w:val="24"/>
          <w:szCs w:val="24"/>
        </w:rPr>
        <w:t>.</w:t>
      </w:r>
    </w:p>
    <w:p w14:paraId="024CB534" w14:textId="77777777" w:rsidR="009401BC" w:rsidRPr="00880D01" w:rsidRDefault="009401BC" w:rsidP="009401BC">
      <w:pPr>
        <w:spacing w:after="0" w:line="480" w:lineRule="auto"/>
        <w:ind w:firstLine="720"/>
        <w:jc w:val="both"/>
        <w:rPr>
          <w:rFonts w:ascii="Times New Roman" w:hAnsi="Times New Roman" w:cs="Times New Roman"/>
          <w:sz w:val="24"/>
          <w:szCs w:val="24"/>
        </w:rPr>
      </w:pPr>
    </w:p>
    <w:p w14:paraId="5EE1D26C" w14:textId="7CA3437C" w:rsidR="009401BC" w:rsidRPr="00880D01" w:rsidRDefault="007535E1"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P</w:t>
      </w:r>
      <w:r w:rsidR="00021092" w:rsidRPr="00880D01">
        <w:rPr>
          <w:rFonts w:ascii="Times New Roman" w:hAnsi="Times New Roman" w:cs="Times New Roman"/>
          <w:sz w:val="24"/>
          <w:szCs w:val="24"/>
        </w:rPr>
        <w:t xml:space="preserve">ursuant to the noting of the appeal, on 6 April 2023, the respondent filed an urgent chamber application seeking leave to execute the judgment of the High Court pending </w:t>
      </w:r>
      <w:r w:rsidR="0089777C" w:rsidRPr="00880D01">
        <w:rPr>
          <w:rFonts w:ascii="Times New Roman" w:hAnsi="Times New Roman" w:cs="Times New Roman"/>
          <w:sz w:val="24"/>
          <w:szCs w:val="24"/>
        </w:rPr>
        <w:t>a</w:t>
      </w:r>
      <w:r w:rsidR="00021092" w:rsidRPr="00880D01">
        <w:rPr>
          <w:rFonts w:ascii="Times New Roman" w:hAnsi="Times New Roman" w:cs="Times New Roman"/>
          <w:sz w:val="24"/>
          <w:szCs w:val="24"/>
        </w:rPr>
        <w:t>ppeal. The application for leave to execute pending appeal was granted on 5 May 2013</w:t>
      </w:r>
      <w:r w:rsidR="002A6123" w:rsidRPr="00880D01">
        <w:rPr>
          <w:rFonts w:ascii="Times New Roman" w:hAnsi="Times New Roman" w:cs="Times New Roman"/>
          <w:sz w:val="24"/>
          <w:szCs w:val="24"/>
        </w:rPr>
        <w:t>.</w:t>
      </w:r>
    </w:p>
    <w:p w14:paraId="2E48F807" w14:textId="77777777" w:rsidR="009401BC" w:rsidRPr="00880D01" w:rsidRDefault="009401BC" w:rsidP="009401BC">
      <w:pPr>
        <w:spacing w:after="0" w:line="480" w:lineRule="auto"/>
        <w:ind w:firstLine="720"/>
        <w:jc w:val="both"/>
        <w:rPr>
          <w:rFonts w:ascii="Times New Roman" w:hAnsi="Times New Roman" w:cs="Times New Roman"/>
          <w:sz w:val="24"/>
          <w:szCs w:val="24"/>
        </w:rPr>
      </w:pPr>
    </w:p>
    <w:p w14:paraId="5680E236" w14:textId="77777777" w:rsidR="007535E1" w:rsidRPr="00880D01" w:rsidRDefault="00021092"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On 11 May 2023, the applicant</w:t>
      </w:r>
      <w:r w:rsidR="00590A15" w:rsidRPr="00880D01">
        <w:rPr>
          <w:rFonts w:ascii="Times New Roman" w:hAnsi="Times New Roman" w:cs="Times New Roman"/>
          <w:sz w:val="24"/>
          <w:szCs w:val="24"/>
        </w:rPr>
        <w:t xml:space="preserve"> </w:t>
      </w:r>
      <w:r w:rsidRPr="00880D01">
        <w:rPr>
          <w:rFonts w:ascii="Times New Roman" w:hAnsi="Times New Roman" w:cs="Times New Roman"/>
          <w:sz w:val="24"/>
          <w:szCs w:val="24"/>
        </w:rPr>
        <w:t xml:space="preserve">filed </w:t>
      </w:r>
      <w:r w:rsidR="00590A15" w:rsidRPr="00880D01">
        <w:rPr>
          <w:rFonts w:ascii="Times New Roman" w:hAnsi="Times New Roman" w:cs="Times New Roman"/>
          <w:sz w:val="24"/>
          <w:szCs w:val="24"/>
        </w:rPr>
        <w:t xml:space="preserve">an </w:t>
      </w:r>
      <w:r w:rsidRPr="00880D01">
        <w:rPr>
          <w:rFonts w:ascii="Times New Roman" w:hAnsi="Times New Roman" w:cs="Times New Roman"/>
          <w:sz w:val="24"/>
          <w:szCs w:val="24"/>
        </w:rPr>
        <w:t xml:space="preserve">urgent chamber application seeking leave to appeal against the judgment granting leave to execute pending appeal. </w:t>
      </w:r>
      <w:r w:rsidR="007535E1" w:rsidRPr="00880D01">
        <w:rPr>
          <w:rFonts w:ascii="Times New Roman" w:hAnsi="Times New Roman" w:cs="Times New Roman"/>
          <w:sz w:val="24"/>
          <w:szCs w:val="24"/>
        </w:rPr>
        <w:t>Nevertheless, armed</w:t>
      </w:r>
      <w:r w:rsidR="00590A15" w:rsidRPr="00880D01">
        <w:rPr>
          <w:rFonts w:ascii="Times New Roman" w:hAnsi="Times New Roman" w:cs="Times New Roman"/>
          <w:sz w:val="24"/>
          <w:szCs w:val="24"/>
        </w:rPr>
        <w:t xml:space="preserve"> with the order to execute the judgment of the High Court, t</w:t>
      </w:r>
      <w:r w:rsidRPr="00880D01">
        <w:rPr>
          <w:rFonts w:ascii="Times New Roman" w:hAnsi="Times New Roman" w:cs="Times New Roman"/>
          <w:sz w:val="24"/>
          <w:szCs w:val="24"/>
        </w:rPr>
        <w:t>he respondent instructed the Sheriff to attach the applicant’s property in execution.</w:t>
      </w:r>
    </w:p>
    <w:p w14:paraId="38053F26" w14:textId="37DDE402" w:rsidR="009401BC" w:rsidRPr="00880D01" w:rsidRDefault="00021092"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 xml:space="preserve"> </w:t>
      </w:r>
    </w:p>
    <w:p w14:paraId="0AB74FB4" w14:textId="7DE54E68" w:rsidR="009401BC" w:rsidRPr="00880D01" w:rsidRDefault="00FF732D"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 xml:space="preserve">The parties then entered </w:t>
      </w:r>
      <w:r w:rsidR="007535E1" w:rsidRPr="00880D01">
        <w:rPr>
          <w:rFonts w:ascii="Times New Roman" w:hAnsi="Times New Roman" w:cs="Times New Roman"/>
          <w:sz w:val="24"/>
          <w:szCs w:val="24"/>
        </w:rPr>
        <w:t xml:space="preserve">into </w:t>
      </w:r>
      <w:r w:rsidRPr="00880D01">
        <w:rPr>
          <w:rFonts w:ascii="Times New Roman" w:hAnsi="Times New Roman" w:cs="Times New Roman"/>
          <w:sz w:val="24"/>
          <w:szCs w:val="24"/>
        </w:rPr>
        <w:t>negotiations in view of the attachment</w:t>
      </w:r>
      <w:r w:rsidR="007535E1" w:rsidRPr="00880D01">
        <w:rPr>
          <w:rFonts w:ascii="Times New Roman" w:hAnsi="Times New Roman" w:cs="Times New Roman"/>
          <w:sz w:val="24"/>
          <w:szCs w:val="24"/>
        </w:rPr>
        <w:t>,</w:t>
      </w:r>
      <w:r w:rsidRPr="00880D01">
        <w:rPr>
          <w:rFonts w:ascii="Times New Roman" w:hAnsi="Times New Roman" w:cs="Times New Roman"/>
          <w:sz w:val="24"/>
          <w:szCs w:val="24"/>
        </w:rPr>
        <w:t xml:space="preserve"> with the result that </w:t>
      </w:r>
      <w:r w:rsidR="00887589" w:rsidRPr="00880D01">
        <w:rPr>
          <w:rFonts w:ascii="Times New Roman" w:hAnsi="Times New Roman" w:cs="Times New Roman"/>
          <w:sz w:val="24"/>
          <w:szCs w:val="24"/>
        </w:rPr>
        <w:t>t</w:t>
      </w:r>
      <w:r w:rsidR="00021092" w:rsidRPr="00880D01">
        <w:rPr>
          <w:rFonts w:ascii="Times New Roman" w:hAnsi="Times New Roman" w:cs="Times New Roman"/>
          <w:sz w:val="24"/>
          <w:szCs w:val="24"/>
        </w:rPr>
        <w:t>he applicant ma</w:t>
      </w:r>
      <w:r w:rsidR="0089777C" w:rsidRPr="00880D01">
        <w:rPr>
          <w:rFonts w:ascii="Times New Roman" w:hAnsi="Times New Roman" w:cs="Times New Roman"/>
          <w:sz w:val="24"/>
          <w:szCs w:val="24"/>
        </w:rPr>
        <w:t>de</w:t>
      </w:r>
      <w:r w:rsidR="00021092" w:rsidRPr="00880D01">
        <w:rPr>
          <w:rFonts w:ascii="Times New Roman" w:hAnsi="Times New Roman" w:cs="Times New Roman"/>
          <w:sz w:val="24"/>
          <w:szCs w:val="24"/>
        </w:rPr>
        <w:t xml:space="preserve"> two payments to the respondent on 15 May 2023 and 23 May 2023 in the sum</w:t>
      </w:r>
      <w:r w:rsidR="002A6DD8">
        <w:rPr>
          <w:rFonts w:ascii="Times New Roman" w:hAnsi="Times New Roman" w:cs="Times New Roman"/>
          <w:sz w:val="24"/>
          <w:szCs w:val="24"/>
        </w:rPr>
        <w:t>s</w:t>
      </w:r>
      <w:r w:rsidR="00021092" w:rsidRPr="00880D01">
        <w:rPr>
          <w:rFonts w:ascii="Times New Roman" w:hAnsi="Times New Roman" w:cs="Times New Roman"/>
          <w:sz w:val="24"/>
          <w:szCs w:val="24"/>
        </w:rPr>
        <w:t xml:space="preserve"> of USD 679</w:t>
      </w:r>
      <w:r w:rsidR="007535E1" w:rsidRPr="00880D01">
        <w:rPr>
          <w:rFonts w:ascii="Times New Roman" w:hAnsi="Times New Roman" w:cs="Times New Roman"/>
          <w:sz w:val="24"/>
          <w:szCs w:val="24"/>
        </w:rPr>
        <w:t>,</w:t>
      </w:r>
      <w:r w:rsidR="00021092" w:rsidRPr="00880D01">
        <w:rPr>
          <w:rFonts w:ascii="Times New Roman" w:hAnsi="Times New Roman" w:cs="Times New Roman"/>
          <w:sz w:val="24"/>
          <w:szCs w:val="24"/>
        </w:rPr>
        <w:t xml:space="preserve">103.93 and USD </w:t>
      </w:r>
      <w:r w:rsidR="00887589" w:rsidRPr="00880D01">
        <w:rPr>
          <w:rFonts w:ascii="Times New Roman" w:hAnsi="Times New Roman" w:cs="Times New Roman"/>
          <w:sz w:val="24"/>
          <w:szCs w:val="24"/>
        </w:rPr>
        <w:t>1,500</w:t>
      </w:r>
      <w:r w:rsidR="007535E1" w:rsidRPr="00880D01">
        <w:rPr>
          <w:rFonts w:ascii="Times New Roman" w:hAnsi="Times New Roman" w:cs="Times New Roman"/>
          <w:sz w:val="24"/>
          <w:szCs w:val="24"/>
        </w:rPr>
        <w:t>,</w:t>
      </w:r>
      <w:r w:rsidR="00021092" w:rsidRPr="00880D01">
        <w:rPr>
          <w:rFonts w:ascii="Times New Roman" w:hAnsi="Times New Roman" w:cs="Times New Roman"/>
          <w:sz w:val="24"/>
          <w:szCs w:val="24"/>
        </w:rPr>
        <w:t>000.00 respectively</w:t>
      </w:r>
      <w:r w:rsidR="007535E1" w:rsidRPr="00880D01">
        <w:rPr>
          <w:rFonts w:ascii="Times New Roman" w:hAnsi="Times New Roman" w:cs="Times New Roman"/>
          <w:sz w:val="24"/>
          <w:szCs w:val="24"/>
        </w:rPr>
        <w:t>,</w:t>
      </w:r>
      <w:r w:rsidR="0089777C" w:rsidRPr="00880D01">
        <w:rPr>
          <w:rFonts w:ascii="Times New Roman" w:hAnsi="Times New Roman" w:cs="Times New Roman"/>
          <w:sz w:val="24"/>
          <w:szCs w:val="24"/>
        </w:rPr>
        <w:t xml:space="preserve"> in compliance with the order of the</w:t>
      </w:r>
      <w:r w:rsidR="00887589" w:rsidRPr="00880D01">
        <w:rPr>
          <w:rFonts w:ascii="Times New Roman" w:hAnsi="Times New Roman" w:cs="Times New Roman"/>
          <w:sz w:val="24"/>
          <w:szCs w:val="24"/>
        </w:rPr>
        <w:t xml:space="preserve"> High C</w:t>
      </w:r>
      <w:r w:rsidR="0089777C" w:rsidRPr="00880D01">
        <w:rPr>
          <w:rFonts w:ascii="Times New Roman" w:hAnsi="Times New Roman" w:cs="Times New Roman"/>
          <w:sz w:val="24"/>
          <w:szCs w:val="24"/>
        </w:rPr>
        <w:t>ourt</w:t>
      </w:r>
      <w:r w:rsidR="00B02DF8" w:rsidRPr="00880D01">
        <w:rPr>
          <w:rFonts w:ascii="Times New Roman" w:hAnsi="Times New Roman" w:cs="Times New Roman"/>
          <w:sz w:val="24"/>
          <w:szCs w:val="24"/>
        </w:rPr>
        <w:t>.</w:t>
      </w:r>
    </w:p>
    <w:p w14:paraId="0DDB0841" w14:textId="77777777" w:rsidR="009401BC" w:rsidRPr="00880D01" w:rsidRDefault="009401BC" w:rsidP="009401BC">
      <w:pPr>
        <w:spacing w:after="0" w:line="480" w:lineRule="auto"/>
        <w:ind w:firstLine="720"/>
        <w:jc w:val="both"/>
        <w:rPr>
          <w:rFonts w:ascii="Times New Roman" w:hAnsi="Times New Roman" w:cs="Times New Roman"/>
          <w:sz w:val="24"/>
          <w:szCs w:val="24"/>
        </w:rPr>
      </w:pPr>
    </w:p>
    <w:p w14:paraId="3E57DC5B" w14:textId="237667DF" w:rsidR="009401BC" w:rsidRPr="00880D01" w:rsidRDefault="00B02DF8"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lastRenderedPageBreak/>
        <w:t xml:space="preserve">The circumstances of the payment made are narrated and captured in an agreement concluded between the parties. </w:t>
      </w:r>
      <w:r w:rsidR="007535E1" w:rsidRPr="00880D01">
        <w:rPr>
          <w:rFonts w:ascii="Times New Roman" w:hAnsi="Times New Roman" w:cs="Times New Roman"/>
          <w:sz w:val="24"/>
          <w:szCs w:val="24"/>
        </w:rPr>
        <w:t>T</w:t>
      </w:r>
      <w:r w:rsidRPr="00880D01">
        <w:rPr>
          <w:rFonts w:ascii="Times New Roman" w:hAnsi="Times New Roman" w:cs="Times New Roman"/>
          <w:sz w:val="24"/>
          <w:szCs w:val="24"/>
        </w:rPr>
        <w:t xml:space="preserve">he parties agreed that </w:t>
      </w:r>
      <w:r w:rsidR="00800B4D" w:rsidRPr="00880D01">
        <w:rPr>
          <w:rFonts w:ascii="Times New Roman" w:hAnsi="Times New Roman" w:cs="Times New Roman"/>
          <w:sz w:val="24"/>
          <w:szCs w:val="24"/>
        </w:rPr>
        <w:t xml:space="preserve">the </w:t>
      </w:r>
      <w:r w:rsidRPr="00880D01">
        <w:rPr>
          <w:rFonts w:ascii="Times New Roman" w:hAnsi="Times New Roman" w:cs="Times New Roman"/>
          <w:sz w:val="24"/>
          <w:szCs w:val="24"/>
        </w:rPr>
        <w:t xml:space="preserve">execution of the judgment in </w:t>
      </w:r>
      <w:r w:rsidR="00D9664A">
        <w:rPr>
          <w:rFonts w:ascii="Times New Roman" w:hAnsi="Times New Roman" w:cs="Times New Roman"/>
          <w:sz w:val="24"/>
          <w:szCs w:val="24"/>
        </w:rPr>
        <w:t xml:space="preserve">Case No. </w:t>
      </w:r>
      <w:r w:rsidRPr="00880D01">
        <w:rPr>
          <w:rFonts w:ascii="Times New Roman" w:hAnsi="Times New Roman" w:cs="Times New Roman"/>
          <w:sz w:val="24"/>
          <w:szCs w:val="24"/>
        </w:rPr>
        <w:t>HC</w:t>
      </w:r>
      <w:r w:rsidR="000A5F04" w:rsidRPr="00880D01">
        <w:rPr>
          <w:rFonts w:ascii="Times New Roman" w:hAnsi="Times New Roman" w:cs="Times New Roman"/>
          <w:sz w:val="24"/>
          <w:szCs w:val="24"/>
        </w:rPr>
        <w:t xml:space="preserve"> </w:t>
      </w:r>
      <w:r w:rsidRPr="00880D01">
        <w:rPr>
          <w:rFonts w:ascii="Times New Roman" w:hAnsi="Times New Roman" w:cs="Times New Roman"/>
          <w:sz w:val="24"/>
          <w:szCs w:val="24"/>
        </w:rPr>
        <w:t>723/23 would be stayed on the terms and conditions set out therein. The agreement</w:t>
      </w:r>
      <w:r w:rsidR="000A5F04" w:rsidRPr="00880D01">
        <w:rPr>
          <w:rFonts w:ascii="Times New Roman" w:hAnsi="Times New Roman" w:cs="Times New Roman"/>
          <w:sz w:val="24"/>
          <w:szCs w:val="24"/>
        </w:rPr>
        <w:t xml:space="preserve"> in addition</w:t>
      </w:r>
      <w:r w:rsidRPr="00880D01">
        <w:rPr>
          <w:rFonts w:ascii="Times New Roman" w:hAnsi="Times New Roman" w:cs="Times New Roman"/>
          <w:sz w:val="24"/>
          <w:szCs w:val="24"/>
        </w:rPr>
        <w:t xml:space="preserve"> provided that the respondent would</w:t>
      </w:r>
      <w:r w:rsidR="007535E1" w:rsidRPr="00880D01">
        <w:rPr>
          <w:rFonts w:ascii="Times New Roman" w:hAnsi="Times New Roman" w:cs="Times New Roman"/>
          <w:sz w:val="24"/>
          <w:szCs w:val="24"/>
        </w:rPr>
        <w:t>,</w:t>
      </w:r>
      <w:r w:rsidRPr="00880D01">
        <w:rPr>
          <w:rFonts w:ascii="Times New Roman" w:hAnsi="Times New Roman" w:cs="Times New Roman"/>
          <w:sz w:val="24"/>
          <w:szCs w:val="24"/>
        </w:rPr>
        <w:t xml:space="preserve"> immediately upon the signature of the agreement</w:t>
      </w:r>
      <w:r w:rsidR="007535E1" w:rsidRPr="00880D01">
        <w:rPr>
          <w:rFonts w:ascii="Times New Roman" w:hAnsi="Times New Roman" w:cs="Times New Roman"/>
          <w:sz w:val="24"/>
          <w:szCs w:val="24"/>
        </w:rPr>
        <w:t>,</w:t>
      </w:r>
      <w:r w:rsidRPr="00880D01">
        <w:rPr>
          <w:rFonts w:ascii="Times New Roman" w:hAnsi="Times New Roman" w:cs="Times New Roman"/>
          <w:sz w:val="24"/>
          <w:szCs w:val="24"/>
        </w:rPr>
        <w:t xml:space="preserve"> instruct the Sheriff to release all </w:t>
      </w:r>
      <w:r w:rsidR="007535E1" w:rsidRPr="00880D01">
        <w:rPr>
          <w:rFonts w:ascii="Times New Roman" w:hAnsi="Times New Roman" w:cs="Times New Roman"/>
          <w:sz w:val="24"/>
          <w:szCs w:val="24"/>
        </w:rPr>
        <w:t xml:space="preserve">the </w:t>
      </w:r>
      <w:r w:rsidRPr="00880D01">
        <w:rPr>
          <w:rFonts w:ascii="Times New Roman" w:hAnsi="Times New Roman" w:cs="Times New Roman"/>
          <w:sz w:val="24"/>
          <w:szCs w:val="24"/>
        </w:rPr>
        <w:t>assets placed under attachment. In</w:t>
      </w:r>
      <w:r w:rsidR="000A5F04" w:rsidRPr="00880D01">
        <w:rPr>
          <w:rFonts w:ascii="Times New Roman" w:hAnsi="Times New Roman" w:cs="Times New Roman"/>
          <w:sz w:val="24"/>
          <w:szCs w:val="24"/>
        </w:rPr>
        <w:t xml:space="preserve"> turn</w:t>
      </w:r>
      <w:r w:rsidRPr="00880D01">
        <w:rPr>
          <w:rFonts w:ascii="Times New Roman" w:hAnsi="Times New Roman" w:cs="Times New Roman"/>
          <w:sz w:val="24"/>
          <w:szCs w:val="24"/>
        </w:rPr>
        <w:t>, the applicant undertook to withdraw the application for leave to appeal</w:t>
      </w:r>
      <w:r w:rsidR="000A5F04" w:rsidRPr="00880D01">
        <w:rPr>
          <w:rFonts w:ascii="Times New Roman" w:hAnsi="Times New Roman" w:cs="Times New Roman"/>
          <w:sz w:val="24"/>
          <w:szCs w:val="24"/>
        </w:rPr>
        <w:t xml:space="preserve"> that it had filed with the </w:t>
      </w:r>
      <w:r w:rsidR="00D9664A">
        <w:rPr>
          <w:rFonts w:ascii="Times New Roman" w:hAnsi="Times New Roman" w:cs="Times New Roman"/>
          <w:sz w:val="24"/>
          <w:szCs w:val="24"/>
        </w:rPr>
        <w:t>High Court</w:t>
      </w:r>
      <w:r w:rsidR="007535E1" w:rsidRPr="00880D01">
        <w:rPr>
          <w:rFonts w:ascii="Times New Roman" w:hAnsi="Times New Roman" w:cs="Times New Roman"/>
          <w:sz w:val="24"/>
          <w:szCs w:val="24"/>
        </w:rPr>
        <w:t xml:space="preserve"> on 11 May 2023.</w:t>
      </w:r>
    </w:p>
    <w:p w14:paraId="55B53BB3" w14:textId="77777777" w:rsidR="009401BC" w:rsidRPr="00880D01" w:rsidRDefault="009401BC" w:rsidP="009401BC">
      <w:pPr>
        <w:spacing w:after="0" w:line="480" w:lineRule="auto"/>
        <w:ind w:firstLine="720"/>
        <w:jc w:val="both"/>
        <w:rPr>
          <w:rFonts w:ascii="Times New Roman" w:hAnsi="Times New Roman" w:cs="Times New Roman"/>
          <w:sz w:val="24"/>
          <w:szCs w:val="24"/>
        </w:rPr>
      </w:pPr>
    </w:p>
    <w:p w14:paraId="79C5B7DA" w14:textId="665F0449" w:rsidR="009401BC" w:rsidRPr="00880D01" w:rsidRDefault="00021092"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 xml:space="preserve">Pursuant to the </w:t>
      </w:r>
      <w:r w:rsidR="004A288C">
        <w:rPr>
          <w:rFonts w:ascii="Times New Roman" w:hAnsi="Times New Roman" w:cs="Times New Roman"/>
          <w:sz w:val="24"/>
          <w:szCs w:val="24"/>
        </w:rPr>
        <w:t>agreement between the parties</w:t>
      </w:r>
      <w:r w:rsidR="00D9664A">
        <w:rPr>
          <w:rFonts w:ascii="Times New Roman" w:hAnsi="Times New Roman" w:cs="Times New Roman"/>
          <w:sz w:val="24"/>
          <w:szCs w:val="24"/>
        </w:rPr>
        <w:t>,</w:t>
      </w:r>
      <w:r w:rsidRPr="00880D01">
        <w:rPr>
          <w:rFonts w:ascii="Times New Roman" w:hAnsi="Times New Roman" w:cs="Times New Roman"/>
          <w:sz w:val="24"/>
          <w:szCs w:val="24"/>
        </w:rPr>
        <w:t xml:space="preserve"> the respondent</w:t>
      </w:r>
      <w:r w:rsidR="00D9664A" w:rsidRPr="00D9664A">
        <w:rPr>
          <w:rFonts w:ascii="Times New Roman" w:hAnsi="Times New Roman" w:cs="Times New Roman"/>
          <w:sz w:val="24"/>
          <w:szCs w:val="24"/>
        </w:rPr>
        <w:t xml:space="preserve"> </w:t>
      </w:r>
      <w:r w:rsidR="00D9664A">
        <w:rPr>
          <w:rFonts w:ascii="Times New Roman" w:hAnsi="Times New Roman" w:cs="Times New Roman"/>
          <w:sz w:val="24"/>
          <w:szCs w:val="24"/>
        </w:rPr>
        <w:t>filed</w:t>
      </w:r>
      <w:r w:rsidR="002A6123" w:rsidRPr="00880D01">
        <w:rPr>
          <w:rFonts w:ascii="Times New Roman" w:hAnsi="Times New Roman" w:cs="Times New Roman"/>
          <w:sz w:val="24"/>
          <w:szCs w:val="24"/>
        </w:rPr>
        <w:t xml:space="preserve"> </w:t>
      </w:r>
      <w:r w:rsidR="004A288C">
        <w:rPr>
          <w:rFonts w:ascii="Times New Roman" w:hAnsi="Times New Roman" w:cs="Times New Roman"/>
          <w:sz w:val="24"/>
          <w:szCs w:val="24"/>
        </w:rPr>
        <w:t xml:space="preserve">in the Supreme Court a </w:t>
      </w:r>
      <w:r w:rsidR="002A6123" w:rsidRPr="00880D01">
        <w:rPr>
          <w:rFonts w:ascii="Times New Roman" w:hAnsi="Times New Roman" w:cs="Times New Roman"/>
          <w:sz w:val="24"/>
          <w:szCs w:val="24"/>
        </w:rPr>
        <w:t xml:space="preserve">notice of a </w:t>
      </w:r>
      <w:r w:rsidRPr="00880D01">
        <w:rPr>
          <w:rFonts w:ascii="Times New Roman" w:hAnsi="Times New Roman" w:cs="Times New Roman"/>
          <w:sz w:val="24"/>
          <w:szCs w:val="24"/>
        </w:rPr>
        <w:t xml:space="preserve">preliminary objection </w:t>
      </w:r>
      <w:r w:rsidR="00D9664A" w:rsidRPr="00880D01">
        <w:rPr>
          <w:rFonts w:ascii="Times New Roman" w:hAnsi="Times New Roman" w:cs="Times New Roman"/>
          <w:sz w:val="24"/>
          <w:szCs w:val="24"/>
        </w:rPr>
        <w:t>on 12 June 2023</w:t>
      </w:r>
      <w:r w:rsidR="00D9664A">
        <w:rPr>
          <w:rFonts w:ascii="Times New Roman" w:hAnsi="Times New Roman" w:cs="Times New Roman"/>
          <w:sz w:val="24"/>
          <w:szCs w:val="24"/>
        </w:rPr>
        <w:t xml:space="preserve">, </w:t>
      </w:r>
      <w:r w:rsidRPr="00880D01">
        <w:rPr>
          <w:rFonts w:ascii="Times New Roman" w:hAnsi="Times New Roman" w:cs="Times New Roman"/>
          <w:sz w:val="24"/>
          <w:szCs w:val="24"/>
        </w:rPr>
        <w:t xml:space="preserve">in terms of </w:t>
      </w:r>
      <w:r w:rsidR="007535E1" w:rsidRPr="00880D01">
        <w:rPr>
          <w:rFonts w:ascii="Times New Roman" w:hAnsi="Times New Roman" w:cs="Times New Roman"/>
          <w:sz w:val="24"/>
          <w:szCs w:val="24"/>
        </w:rPr>
        <w:t>r</w:t>
      </w:r>
      <w:r w:rsidRPr="00880D01">
        <w:rPr>
          <w:rFonts w:ascii="Times New Roman" w:hAnsi="Times New Roman" w:cs="Times New Roman"/>
          <w:sz w:val="24"/>
          <w:szCs w:val="24"/>
        </w:rPr>
        <w:t xml:space="preserve"> 51 of the </w:t>
      </w:r>
      <w:r w:rsidR="007535E1" w:rsidRPr="00880D01">
        <w:rPr>
          <w:rFonts w:ascii="Times New Roman" w:hAnsi="Times New Roman" w:cs="Times New Roman"/>
          <w:sz w:val="24"/>
          <w:szCs w:val="24"/>
        </w:rPr>
        <w:t xml:space="preserve">Supreme Court </w:t>
      </w:r>
      <w:r w:rsidRPr="00880D01">
        <w:rPr>
          <w:rFonts w:ascii="Times New Roman" w:hAnsi="Times New Roman" w:cs="Times New Roman"/>
          <w:sz w:val="24"/>
          <w:szCs w:val="24"/>
        </w:rPr>
        <w:t>Rules</w:t>
      </w:r>
      <w:r w:rsidR="00AE2FA6">
        <w:rPr>
          <w:rFonts w:ascii="Times New Roman" w:hAnsi="Times New Roman" w:cs="Times New Roman"/>
          <w:sz w:val="24"/>
          <w:szCs w:val="24"/>
        </w:rPr>
        <w:t>, 2018</w:t>
      </w:r>
      <w:r w:rsidR="001F2E4E" w:rsidRPr="00880D01">
        <w:rPr>
          <w:rFonts w:ascii="Times New Roman" w:hAnsi="Times New Roman" w:cs="Times New Roman"/>
          <w:sz w:val="24"/>
          <w:szCs w:val="24"/>
        </w:rPr>
        <w:t>.</w:t>
      </w:r>
      <w:r w:rsidRPr="00880D01">
        <w:rPr>
          <w:rFonts w:ascii="Times New Roman" w:hAnsi="Times New Roman" w:cs="Times New Roman"/>
          <w:sz w:val="24"/>
          <w:szCs w:val="24"/>
        </w:rPr>
        <w:t xml:space="preserve"> It contended that the applicant </w:t>
      </w:r>
      <w:r w:rsidR="00B91B8E" w:rsidRPr="00880D01">
        <w:rPr>
          <w:rFonts w:ascii="Times New Roman" w:hAnsi="Times New Roman" w:cs="Times New Roman"/>
          <w:sz w:val="24"/>
          <w:szCs w:val="24"/>
        </w:rPr>
        <w:t xml:space="preserve">had </w:t>
      </w:r>
      <w:proofErr w:type="spellStart"/>
      <w:r w:rsidR="00D9664A">
        <w:rPr>
          <w:rFonts w:ascii="Times New Roman" w:hAnsi="Times New Roman" w:cs="Times New Roman"/>
          <w:sz w:val="24"/>
          <w:szCs w:val="24"/>
        </w:rPr>
        <w:t>per</w:t>
      </w:r>
      <w:r w:rsidR="00B91B8E" w:rsidRPr="00880D01">
        <w:rPr>
          <w:rFonts w:ascii="Times New Roman" w:hAnsi="Times New Roman" w:cs="Times New Roman"/>
          <w:sz w:val="24"/>
          <w:szCs w:val="24"/>
        </w:rPr>
        <w:t>empted</w:t>
      </w:r>
      <w:proofErr w:type="spellEnd"/>
      <w:r w:rsidR="00B91B8E" w:rsidRPr="00880D01">
        <w:rPr>
          <w:rFonts w:ascii="Times New Roman" w:hAnsi="Times New Roman" w:cs="Times New Roman"/>
          <w:sz w:val="24"/>
          <w:szCs w:val="24"/>
        </w:rPr>
        <w:t xml:space="preserve"> </w:t>
      </w:r>
      <w:r w:rsidRPr="00880D01">
        <w:rPr>
          <w:rFonts w:ascii="Times New Roman" w:hAnsi="Times New Roman" w:cs="Times New Roman"/>
          <w:sz w:val="24"/>
          <w:szCs w:val="24"/>
        </w:rPr>
        <w:t xml:space="preserve">its right of appeal by partly paying the judgment debt as per the judgment of the High Court. It further stated that the applicant </w:t>
      </w:r>
      <w:r w:rsidR="00B91B8E" w:rsidRPr="00880D01">
        <w:rPr>
          <w:rFonts w:ascii="Times New Roman" w:hAnsi="Times New Roman" w:cs="Times New Roman"/>
          <w:sz w:val="24"/>
          <w:szCs w:val="24"/>
        </w:rPr>
        <w:t xml:space="preserve">had </w:t>
      </w:r>
      <w:r w:rsidRPr="00880D01">
        <w:rPr>
          <w:rFonts w:ascii="Times New Roman" w:hAnsi="Times New Roman" w:cs="Times New Roman"/>
          <w:sz w:val="24"/>
          <w:szCs w:val="24"/>
        </w:rPr>
        <w:t>entered into a deed of settlement with the respondent in a bid to extinguish the judgment debt. The respondent added that</w:t>
      </w:r>
      <w:r w:rsidR="00B91B8E" w:rsidRPr="00880D01">
        <w:rPr>
          <w:rFonts w:ascii="Times New Roman" w:hAnsi="Times New Roman" w:cs="Times New Roman"/>
          <w:sz w:val="24"/>
          <w:szCs w:val="24"/>
        </w:rPr>
        <w:t>,</w:t>
      </w:r>
      <w:r w:rsidRPr="00880D01">
        <w:rPr>
          <w:rFonts w:ascii="Times New Roman" w:hAnsi="Times New Roman" w:cs="Times New Roman"/>
          <w:sz w:val="24"/>
          <w:szCs w:val="24"/>
        </w:rPr>
        <w:t xml:space="preserve"> by virtue of the payments </w:t>
      </w:r>
      <w:r w:rsidR="001F2E4E" w:rsidRPr="00880D01">
        <w:rPr>
          <w:rFonts w:ascii="Times New Roman" w:hAnsi="Times New Roman" w:cs="Times New Roman"/>
          <w:sz w:val="24"/>
          <w:szCs w:val="24"/>
        </w:rPr>
        <w:t xml:space="preserve">made </w:t>
      </w:r>
      <w:r w:rsidRPr="00880D01">
        <w:rPr>
          <w:rFonts w:ascii="Times New Roman" w:hAnsi="Times New Roman" w:cs="Times New Roman"/>
          <w:sz w:val="24"/>
          <w:szCs w:val="24"/>
        </w:rPr>
        <w:t>and the deed of settlement, there was no longer any live issue for determination by the court</w:t>
      </w:r>
      <w:r w:rsidR="00B91B8E" w:rsidRPr="00880D01">
        <w:rPr>
          <w:rFonts w:ascii="Times New Roman" w:hAnsi="Times New Roman" w:cs="Times New Roman"/>
          <w:sz w:val="24"/>
          <w:szCs w:val="24"/>
        </w:rPr>
        <w:t>,</w:t>
      </w:r>
      <w:r w:rsidRPr="00880D01">
        <w:rPr>
          <w:rFonts w:ascii="Times New Roman" w:hAnsi="Times New Roman" w:cs="Times New Roman"/>
          <w:sz w:val="24"/>
          <w:szCs w:val="24"/>
        </w:rPr>
        <w:t xml:space="preserve"> as the matter had become moot.</w:t>
      </w:r>
    </w:p>
    <w:p w14:paraId="5D72FF90" w14:textId="77777777" w:rsidR="009401BC" w:rsidRPr="00880D01" w:rsidRDefault="009401BC" w:rsidP="009401BC">
      <w:pPr>
        <w:spacing w:after="0" w:line="480" w:lineRule="auto"/>
        <w:ind w:firstLine="720"/>
        <w:jc w:val="both"/>
        <w:rPr>
          <w:rFonts w:ascii="Times New Roman" w:hAnsi="Times New Roman" w:cs="Times New Roman"/>
          <w:sz w:val="24"/>
          <w:szCs w:val="24"/>
        </w:rPr>
      </w:pPr>
    </w:p>
    <w:p w14:paraId="6921D679" w14:textId="3DE83418" w:rsidR="009401BC" w:rsidRPr="00880D01" w:rsidRDefault="00AE1AFB"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ab/>
      </w:r>
      <w:r w:rsidR="00BF6BF5" w:rsidRPr="00880D01">
        <w:rPr>
          <w:rFonts w:ascii="Times New Roman" w:hAnsi="Times New Roman" w:cs="Times New Roman"/>
          <w:sz w:val="24"/>
          <w:szCs w:val="24"/>
        </w:rPr>
        <w:t xml:space="preserve">In </w:t>
      </w:r>
      <w:r w:rsidR="00584151" w:rsidRPr="00880D01">
        <w:rPr>
          <w:rFonts w:ascii="Times New Roman" w:hAnsi="Times New Roman" w:cs="Times New Roman"/>
          <w:sz w:val="24"/>
          <w:szCs w:val="24"/>
        </w:rPr>
        <w:t>its</w:t>
      </w:r>
      <w:r w:rsidR="00BF6BF5" w:rsidRPr="00880D01">
        <w:rPr>
          <w:rFonts w:ascii="Times New Roman" w:hAnsi="Times New Roman" w:cs="Times New Roman"/>
          <w:sz w:val="24"/>
          <w:szCs w:val="24"/>
        </w:rPr>
        <w:t xml:space="preserve"> heads of argument filed before the court </w:t>
      </w:r>
      <w:r w:rsidR="00BF6BF5" w:rsidRPr="00880D01">
        <w:rPr>
          <w:rFonts w:ascii="Times New Roman" w:hAnsi="Times New Roman" w:cs="Times New Roman"/>
          <w:i/>
          <w:iCs/>
          <w:sz w:val="24"/>
          <w:szCs w:val="24"/>
        </w:rPr>
        <w:t>a quo</w:t>
      </w:r>
      <w:r w:rsidR="00BF6BF5" w:rsidRPr="00880D01">
        <w:rPr>
          <w:rFonts w:ascii="Times New Roman" w:hAnsi="Times New Roman" w:cs="Times New Roman"/>
          <w:sz w:val="24"/>
          <w:szCs w:val="24"/>
        </w:rPr>
        <w:t>, t</w:t>
      </w:r>
      <w:r w:rsidRPr="00880D01">
        <w:rPr>
          <w:rFonts w:ascii="Times New Roman" w:hAnsi="Times New Roman" w:cs="Times New Roman"/>
          <w:sz w:val="24"/>
          <w:szCs w:val="24"/>
        </w:rPr>
        <w:t xml:space="preserve">he </w:t>
      </w:r>
      <w:r w:rsidR="00C16DEA" w:rsidRPr="00880D01">
        <w:rPr>
          <w:rFonts w:ascii="Times New Roman" w:hAnsi="Times New Roman" w:cs="Times New Roman"/>
          <w:sz w:val="24"/>
          <w:szCs w:val="24"/>
        </w:rPr>
        <w:t>applicant</w:t>
      </w:r>
      <w:r w:rsidRPr="00880D01">
        <w:rPr>
          <w:rFonts w:ascii="Times New Roman" w:hAnsi="Times New Roman" w:cs="Times New Roman"/>
          <w:sz w:val="24"/>
          <w:szCs w:val="24"/>
        </w:rPr>
        <w:t xml:space="preserve"> submitted that the preliminary objection was without merit for the reason</w:t>
      </w:r>
      <w:r w:rsidR="00BF6BF5" w:rsidRPr="00880D01">
        <w:rPr>
          <w:rFonts w:ascii="Times New Roman" w:hAnsi="Times New Roman" w:cs="Times New Roman"/>
          <w:sz w:val="24"/>
          <w:szCs w:val="24"/>
        </w:rPr>
        <w:t xml:space="preserve"> that </w:t>
      </w:r>
      <w:r w:rsidRPr="00880D01">
        <w:rPr>
          <w:rFonts w:ascii="Times New Roman" w:hAnsi="Times New Roman" w:cs="Times New Roman"/>
          <w:sz w:val="24"/>
          <w:szCs w:val="24"/>
        </w:rPr>
        <w:t xml:space="preserve">the parties </w:t>
      </w:r>
      <w:r w:rsidR="00584151" w:rsidRPr="00880D01">
        <w:rPr>
          <w:rFonts w:ascii="Times New Roman" w:hAnsi="Times New Roman" w:cs="Times New Roman"/>
          <w:sz w:val="24"/>
          <w:szCs w:val="24"/>
        </w:rPr>
        <w:t xml:space="preserve">had </w:t>
      </w:r>
      <w:r w:rsidRPr="00880D01">
        <w:rPr>
          <w:rFonts w:ascii="Times New Roman" w:hAnsi="Times New Roman" w:cs="Times New Roman"/>
          <w:sz w:val="24"/>
          <w:szCs w:val="24"/>
        </w:rPr>
        <w:t>entered into negotiations for the stay of execution</w:t>
      </w:r>
      <w:r w:rsidR="00D9664A">
        <w:rPr>
          <w:rFonts w:ascii="Times New Roman" w:hAnsi="Times New Roman" w:cs="Times New Roman"/>
          <w:sz w:val="24"/>
          <w:szCs w:val="24"/>
        </w:rPr>
        <w:t>,</w:t>
      </w:r>
      <w:r w:rsidRPr="00880D01">
        <w:rPr>
          <w:rFonts w:ascii="Times New Roman" w:hAnsi="Times New Roman" w:cs="Times New Roman"/>
          <w:sz w:val="24"/>
          <w:szCs w:val="24"/>
        </w:rPr>
        <w:t xml:space="preserve"> which was </w:t>
      </w:r>
      <w:r w:rsidR="00A439C3" w:rsidRPr="00880D01">
        <w:rPr>
          <w:rFonts w:ascii="Times New Roman" w:hAnsi="Times New Roman" w:cs="Times New Roman"/>
          <w:sz w:val="24"/>
          <w:szCs w:val="24"/>
        </w:rPr>
        <w:t xml:space="preserve">effected </w:t>
      </w:r>
      <w:r w:rsidRPr="00880D01">
        <w:rPr>
          <w:rFonts w:ascii="Times New Roman" w:hAnsi="Times New Roman" w:cs="Times New Roman"/>
          <w:sz w:val="24"/>
          <w:szCs w:val="24"/>
        </w:rPr>
        <w:t>pursuant to a deed of settlement</w:t>
      </w:r>
      <w:r w:rsidR="00584151" w:rsidRPr="00880D01">
        <w:rPr>
          <w:rFonts w:ascii="Times New Roman" w:hAnsi="Times New Roman" w:cs="Times New Roman"/>
          <w:sz w:val="24"/>
          <w:szCs w:val="24"/>
        </w:rPr>
        <w:t>,</w:t>
      </w:r>
      <w:r w:rsidRPr="00880D01">
        <w:rPr>
          <w:rFonts w:ascii="Times New Roman" w:hAnsi="Times New Roman" w:cs="Times New Roman"/>
          <w:sz w:val="24"/>
          <w:szCs w:val="24"/>
        </w:rPr>
        <w:t xml:space="preserve"> </w:t>
      </w:r>
      <w:r w:rsidR="00A439C3" w:rsidRPr="00880D01">
        <w:rPr>
          <w:rFonts w:ascii="Times New Roman" w:hAnsi="Times New Roman" w:cs="Times New Roman"/>
          <w:sz w:val="24"/>
          <w:szCs w:val="24"/>
        </w:rPr>
        <w:t xml:space="preserve">after the </w:t>
      </w:r>
      <w:r w:rsidRPr="00880D01">
        <w:rPr>
          <w:rFonts w:ascii="Times New Roman" w:hAnsi="Times New Roman" w:cs="Times New Roman"/>
          <w:sz w:val="24"/>
          <w:szCs w:val="24"/>
        </w:rPr>
        <w:t xml:space="preserve">applicant </w:t>
      </w:r>
      <w:r w:rsidR="00584151" w:rsidRPr="00880D01">
        <w:rPr>
          <w:rFonts w:ascii="Times New Roman" w:hAnsi="Times New Roman" w:cs="Times New Roman"/>
          <w:sz w:val="24"/>
          <w:szCs w:val="24"/>
        </w:rPr>
        <w:t>paid</w:t>
      </w:r>
      <w:r w:rsidRPr="00880D01">
        <w:rPr>
          <w:rFonts w:ascii="Times New Roman" w:hAnsi="Times New Roman" w:cs="Times New Roman"/>
          <w:sz w:val="24"/>
          <w:szCs w:val="24"/>
        </w:rPr>
        <w:t xml:space="preserve"> the</w:t>
      </w:r>
      <w:r w:rsidR="00C16DEA" w:rsidRPr="00880D01">
        <w:rPr>
          <w:rFonts w:ascii="Times New Roman" w:hAnsi="Times New Roman" w:cs="Times New Roman"/>
          <w:sz w:val="24"/>
          <w:szCs w:val="24"/>
        </w:rPr>
        <w:t xml:space="preserve"> </w:t>
      </w:r>
      <w:r w:rsidR="00BF6BF5" w:rsidRPr="00880D01">
        <w:rPr>
          <w:rFonts w:ascii="Times New Roman" w:hAnsi="Times New Roman" w:cs="Times New Roman"/>
          <w:sz w:val="24"/>
          <w:szCs w:val="24"/>
        </w:rPr>
        <w:t>respondent</w:t>
      </w:r>
      <w:r w:rsidR="00C16DEA" w:rsidRPr="00880D01">
        <w:rPr>
          <w:rFonts w:ascii="Times New Roman" w:hAnsi="Times New Roman" w:cs="Times New Roman"/>
          <w:sz w:val="24"/>
          <w:szCs w:val="24"/>
        </w:rPr>
        <w:t xml:space="preserve"> </w:t>
      </w:r>
      <w:r w:rsidR="005D2250" w:rsidRPr="00880D01">
        <w:rPr>
          <w:rFonts w:ascii="Times New Roman" w:hAnsi="Times New Roman" w:cs="Times New Roman"/>
          <w:sz w:val="24"/>
          <w:szCs w:val="24"/>
        </w:rPr>
        <w:t xml:space="preserve">an amount </w:t>
      </w:r>
      <w:r w:rsidRPr="00880D01">
        <w:rPr>
          <w:rFonts w:ascii="Times New Roman" w:hAnsi="Times New Roman" w:cs="Times New Roman"/>
          <w:sz w:val="24"/>
          <w:szCs w:val="24"/>
        </w:rPr>
        <w:t>of USD 1</w:t>
      </w:r>
      <w:r w:rsidR="00BF6BF5" w:rsidRPr="00880D01">
        <w:rPr>
          <w:rFonts w:ascii="Times New Roman" w:hAnsi="Times New Roman" w:cs="Times New Roman"/>
          <w:sz w:val="24"/>
          <w:szCs w:val="24"/>
        </w:rPr>
        <w:t>,</w:t>
      </w:r>
      <w:r w:rsidRPr="00880D01">
        <w:rPr>
          <w:rFonts w:ascii="Times New Roman" w:hAnsi="Times New Roman" w:cs="Times New Roman"/>
          <w:sz w:val="24"/>
          <w:szCs w:val="24"/>
        </w:rPr>
        <w:t>500</w:t>
      </w:r>
      <w:r w:rsidR="00BF6BF5" w:rsidRPr="00880D01">
        <w:rPr>
          <w:rFonts w:ascii="Times New Roman" w:hAnsi="Times New Roman" w:cs="Times New Roman"/>
          <w:sz w:val="24"/>
          <w:szCs w:val="24"/>
        </w:rPr>
        <w:t>,</w:t>
      </w:r>
      <w:r w:rsidRPr="00880D01">
        <w:rPr>
          <w:rFonts w:ascii="Times New Roman" w:hAnsi="Times New Roman" w:cs="Times New Roman"/>
          <w:sz w:val="24"/>
          <w:szCs w:val="24"/>
        </w:rPr>
        <w:t>000.00 on or before 26 May 2023</w:t>
      </w:r>
      <w:r w:rsidR="00584151" w:rsidRPr="00880D01">
        <w:rPr>
          <w:rFonts w:ascii="Times New Roman" w:hAnsi="Times New Roman" w:cs="Times New Roman"/>
          <w:sz w:val="24"/>
          <w:szCs w:val="24"/>
        </w:rPr>
        <w:t>,</w:t>
      </w:r>
      <w:r w:rsidRPr="00880D01">
        <w:rPr>
          <w:rFonts w:ascii="Times New Roman" w:hAnsi="Times New Roman" w:cs="Times New Roman"/>
          <w:sz w:val="24"/>
          <w:szCs w:val="24"/>
        </w:rPr>
        <w:t xml:space="preserve"> as a condition for the release of its assets from attachment by the Sheriff.</w:t>
      </w:r>
      <w:r w:rsidR="00C16DEA" w:rsidRPr="00880D01">
        <w:rPr>
          <w:rFonts w:ascii="Times New Roman" w:hAnsi="Times New Roman" w:cs="Times New Roman"/>
          <w:sz w:val="24"/>
          <w:szCs w:val="24"/>
        </w:rPr>
        <w:t xml:space="preserve"> In addition, </w:t>
      </w:r>
      <w:r w:rsidR="00BF6BF5" w:rsidRPr="00880D01">
        <w:rPr>
          <w:rFonts w:ascii="Times New Roman" w:hAnsi="Times New Roman" w:cs="Times New Roman"/>
          <w:sz w:val="24"/>
          <w:szCs w:val="24"/>
        </w:rPr>
        <w:t xml:space="preserve">the agreement </w:t>
      </w:r>
      <w:r w:rsidR="00C16DEA" w:rsidRPr="00880D01">
        <w:rPr>
          <w:rFonts w:ascii="Times New Roman" w:hAnsi="Times New Roman" w:cs="Times New Roman"/>
          <w:sz w:val="24"/>
          <w:szCs w:val="24"/>
        </w:rPr>
        <w:t>provided that the parties would negotiate and conclude a final deed of settlement by not later than 30 June 2023.</w:t>
      </w:r>
      <w:r w:rsidR="004A288C">
        <w:rPr>
          <w:rFonts w:ascii="Times New Roman" w:hAnsi="Times New Roman" w:cs="Times New Roman"/>
          <w:sz w:val="24"/>
          <w:szCs w:val="24"/>
        </w:rPr>
        <w:t xml:space="preserve"> No such final deed of settlement was ever concluded.</w:t>
      </w:r>
    </w:p>
    <w:p w14:paraId="45425EED" w14:textId="77777777" w:rsidR="009401BC" w:rsidRPr="00880D01" w:rsidRDefault="009401BC" w:rsidP="009401BC">
      <w:pPr>
        <w:spacing w:after="0" w:line="480" w:lineRule="auto"/>
        <w:ind w:firstLine="720"/>
        <w:jc w:val="both"/>
        <w:rPr>
          <w:rFonts w:ascii="Times New Roman" w:hAnsi="Times New Roman" w:cs="Times New Roman"/>
          <w:sz w:val="24"/>
          <w:szCs w:val="24"/>
        </w:rPr>
      </w:pPr>
    </w:p>
    <w:p w14:paraId="5940A32C" w14:textId="13C73130" w:rsidR="009401BC" w:rsidRPr="00880D01" w:rsidRDefault="00C16DEA" w:rsidP="009401BC">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lastRenderedPageBreak/>
        <w:t xml:space="preserve">The applicant </w:t>
      </w:r>
      <w:r w:rsidR="008A22B9" w:rsidRPr="00880D01">
        <w:rPr>
          <w:rFonts w:ascii="Times New Roman" w:hAnsi="Times New Roman" w:cs="Times New Roman"/>
          <w:sz w:val="24"/>
          <w:szCs w:val="24"/>
        </w:rPr>
        <w:t xml:space="preserve">further </w:t>
      </w:r>
      <w:r w:rsidRPr="00880D01">
        <w:rPr>
          <w:rFonts w:ascii="Times New Roman" w:hAnsi="Times New Roman" w:cs="Times New Roman"/>
          <w:sz w:val="24"/>
          <w:szCs w:val="24"/>
        </w:rPr>
        <w:t xml:space="preserve">averred that it was agreed that the proceedings in the application for leave to appeal against the order for execution pending appeal in </w:t>
      </w:r>
      <w:r w:rsidR="008A22B9" w:rsidRPr="00880D01">
        <w:rPr>
          <w:rFonts w:ascii="Times New Roman" w:hAnsi="Times New Roman" w:cs="Times New Roman"/>
          <w:sz w:val="24"/>
          <w:szCs w:val="24"/>
        </w:rPr>
        <w:t>C</w:t>
      </w:r>
      <w:r w:rsidRPr="00880D01">
        <w:rPr>
          <w:rFonts w:ascii="Times New Roman" w:hAnsi="Times New Roman" w:cs="Times New Roman"/>
          <w:sz w:val="24"/>
          <w:szCs w:val="24"/>
        </w:rPr>
        <w:t xml:space="preserve">ase </w:t>
      </w:r>
      <w:r w:rsidR="008A22B9" w:rsidRPr="00880D01">
        <w:rPr>
          <w:rFonts w:ascii="Times New Roman" w:hAnsi="Times New Roman" w:cs="Times New Roman"/>
          <w:sz w:val="24"/>
          <w:szCs w:val="24"/>
        </w:rPr>
        <w:t>No.</w:t>
      </w:r>
      <w:r w:rsidRPr="00880D01">
        <w:rPr>
          <w:rFonts w:ascii="Times New Roman" w:hAnsi="Times New Roman" w:cs="Times New Roman"/>
          <w:sz w:val="24"/>
          <w:szCs w:val="24"/>
        </w:rPr>
        <w:t xml:space="preserve"> HC 3131/23 would be withdrawn. </w:t>
      </w:r>
      <w:r w:rsidR="00BF6BF5" w:rsidRPr="00880D01">
        <w:rPr>
          <w:rFonts w:ascii="Times New Roman" w:hAnsi="Times New Roman" w:cs="Times New Roman"/>
          <w:sz w:val="24"/>
          <w:szCs w:val="24"/>
        </w:rPr>
        <w:t xml:space="preserve">It </w:t>
      </w:r>
      <w:r w:rsidR="008A22B9" w:rsidRPr="00880D01">
        <w:rPr>
          <w:rFonts w:ascii="Times New Roman" w:hAnsi="Times New Roman" w:cs="Times New Roman"/>
          <w:sz w:val="24"/>
          <w:szCs w:val="24"/>
        </w:rPr>
        <w:t>also averred</w:t>
      </w:r>
      <w:r w:rsidR="00BF6BF5" w:rsidRPr="00880D01">
        <w:rPr>
          <w:rFonts w:ascii="Times New Roman" w:hAnsi="Times New Roman" w:cs="Times New Roman"/>
          <w:sz w:val="24"/>
          <w:szCs w:val="24"/>
        </w:rPr>
        <w:t xml:space="preserve"> that </w:t>
      </w:r>
      <w:r w:rsidRPr="00880D01">
        <w:rPr>
          <w:rFonts w:ascii="Times New Roman" w:hAnsi="Times New Roman" w:cs="Times New Roman"/>
          <w:sz w:val="24"/>
          <w:szCs w:val="24"/>
        </w:rPr>
        <w:t xml:space="preserve">no agreement to withdraw the </w:t>
      </w:r>
      <w:r w:rsidR="00880D01" w:rsidRPr="00880D01">
        <w:rPr>
          <w:rFonts w:ascii="Times New Roman" w:hAnsi="Times New Roman" w:cs="Times New Roman"/>
          <w:sz w:val="24"/>
          <w:szCs w:val="24"/>
        </w:rPr>
        <w:t xml:space="preserve">main </w:t>
      </w:r>
      <w:r w:rsidRPr="00880D01">
        <w:rPr>
          <w:rFonts w:ascii="Times New Roman" w:hAnsi="Times New Roman" w:cs="Times New Roman"/>
          <w:sz w:val="24"/>
          <w:szCs w:val="24"/>
        </w:rPr>
        <w:t>appeal was reached by the parties</w:t>
      </w:r>
      <w:r w:rsidR="00880D01" w:rsidRPr="00880D01">
        <w:rPr>
          <w:rFonts w:ascii="Times New Roman" w:hAnsi="Times New Roman" w:cs="Times New Roman"/>
          <w:sz w:val="24"/>
          <w:szCs w:val="24"/>
        </w:rPr>
        <w:t>. H</w:t>
      </w:r>
      <w:r w:rsidRPr="00880D01">
        <w:rPr>
          <w:rFonts w:ascii="Times New Roman" w:hAnsi="Times New Roman" w:cs="Times New Roman"/>
          <w:sz w:val="24"/>
          <w:szCs w:val="24"/>
        </w:rPr>
        <w:t xml:space="preserve">ence it could not be </w:t>
      </w:r>
      <w:r w:rsidR="00BF6BF5" w:rsidRPr="00880D01">
        <w:rPr>
          <w:rFonts w:ascii="Times New Roman" w:hAnsi="Times New Roman" w:cs="Times New Roman"/>
          <w:sz w:val="24"/>
          <w:szCs w:val="24"/>
        </w:rPr>
        <w:t>held that the applicant</w:t>
      </w:r>
      <w:r w:rsidRPr="00880D01">
        <w:rPr>
          <w:rFonts w:ascii="Times New Roman" w:hAnsi="Times New Roman" w:cs="Times New Roman"/>
          <w:sz w:val="24"/>
          <w:szCs w:val="24"/>
        </w:rPr>
        <w:t xml:space="preserve"> </w:t>
      </w:r>
      <w:r w:rsidR="00880D01" w:rsidRPr="00880D01">
        <w:rPr>
          <w:rFonts w:ascii="Times New Roman" w:hAnsi="Times New Roman" w:cs="Times New Roman"/>
          <w:sz w:val="24"/>
          <w:szCs w:val="24"/>
        </w:rPr>
        <w:t xml:space="preserve">had </w:t>
      </w:r>
      <w:proofErr w:type="spellStart"/>
      <w:r w:rsidRPr="00880D01">
        <w:rPr>
          <w:rFonts w:ascii="Times New Roman" w:hAnsi="Times New Roman" w:cs="Times New Roman"/>
          <w:sz w:val="24"/>
          <w:szCs w:val="24"/>
        </w:rPr>
        <w:t>perempted</w:t>
      </w:r>
      <w:proofErr w:type="spellEnd"/>
      <w:r w:rsidRPr="00880D01">
        <w:rPr>
          <w:rFonts w:ascii="Times New Roman" w:hAnsi="Times New Roman" w:cs="Times New Roman"/>
          <w:sz w:val="24"/>
          <w:szCs w:val="24"/>
        </w:rPr>
        <w:t xml:space="preserve"> its right of appeal</w:t>
      </w:r>
      <w:r w:rsidR="00880D01" w:rsidRPr="00880D01">
        <w:rPr>
          <w:rFonts w:ascii="Times New Roman" w:hAnsi="Times New Roman" w:cs="Times New Roman"/>
          <w:sz w:val="24"/>
          <w:szCs w:val="24"/>
        </w:rPr>
        <w:t>,</w:t>
      </w:r>
      <w:r w:rsidRPr="00880D01">
        <w:rPr>
          <w:rFonts w:ascii="Times New Roman" w:hAnsi="Times New Roman" w:cs="Times New Roman"/>
          <w:sz w:val="24"/>
          <w:szCs w:val="24"/>
        </w:rPr>
        <w:t xml:space="preserve"> nor could it be said that the appeal had been overtaken by events </w:t>
      </w:r>
      <w:r w:rsidR="00880D01" w:rsidRPr="00880D01">
        <w:rPr>
          <w:rFonts w:ascii="Times New Roman" w:hAnsi="Times New Roman" w:cs="Times New Roman"/>
          <w:sz w:val="24"/>
          <w:szCs w:val="24"/>
        </w:rPr>
        <w:t>and rendered</w:t>
      </w:r>
      <w:r w:rsidRPr="00880D01">
        <w:rPr>
          <w:rFonts w:ascii="Times New Roman" w:hAnsi="Times New Roman" w:cs="Times New Roman"/>
          <w:sz w:val="24"/>
          <w:szCs w:val="24"/>
        </w:rPr>
        <w:t xml:space="preserve"> moot by virtue of the payments made.</w:t>
      </w:r>
      <w:r w:rsidR="00280248" w:rsidRPr="00880D01">
        <w:rPr>
          <w:rFonts w:ascii="Times New Roman" w:hAnsi="Times New Roman" w:cs="Times New Roman"/>
          <w:sz w:val="24"/>
          <w:szCs w:val="24"/>
        </w:rPr>
        <w:t xml:space="preserve"> The applicant further submitted that the payments made were in compliance with the order for leave to execute pending appeal</w:t>
      </w:r>
      <w:r w:rsidR="00880D01" w:rsidRPr="00880D01">
        <w:rPr>
          <w:rFonts w:ascii="Times New Roman" w:hAnsi="Times New Roman" w:cs="Times New Roman"/>
          <w:sz w:val="24"/>
          <w:szCs w:val="24"/>
        </w:rPr>
        <w:t>,</w:t>
      </w:r>
      <w:r w:rsidR="00280248" w:rsidRPr="00880D01">
        <w:rPr>
          <w:rFonts w:ascii="Times New Roman" w:hAnsi="Times New Roman" w:cs="Times New Roman"/>
          <w:sz w:val="24"/>
          <w:szCs w:val="24"/>
        </w:rPr>
        <w:t xml:space="preserve"> as the failure to make such payments would have resulted in its properties being executed against. </w:t>
      </w:r>
    </w:p>
    <w:p w14:paraId="3EB485D5" w14:textId="77777777" w:rsidR="009401BC" w:rsidRPr="00880D01" w:rsidRDefault="009401BC" w:rsidP="009401BC">
      <w:pPr>
        <w:spacing w:after="0" w:line="480" w:lineRule="auto"/>
        <w:ind w:firstLine="720"/>
        <w:jc w:val="both"/>
        <w:rPr>
          <w:rFonts w:ascii="Times New Roman" w:hAnsi="Times New Roman" w:cs="Times New Roman"/>
          <w:sz w:val="24"/>
          <w:szCs w:val="24"/>
        </w:rPr>
      </w:pPr>
    </w:p>
    <w:p w14:paraId="5A5F2CB7" w14:textId="2553EB5B" w:rsidR="009401BC" w:rsidRPr="00880D01" w:rsidRDefault="001F2E4E" w:rsidP="00880D01">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 xml:space="preserve">On appeal, </w:t>
      </w:r>
      <w:r w:rsidR="00021092" w:rsidRPr="00880D01">
        <w:rPr>
          <w:rFonts w:ascii="Times New Roman" w:hAnsi="Times New Roman" w:cs="Times New Roman"/>
          <w:sz w:val="24"/>
          <w:szCs w:val="24"/>
        </w:rPr>
        <w:t xml:space="preserve">the </w:t>
      </w:r>
      <w:r w:rsidR="00B02DF8" w:rsidRPr="00880D01">
        <w:rPr>
          <w:rFonts w:ascii="Times New Roman" w:hAnsi="Times New Roman" w:cs="Times New Roman"/>
          <w:sz w:val="24"/>
          <w:szCs w:val="24"/>
        </w:rPr>
        <w:t xml:space="preserve">Supreme Court upheld the preliminary </w:t>
      </w:r>
      <w:r w:rsidRPr="00880D01">
        <w:rPr>
          <w:rFonts w:ascii="Times New Roman" w:hAnsi="Times New Roman" w:cs="Times New Roman"/>
          <w:sz w:val="24"/>
          <w:szCs w:val="24"/>
        </w:rPr>
        <w:t>o</w:t>
      </w:r>
      <w:r w:rsidR="00B02DF8" w:rsidRPr="00880D01">
        <w:rPr>
          <w:rFonts w:ascii="Times New Roman" w:hAnsi="Times New Roman" w:cs="Times New Roman"/>
          <w:sz w:val="24"/>
          <w:szCs w:val="24"/>
        </w:rPr>
        <w:t xml:space="preserve">bjection in favour of </w:t>
      </w:r>
      <w:proofErr w:type="spellStart"/>
      <w:r w:rsidR="00B02DF8" w:rsidRPr="00880D01">
        <w:rPr>
          <w:rFonts w:ascii="Times New Roman" w:hAnsi="Times New Roman" w:cs="Times New Roman"/>
          <w:sz w:val="24"/>
          <w:szCs w:val="24"/>
        </w:rPr>
        <w:t>peremption</w:t>
      </w:r>
      <w:proofErr w:type="spellEnd"/>
      <w:r w:rsidR="00B02DF8" w:rsidRPr="00880D01">
        <w:rPr>
          <w:rFonts w:ascii="Times New Roman" w:hAnsi="Times New Roman" w:cs="Times New Roman"/>
          <w:sz w:val="24"/>
          <w:szCs w:val="24"/>
        </w:rPr>
        <w:t xml:space="preserve">. </w:t>
      </w:r>
      <w:r w:rsidRPr="00880D01">
        <w:rPr>
          <w:rFonts w:ascii="Times New Roman" w:hAnsi="Times New Roman" w:cs="Times New Roman"/>
          <w:sz w:val="24"/>
          <w:szCs w:val="24"/>
        </w:rPr>
        <w:t xml:space="preserve">It </w:t>
      </w:r>
      <w:r w:rsidR="00880D01">
        <w:rPr>
          <w:rFonts w:ascii="Times New Roman" w:hAnsi="Times New Roman" w:cs="Times New Roman"/>
          <w:sz w:val="24"/>
          <w:szCs w:val="24"/>
        </w:rPr>
        <w:t>found</w:t>
      </w:r>
      <w:r w:rsidRPr="00880D01">
        <w:rPr>
          <w:rFonts w:ascii="Times New Roman" w:hAnsi="Times New Roman" w:cs="Times New Roman"/>
          <w:sz w:val="24"/>
          <w:szCs w:val="24"/>
        </w:rPr>
        <w:t xml:space="preserve"> that by electing to sign the agreement and proceeding to make the two payments </w:t>
      </w:r>
      <w:r w:rsidR="00880D01">
        <w:rPr>
          <w:rFonts w:ascii="Times New Roman" w:hAnsi="Times New Roman" w:cs="Times New Roman"/>
          <w:sz w:val="24"/>
          <w:szCs w:val="24"/>
        </w:rPr>
        <w:t xml:space="preserve">as an </w:t>
      </w:r>
      <w:r w:rsidRPr="00880D01">
        <w:rPr>
          <w:rFonts w:ascii="Times New Roman" w:hAnsi="Times New Roman" w:cs="Times New Roman"/>
          <w:sz w:val="24"/>
          <w:szCs w:val="24"/>
        </w:rPr>
        <w:t>attempt toward</w:t>
      </w:r>
      <w:r w:rsidR="00880D01">
        <w:rPr>
          <w:rFonts w:ascii="Times New Roman" w:hAnsi="Times New Roman" w:cs="Times New Roman"/>
          <w:sz w:val="24"/>
          <w:szCs w:val="24"/>
        </w:rPr>
        <w:t>s</w:t>
      </w:r>
      <w:r w:rsidRPr="00880D01">
        <w:rPr>
          <w:rFonts w:ascii="Times New Roman" w:hAnsi="Times New Roman" w:cs="Times New Roman"/>
          <w:sz w:val="24"/>
          <w:szCs w:val="24"/>
        </w:rPr>
        <w:t xml:space="preserve"> liquidating the judgment debt, the applicant had acquiesced to</w:t>
      </w:r>
      <w:r w:rsidR="00880D01">
        <w:rPr>
          <w:rFonts w:ascii="Times New Roman" w:hAnsi="Times New Roman" w:cs="Times New Roman"/>
          <w:sz w:val="24"/>
          <w:szCs w:val="24"/>
        </w:rPr>
        <w:t xml:space="preserve"> the</w:t>
      </w:r>
      <w:r w:rsidRPr="00880D01">
        <w:rPr>
          <w:rFonts w:ascii="Times New Roman" w:hAnsi="Times New Roman" w:cs="Times New Roman"/>
          <w:sz w:val="24"/>
          <w:szCs w:val="24"/>
        </w:rPr>
        <w:t xml:space="preserve"> judgment</w:t>
      </w:r>
      <w:r w:rsidR="00D9664A">
        <w:rPr>
          <w:rFonts w:ascii="Times New Roman" w:hAnsi="Times New Roman" w:cs="Times New Roman"/>
          <w:sz w:val="24"/>
          <w:szCs w:val="24"/>
        </w:rPr>
        <w:t xml:space="preserve"> of the High Court.</w:t>
      </w:r>
      <w:r w:rsidRPr="00880D01">
        <w:rPr>
          <w:rFonts w:ascii="Times New Roman" w:hAnsi="Times New Roman" w:cs="Times New Roman"/>
          <w:sz w:val="24"/>
          <w:szCs w:val="24"/>
        </w:rPr>
        <w:t xml:space="preserve"> It</w:t>
      </w:r>
      <w:r w:rsidR="00880D01">
        <w:rPr>
          <w:rFonts w:ascii="Times New Roman" w:hAnsi="Times New Roman" w:cs="Times New Roman"/>
          <w:sz w:val="24"/>
          <w:szCs w:val="24"/>
        </w:rPr>
        <w:t xml:space="preserve"> also</w:t>
      </w:r>
      <w:r w:rsidRPr="00880D01">
        <w:rPr>
          <w:rFonts w:ascii="Times New Roman" w:hAnsi="Times New Roman" w:cs="Times New Roman"/>
          <w:sz w:val="24"/>
          <w:szCs w:val="24"/>
        </w:rPr>
        <w:t xml:space="preserve"> found in those circumstances that pursuing the appeal against that background was no longer a route available to the applicant. The court </w:t>
      </w:r>
      <w:r w:rsidRPr="00880D01">
        <w:rPr>
          <w:rFonts w:ascii="Times New Roman" w:hAnsi="Times New Roman" w:cs="Times New Roman"/>
          <w:i/>
          <w:iCs/>
          <w:sz w:val="24"/>
          <w:szCs w:val="24"/>
        </w:rPr>
        <w:t>a quo</w:t>
      </w:r>
      <w:r w:rsidRPr="00880D01">
        <w:rPr>
          <w:rFonts w:ascii="Times New Roman" w:hAnsi="Times New Roman" w:cs="Times New Roman"/>
          <w:sz w:val="24"/>
          <w:szCs w:val="24"/>
        </w:rPr>
        <w:t xml:space="preserve"> p</w:t>
      </w:r>
      <w:r w:rsidR="00B02DF8" w:rsidRPr="00880D01">
        <w:rPr>
          <w:rFonts w:ascii="Times New Roman" w:hAnsi="Times New Roman" w:cs="Times New Roman"/>
          <w:sz w:val="24"/>
          <w:szCs w:val="24"/>
        </w:rPr>
        <w:t>roceeded to dismiss the appeal</w:t>
      </w:r>
      <w:r w:rsidRPr="00880D01">
        <w:rPr>
          <w:rFonts w:ascii="Times New Roman" w:hAnsi="Times New Roman" w:cs="Times New Roman"/>
          <w:sz w:val="24"/>
          <w:szCs w:val="24"/>
        </w:rPr>
        <w:t>. D</w:t>
      </w:r>
      <w:r w:rsidR="001718E6" w:rsidRPr="00880D01">
        <w:rPr>
          <w:rFonts w:ascii="Times New Roman" w:hAnsi="Times New Roman" w:cs="Times New Roman"/>
          <w:sz w:val="24"/>
          <w:szCs w:val="24"/>
        </w:rPr>
        <w:t xml:space="preserve">issatisfied with the manner in which the court </w:t>
      </w:r>
      <w:r w:rsidR="001718E6" w:rsidRPr="00880D01">
        <w:rPr>
          <w:rFonts w:ascii="Times New Roman" w:hAnsi="Times New Roman" w:cs="Times New Roman"/>
          <w:i/>
          <w:iCs/>
          <w:sz w:val="24"/>
          <w:szCs w:val="24"/>
        </w:rPr>
        <w:t>a</w:t>
      </w:r>
      <w:r w:rsidRPr="00880D01">
        <w:rPr>
          <w:rFonts w:ascii="Times New Roman" w:hAnsi="Times New Roman" w:cs="Times New Roman"/>
          <w:i/>
          <w:iCs/>
          <w:sz w:val="24"/>
          <w:szCs w:val="24"/>
        </w:rPr>
        <w:t xml:space="preserve"> </w:t>
      </w:r>
      <w:r w:rsidR="001718E6" w:rsidRPr="00880D01">
        <w:rPr>
          <w:rFonts w:ascii="Times New Roman" w:hAnsi="Times New Roman" w:cs="Times New Roman"/>
          <w:i/>
          <w:iCs/>
          <w:sz w:val="24"/>
          <w:szCs w:val="24"/>
        </w:rPr>
        <w:t>quo</w:t>
      </w:r>
      <w:r w:rsidR="001718E6" w:rsidRPr="00880D01">
        <w:rPr>
          <w:rFonts w:ascii="Times New Roman" w:hAnsi="Times New Roman" w:cs="Times New Roman"/>
          <w:sz w:val="24"/>
          <w:szCs w:val="24"/>
        </w:rPr>
        <w:t xml:space="preserve"> handled the matter, </w:t>
      </w:r>
      <w:r w:rsidR="00B02DF8" w:rsidRPr="00880D01">
        <w:rPr>
          <w:rFonts w:ascii="Times New Roman" w:hAnsi="Times New Roman" w:cs="Times New Roman"/>
          <w:sz w:val="24"/>
          <w:szCs w:val="24"/>
        </w:rPr>
        <w:t>t</w:t>
      </w:r>
      <w:r w:rsidR="00021092" w:rsidRPr="00880D01">
        <w:rPr>
          <w:rFonts w:ascii="Times New Roman" w:hAnsi="Times New Roman" w:cs="Times New Roman"/>
          <w:sz w:val="24"/>
          <w:szCs w:val="24"/>
        </w:rPr>
        <w:t xml:space="preserve">he applicant </w:t>
      </w:r>
      <w:r w:rsidR="00880D01">
        <w:rPr>
          <w:rFonts w:ascii="Times New Roman" w:hAnsi="Times New Roman" w:cs="Times New Roman"/>
          <w:sz w:val="24"/>
          <w:szCs w:val="24"/>
        </w:rPr>
        <w:t xml:space="preserve">has </w:t>
      </w:r>
      <w:r w:rsidR="00021092" w:rsidRPr="00880D01">
        <w:rPr>
          <w:rFonts w:ascii="Times New Roman" w:hAnsi="Times New Roman" w:cs="Times New Roman"/>
          <w:sz w:val="24"/>
          <w:szCs w:val="24"/>
        </w:rPr>
        <w:t>filed the present application for direct access</w:t>
      </w:r>
      <w:r w:rsidR="00880D01">
        <w:rPr>
          <w:rFonts w:ascii="Times New Roman" w:hAnsi="Times New Roman" w:cs="Times New Roman"/>
          <w:sz w:val="24"/>
          <w:szCs w:val="24"/>
        </w:rPr>
        <w:t>.</w:t>
      </w:r>
    </w:p>
    <w:p w14:paraId="78F8BBFB" w14:textId="77777777" w:rsidR="009401BC" w:rsidRPr="00880D01" w:rsidRDefault="009401BC" w:rsidP="00880D01">
      <w:pPr>
        <w:spacing w:after="0" w:line="480" w:lineRule="auto"/>
        <w:jc w:val="both"/>
        <w:rPr>
          <w:rFonts w:ascii="Times New Roman" w:hAnsi="Times New Roman" w:cs="Times New Roman"/>
          <w:sz w:val="24"/>
          <w:szCs w:val="24"/>
        </w:rPr>
      </w:pPr>
    </w:p>
    <w:p w14:paraId="5F0BEAC5" w14:textId="3F66336F" w:rsidR="004766E4" w:rsidRPr="00305FCA" w:rsidRDefault="00AC26B6" w:rsidP="008D6CB5">
      <w:pPr>
        <w:spacing w:after="0" w:line="480" w:lineRule="auto"/>
        <w:jc w:val="both"/>
        <w:rPr>
          <w:rFonts w:ascii="Times New Roman" w:hAnsi="Times New Roman" w:cs="Times New Roman"/>
          <w:b/>
          <w:bCs/>
          <w:sz w:val="24"/>
          <w:szCs w:val="24"/>
        </w:rPr>
      </w:pPr>
      <w:r w:rsidRPr="00305FCA">
        <w:rPr>
          <w:rFonts w:ascii="Times New Roman" w:hAnsi="Times New Roman" w:cs="Times New Roman"/>
          <w:b/>
          <w:bCs/>
          <w:sz w:val="24"/>
          <w:szCs w:val="24"/>
        </w:rPr>
        <w:t>The Application</w:t>
      </w:r>
    </w:p>
    <w:p w14:paraId="68E43568" w14:textId="0AED2787" w:rsidR="004766E4" w:rsidRDefault="001C4FFF" w:rsidP="008D6CB5">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 xml:space="preserve">In the application, the applicant avers that two of its fundamental rights, </w:t>
      </w:r>
      <w:r w:rsidRPr="00880D01">
        <w:rPr>
          <w:rFonts w:ascii="Times New Roman" w:hAnsi="Times New Roman" w:cs="Times New Roman"/>
          <w:i/>
          <w:iCs/>
          <w:sz w:val="24"/>
          <w:szCs w:val="24"/>
        </w:rPr>
        <w:t>viz</w:t>
      </w:r>
      <w:r w:rsidR="00880D01">
        <w:rPr>
          <w:rFonts w:ascii="Times New Roman" w:hAnsi="Times New Roman" w:cs="Times New Roman"/>
          <w:i/>
          <w:iCs/>
          <w:sz w:val="24"/>
          <w:szCs w:val="24"/>
        </w:rPr>
        <w:t>.</w:t>
      </w:r>
      <w:r w:rsidRPr="00880D01">
        <w:rPr>
          <w:rFonts w:ascii="Times New Roman" w:hAnsi="Times New Roman" w:cs="Times New Roman"/>
          <w:i/>
          <w:iCs/>
          <w:sz w:val="24"/>
          <w:szCs w:val="24"/>
        </w:rPr>
        <w:t xml:space="preserve"> </w:t>
      </w:r>
      <w:r w:rsidRPr="00880D01">
        <w:rPr>
          <w:rFonts w:ascii="Times New Roman" w:hAnsi="Times New Roman" w:cs="Times New Roman"/>
          <w:sz w:val="24"/>
          <w:szCs w:val="24"/>
        </w:rPr>
        <w:t xml:space="preserve">the right to </w:t>
      </w:r>
      <w:r w:rsidR="00880D01">
        <w:rPr>
          <w:rFonts w:ascii="Times New Roman" w:hAnsi="Times New Roman" w:cs="Times New Roman"/>
          <w:sz w:val="24"/>
          <w:szCs w:val="24"/>
        </w:rPr>
        <w:t>equal</w:t>
      </w:r>
      <w:r w:rsidRPr="00880D01">
        <w:rPr>
          <w:rFonts w:ascii="Times New Roman" w:hAnsi="Times New Roman" w:cs="Times New Roman"/>
          <w:sz w:val="24"/>
          <w:szCs w:val="24"/>
        </w:rPr>
        <w:t xml:space="preserve"> protection and benefit of the law </w:t>
      </w:r>
      <w:r w:rsidR="00880D01">
        <w:rPr>
          <w:rFonts w:ascii="Times New Roman" w:hAnsi="Times New Roman" w:cs="Times New Roman"/>
          <w:sz w:val="24"/>
          <w:szCs w:val="24"/>
        </w:rPr>
        <w:t>under s</w:t>
      </w:r>
      <w:r w:rsidRPr="00880D01">
        <w:rPr>
          <w:rFonts w:ascii="Times New Roman" w:eastAsia="Arial Unicode MS" w:hAnsi="Times New Roman" w:cs="Times New Roman"/>
          <w:sz w:val="24"/>
          <w:szCs w:val="24"/>
        </w:rPr>
        <w:t xml:space="preserve"> 56(1) of the Constitution and the right to a fair hearing and access </w:t>
      </w:r>
      <w:r w:rsidR="00880D01">
        <w:rPr>
          <w:rFonts w:ascii="Times New Roman" w:eastAsia="Arial Unicode MS" w:hAnsi="Times New Roman" w:cs="Times New Roman"/>
          <w:sz w:val="24"/>
          <w:szCs w:val="24"/>
        </w:rPr>
        <w:t xml:space="preserve">to </w:t>
      </w:r>
      <w:r w:rsidRPr="00880D01">
        <w:rPr>
          <w:rFonts w:ascii="Times New Roman" w:eastAsia="Arial Unicode MS" w:hAnsi="Times New Roman" w:cs="Times New Roman"/>
          <w:sz w:val="24"/>
          <w:szCs w:val="24"/>
        </w:rPr>
        <w:t xml:space="preserve">the courts </w:t>
      </w:r>
      <w:r w:rsidR="00880D01">
        <w:rPr>
          <w:rFonts w:ascii="Times New Roman" w:eastAsia="Arial Unicode MS" w:hAnsi="Times New Roman" w:cs="Times New Roman"/>
          <w:sz w:val="24"/>
          <w:szCs w:val="24"/>
        </w:rPr>
        <w:t>under s</w:t>
      </w:r>
      <w:r w:rsidRPr="00880D01">
        <w:rPr>
          <w:rFonts w:ascii="Times New Roman" w:eastAsia="Arial Unicode MS" w:hAnsi="Times New Roman" w:cs="Times New Roman"/>
          <w:sz w:val="24"/>
          <w:szCs w:val="24"/>
        </w:rPr>
        <w:t xml:space="preserve"> 69(2) and (3) of the Constitution were violated by the Supreme Court by the manner in which it disposed of the appeal before it.</w:t>
      </w:r>
      <w:r w:rsidRPr="00880D01">
        <w:rPr>
          <w:rFonts w:ascii="Times New Roman" w:hAnsi="Times New Roman" w:cs="Times New Roman"/>
          <w:b/>
          <w:bCs/>
          <w:sz w:val="24"/>
          <w:szCs w:val="24"/>
        </w:rPr>
        <w:t xml:space="preserve"> </w:t>
      </w:r>
      <w:r w:rsidR="00021092" w:rsidRPr="00880D01">
        <w:rPr>
          <w:rFonts w:ascii="Times New Roman" w:hAnsi="Times New Roman" w:cs="Times New Roman"/>
          <w:sz w:val="24"/>
          <w:szCs w:val="24"/>
        </w:rPr>
        <w:t xml:space="preserve">The </w:t>
      </w:r>
      <w:r w:rsidR="00BF2D63" w:rsidRPr="00880D01">
        <w:rPr>
          <w:rFonts w:ascii="Times New Roman" w:hAnsi="Times New Roman" w:cs="Times New Roman"/>
          <w:sz w:val="24"/>
          <w:szCs w:val="24"/>
        </w:rPr>
        <w:t xml:space="preserve">intended </w:t>
      </w:r>
      <w:r w:rsidR="00353BD2">
        <w:rPr>
          <w:rFonts w:ascii="Times New Roman" w:hAnsi="Times New Roman" w:cs="Times New Roman"/>
          <w:sz w:val="24"/>
          <w:szCs w:val="24"/>
        </w:rPr>
        <w:t xml:space="preserve">substantive </w:t>
      </w:r>
      <w:r w:rsidR="00BF2D63" w:rsidRPr="00880D01">
        <w:rPr>
          <w:rFonts w:ascii="Times New Roman" w:hAnsi="Times New Roman" w:cs="Times New Roman"/>
          <w:sz w:val="24"/>
          <w:szCs w:val="24"/>
        </w:rPr>
        <w:t>application is predicated on the assertion that t</w:t>
      </w:r>
      <w:r w:rsidR="00021092" w:rsidRPr="00880D01">
        <w:rPr>
          <w:rFonts w:ascii="Times New Roman" w:hAnsi="Times New Roman" w:cs="Times New Roman"/>
          <w:sz w:val="24"/>
          <w:szCs w:val="24"/>
        </w:rPr>
        <w:t xml:space="preserve">he </w:t>
      </w:r>
      <w:r w:rsidR="00880D01">
        <w:rPr>
          <w:rFonts w:ascii="Times New Roman" w:hAnsi="Times New Roman" w:cs="Times New Roman"/>
          <w:sz w:val="24"/>
          <w:szCs w:val="24"/>
        </w:rPr>
        <w:t xml:space="preserve">court </w:t>
      </w:r>
      <w:r w:rsidR="00880D01">
        <w:rPr>
          <w:rFonts w:ascii="Times New Roman" w:hAnsi="Times New Roman" w:cs="Times New Roman"/>
          <w:i/>
          <w:iCs/>
          <w:sz w:val="24"/>
          <w:szCs w:val="24"/>
        </w:rPr>
        <w:t>a quo</w:t>
      </w:r>
      <w:r w:rsidR="00021092" w:rsidRPr="00880D01">
        <w:rPr>
          <w:rFonts w:ascii="Times New Roman" w:hAnsi="Times New Roman" w:cs="Times New Roman"/>
          <w:sz w:val="24"/>
          <w:szCs w:val="24"/>
        </w:rPr>
        <w:t xml:space="preserve"> rendered a decision in a non-constitutional matter </w:t>
      </w:r>
      <w:r w:rsidR="00353BD2">
        <w:rPr>
          <w:rFonts w:ascii="Times New Roman" w:hAnsi="Times New Roman" w:cs="Times New Roman"/>
          <w:sz w:val="24"/>
          <w:szCs w:val="24"/>
        </w:rPr>
        <w:t>the</w:t>
      </w:r>
      <w:r w:rsidR="00021092" w:rsidRPr="00880D01">
        <w:rPr>
          <w:rFonts w:ascii="Times New Roman" w:hAnsi="Times New Roman" w:cs="Times New Roman"/>
          <w:sz w:val="24"/>
          <w:szCs w:val="24"/>
        </w:rPr>
        <w:t xml:space="preserve"> effect </w:t>
      </w:r>
      <w:r w:rsidR="00353BD2">
        <w:rPr>
          <w:rFonts w:ascii="Times New Roman" w:hAnsi="Times New Roman" w:cs="Times New Roman"/>
          <w:sz w:val="24"/>
          <w:szCs w:val="24"/>
        </w:rPr>
        <w:t xml:space="preserve">of which was </w:t>
      </w:r>
      <w:r w:rsidR="00021092" w:rsidRPr="00880D01">
        <w:rPr>
          <w:rFonts w:ascii="Times New Roman" w:hAnsi="Times New Roman" w:cs="Times New Roman"/>
          <w:sz w:val="24"/>
          <w:szCs w:val="24"/>
        </w:rPr>
        <w:t xml:space="preserve">to infringe its right to be heard and to access the </w:t>
      </w:r>
      <w:r w:rsidR="00353BD2">
        <w:rPr>
          <w:rFonts w:ascii="Times New Roman" w:hAnsi="Times New Roman" w:cs="Times New Roman"/>
          <w:sz w:val="24"/>
          <w:szCs w:val="24"/>
        </w:rPr>
        <w:t>court</w:t>
      </w:r>
      <w:r w:rsidR="00021092" w:rsidRPr="00880D01">
        <w:rPr>
          <w:rFonts w:ascii="Times New Roman" w:hAnsi="Times New Roman" w:cs="Times New Roman"/>
          <w:sz w:val="24"/>
          <w:szCs w:val="24"/>
        </w:rPr>
        <w:t xml:space="preserve"> for purposes </w:t>
      </w:r>
      <w:r w:rsidR="00BF2D63" w:rsidRPr="00880D01">
        <w:rPr>
          <w:rFonts w:ascii="Times New Roman" w:hAnsi="Times New Roman" w:cs="Times New Roman"/>
          <w:sz w:val="24"/>
          <w:szCs w:val="24"/>
        </w:rPr>
        <w:t xml:space="preserve">of </w:t>
      </w:r>
      <w:r w:rsidR="00021092" w:rsidRPr="00880D01">
        <w:rPr>
          <w:rFonts w:ascii="Times New Roman" w:hAnsi="Times New Roman" w:cs="Times New Roman"/>
          <w:sz w:val="24"/>
          <w:szCs w:val="24"/>
        </w:rPr>
        <w:t>resolving a dispute lawfully and procedurally referred to it.</w:t>
      </w:r>
    </w:p>
    <w:p w14:paraId="68A98A9E" w14:textId="77777777" w:rsidR="00B03B6B" w:rsidRPr="00880D01" w:rsidRDefault="00B03B6B" w:rsidP="00B03B6B">
      <w:pPr>
        <w:spacing w:after="0" w:line="480" w:lineRule="auto"/>
        <w:jc w:val="both"/>
        <w:rPr>
          <w:rFonts w:ascii="Times New Roman" w:hAnsi="Times New Roman" w:cs="Times New Roman"/>
          <w:sz w:val="24"/>
          <w:szCs w:val="24"/>
        </w:rPr>
      </w:pPr>
    </w:p>
    <w:p w14:paraId="66C9B067" w14:textId="0E1978C5" w:rsidR="004766E4" w:rsidRDefault="00C03BC0" w:rsidP="00B03B6B">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 xml:space="preserve">It is </w:t>
      </w:r>
      <w:r w:rsidR="00B03B6B">
        <w:rPr>
          <w:rFonts w:ascii="Times New Roman" w:hAnsi="Times New Roman" w:cs="Times New Roman"/>
          <w:sz w:val="24"/>
          <w:szCs w:val="24"/>
        </w:rPr>
        <w:t>submitted</w:t>
      </w:r>
      <w:r w:rsidRPr="00880D01">
        <w:rPr>
          <w:rFonts w:ascii="Times New Roman" w:hAnsi="Times New Roman" w:cs="Times New Roman"/>
          <w:sz w:val="24"/>
          <w:szCs w:val="24"/>
        </w:rPr>
        <w:t xml:space="preserve"> </w:t>
      </w:r>
      <w:r w:rsidR="00021092" w:rsidRPr="00880D01">
        <w:rPr>
          <w:rFonts w:ascii="Times New Roman" w:hAnsi="Times New Roman" w:cs="Times New Roman"/>
          <w:sz w:val="24"/>
          <w:szCs w:val="24"/>
        </w:rPr>
        <w:t>that it is in the interests of justice that an order for direct access be granted on the ground that</w:t>
      </w:r>
      <w:r w:rsidR="00710BA7" w:rsidRPr="00880D01">
        <w:rPr>
          <w:rFonts w:ascii="Times New Roman" w:hAnsi="Times New Roman" w:cs="Times New Roman"/>
          <w:sz w:val="24"/>
          <w:szCs w:val="24"/>
        </w:rPr>
        <w:t xml:space="preserve"> t</w:t>
      </w:r>
      <w:r w:rsidR="00021092" w:rsidRPr="00880D01">
        <w:rPr>
          <w:rFonts w:ascii="Times New Roman" w:hAnsi="Times New Roman" w:cs="Times New Roman"/>
          <w:sz w:val="24"/>
          <w:szCs w:val="24"/>
        </w:rPr>
        <w:t xml:space="preserve">he </w:t>
      </w:r>
      <w:r w:rsidR="00B03B6B">
        <w:rPr>
          <w:rFonts w:ascii="Times New Roman" w:hAnsi="Times New Roman" w:cs="Times New Roman"/>
          <w:sz w:val="24"/>
          <w:szCs w:val="24"/>
        </w:rPr>
        <w:t xml:space="preserve">court </w:t>
      </w:r>
      <w:r w:rsidR="00B03B6B">
        <w:rPr>
          <w:rFonts w:ascii="Times New Roman" w:hAnsi="Times New Roman" w:cs="Times New Roman"/>
          <w:i/>
          <w:iCs/>
          <w:sz w:val="24"/>
          <w:szCs w:val="24"/>
        </w:rPr>
        <w:t>a quo</w:t>
      </w:r>
      <w:r w:rsidR="00021092" w:rsidRPr="00880D01">
        <w:rPr>
          <w:rFonts w:ascii="Times New Roman" w:hAnsi="Times New Roman" w:cs="Times New Roman"/>
          <w:sz w:val="24"/>
          <w:szCs w:val="24"/>
        </w:rPr>
        <w:t xml:space="preserve"> violated the applicant’s constitutional right to equal protection and benefit of the law when it dismissed its appeal with costs without hearing it. In doing so</w:t>
      </w:r>
      <w:r w:rsidR="00B03B6B">
        <w:rPr>
          <w:rFonts w:ascii="Times New Roman" w:hAnsi="Times New Roman" w:cs="Times New Roman"/>
          <w:sz w:val="24"/>
          <w:szCs w:val="24"/>
        </w:rPr>
        <w:t>,</w:t>
      </w:r>
      <w:r w:rsidR="00021092" w:rsidRPr="00880D01">
        <w:rPr>
          <w:rFonts w:ascii="Times New Roman" w:hAnsi="Times New Roman" w:cs="Times New Roman"/>
          <w:sz w:val="24"/>
          <w:szCs w:val="24"/>
        </w:rPr>
        <w:t xml:space="preserve"> the </w:t>
      </w:r>
      <w:r w:rsidR="00B03B6B">
        <w:rPr>
          <w:rFonts w:ascii="Times New Roman" w:hAnsi="Times New Roman" w:cs="Times New Roman"/>
          <w:sz w:val="24"/>
          <w:szCs w:val="24"/>
        </w:rPr>
        <w:t xml:space="preserve">court </w:t>
      </w:r>
      <w:r w:rsidR="00B03B6B">
        <w:rPr>
          <w:rFonts w:ascii="Times New Roman" w:hAnsi="Times New Roman" w:cs="Times New Roman"/>
          <w:i/>
          <w:iCs/>
          <w:sz w:val="24"/>
          <w:szCs w:val="24"/>
        </w:rPr>
        <w:t>a quo</w:t>
      </w:r>
      <w:r w:rsidR="00021092" w:rsidRPr="00880D01">
        <w:rPr>
          <w:rFonts w:ascii="Times New Roman" w:hAnsi="Times New Roman" w:cs="Times New Roman"/>
          <w:sz w:val="24"/>
          <w:szCs w:val="24"/>
        </w:rPr>
        <w:t xml:space="preserve"> cited the reason that the applicant had compromised its appeal when it made part payments to the respondent</w:t>
      </w:r>
      <w:r w:rsidR="00B03B6B">
        <w:rPr>
          <w:rFonts w:ascii="Times New Roman" w:hAnsi="Times New Roman" w:cs="Times New Roman"/>
          <w:sz w:val="24"/>
          <w:szCs w:val="24"/>
        </w:rPr>
        <w:t>,</w:t>
      </w:r>
      <w:r w:rsidR="00021092" w:rsidRPr="00880D01">
        <w:rPr>
          <w:rFonts w:ascii="Times New Roman" w:hAnsi="Times New Roman" w:cs="Times New Roman"/>
          <w:sz w:val="24"/>
          <w:szCs w:val="24"/>
        </w:rPr>
        <w:t xml:space="preserve"> and yet this was done in order to safeguard the applicant’s property from being removed and sold in execution.</w:t>
      </w:r>
    </w:p>
    <w:p w14:paraId="2555A5F7" w14:textId="77777777" w:rsidR="00B03B6B" w:rsidRPr="00880D01" w:rsidRDefault="00B03B6B" w:rsidP="00B03B6B">
      <w:pPr>
        <w:spacing w:after="0" w:line="480" w:lineRule="auto"/>
        <w:ind w:firstLine="720"/>
        <w:jc w:val="both"/>
        <w:rPr>
          <w:rFonts w:ascii="Times New Roman" w:hAnsi="Times New Roman" w:cs="Times New Roman"/>
          <w:sz w:val="24"/>
          <w:szCs w:val="24"/>
        </w:rPr>
      </w:pPr>
    </w:p>
    <w:p w14:paraId="2CE3F7A6" w14:textId="571A443C" w:rsidR="004766E4" w:rsidRDefault="00021092" w:rsidP="00533E58">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 xml:space="preserve">It is the applicant’s position that </w:t>
      </w:r>
      <w:r w:rsidR="00B03B6B">
        <w:rPr>
          <w:rFonts w:ascii="Times New Roman" w:hAnsi="Times New Roman" w:cs="Times New Roman"/>
          <w:sz w:val="24"/>
          <w:szCs w:val="24"/>
        </w:rPr>
        <w:t>it is</w:t>
      </w:r>
      <w:r w:rsidRPr="00880D01">
        <w:rPr>
          <w:rFonts w:ascii="Times New Roman" w:hAnsi="Times New Roman" w:cs="Times New Roman"/>
          <w:sz w:val="24"/>
          <w:szCs w:val="24"/>
        </w:rPr>
        <w:t xml:space="preserve"> not aware of any other appellant who has been denied the opportunity to have its appeal determined on the basis of an unproved and unconfirmed allegation of </w:t>
      </w:r>
      <w:proofErr w:type="spellStart"/>
      <w:r w:rsidRPr="00880D01">
        <w:rPr>
          <w:rFonts w:ascii="Times New Roman" w:hAnsi="Times New Roman" w:cs="Times New Roman"/>
          <w:sz w:val="24"/>
          <w:szCs w:val="24"/>
        </w:rPr>
        <w:t>p</w:t>
      </w:r>
      <w:r w:rsidR="000C38B9" w:rsidRPr="00880D01">
        <w:rPr>
          <w:rFonts w:ascii="Times New Roman" w:hAnsi="Times New Roman" w:cs="Times New Roman"/>
          <w:sz w:val="24"/>
          <w:szCs w:val="24"/>
        </w:rPr>
        <w:t>e</w:t>
      </w:r>
      <w:r w:rsidRPr="00880D01">
        <w:rPr>
          <w:rFonts w:ascii="Times New Roman" w:hAnsi="Times New Roman" w:cs="Times New Roman"/>
          <w:sz w:val="24"/>
          <w:szCs w:val="24"/>
        </w:rPr>
        <w:t>remption</w:t>
      </w:r>
      <w:proofErr w:type="spellEnd"/>
      <w:r w:rsidRPr="00880D01">
        <w:rPr>
          <w:rFonts w:ascii="Times New Roman" w:hAnsi="Times New Roman" w:cs="Times New Roman"/>
          <w:sz w:val="24"/>
          <w:szCs w:val="24"/>
        </w:rPr>
        <w:t xml:space="preserve"> or compromise which is not supported by any evidence</w:t>
      </w:r>
      <w:r w:rsidR="00B03B6B">
        <w:rPr>
          <w:rFonts w:ascii="Times New Roman" w:hAnsi="Times New Roman" w:cs="Times New Roman"/>
          <w:sz w:val="24"/>
          <w:szCs w:val="24"/>
        </w:rPr>
        <w:t>. This was done</w:t>
      </w:r>
      <w:r w:rsidRPr="00880D01">
        <w:rPr>
          <w:rFonts w:ascii="Times New Roman" w:hAnsi="Times New Roman" w:cs="Times New Roman"/>
          <w:sz w:val="24"/>
          <w:szCs w:val="24"/>
        </w:rPr>
        <w:t xml:space="preserve"> in circumstances where the question of the onus to prove the allegation </w:t>
      </w:r>
      <w:r w:rsidR="00B03B6B">
        <w:rPr>
          <w:rFonts w:ascii="Times New Roman" w:hAnsi="Times New Roman" w:cs="Times New Roman"/>
          <w:sz w:val="24"/>
          <w:szCs w:val="24"/>
        </w:rPr>
        <w:t>was</w:t>
      </w:r>
      <w:r w:rsidRPr="00880D01">
        <w:rPr>
          <w:rFonts w:ascii="Times New Roman" w:hAnsi="Times New Roman" w:cs="Times New Roman"/>
          <w:sz w:val="24"/>
          <w:szCs w:val="24"/>
        </w:rPr>
        <w:t xml:space="preserve"> not even considered and where there </w:t>
      </w:r>
      <w:r w:rsidR="00B03B6B">
        <w:rPr>
          <w:rFonts w:ascii="Times New Roman" w:hAnsi="Times New Roman" w:cs="Times New Roman"/>
          <w:sz w:val="24"/>
          <w:szCs w:val="24"/>
        </w:rPr>
        <w:t>was</w:t>
      </w:r>
      <w:r w:rsidRPr="00880D01">
        <w:rPr>
          <w:rFonts w:ascii="Times New Roman" w:hAnsi="Times New Roman" w:cs="Times New Roman"/>
          <w:sz w:val="24"/>
          <w:szCs w:val="24"/>
        </w:rPr>
        <w:t xml:space="preserve"> nothing pointing indubitably and necessarily to the conclusion that there had been an abandonment of the appeal.</w:t>
      </w:r>
    </w:p>
    <w:p w14:paraId="3BE8EF34" w14:textId="77777777" w:rsidR="00533E58" w:rsidRPr="00880D01" w:rsidRDefault="00533E58" w:rsidP="00533E58">
      <w:pPr>
        <w:spacing w:after="0" w:line="480" w:lineRule="auto"/>
        <w:ind w:firstLine="720"/>
        <w:jc w:val="both"/>
        <w:rPr>
          <w:rFonts w:ascii="Times New Roman" w:hAnsi="Times New Roman" w:cs="Times New Roman"/>
          <w:sz w:val="24"/>
          <w:szCs w:val="24"/>
        </w:rPr>
      </w:pPr>
    </w:p>
    <w:p w14:paraId="5B62744A" w14:textId="15CD5E5D" w:rsidR="004766E4" w:rsidRDefault="00021092" w:rsidP="00533E58">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The</w:t>
      </w:r>
      <w:r w:rsidR="00533E58">
        <w:rPr>
          <w:rFonts w:ascii="Times New Roman" w:hAnsi="Times New Roman" w:cs="Times New Roman"/>
          <w:sz w:val="24"/>
          <w:szCs w:val="24"/>
        </w:rPr>
        <w:t xml:space="preserve"> applicant submits that the</w:t>
      </w:r>
      <w:r w:rsidRPr="00880D01">
        <w:rPr>
          <w:rFonts w:ascii="Times New Roman" w:hAnsi="Times New Roman" w:cs="Times New Roman"/>
          <w:sz w:val="24"/>
          <w:szCs w:val="24"/>
        </w:rPr>
        <w:t xml:space="preserve"> Supreme Court further violated </w:t>
      </w:r>
      <w:r w:rsidR="00533E58">
        <w:rPr>
          <w:rFonts w:ascii="Times New Roman" w:hAnsi="Times New Roman" w:cs="Times New Roman"/>
          <w:sz w:val="24"/>
          <w:szCs w:val="24"/>
        </w:rPr>
        <w:t>its</w:t>
      </w:r>
      <w:r w:rsidRPr="00880D01">
        <w:rPr>
          <w:rFonts w:ascii="Times New Roman" w:hAnsi="Times New Roman" w:cs="Times New Roman"/>
          <w:sz w:val="24"/>
          <w:szCs w:val="24"/>
        </w:rPr>
        <w:t xml:space="preserve"> </w:t>
      </w:r>
      <w:r w:rsidR="00B03B6B">
        <w:rPr>
          <w:rFonts w:ascii="Times New Roman" w:hAnsi="Times New Roman" w:cs="Times New Roman"/>
          <w:sz w:val="24"/>
          <w:szCs w:val="24"/>
        </w:rPr>
        <w:t>c</w:t>
      </w:r>
      <w:r w:rsidRPr="00880D01">
        <w:rPr>
          <w:rFonts w:ascii="Times New Roman" w:hAnsi="Times New Roman" w:cs="Times New Roman"/>
          <w:sz w:val="24"/>
          <w:szCs w:val="24"/>
        </w:rPr>
        <w:t xml:space="preserve">onstitutional right to access the courts for the resolution of the dispute it had with the respondent. By dismissing the appeal without determining it on the merits, the </w:t>
      </w:r>
      <w:r w:rsidR="00533E58">
        <w:rPr>
          <w:rFonts w:ascii="Times New Roman" w:hAnsi="Times New Roman" w:cs="Times New Roman"/>
          <w:sz w:val="24"/>
          <w:szCs w:val="24"/>
        </w:rPr>
        <w:t xml:space="preserve">court </w:t>
      </w:r>
      <w:r w:rsidR="00533E58">
        <w:rPr>
          <w:rFonts w:ascii="Times New Roman" w:hAnsi="Times New Roman" w:cs="Times New Roman"/>
          <w:i/>
          <w:iCs/>
          <w:sz w:val="24"/>
          <w:szCs w:val="24"/>
        </w:rPr>
        <w:t>a quo</w:t>
      </w:r>
      <w:r w:rsidRPr="00880D01">
        <w:rPr>
          <w:rFonts w:ascii="Times New Roman" w:hAnsi="Times New Roman" w:cs="Times New Roman"/>
          <w:sz w:val="24"/>
          <w:szCs w:val="24"/>
        </w:rPr>
        <w:t xml:space="preserve"> effectively denied the applicant access to it for purposes of resolving the real and live dispute </w:t>
      </w:r>
      <w:r w:rsidR="00533E58">
        <w:rPr>
          <w:rFonts w:ascii="Times New Roman" w:hAnsi="Times New Roman" w:cs="Times New Roman"/>
          <w:sz w:val="24"/>
          <w:szCs w:val="24"/>
        </w:rPr>
        <w:t xml:space="preserve">as to </w:t>
      </w:r>
      <w:r w:rsidRPr="00880D01">
        <w:rPr>
          <w:rFonts w:ascii="Times New Roman" w:hAnsi="Times New Roman" w:cs="Times New Roman"/>
          <w:sz w:val="24"/>
          <w:szCs w:val="24"/>
        </w:rPr>
        <w:t>whether</w:t>
      </w:r>
      <w:r w:rsidR="00533E58">
        <w:rPr>
          <w:rFonts w:ascii="Times New Roman" w:hAnsi="Times New Roman" w:cs="Times New Roman"/>
          <w:sz w:val="24"/>
          <w:szCs w:val="24"/>
        </w:rPr>
        <w:t xml:space="preserve"> or not</w:t>
      </w:r>
      <w:r w:rsidRPr="00880D01">
        <w:rPr>
          <w:rFonts w:ascii="Times New Roman" w:hAnsi="Times New Roman" w:cs="Times New Roman"/>
          <w:sz w:val="24"/>
          <w:szCs w:val="24"/>
        </w:rPr>
        <w:t xml:space="preserve"> the applicant was indebted to the respondent as </w:t>
      </w:r>
      <w:r w:rsidR="00533E58">
        <w:rPr>
          <w:rFonts w:ascii="Times New Roman" w:hAnsi="Times New Roman" w:cs="Times New Roman"/>
          <w:sz w:val="24"/>
          <w:szCs w:val="24"/>
        </w:rPr>
        <w:t xml:space="preserve">was </w:t>
      </w:r>
      <w:r w:rsidRPr="00880D01">
        <w:rPr>
          <w:rFonts w:ascii="Times New Roman" w:hAnsi="Times New Roman" w:cs="Times New Roman"/>
          <w:sz w:val="24"/>
          <w:szCs w:val="24"/>
        </w:rPr>
        <w:t>concluded by the High Court.</w:t>
      </w:r>
    </w:p>
    <w:p w14:paraId="49F65A58" w14:textId="77777777" w:rsidR="00533E58" w:rsidRPr="00880D01" w:rsidRDefault="00533E58" w:rsidP="00533E58">
      <w:pPr>
        <w:spacing w:after="0" w:line="480" w:lineRule="auto"/>
        <w:jc w:val="both"/>
        <w:rPr>
          <w:rFonts w:ascii="Times New Roman" w:hAnsi="Times New Roman" w:cs="Times New Roman"/>
          <w:sz w:val="24"/>
          <w:szCs w:val="24"/>
        </w:rPr>
      </w:pPr>
    </w:p>
    <w:p w14:paraId="212F7B1F" w14:textId="36E57325" w:rsidR="004766E4" w:rsidRDefault="000C38B9" w:rsidP="00533E58">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It is contended by the applicant that</w:t>
      </w:r>
      <w:r w:rsidR="00533E58">
        <w:rPr>
          <w:rFonts w:ascii="Times New Roman" w:hAnsi="Times New Roman" w:cs="Times New Roman"/>
          <w:sz w:val="24"/>
          <w:szCs w:val="24"/>
        </w:rPr>
        <w:t>,</w:t>
      </w:r>
      <w:r w:rsidRPr="00880D01">
        <w:rPr>
          <w:rFonts w:ascii="Times New Roman" w:hAnsi="Times New Roman" w:cs="Times New Roman"/>
          <w:sz w:val="24"/>
          <w:szCs w:val="24"/>
        </w:rPr>
        <w:t xml:space="preserve"> i</w:t>
      </w:r>
      <w:r w:rsidR="00021092" w:rsidRPr="00880D01">
        <w:rPr>
          <w:rFonts w:ascii="Times New Roman" w:hAnsi="Times New Roman" w:cs="Times New Roman"/>
          <w:sz w:val="24"/>
          <w:szCs w:val="24"/>
        </w:rPr>
        <w:t xml:space="preserve">n the absence of a finding that the available evidence left no shred of reasonable doubt that the applicant had unequivocally abandoned its </w:t>
      </w:r>
      <w:r w:rsidR="00533E58">
        <w:rPr>
          <w:rFonts w:ascii="Times New Roman" w:hAnsi="Times New Roman" w:cs="Times New Roman"/>
          <w:sz w:val="24"/>
          <w:szCs w:val="24"/>
        </w:rPr>
        <w:t>c</w:t>
      </w:r>
      <w:r w:rsidR="00021092" w:rsidRPr="00880D01">
        <w:rPr>
          <w:rFonts w:ascii="Times New Roman" w:hAnsi="Times New Roman" w:cs="Times New Roman"/>
          <w:sz w:val="24"/>
          <w:szCs w:val="24"/>
        </w:rPr>
        <w:t xml:space="preserve">onstitutional right to appeal against the High Court’s judgment and/or a determination of whether the respondent had discharged the onus placed on it by law to prove the </w:t>
      </w:r>
      <w:r w:rsidR="00533E58">
        <w:rPr>
          <w:rFonts w:ascii="Times New Roman" w:hAnsi="Times New Roman" w:cs="Times New Roman"/>
          <w:sz w:val="24"/>
          <w:szCs w:val="24"/>
        </w:rPr>
        <w:t xml:space="preserve">alleged </w:t>
      </w:r>
      <w:proofErr w:type="spellStart"/>
      <w:r w:rsidR="00021092" w:rsidRPr="00880D01">
        <w:rPr>
          <w:rFonts w:ascii="Times New Roman" w:hAnsi="Times New Roman" w:cs="Times New Roman"/>
          <w:sz w:val="24"/>
          <w:szCs w:val="24"/>
        </w:rPr>
        <w:lastRenderedPageBreak/>
        <w:t>p</w:t>
      </w:r>
      <w:r w:rsidRPr="00880D01">
        <w:rPr>
          <w:rFonts w:ascii="Times New Roman" w:hAnsi="Times New Roman" w:cs="Times New Roman"/>
          <w:sz w:val="24"/>
          <w:szCs w:val="24"/>
        </w:rPr>
        <w:t>e</w:t>
      </w:r>
      <w:r w:rsidR="00021092" w:rsidRPr="00880D01">
        <w:rPr>
          <w:rFonts w:ascii="Times New Roman" w:hAnsi="Times New Roman" w:cs="Times New Roman"/>
          <w:sz w:val="24"/>
          <w:szCs w:val="24"/>
        </w:rPr>
        <w:t>remption</w:t>
      </w:r>
      <w:proofErr w:type="spellEnd"/>
      <w:r w:rsidR="00021092" w:rsidRPr="00880D01">
        <w:rPr>
          <w:rFonts w:ascii="Times New Roman" w:hAnsi="Times New Roman" w:cs="Times New Roman"/>
          <w:sz w:val="24"/>
          <w:szCs w:val="24"/>
        </w:rPr>
        <w:t xml:space="preserve">, it </w:t>
      </w:r>
      <w:r w:rsidR="00533E58">
        <w:rPr>
          <w:rFonts w:ascii="Times New Roman" w:hAnsi="Times New Roman" w:cs="Times New Roman"/>
          <w:sz w:val="24"/>
          <w:szCs w:val="24"/>
        </w:rPr>
        <w:t>must be concluded</w:t>
      </w:r>
      <w:r w:rsidR="00021092" w:rsidRPr="00880D01">
        <w:rPr>
          <w:rFonts w:ascii="Times New Roman" w:hAnsi="Times New Roman" w:cs="Times New Roman"/>
          <w:sz w:val="24"/>
          <w:szCs w:val="24"/>
        </w:rPr>
        <w:t xml:space="preserve"> that the Supreme Court failed to act in accordance with the requirements of the law governing the proceedings before it.</w:t>
      </w:r>
    </w:p>
    <w:p w14:paraId="3E0A2C19" w14:textId="77777777" w:rsidR="00533E58" w:rsidRPr="00880D01" w:rsidRDefault="00533E58" w:rsidP="00533E58">
      <w:pPr>
        <w:spacing w:after="0" w:line="480" w:lineRule="auto"/>
        <w:jc w:val="both"/>
        <w:rPr>
          <w:rFonts w:ascii="Times New Roman" w:hAnsi="Times New Roman" w:cs="Times New Roman"/>
          <w:sz w:val="24"/>
          <w:szCs w:val="24"/>
        </w:rPr>
      </w:pPr>
    </w:p>
    <w:p w14:paraId="3E2C416C" w14:textId="1A6DC0E2" w:rsidR="004766E4" w:rsidRDefault="00021092" w:rsidP="00533E58">
      <w:pPr>
        <w:spacing w:after="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 xml:space="preserve">According to the applicant, the Supreme Court simply relied on an agreement signed by the parties for purposes of staying execution after the attachment of the applicant’s assets and bank accounts and the withdrawal of the applicant’s application for leave to appeal against the granting of leave to execute. </w:t>
      </w:r>
      <w:r w:rsidR="00D161B4">
        <w:rPr>
          <w:rFonts w:ascii="Times New Roman" w:hAnsi="Times New Roman" w:cs="Times New Roman"/>
          <w:sz w:val="24"/>
          <w:szCs w:val="24"/>
        </w:rPr>
        <w:t>The court</w:t>
      </w:r>
      <w:r w:rsidRPr="00880D01">
        <w:rPr>
          <w:rFonts w:ascii="Times New Roman" w:hAnsi="Times New Roman" w:cs="Times New Roman"/>
          <w:sz w:val="24"/>
          <w:szCs w:val="24"/>
        </w:rPr>
        <w:t xml:space="preserve"> then accepted, at face value, the respondent’s counsel’s interpretation of the agreement while rejecting the applicant's position</w:t>
      </w:r>
      <w:r w:rsidR="00D161B4">
        <w:rPr>
          <w:rFonts w:ascii="Times New Roman" w:hAnsi="Times New Roman" w:cs="Times New Roman"/>
          <w:sz w:val="24"/>
          <w:szCs w:val="24"/>
        </w:rPr>
        <w:t xml:space="preserve"> altogether.</w:t>
      </w:r>
    </w:p>
    <w:p w14:paraId="6FC97B08" w14:textId="77777777" w:rsidR="00D161B4" w:rsidRPr="00880D01" w:rsidRDefault="00D161B4" w:rsidP="00533E58">
      <w:pPr>
        <w:spacing w:after="0" w:line="480" w:lineRule="auto"/>
        <w:ind w:firstLine="720"/>
        <w:jc w:val="both"/>
        <w:rPr>
          <w:rFonts w:ascii="Times New Roman" w:hAnsi="Times New Roman" w:cs="Times New Roman"/>
          <w:sz w:val="24"/>
          <w:szCs w:val="24"/>
        </w:rPr>
      </w:pPr>
    </w:p>
    <w:p w14:paraId="3F33CCDD" w14:textId="60CD962C" w:rsidR="000C38B9" w:rsidRPr="00880D01" w:rsidRDefault="00E34221" w:rsidP="004766E4">
      <w:pPr>
        <w:spacing w:after="200" w:line="480" w:lineRule="auto"/>
        <w:ind w:firstLine="720"/>
        <w:jc w:val="both"/>
        <w:rPr>
          <w:rFonts w:ascii="Times New Roman" w:hAnsi="Times New Roman" w:cs="Times New Roman"/>
          <w:sz w:val="24"/>
          <w:szCs w:val="24"/>
        </w:rPr>
      </w:pPr>
      <w:r w:rsidRPr="00880D01">
        <w:rPr>
          <w:rFonts w:ascii="Times New Roman" w:hAnsi="Times New Roman" w:cs="Times New Roman"/>
          <w:sz w:val="24"/>
          <w:szCs w:val="24"/>
        </w:rPr>
        <w:t>T</w:t>
      </w:r>
      <w:r w:rsidR="00021092" w:rsidRPr="00880D01">
        <w:rPr>
          <w:rFonts w:ascii="Times New Roman" w:hAnsi="Times New Roman" w:cs="Times New Roman"/>
          <w:sz w:val="24"/>
          <w:szCs w:val="24"/>
        </w:rPr>
        <w:t xml:space="preserve">he </w:t>
      </w:r>
      <w:r w:rsidR="000C38B9" w:rsidRPr="00880D01">
        <w:rPr>
          <w:rFonts w:ascii="Times New Roman" w:hAnsi="Times New Roman" w:cs="Times New Roman"/>
          <w:sz w:val="24"/>
          <w:szCs w:val="24"/>
        </w:rPr>
        <w:t xml:space="preserve">applicant </w:t>
      </w:r>
      <w:r w:rsidRPr="00880D01">
        <w:rPr>
          <w:rFonts w:ascii="Times New Roman" w:hAnsi="Times New Roman" w:cs="Times New Roman"/>
          <w:sz w:val="24"/>
          <w:szCs w:val="24"/>
        </w:rPr>
        <w:t xml:space="preserve">therefore </w:t>
      </w:r>
      <w:r w:rsidR="000C38B9" w:rsidRPr="00880D01">
        <w:rPr>
          <w:rFonts w:ascii="Times New Roman" w:hAnsi="Times New Roman" w:cs="Times New Roman"/>
          <w:sz w:val="24"/>
          <w:szCs w:val="24"/>
        </w:rPr>
        <w:t xml:space="preserve">prays </w:t>
      </w:r>
      <w:r w:rsidR="00665788">
        <w:rPr>
          <w:rFonts w:ascii="Times New Roman" w:hAnsi="Times New Roman" w:cs="Times New Roman"/>
          <w:sz w:val="24"/>
          <w:szCs w:val="24"/>
        </w:rPr>
        <w:t xml:space="preserve">for an order </w:t>
      </w:r>
      <w:r w:rsidR="000C38B9" w:rsidRPr="00880D01">
        <w:rPr>
          <w:rFonts w:ascii="Times New Roman" w:hAnsi="Times New Roman" w:cs="Times New Roman"/>
          <w:sz w:val="24"/>
          <w:szCs w:val="24"/>
        </w:rPr>
        <w:t>that:-</w:t>
      </w:r>
    </w:p>
    <w:p w14:paraId="7104E0B8" w14:textId="2BED472C" w:rsidR="00021092" w:rsidRPr="00665788" w:rsidRDefault="00665788" w:rsidP="00665788">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021092" w:rsidRPr="00665788">
        <w:rPr>
          <w:rFonts w:ascii="Times New Roman" w:hAnsi="Times New Roman" w:cs="Times New Roman"/>
          <w:sz w:val="24"/>
          <w:szCs w:val="24"/>
        </w:rPr>
        <w:t>Leave be and is hereby granted for the Applicant to institute an application in terms of section 85(1) (a) of the Constitution declaring that the judgment of the Supreme Court of Zimbabwe in case number SC201/23 is unconstitutional and violates the rights of the Applicant as set out in section</w:t>
      </w:r>
      <w:r>
        <w:rPr>
          <w:rFonts w:ascii="Times New Roman" w:hAnsi="Times New Roman" w:cs="Times New Roman"/>
          <w:sz w:val="24"/>
          <w:szCs w:val="24"/>
        </w:rPr>
        <w:t>s</w:t>
      </w:r>
      <w:r w:rsidR="00021092" w:rsidRPr="00665788">
        <w:rPr>
          <w:rFonts w:ascii="Times New Roman" w:hAnsi="Times New Roman" w:cs="Times New Roman"/>
          <w:sz w:val="24"/>
          <w:szCs w:val="24"/>
        </w:rPr>
        <w:t xml:space="preserve"> 56(1), 69(2) and (3) of the Constitution.</w:t>
      </w:r>
    </w:p>
    <w:p w14:paraId="632DD5D2" w14:textId="77777777" w:rsidR="00021092" w:rsidRPr="00880D01" w:rsidRDefault="00021092" w:rsidP="00E34221">
      <w:pPr>
        <w:autoSpaceDE w:val="0"/>
        <w:autoSpaceDN w:val="0"/>
        <w:adjustRightInd w:val="0"/>
        <w:spacing w:after="0" w:line="240" w:lineRule="auto"/>
        <w:ind w:left="585"/>
        <w:jc w:val="both"/>
        <w:rPr>
          <w:rFonts w:ascii="Times New Roman" w:hAnsi="Times New Roman" w:cs="Times New Roman"/>
          <w:sz w:val="24"/>
          <w:szCs w:val="24"/>
        </w:rPr>
      </w:pPr>
    </w:p>
    <w:p w14:paraId="7070D78A" w14:textId="0530605B" w:rsidR="00021092" w:rsidRPr="00880D01" w:rsidRDefault="00665788" w:rsidP="00665788">
      <w:pPr>
        <w:autoSpaceDE w:val="0"/>
        <w:autoSpaceDN w:val="0"/>
        <w:adjustRightInd w:val="0"/>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00021092" w:rsidRPr="00880D01">
        <w:rPr>
          <w:rFonts w:ascii="Times New Roman" w:hAnsi="Times New Roman" w:cs="Times New Roman"/>
          <w:sz w:val="24"/>
          <w:szCs w:val="24"/>
        </w:rPr>
        <w:t>The application referred to in paragraph 1 above, shall be filed by the Applicant within 10 days of the date of this order and shall be substantially in accordance with the draft which is attached to the founding affidavit in this matter.</w:t>
      </w:r>
      <w:r>
        <w:rPr>
          <w:rFonts w:ascii="Times New Roman" w:hAnsi="Times New Roman" w:cs="Times New Roman"/>
          <w:sz w:val="24"/>
          <w:szCs w:val="24"/>
        </w:rPr>
        <w:t>”</w:t>
      </w:r>
    </w:p>
    <w:p w14:paraId="3D60B316" w14:textId="77777777" w:rsidR="004766E4" w:rsidRPr="00880D01" w:rsidRDefault="004766E4" w:rsidP="00665788">
      <w:pPr>
        <w:autoSpaceDE w:val="0"/>
        <w:autoSpaceDN w:val="0"/>
        <w:adjustRightInd w:val="0"/>
        <w:spacing w:after="0" w:line="480" w:lineRule="auto"/>
        <w:contextualSpacing/>
        <w:jc w:val="both"/>
        <w:rPr>
          <w:rFonts w:ascii="Times New Roman" w:hAnsi="Times New Roman" w:cs="Times New Roman"/>
          <w:sz w:val="24"/>
          <w:szCs w:val="24"/>
        </w:rPr>
      </w:pPr>
    </w:p>
    <w:p w14:paraId="05FA471E" w14:textId="1F78D010" w:rsidR="004766E4" w:rsidRPr="0016396D" w:rsidRDefault="004766E4" w:rsidP="004766E4">
      <w:pPr>
        <w:pStyle w:val="Default"/>
        <w:spacing w:line="480" w:lineRule="auto"/>
        <w:ind w:firstLine="720"/>
        <w:jc w:val="both"/>
        <w:rPr>
          <w:rFonts w:ascii="Times New Roman" w:hAnsi="Times New Roman" w:cs="Times New Roman"/>
        </w:rPr>
      </w:pPr>
      <w:r w:rsidRPr="0016396D">
        <w:rPr>
          <w:rFonts w:ascii="Times New Roman" w:hAnsi="Times New Roman" w:cs="Times New Roman"/>
        </w:rPr>
        <w:t>T</w:t>
      </w:r>
      <w:r w:rsidR="00E34221" w:rsidRPr="0016396D">
        <w:rPr>
          <w:rFonts w:ascii="Times New Roman" w:hAnsi="Times New Roman" w:cs="Times New Roman"/>
        </w:rPr>
        <w:t xml:space="preserve">he application is opposed by the respondent. </w:t>
      </w:r>
      <w:r w:rsidR="00930F6D" w:rsidRPr="0016396D">
        <w:rPr>
          <w:rFonts w:ascii="Times New Roman" w:hAnsi="Times New Roman" w:cs="Times New Roman"/>
        </w:rPr>
        <w:t>In its notice of opposition and heads of argument, the respondent state</w:t>
      </w:r>
      <w:r w:rsidR="00A439C3" w:rsidRPr="0016396D">
        <w:rPr>
          <w:rFonts w:ascii="Times New Roman" w:hAnsi="Times New Roman" w:cs="Times New Roman"/>
        </w:rPr>
        <w:t>s</w:t>
      </w:r>
      <w:r w:rsidR="00930F6D" w:rsidRPr="0016396D">
        <w:rPr>
          <w:rFonts w:ascii="Times New Roman" w:hAnsi="Times New Roman" w:cs="Times New Roman"/>
        </w:rPr>
        <w:t xml:space="preserve"> that </w:t>
      </w:r>
      <w:r w:rsidR="00E34221" w:rsidRPr="0016396D">
        <w:rPr>
          <w:rFonts w:ascii="Times New Roman" w:hAnsi="Times New Roman" w:cs="Times New Roman"/>
        </w:rPr>
        <w:t xml:space="preserve">the Supreme Court dealt with a non-constitutional matter </w:t>
      </w:r>
      <w:r w:rsidR="0016396D">
        <w:rPr>
          <w:rFonts w:ascii="Times New Roman" w:hAnsi="Times New Roman" w:cs="Times New Roman"/>
        </w:rPr>
        <w:t>and</w:t>
      </w:r>
      <w:r w:rsidR="00E34221" w:rsidRPr="0016396D">
        <w:rPr>
          <w:rFonts w:ascii="Times New Roman" w:hAnsi="Times New Roman" w:cs="Times New Roman"/>
        </w:rPr>
        <w:t xml:space="preserve"> </w:t>
      </w:r>
      <w:r w:rsidR="0016396D">
        <w:rPr>
          <w:rFonts w:ascii="Times New Roman" w:hAnsi="Times New Roman" w:cs="Times New Roman"/>
        </w:rPr>
        <w:t xml:space="preserve">that </w:t>
      </w:r>
      <w:r w:rsidR="00E34221" w:rsidRPr="0016396D">
        <w:rPr>
          <w:rFonts w:ascii="Times New Roman" w:hAnsi="Times New Roman" w:cs="Times New Roman"/>
        </w:rPr>
        <w:t>the jurisdiction of th</w:t>
      </w:r>
      <w:r w:rsidR="0016396D">
        <w:rPr>
          <w:rFonts w:ascii="Times New Roman" w:hAnsi="Times New Roman" w:cs="Times New Roman"/>
        </w:rPr>
        <w:t>is</w:t>
      </w:r>
      <w:r w:rsidR="00E34221" w:rsidRPr="0016396D">
        <w:rPr>
          <w:rFonts w:ascii="Times New Roman" w:hAnsi="Times New Roman" w:cs="Times New Roman"/>
        </w:rPr>
        <w:t xml:space="preserve"> </w:t>
      </w:r>
      <w:r w:rsidR="00A439C3" w:rsidRPr="0016396D">
        <w:rPr>
          <w:rFonts w:ascii="Times New Roman" w:hAnsi="Times New Roman" w:cs="Times New Roman"/>
        </w:rPr>
        <w:t>C</w:t>
      </w:r>
      <w:r w:rsidR="00E34221" w:rsidRPr="0016396D">
        <w:rPr>
          <w:rFonts w:ascii="Times New Roman" w:hAnsi="Times New Roman" w:cs="Times New Roman"/>
        </w:rPr>
        <w:t xml:space="preserve">ourt is </w:t>
      </w:r>
      <w:r w:rsidR="0016396D">
        <w:rPr>
          <w:rFonts w:ascii="Times New Roman" w:hAnsi="Times New Roman" w:cs="Times New Roman"/>
        </w:rPr>
        <w:t>therefore</w:t>
      </w:r>
      <w:r w:rsidR="00E34221" w:rsidRPr="0016396D">
        <w:rPr>
          <w:rFonts w:ascii="Times New Roman" w:hAnsi="Times New Roman" w:cs="Times New Roman"/>
        </w:rPr>
        <w:t xml:space="preserve"> not engaged. </w:t>
      </w:r>
      <w:r w:rsidR="00930F6D" w:rsidRPr="0016396D">
        <w:rPr>
          <w:rFonts w:ascii="Times New Roman" w:hAnsi="Times New Roman" w:cs="Times New Roman"/>
        </w:rPr>
        <w:t>It further contend</w:t>
      </w:r>
      <w:r w:rsidR="00A439C3" w:rsidRPr="0016396D">
        <w:rPr>
          <w:rFonts w:ascii="Times New Roman" w:hAnsi="Times New Roman" w:cs="Times New Roman"/>
        </w:rPr>
        <w:t xml:space="preserve">s </w:t>
      </w:r>
      <w:r w:rsidR="00930F6D" w:rsidRPr="0016396D">
        <w:rPr>
          <w:rFonts w:ascii="Times New Roman" w:hAnsi="Times New Roman" w:cs="Times New Roman"/>
        </w:rPr>
        <w:t>that t</w:t>
      </w:r>
      <w:r w:rsidR="00EE42C7" w:rsidRPr="0016396D">
        <w:rPr>
          <w:rFonts w:ascii="Times New Roman" w:hAnsi="Times New Roman" w:cs="Times New Roman"/>
        </w:rPr>
        <w:t xml:space="preserve">here </w:t>
      </w:r>
      <w:r w:rsidR="00930F6D" w:rsidRPr="0016396D">
        <w:rPr>
          <w:rFonts w:ascii="Times New Roman" w:hAnsi="Times New Roman" w:cs="Times New Roman"/>
        </w:rPr>
        <w:t>was</w:t>
      </w:r>
      <w:r w:rsidR="00EE42C7" w:rsidRPr="0016396D">
        <w:rPr>
          <w:rFonts w:ascii="Times New Roman" w:hAnsi="Times New Roman" w:cs="Times New Roman"/>
        </w:rPr>
        <w:t xml:space="preserve"> no violation of the right to be heard</w:t>
      </w:r>
      <w:r w:rsidR="00930F6D" w:rsidRPr="0016396D">
        <w:rPr>
          <w:rFonts w:ascii="Times New Roman" w:hAnsi="Times New Roman" w:cs="Times New Roman"/>
        </w:rPr>
        <w:t xml:space="preserve"> given </w:t>
      </w:r>
      <w:r w:rsidR="0016396D">
        <w:rPr>
          <w:rFonts w:ascii="Times New Roman" w:hAnsi="Times New Roman" w:cs="Times New Roman"/>
        </w:rPr>
        <w:t xml:space="preserve">that </w:t>
      </w:r>
      <w:r w:rsidR="00930F6D" w:rsidRPr="0016396D">
        <w:rPr>
          <w:rFonts w:ascii="Times New Roman" w:hAnsi="Times New Roman" w:cs="Times New Roman"/>
        </w:rPr>
        <w:t>the applicant was heard on the preliminary objection</w:t>
      </w:r>
      <w:r w:rsidR="0016396D">
        <w:rPr>
          <w:rFonts w:ascii="Times New Roman" w:hAnsi="Times New Roman" w:cs="Times New Roman"/>
        </w:rPr>
        <w:t>. T</w:t>
      </w:r>
      <w:r w:rsidR="00930F6D" w:rsidRPr="0016396D">
        <w:rPr>
          <w:rFonts w:ascii="Times New Roman" w:hAnsi="Times New Roman" w:cs="Times New Roman"/>
        </w:rPr>
        <w:t xml:space="preserve">he </w:t>
      </w:r>
      <w:r w:rsidR="0016396D">
        <w:rPr>
          <w:rFonts w:ascii="Times New Roman" w:hAnsi="Times New Roman" w:cs="Times New Roman"/>
        </w:rPr>
        <w:t xml:space="preserve">court </w:t>
      </w:r>
      <w:r w:rsidR="0016396D">
        <w:rPr>
          <w:rFonts w:ascii="Times New Roman" w:hAnsi="Times New Roman" w:cs="Times New Roman"/>
          <w:i/>
          <w:iCs/>
        </w:rPr>
        <w:t>a quo</w:t>
      </w:r>
      <w:r w:rsidR="0016396D" w:rsidRPr="0016396D">
        <w:rPr>
          <w:rFonts w:ascii="Times New Roman" w:hAnsi="Times New Roman" w:cs="Times New Roman"/>
        </w:rPr>
        <w:t xml:space="preserve"> </w:t>
      </w:r>
      <w:r w:rsidR="00EE42C7" w:rsidRPr="0016396D">
        <w:rPr>
          <w:rFonts w:ascii="Times New Roman" w:hAnsi="Times New Roman" w:cs="Times New Roman"/>
        </w:rPr>
        <w:t xml:space="preserve">found that </w:t>
      </w:r>
      <w:r w:rsidR="0016396D">
        <w:rPr>
          <w:rFonts w:ascii="Times New Roman" w:hAnsi="Times New Roman" w:cs="Times New Roman"/>
        </w:rPr>
        <w:t>the applicant</w:t>
      </w:r>
      <w:r w:rsidR="00EE42C7" w:rsidRPr="0016396D">
        <w:rPr>
          <w:rFonts w:ascii="Times New Roman" w:hAnsi="Times New Roman" w:cs="Times New Roman"/>
        </w:rPr>
        <w:t xml:space="preserve"> had acquiesced to </w:t>
      </w:r>
      <w:r w:rsidR="0016396D">
        <w:rPr>
          <w:rFonts w:ascii="Times New Roman" w:hAnsi="Times New Roman" w:cs="Times New Roman"/>
        </w:rPr>
        <w:t xml:space="preserve">the </w:t>
      </w:r>
      <w:r w:rsidR="00EE42C7" w:rsidRPr="0016396D">
        <w:rPr>
          <w:rFonts w:ascii="Times New Roman" w:hAnsi="Times New Roman" w:cs="Times New Roman"/>
        </w:rPr>
        <w:t>judgment</w:t>
      </w:r>
      <w:r w:rsidR="00930F6D" w:rsidRPr="0016396D">
        <w:rPr>
          <w:rFonts w:ascii="Times New Roman" w:hAnsi="Times New Roman" w:cs="Times New Roman"/>
        </w:rPr>
        <w:t xml:space="preserve"> and upheld the pre</w:t>
      </w:r>
      <w:r w:rsidR="00EE42C7" w:rsidRPr="0016396D">
        <w:rPr>
          <w:rFonts w:ascii="Times New Roman" w:hAnsi="Times New Roman" w:cs="Times New Roman"/>
        </w:rPr>
        <w:t xml:space="preserve">liminary point of </w:t>
      </w:r>
      <w:proofErr w:type="spellStart"/>
      <w:r w:rsidR="00EE42C7" w:rsidRPr="0016396D">
        <w:rPr>
          <w:rFonts w:ascii="Times New Roman" w:hAnsi="Times New Roman" w:cs="Times New Roman"/>
        </w:rPr>
        <w:t>p</w:t>
      </w:r>
      <w:r w:rsidR="00930F6D" w:rsidRPr="0016396D">
        <w:rPr>
          <w:rFonts w:ascii="Times New Roman" w:hAnsi="Times New Roman" w:cs="Times New Roman"/>
        </w:rPr>
        <w:t>e</w:t>
      </w:r>
      <w:r w:rsidR="00EE42C7" w:rsidRPr="0016396D">
        <w:rPr>
          <w:rFonts w:ascii="Times New Roman" w:hAnsi="Times New Roman" w:cs="Times New Roman"/>
        </w:rPr>
        <w:t>remption</w:t>
      </w:r>
      <w:proofErr w:type="spellEnd"/>
      <w:r w:rsidR="00EE42C7" w:rsidRPr="0016396D">
        <w:rPr>
          <w:rFonts w:ascii="Times New Roman" w:hAnsi="Times New Roman" w:cs="Times New Roman"/>
        </w:rPr>
        <w:t xml:space="preserve">. </w:t>
      </w:r>
      <w:r w:rsidR="00F11ECD">
        <w:rPr>
          <w:rFonts w:ascii="Times New Roman" w:hAnsi="Times New Roman" w:cs="Times New Roman"/>
        </w:rPr>
        <w:t xml:space="preserve">Thus, </w:t>
      </w:r>
      <w:r w:rsidR="00930F6D" w:rsidRPr="0016396D">
        <w:rPr>
          <w:rFonts w:ascii="Times New Roman" w:hAnsi="Times New Roman" w:cs="Times New Roman"/>
        </w:rPr>
        <w:t>the f</w:t>
      </w:r>
      <w:r w:rsidR="00EE42C7" w:rsidRPr="0016396D">
        <w:rPr>
          <w:rFonts w:ascii="Times New Roman" w:hAnsi="Times New Roman" w:cs="Times New Roman"/>
        </w:rPr>
        <w:t xml:space="preserve">ailure of the </w:t>
      </w:r>
      <w:r w:rsidR="00F11ECD">
        <w:rPr>
          <w:rFonts w:ascii="Times New Roman" w:hAnsi="Times New Roman" w:cs="Times New Roman"/>
        </w:rPr>
        <w:t>court</w:t>
      </w:r>
      <w:r w:rsidR="00EE42C7" w:rsidRPr="0016396D">
        <w:rPr>
          <w:rFonts w:ascii="Times New Roman" w:hAnsi="Times New Roman" w:cs="Times New Roman"/>
        </w:rPr>
        <w:t xml:space="preserve"> to rule in favo</w:t>
      </w:r>
      <w:r w:rsidR="00930F6D" w:rsidRPr="0016396D">
        <w:rPr>
          <w:rFonts w:ascii="Times New Roman" w:hAnsi="Times New Roman" w:cs="Times New Roman"/>
        </w:rPr>
        <w:t>u</w:t>
      </w:r>
      <w:r w:rsidR="00EE42C7" w:rsidRPr="0016396D">
        <w:rPr>
          <w:rFonts w:ascii="Times New Roman" w:hAnsi="Times New Roman" w:cs="Times New Roman"/>
        </w:rPr>
        <w:t>r</w:t>
      </w:r>
      <w:r w:rsidR="00930F6D" w:rsidRPr="0016396D">
        <w:rPr>
          <w:rFonts w:ascii="Times New Roman" w:hAnsi="Times New Roman" w:cs="Times New Roman"/>
        </w:rPr>
        <w:t xml:space="preserve"> of the applicant</w:t>
      </w:r>
      <w:r w:rsidR="00EE42C7" w:rsidRPr="0016396D">
        <w:rPr>
          <w:rFonts w:ascii="Times New Roman" w:hAnsi="Times New Roman" w:cs="Times New Roman"/>
        </w:rPr>
        <w:t xml:space="preserve"> does not render that decision constitutionally intrusive of </w:t>
      </w:r>
      <w:r w:rsidR="00F11ECD">
        <w:rPr>
          <w:rFonts w:ascii="Times New Roman" w:hAnsi="Times New Roman" w:cs="Times New Roman"/>
        </w:rPr>
        <w:t xml:space="preserve">any of the applicant’s </w:t>
      </w:r>
      <w:r w:rsidR="00EE42C7" w:rsidRPr="0016396D">
        <w:rPr>
          <w:rFonts w:ascii="Times New Roman" w:hAnsi="Times New Roman" w:cs="Times New Roman"/>
        </w:rPr>
        <w:t xml:space="preserve">rights. </w:t>
      </w:r>
    </w:p>
    <w:p w14:paraId="6FEF4F52" w14:textId="77777777" w:rsidR="004766E4" w:rsidRPr="0016396D" w:rsidRDefault="004766E4" w:rsidP="004766E4">
      <w:pPr>
        <w:pStyle w:val="Default"/>
        <w:spacing w:line="480" w:lineRule="auto"/>
        <w:ind w:firstLine="720"/>
        <w:jc w:val="both"/>
        <w:rPr>
          <w:rFonts w:ascii="Times New Roman" w:hAnsi="Times New Roman" w:cs="Times New Roman"/>
        </w:rPr>
      </w:pPr>
    </w:p>
    <w:p w14:paraId="219FEFE6" w14:textId="101B287A" w:rsidR="00EE42C7" w:rsidRDefault="00A439C3" w:rsidP="003E6780">
      <w:pPr>
        <w:pStyle w:val="Default"/>
        <w:spacing w:line="480" w:lineRule="auto"/>
        <w:ind w:firstLine="720"/>
        <w:jc w:val="both"/>
        <w:rPr>
          <w:rFonts w:ascii="Times New Roman" w:hAnsi="Times New Roman" w:cs="Times New Roman"/>
        </w:rPr>
      </w:pPr>
      <w:r w:rsidRPr="0016396D">
        <w:rPr>
          <w:rFonts w:ascii="Times New Roman" w:hAnsi="Times New Roman" w:cs="Times New Roman"/>
        </w:rPr>
        <w:lastRenderedPageBreak/>
        <w:t xml:space="preserve">The respondent </w:t>
      </w:r>
      <w:r w:rsidR="00F11ECD">
        <w:rPr>
          <w:rFonts w:ascii="Times New Roman" w:hAnsi="Times New Roman" w:cs="Times New Roman"/>
        </w:rPr>
        <w:t xml:space="preserve">further </w:t>
      </w:r>
      <w:r w:rsidRPr="0016396D">
        <w:rPr>
          <w:rFonts w:ascii="Times New Roman" w:hAnsi="Times New Roman" w:cs="Times New Roman"/>
        </w:rPr>
        <w:t>avers that</w:t>
      </w:r>
      <w:r w:rsidR="00710BA7" w:rsidRPr="0016396D">
        <w:rPr>
          <w:rFonts w:ascii="Times New Roman" w:hAnsi="Times New Roman" w:cs="Times New Roman"/>
        </w:rPr>
        <w:t xml:space="preserve"> the right guaranteed under s 56 (1)</w:t>
      </w:r>
      <w:r w:rsidR="00F11ECD">
        <w:rPr>
          <w:rFonts w:ascii="Times New Roman" w:hAnsi="Times New Roman" w:cs="Times New Roman"/>
        </w:rPr>
        <w:t xml:space="preserve"> of the Constitution</w:t>
      </w:r>
      <w:r w:rsidR="00710BA7" w:rsidRPr="0016396D">
        <w:rPr>
          <w:rFonts w:ascii="Times New Roman" w:hAnsi="Times New Roman" w:cs="Times New Roman"/>
        </w:rPr>
        <w:t xml:space="preserve"> is that of equality of all persons before the law and the right to receive the same protection and benefit afforded by the law to persons in a similar position</w:t>
      </w:r>
      <w:r w:rsidRPr="0016396D">
        <w:rPr>
          <w:rFonts w:ascii="Times New Roman" w:hAnsi="Times New Roman" w:cs="Times New Roman"/>
        </w:rPr>
        <w:t xml:space="preserve">. In this light, it </w:t>
      </w:r>
      <w:r w:rsidR="00F11ECD">
        <w:rPr>
          <w:rFonts w:ascii="Times New Roman" w:hAnsi="Times New Roman" w:cs="Times New Roman"/>
        </w:rPr>
        <w:t>is averred</w:t>
      </w:r>
      <w:r w:rsidRPr="0016396D">
        <w:rPr>
          <w:rFonts w:ascii="Times New Roman" w:hAnsi="Times New Roman" w:cs="Times New Roman"/>
        </w:rPr>
        <w:t xml:space="preserve"> that </w:t>
      </w:r>
      <w:r w:rsidR="00710BA7" w:rsidRPr="0016396D">
        <w:rPr>
          <w:rFonts w:ascii="Times New Roman" w:hAnsi="Times New Roman" w:cs="Times New Roman"/>
        </w:rPr>
        <w:t xml:space="preserve">the applicant </w:t>
      </w:r>
      <w:r w:rsidR="00F11ECD">
        <w:rPr>
          <w:rFonts w:ascii="Times New Roman" w:hAnsi="Times New Roman" w:cs="Times New Roman"/>
        </w:rPr>
        <w:t xml:space="preserve">has </w:t>
      </w:r>
      <w:r w:rsidR="00710BA7" w:rsidRPr="0016396D">
        <w:rPr>
          <w:rFonts w:ascii="Times New Roman" w:hAnsi="Times New Roman" w:cs="Times New Roman"/>
        </w:rPr>
        <w:t>failed to meet the threshold for the infringement of the right</w:t>
      </w:r>
      <w:r w:rsidRPr="0016396D">
        <w:rPr>
          <w:rFonts w:ascii="Times New Roman" w:hAnsi="Times New Roman" w:cs="Times New Roman"/>
        </w:rPr>
        <w:t xml:space="preserve"> and hence cannot lament a violation of </w:t>
      </w:r>
      <w:r w:rsidR="00F11ECD">
        <w:rPr>
          <w:rFonts w:ascii="Times New Roman" w:hAnsi="Times New Roman" w:cs="Times New Roman"/>
        </w:rPr>
        <w:t>that</w:t>
      </w:r>
      <w:r w:rsidRPr="0016396D">
        <w:rPr>
          <w:rFonts w:ascii="Times New Roman" w:hAnsi="Times New Roman" w:cs="Times New Roman"/>
        </w:rPr>
        <w:t xml:space="preserve"> right</w:t>
      </w:r>
      <w:r w:rsidR="00710BA7" w:rsidRPr="0016396D">
        <w:rPr>
          <w:rFonts w:ascii="Times New Roman" w:hAnsi="Times New Roman" w:cs="Times New Roman"/>
        </w:rPr>
        <w:t>. The respondent</w:t>
      </w:r>
      <w:r w:rsidRPr="0016396D">
        <w:rPr>
          <w:rFonts w:ascii="Times New Roman" w:hAnsi="Times New Roman" w:cs="Times New Roman"/>
        </w:rPr>
        <w:t xml:space="preserve"> further</w:t>
      </w:r>
      <w:r w:rsidR="00710BA7" w:rsidRPr="0016396D">
        <w:rPr>
          <w:rFonts w:ascii="Times New Roman" w:hAnsi="Times New Roman" w:cs="Times New Roman"/>
        </w:rPr>
        <w:t xml:space="preserve"> states that </w:t>
      </w:r>
      <w:r w:rsidR="00F11ECD">
        <w:rPr>
          <w:rFonts w:ascii="Times New Roman" w:hAnsi="Times New Roman" w:cs="Times New Roman"/>
        </w:rPr>
        <w:t xml:space="preserve">even </w:t>
      </w:r>
      <w:r w:rsidR="00EE42C7" w:rsidRPr="0016396D">
        <w:rPr>
          <w:rFonts w:ascii="Times New Roman" w:hAnsi="Times New Roman" w:cs="Times New Roman"/>
        </w:rPr>
        <w:t>a wrong judgment of the Supreme Court is fina</w:t>
      </w:r>
      <w:r w:rsidR="00710BA7" w:rsidRPr="0016396D">
        <w:rPr>
          <w:rFonts w:ascii="Times New Roman" w:hAnsi="Times New Roman" w:cs="Times New Roman"/>
        </w:rPr>
        <w:t>l</w:t>
      </w:r>
      <w:r w:rsidR="00F11ECD">
        <w:rPr>
          <w:rFonts w:ascii="Times New Roman" w:hAnsi="Times New Roman" w:cs="Times New Roman"/>
        </w:rPr>
        <w:t>. In</w:t>
      </w:r>
      <w:r w:rsidR="00710BA7" w:rsidRPr="0016396D">
        <w:rPr>
          <w:rFonts w:ascii="Times New Roman" w:hAnsi="Times New Roman" w:cs="Times New Roman"/>
        </w:rPr>
        <w:t xml:space="preserve"> addition</w:t>
      </w:r>
      <w:r w:rsidR="00F11ECD">
        <w:rPr>
          <w:rFonts w:ascii="Times New Roman" w:hAnsi="Times New Roman" w:cs="Times New Roman"/>
        </w:rPr>
        <w:t>,</w:t>
      </w:r>
      <w:r w:rsidR="00710BA7" w:rsidRPr="0016396D">
        <w:rPr>
          <w:rFonts w:ascii="Times New Roman" w:hAnsi="Times New Roman" w:cs="Times New Roman"/>
        </w:rPr>
        <w:t xml:space="preserve"> t</w:t>
      </w:r>
      <w:r w:rsidR="00EE42C7" w:rsidRPr="0016396D">
        <w:rPr>
          <w:rFonts w:ascii="Times New Roman" w:hAnsi="Times New Roman" w:cs="Times New Roman"/>
        </w:rPr>
        <w:t xml:space="preserve">he order granting leave </w:t>
      </w:r>
      <w:r w:rsidRPr="0016396D">
        <w:rPr>
          <w:rFonts w:ascii="Times New Roman" w:hAnsi="Times New Roman" w:cs="Times New Roman"/>
        </w:rPr>
        <w:t xml:space="preserve">to execute </w:t>
      </w:r>
      <w:r w:rsidR="00EE42C7" w:rsidRPr="0016396D">
        <w:rPr>
          <w:rFonts w:ascii="Times New Roman" w:hAnsi="Times New Roman" w:cs="Times New Roman"/>
        </w:rPr>
        <w:t xml:space="preserve">never </w:t>
      </w:r>
      <w:r w:rsidRPr="0016396D">
        <w:rPr>
          <w:rFonts w:ascii="Times New Roman" w:hAnsi="Times New Roman" w:cs="Times New Roman"/>
        </w:rPr>
        <w:t>provided that the</w:t>
      </w:r>
      <w:r w:rsidR="00EE42C7" w:rsidRPr="0016396D">
        <w:rPr>
          <w:rFonts w:ascii="Times New Roman" w:hAnsi="Times New Roman" w:cs="Times New Roman"/>
        </w:rPr>
        <w:t xml:space="preserve"> </w:t>
      </w:r>
      <w:r w:rsidR="00710BA7" w:rsidRPr="0016396D">
        <w:rPr>
          <w:rFonts w:ascii="Times New Roman" w:hAnsi="Times New Roman" w:cs="Times New Roman"/>
        </w:rPr>
        <w:t>a</w:t>
      </w:r>
      <w:r w:rsidR="00EE42C7" w:rsidRPr="0016396D">
        <w:rPr>
          <w:rFonts w:ascii="Times New Roman" w:hAnsi="Times New Roman" w:cs="Times New Roman"/>
        </w:rPr>
        <w:t xml:space="preserve">pplicant should enter into a deed of settlement </w:t>
      </w:r>
      <w:r w:rsidR="00F11ECD">
        <w:rPr>
          <w:rFonts w:ascii="Times New Roman" w:hAnsi="Times New Roman" w:cs="Times New Roman"/>
        </w:rPr>
        <w:t>to</w:t>
      </w:r>
      <w:r w:rsidR="00EE42C7" w:rsidRPr="0016396D">
        <w:rPr>
          <w:rFonts w:ascii="Times New Roman" w:hAnsi="Times New Roman" w:cs="Times New Roman"/>
        </w:rPr>
        <w:t xml:space="preserve"> pay. </w:t>
      </w:r>
      <w:r w:rsidR="00F11ECD">
        <w:rPr>
          <w:rFonts w:ascii="Times New Roman" w:hAnsi="Times New Roman" w:cs="Times New Roman"/>
        </w:rPr>
        <w:t>Lastly, it</w:t>
      </w:r>
      <w:r w:rsidR="00710BA7" w:rsidRPr="0016396D">
        <w:rPr>
          <w:rFonts w:ascii="Times New Roman" w:hAnsi="Times New Roman" w:cs="Times New Roman"/>
        </w:rPr>
        <w:t xml:space="preserve"> is submitted </w:t>
      </w:r>
      <w:r w:rsidR="00F11ECD">
        <w:rPr>
          <w:rFonts w:ascii="Times New Roman" w:hAnsi="Times New Roman" w:cs="Times New Roman"/>
        </w:rPr>
        <w:t xml:space="preserve">that </w:t>
      </w:r>
      <w:r w:rsidR="00710BA7" w:rsidRPr="0016396D">
        <w:rPr>
          <w:rFonts w:ascii="Times New Roman" w:hAnsi="Times New Roman" w:cs="Times New Roman"/>
        </w:rPr>
        <w:t>t</w:t>
      </w:r>
      <w:r w:rsidR="00EE42C7" w:rsidRPr="0016396D">
        <w:rPr>
          <w:rFonts w:ascii="Times New Roman" w:hAnsi="Times New Roman" w:cs="Times New Roman"/>
        </w:rPr>
        <w:t>he agreement</w:t>
      </w:r>
      <w:r w:rsidR="00887D3C" w:rsidRPr="0016396D">
        <w:rPr>
          <w:rFonts w:ascii="Times New Roman" w:hAnsi="Times New Roman" w:cs="Times New Roman"/>
        </w:rPr>
        <w:t xml:space="preserve"> </w:t>
      </w:r>
      <w:r w:rsidR="00F11ECD">
        <w:rPr>
          <w:rFonts w:ascii="Times New Roman" w:hAnsi="Times New Roman" w:cs="Times New Roman"/>
        </w:rPr>
        <w:t xml:space="preserve">between the parties </w:t>
      </w:r>
      <w:r w:rsidR="00887D3C" w:rsidRPr="0016396D">
        <w:rPr>
          <w:rFonts w:ascii="Times New Roman" w:hAnsi="Times New Roman" w:cs="Times New Roman"/>
        </w:rPr>
        <w:t>and the subsequent payments made by the applicant</w:t>
      </w:r>
      <w:r w:rsidR="00F11ECD">
        <w:rPr>
          <w:rFonts w:ascii="Times New Roman" w:hAnsi="Times New Roman" w:cs="Times New Roman"/>
        </w:rPr>
        <w:t xml:space="preserve"> </w:t>
      </w:r>
      <w:r w:rsidR="00D9664A">
        <w:rPr>
          <w:rFonts w:ascii="Times New Roman" w:hAnsi="Times New Roman" w:cs="Times New Roman"/>
        </w:rPr>
        <w:t xml:space="preserve">effectively </w:t>
      </w:r>
      <w:r w:rsidR="00F11ECD">
        <w:rPr>
          <w:rFonts w:ascii="Times New Roman" w:hAnsi="Times New Roman" w:cs="Times New Roman"/>
        </w:rPr>
        <w:t>operated to compromise its</w:t>
      </w:r>
      <w:r w:rsidR="00710BA7" w:rsidRPr="0016396D">
        <w:rPr>
          <w:rFonts w:ascii="Times New Roman" w:hAnsi="Times New Roman" w:cs="Times New Roman"/>
        </w:rPr>
        <w:t xml:space="preserve"> </w:t>
      </w:r>
      <w:r w:rsidR="00EE42C7" w:rsidRPr="0016396D">
        <w:rPr>
          <w:rFonts w:ascii="Times New Roman" w:hAnsi="Times New Roman" w:cs="Times New Roman"/>
        </w:rPr>
        <w:t>rights.</w:t>
      </w:r>
    </w:p>
    <w:p w14:paraId="1A86EAB8" w14:textId="77777777" w:rsidR="004A288C" w:rsidRDefault="004A288C" w:rsidP="003E6780">
      <w:pPr>
        <w:pStyle w:val="Default"/>
        <w:spacing w:line="480" w:lineRule="auto"/>
        <w:ind w:firstLine="720"/>
        <w:jc w:val="both"/>
        <w:rPr>
          <w:rFonts w:ascii="Times New Roman" w:hAnsi="Times New Roman" w:cs="Times New Roman"/>
        </w:rPr>
      </w:pPr>
    </w:p>
    <w:p w14:paraId="78020121" w14:textId="63026BE2" w:rsidR="004A288C" w:rsidRPr="00DC6269" w:rsidRDefault="004A288C" w:rsidP="003E6780">
      <w:pPr>
        <w:pStyle w:val="Default"/>
        <w:spacing w:line="480" w:lineRule="auto"/>
        <w:ind w:firstLine="720"/>
        <w:jc w:val="both"/>
        <w:rPr>
          <w:rFonts w:ascii="Times New Roman" w:hAnsi="Times New Roman" w:cs="Times New Roman"/>
        </w:rPr>
      </w:pPr>
      <w:r>
        <w:rPr>
          <w:rFonts w:ascii="Times New Roman" w:hAnsi="Times New Roman" w:cs="Times New Roman"/>
        </w:rPr>
        <w:t xml:space="preserve">The issues for determination </w:t>
      </w:r>
      <w:r>
        <w:rPr>
          <w:rFonts w:ascii="Times New Roman" w:hAnsi="Times New Roman" w:cs="Times New Roman"/>
          <w:i/>
          <w:iCs/>
        </w:rPr>
        <w:t xml:space="preserve">in </w:t>
      </w:r>
      <w:proofErr w:type="spellStart"/>
      <w:r>
        <w:rPr>
          <w:rFonts w:ascii="Times New Roman" w:hAnsi="Times New Roman" w:cs="Times New Roman"/>
          <w:i/>
          <w:iCs/>
        </w:rPr>
        <w:t>casu</w:t>
      </w:r>
      <w:proofErr w:type="spellEnd"/>
      <w:r>
        <w:rPr>
          <w:rFonts w:ascii="Times New Roman" w:hAnsi="Times New Roman" w:cs="Times New Roman"/>
        </w:rPr>
        <w:t xml:space="preserve"> are as follows: whether this Court has the requisite jurisdiction to entertain this matter</w:t>
      </w:r>
      <w:r w:rsidR="00DC6269">
        <w:rPr>
          <w:rFonts w:ascii="Times New Roman" w:hAnsi="Times New Roman" w:cs="Times New Roman"/>
        </w:rPr>
        <w:t xml:space="preserve">; whether this application is a disguised appeal; whether it is in the interests of justice to grant the application for direct access; and whether or not the intended substantive application carries prospects of success. I shall address all of these issues </w:t>
      </w:r>
      <w:r w:rsidR="00DC6269">
        <w:rPr>
          <w:rFonts w:ascii="Times New Roman" w:hAnsi="Times New Roman" w:cs="Times New Roman"/>
          <w:i/>
          <w:iCs/>
        </w:rPr>
        <w:t>ad seriatim</w:t>
      </w:r>
      <w:r w:rsidR="00DC6269">
        <w:rPr>
          <w:rFonts w:ascii="Times New Roman" w:hAnsi="Times New Roman" w:cs="Times New Roman"/>
        </w:rPr>
        <w:t>.</w:t>
      </w:r>
    </w:p>
    <w:p w14:paraId="24AA4B81" w14:textId="77777777" w:rsidR="003E6780" w:rsidRDefault="003E6780" w:rsidP="00235FD1">
      <w:pPr>
        <w:shd w:val="clear" w:color="auto" w:fill="FFFFFF"/>
        <w:spacing w:after="0" w:line="480" w:lineRule="auto"/>
        <w:jc w:val="both"/>
        <w:rPr>
          <w:rFonts w:ascii="Times New Roman" w:eastAsia="Times New Roman" w:hAnsi="Times New Roman" w:cs="Times New Roman"/>
          <w:sz w:val="24"/>
          <w:szCs w:val="24"/>
          <w:lang w:eastAsia="en-ZW"/>
        </w:rPr>
      </w:pPr>
    </w:p>
    <w:p w14:paraId="6918D3AD" w14:textId="2F637FEC" w:rsidR="00AC26B6" w:rsidRPr="00305FCA" w:rsidRDefault="00235FD1" w:rsidP="008D6CB5">
      <w:pPr>
        <w:shd w:val="clear" w:color="auto" w:fill="FFFFFF"/>
        <w:spacing w:after="0" w:line="480" w:lineRule="auto"/>
        <w:jc w:val="both"/>
        <w:rPr>
          <w:rFonts w:ascii="Times New Roman" w:eastAsia="Times New Roman" w:hAnsi="Times New Roman" w:cs="Times New Roman"/>
          <w:b/>
          <w:bCs/>
          <w:sz w:val="24"/>
          <w:szCs w:val="24"/>
          <w:lang w:eastAsia="en-ZW"/>
        </w:rPr>
      </w:pPr>
      <w:r w:rsidRPr="00305FCA">
        <w:rPr>
          <w:rFonts w:ascii="Times New Roman" w:eastAsia="Times New Roman" w:hAnsi="Times New Roman" w:cs="Times New Roman"/>
          <w:b/>
          <w:bCs/>
          <w:sz w:val="24"/>
          <w:szCs w:val="24"/>
          <w:lang w:eastAsia="en-ZW"/>
        </w:rPr>
        <w:t>Jurisdiction of the Court</w:t>
      </w:r>
    </w:p>
    <w:p w14:paraId="56F9EB2C" w14:textId="0960C537" w:rsidR="003E6780" w:rsidRDefault="00235FD1" w:rsidP="0072289C">
      <w:pPr>
        <w:shd w:val="clear" w:color="auto" w:fill="FFFFFF"/>
        <w:spacing w:after="0" w:line="480" w:lineRule="auto"/>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b/>
        <w:t xml:space="preserve">Mr </w:t>
      </w:r>
      <w:proofErr w:type="spellStart"/>
      <w:r>
        <w:rPr>
          <w:rFonts w:ascii="Times New Roman" w:eastAsia="Times New Roman" w:hAnsi="Times New Roman" w:cs="Times New Roman"/>
          <w:i/>
          <w:iCs/>
          <w:sz w:val="24"/>
          <w:szCs w:val="24"/>
          <w:lang w:eastAsia="en-ZW"/>
        </w:rPr>
        <w:t>Ndlovu</w:t>
      </w:r>
      <w:proofErr w:type="spellEnd"/>
      <w:r>
        <w:rPr>
          <w:rFonts w:ascii="Times New Roman" w:eastAsia="Times New Roman" w:hAnsi="Times New Roman" w:cs="Times New Roman"/>
          <w:sz w:val="24"/>
          <w:szCs w:val="24"/>
          <w:lang w:eastAsia="en-ZW"/>
        </w:rPr>
        <w:t xml:space="preserve">, for the respondent, submits that the Court exercises a specialised jurisdiction under s 167(5) of the Constitution and can only deal with the interpretation of the supreme law. </w:t>
      </w:r>
      <w:r>
        <w:rPr>
          <w:rFonts w:ascii="Times New Roman" w:eastAsia="Times New Roman" w:hAnsi="Times New Roman" w:cs="Times New Roman"/>
          <w:i/>
          <w:iCs/>
          <w:sz w:val="24"/>
          <w:szCs w:val="24"/>
          <w:lang w:eastAsia="en-ZW"/>
        </w:rPr>
        <w:t xml:space="preserve">In </w:t>
      </w:r>
      <w:proofErr w:type="spellStart"/>
      <w:r>
        <w:rPr>
          <w:rFonts w:ascii="Times New Roman" w:eastAsia="Times New Roman" w:hAnsi="Times New Roman" w:cs="Times New Roman"/>
          <w:i/>
          <w:iCs/>
          <w:sz w:val="24"/>
          <w:szCs w:val="24"/>
          <w:lang w:eastAsia="en-ZW"/>
        </w:rPr>
        <w:t>casu</w:t>
      </w:r>
      <w:proofErr w:type="spellEnd"/>
      <w:r>
        <w:rPr>
          <w:rFonts w:ascii="Times New Roman" w:eastAsia="Times New Roman" w:hAnsi="Times New Roman" w:cs="Times New Roman"/>
          <w:sz w:val="24"/>
          <w:szCs w:val="24"/>
          <w:lang w:eastAsia="en-ZW"/>
        </w:rPr>
        <w:t>, so it is argued, the Court lacks jurisdiction beca</w:t>
      </w:r>
      <w:r w:rsidR="000C02B1">
        <w:rPr>
          <w:rFonts w:ascii="Times New Roman" w:eastAsia="Times New Roman" w:hAnsi="Times New Roman" w:cs="Times New Roman"/>
          <w:sz w:val="24"/>
          <w:szCs w:val="24"/>
          <w:lang w:eastAsia="en-ZW"/>
        </w:rPr>
        <w:t>u</w:t>
      </w:r>
      <w:r>
        <w:rPr>
          <w:rFonts w:ascii="Times New Roman" w:eastAsia="Times New Roman" w:hAnsi="Times New Roman" w:cs="Times New Roman"/>
          <w:sz w:val="24"/>
          <w:szCs w:val="24"/>
          <w:lang w:eastAsia="en-ZW"/>
        </w:rPr>
        <w:t xml:space="preserve">se the court </w:t>
      </w:r>
      <w:r>
        <w:rPr>
          <w:rFonts w:ascii="Times New Roman" w:eastAsia="Times New Roman" w:hAnsi="Times New Roman" w:cs="Times New Roman"/>
          <w:i/>
          <w:iCs/>
          <w:sz w:val="24"/>
          <w:szCs w:val="24"/>
          <w:lang w:eastAsia="en-ZW"/>
        </w:rPr>
        <w:t xml:space="preserve">a quo </w:t>
      </w:r>
      <w:r w:rsidRPr="00235FD1">
        <w:rPr>
          <w:rFonts w:ascii="Times New Roman" w:eastAsia="Times New Roman" w:hAnsi="Times New Roman" w:cs="Times New Roman"/>
          <w:sz w:val="24"/>
          <w:szCs w:val="24"/>
          <w:lang w:eastAsia="en-ZW"/>
        </w:rPr>
        <w:t>never dealt with any constitutional issue</w:t>
      </w:r>
      <w:r>
        <w:rPr>
          <w:rFonts w:ascii="Times New Roman" w:eastAsia="Times New Roman" w:hAnsi="Times New Roman" w:cs="Times New Roman"/>
          <w:sz w:val="24"/>
          <w:szCs w:val="24"/>
          <w:lang w:eastAsia="en-ZW"/>
        </w:rPr>
        <w:t xml:space="preserve">. Furthermore, by reason of s 169 of the Constitution, </w:t>
      </w:r>
      <w:r w:rsidR="000C02B1">
        <w:rPr>
          <w:rFonts w:ascii="Times New Roman" w:eastAsia="Times New Roman" w:hAnsi="Times New Roman" w:cs="Times New Roman"/>
          <w:sz w:val="24"/>
          <w:szCs w:val="24"/>
          <w:lang w:eastAsia="en-ZW"/>
        </w:rPr>
        <w:t xml:space="preserve">the Supreme Court is the final court of appeal in non-constitutional matters. Therefore, its finding on </w:t>
      </w:r>
      <w:proofErr w:type="spellStart"/>
      <w:r w:rsidR="000C02B1">
        <w:rPr>
          <w:rFonts w:ascii="Times New Roman" w:eastAsia="Times New Roman" w:hAnsi="Times New Roman" w:cs="Times New Roman"/>
          <w:sz w:val="24"/>
          <w:szCs w:val="24"/>
          <w:lang w:eastAsia="en-ZW"/>
        </w:rPr>
        <w:t>peremption</w:t>
      </w:r>
      <w:proofErr w:type="spellEnd"/>
      <w:r w:rsidR="000C02B1">
        <w:rPr>
          <w:rFonts w:ascii="Times New Roman" w:eastAsia="Times New Roman" w:hAnsi="Times New Roman" w:cs="Times New Roman"/>
          <w:sz w:val="24"/>
          <w:szCs w:val="24"/>
          <w:lang w:eastAsia="en-ZW"/>
        </w:rPr>
        <w:t xml:space="preserve"> is final and binding and this Court has no jurisdiction to question that finding.</w:t>
      </w:r>
    </w:p>
    <w:p w14:paraId="57309112" w14:textId="77777777" w:rsidR="000C02B1" w:rsidRDefault="000C02B1" w:rsidP="0072289C">
      <w:pPr>
        <w:shd w:val="clear" w:color="auto" w:fill="FFFFFF"/>
        <w:spacing w:after="0" w:line="480" w:lineRule="auto"/>
        <w:jc w:val="both"/>
        <w:rPr>
          <w:rFonts w:ascii="Times New Roman" w:eastAsia="Times New Roman" w:hAnsi="Times New Roman" w:cs="Times New Roman"/>
          <w:sz w:val="24"/>
          <w:szCs w:val="24"/>
          <w:lang w:eastAsia="en-ZW"/>
        </w:rPr>
      </w:pPr>
    </w:p>
    <w:p w14:paraId="4013B4C1" w14:textId="27335FCC" w:rsidR="000C02B1" w:rsidRDefault="00F73024" w:rsidP="002B24C3">
      <w:pPr>
        <w:shd w:val="clear" w:color="auto" w:fill="FFFFFF"/>
        <w:spacing w:after="0" w:line="480" w:lineRule="auto"/>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lastRenderedPageBreak/>
        <w:tab/>
        <w:t xml:space="preserve">Broadly speaking, Mr </w:t>
      </w:r>
      <w:proofErr w:type="spellStart"/>
      <w:r>
        <w:rPr>
          <w:rFonts w:ascii="Times New Roman" w:eastAsia="Times New Roman" w:hAnsi="Times New Roman" w:cs="Times New Roman"/>
          <w:i/>
          <w:iCs/>
          <w:sz w:val="24"/>
          <w:szCs w:val="24"/>
          <w:lang w:eastAsia="en-ZW"/>
        </w:rPr>
        <w:t>Ndlovu</w:t>
      </w:r>
      <w:proofErr w:type="spellEnd"/>
      <w:r>
        <w:rPr>
          <w:rFonts w:ascii="Times New Roman" w:eastAsia="Times New Roman" w:hAnsi="Times New Roman" w:cs="Times New Roman"/>
          <w:sz w:val="24"/>
          <w:szCs w:val="24"/>
          <w:lang w:eastAsia="en-ZW"/>
        </w:rPr>
        <w:t xml:space="preserve"> is certainly correct in his submissions concerning the jurisdiction of this Court. However, he misses the equally correct point that the doors of the Court are not invariably closed to the admission of every non-constitutional matter. This Court undoubtedly has the requisite jurisdiction</w:t>
      </w:r>
      <w:r w:rsidR="003A48C5">
        <w:rPr>
          <w:rFonts w:ascii="Times New Roman" w:eastAsia="Times New Roman" w:hAnsi="Times New Roman" w:cs="Times New Roman"/>
          <w:sz w:val="24"/>
          <w:szCs w:val="24"/>
          <w:lang w:eastAsia="en-ZW"/>
        </w:rPr>
        <w:t xml:space="preserve"> in</w:t>
      </w:r>
      <w:r>
        <w:rPr>
          <w:rFonts w:ascii="Times New Roman" w:eastAsia="Times New Roman" w:hAnsi="Times New Roman" w:cs="Times New Roman"/>
          <w:sz w:val="24"/>
          <w:szCs w:val="24"/>
          <w:lang w:eastAsia="en-ZW"/>
        </w:rPr>
        <w:t xml:space="preserve"> matters concerning the alleged violation of fundamental rights. In the inst</w:t>
      </w:r>
      <w:r w:rsidR="00B56572">
        <w:rPr>
          <w:rFonts w:ascii="Times New Roman" w:eastAsia="Times New Roman" w:hAnsi="Times New Roman" w:cs="Times New Roman"/>
          <w:sz w:val="24"/>
          <w:szCs w:val="24"/>
          <w:lang w:eastAsia="en-ZW"/>
        </w:rPr>
        <w:t>a</w:t>
      </w:r>
      <w:r>
        <w:rPr>
          <w:rFonts w:ascii="Times New Roman" w:eastAsia="Times New Roman" w:hAnsi="Times New Roman" w:cs="Times New Roman"/>
          <w:sz w:val="24"/>
          <w:szCs w:val="24"/>
          <w:lang w:eastAsia="en-ZW"/>
        </w:rPr>
        <w:t>nt case, it has been approached to exercise that jurisdiction</w:t>
      </w:r>
      <w:r w:rsidR="00B56572">
        <w:rPr>
          <w:rFonts w:ascii="Times New Roman" w:eastAsia="Times New Roman" w:hAnsi="Times New Roman" w:cs="Times New Roman"/>
          <w:sz w:val="24"/>
          <w:szCs w:val="24"/>
          <w:lang w:eastAsia="en-ZW"/>
        </w:rPr>
        <w:t xml:space="preserve"> in terms of s 167(5</w:t>
      </w:r>
      <w:r w:rsidR="00C24546">
        <w:rPr>
          <w:rFonts w:ascii="Times New Roman" w:eastAsia="Times New Roman" w:hAnsi="Times New Roman" w:cs="Times New Roman"/>
          <w:sz w:val="24"/>
          <w:szCs w:val="24"/>
          <w:lang w:eastAsia="en-ZW"/>
        </w:rPr>
        <w:t>)</w:t>
      </w:r>
      <w:r w:rsidR="00B56572">
        <w:rPr>
          <w:rFonts w:ascii="Times New Roman" w:eastAsia="Times New Roman" w:hAnsi="Times New Roman" w:cs="Times New Roman"/>
          <w:sz w:val="24"/>
          <w:szCs w:val="24"/>
          <w:lang w:eastAsia="en-ZW"/>
        </w:rPr>
        <w:t xml:space="preserve"> of the Constitution as read with r 21(2) of the Rules. Moreover, the relief sought in the intended substantive application is capable of being granted in terms s 85(1</w:t>
      </w:r>
      <w:proofErr w:type="gramStart"/>
      <w:r w:rsidR="00B56572">
        <w:rPr>
          <w:rFonts w:ascii="Times New Roman" w:eastAsia="Times New Roman" w:hAnsi="Times New Roman" w:cs="Times New Roman"/>
          <w:sz w:val="24"/>
          <w:szCs w:val="24"/>
          <w:lang w:eastAsia="en-ZW"/>
        </w:rPr>
        <w:t>)(</w:t>
      </w:r>
      <w:proofErr w:type="gramEnd"/>
      <w:r w:rsidR="00B56572">
        <w:rPr>
          <w:rFonts w:ascii="Times New Roman" w:eastAsia="Times New Roman" w:hAnsi="Times New Roman" w:cs="Times New Roman"/>
          <w:sz w:val="24"/>
          <w:szCs w:val="24"/>
          <w:lang w:eastAsia="en-ZW"/>
        </w:rPr>
        <w:t xml:space="preserve">a) of the Constitution. This would be the case where a subordinate </w:t>
      </w:r>
      <w:r w:rsidR="00C24546">
        <w:rPr>
          <w:rFonts w:ascii="Times New Roman" w:eastAsia="Times New Roman" w:hAnsi="Times New Roman" w:cs="Times New Roman"/>
          <w:sz w:val="24"/>
          <w:szCs w:val="24"/>
          <w:lang w:eastAsia="en-ZW"/>
        </w:rPr>
        <w:t xml:space="preserve">court </w:t>
      </w:r>
      <w:r w:rsidR="00B56572">
        <w:rPr>
          <w:rFonts w:ascii="Times New Roman" w:eastAsia="Times New Roman" w:hAnsi="Times New Roman" w:cs="Times New Roman"/>
          <w:sz w:val="24"/>
          <w:szCs w:val="24"/>
          <w:lang w:eastAsia="en-ZW"/>
        </w:rPr>
        <w:t>is alleged to have violated a fundamental right in the course of determining a non-constitutional matter.</w:t>
      </w:r>
    </w:p>
    <w:p w14:paraId="68239A1C" w14:textId="77777777" w:rsidR="002B24C3" w:rsidRDefault="002B24C3" w:rsidP="002B24C3">
      <w:pPr>
        <w:shd w:val="clear" w:color="auto" w:fill="FFFFFF"/>
        <w:spacing w:after="0" w:line="480" w:lineRule="auto"/>
        <w:jc w:val="both"/>
        <w:rPr>
          <w:rFonts w:ascii="Times New Roman" w:eastAsia="Times New Roman" w:hAnsi="Times New Roman" w:cs="Times New Roman"/>
          <w:sz w:val="24"/>
          <w:szCs w:val="24"/>
          <w:lang w:eastAsia="en-ZW"/>
        </w:rPr>
      </w:pPr>
    </w:p>
    <w:p w14:paraId="6CA953DE" w14:textId="78EED698" w:rsidR="002B24C3" w:rsidRDefault="002B24C3" w:rsidP="002B24C3">
      <w:pPr>
        <w:shd w:val="clear" w:color="auto" w:fill="FFFFFF"/>
        <w:spacing w:after="0" w:line="480" w:lineRule="auto"/>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b/>
        <w:t xml:space="preserve">As was appositely highlighted in </w:t>
      </w:r>
      <w:r>
        <w:rPr>
          <w:rFonts w:ascii="Times New Roman" w:eastAsia="Times New Roman" w:hAnsi="Times New Roman" w:cs="Times New Roman"/>
          <w:i/>
          <w:iCs/>
          <w:sz w:val="24"/>
          <w:szCs w:val="24"/>
          <w:lang w:eastAsia="en-ZW"/>
        </w:rPr>
        <w:t>Lytton Investments (Pvt) Ltd</w:t>
      </w:r>
      <w:r>
        <w:rPr>
          <w:rFonts w:ascii="Times New Roman" w:eastAsia="Times New Roman" w:hAnsi="Times New Roman" w:cs="Times New Roman"/>
          <w:sz w:val="24"/>
          <w:szCs w:val="24"/>
          <w:lang w:eastAsia="en-ZW"/>
        </w:rPr>
        <w:t xml:space="preserve"> v </w:t>
      </w:r>
      <w:r>
        <w:rPr>
          <w:rFonts w:ascii="Times New Roman" w:eastAsia="Times New Roman" w:hAnsi="Times New Roman" w:cs="Times New Roman"/>
          <w:i/>
          <w:iCs/>
          <w:sz w:val="24"/>
          <w:szCs w:val="24"/>
          <w:lang w:eastAsia="en-ZW"/>
        </w:rPr>
        <w:t>Standard Chartered Bank Zimbabwe Limited &amp; Anor</w:t>
      </w:r>
      <w:r>
        <w:rPr>
          <w:rFonts w:ascii="Times New Roman" w:eastAsia="Times New Roman" w:hAnsi="Times New Roman" w:cs="Times New Roman"/>
          <w:sz w:val="24"/>
          <w:szCs w:val="24"/>
          <w:lang w:eastAsia="en-ZW"/>
        </w:rPr>
        <w:t xml:space="preserve"> CCZ 11-18, at pp 11-13, the Supreme Court is under the obligation to protect fundamental rights and freedoms and it does so by enforcing obligations borne by others through appropriate adju</w:t>
      </w:r>
      <w:r w:rsidR="009966A4">
        <w:rPr>
          <w:rFonts w:ascii="Times New Roman" w:eastAsia="Times New Roman" w:hAnsi="Times New Roman" w:cs="Times New Roman"/>
          <w:sz w:val="24"/>
          <w:szCs w:val="24"/>
          <w:lang w:eastAsia="en-ZW"/>
        </w:rPr>
        <w:t>dicatory processes. More significantly, “it is itself under the constitutional obligation not to violate fundamental rights or freedoms when performing judicial functions involving non-constitutional issues”. In such cases, the Supreme Court “is subject to due compliance with the obligation to protect fundamental rights and freedoms”. Thus, “the allegation under s 85(1) of the Constitution that a decision of the Supreme Court has infringed the fundamental right or freedom of the complainant in a case involving a non-constitutional issue raises a constitutional matter”.</w:t>
      </w:r>
    </w:p>
    <w:p w14:paraId="53323D30" w14:textId="77777777" w:rsidR="009966A4" w:rsidRDefault="009966A4" w:rsidP="002B24C3">
      <w:pPr>
        <w:shd w:val="clear" w:color="auto" w:fill="FFFFFF"/>
        <w:spacing w:after="0" w:line="480" w:lineRule="auto"/>
        <w:jc w:val="both"/>
        <w:rPr>
          <w:rFonts w:ascii="Times New Roman" w:eastAsia="Times New Roman" w:hAnsi="Times New Roman" w:cs="Times New Roman"/>
          <w:sz w:val="24"/>
          <w:szCs w:val="24"/>
          <w:lang w:eastAsia="en-ZW"/>
        </w:rPr>
      </w:pPr>
    </w:p>
    <w:p w14:paraId="5B36AE87" w14:textId="0E01EF2C" w:rsidR="009966A4" w:rsidRDefault="009966A4" w:rsidP="002B24C3">
      <w:pPr>
        <w:shd w:val="clear" w:color="auto" w:fill="FFFFFF"/>
        <w:spacing w:after="0" w:line="480" w:lineRule="auto"/>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b/>
      </w:r>
      <w:r>
        <w:rPr>
          <w:rFonts w:ascii="Times New Roman" w:eastAsia="Times New Roman" w:hAnsi="Times New Roman" w:cs="Times New Roman"/>
          <w:i/>
          <w:iCs/>
          <w:sz w:val="24"/>
          <w:szCs w:val="24"/>
          <w:lang w:eastAsia="en-ZW"/>
        </w:rPr>
        <w:t xml:space="preserve">In </w:t>
      </w:r>
      <w:proofErr w:type="spellStart"/>
      <w:r>
        <w:rPr>
          <w:rFonts w:ascii="Times New Roman" w:eastAsia="Times New Roman" w:hAnsi="Times New Roman" w:cs="Times New Roman"/>
          <w:i/>
          <w:iCs/>
          <w:sz w:val="24"/>
          <w:szCs w:val="24"/>
          <w:lang w:eastAsia="en-ZW"/>
        </w:rPr>
        <w:t>casu</w:t>
      </w:r>
      <w:proofErr w:type="spellEnd"/>
      <w:r>
        <w:rPr>
          <w:rFonts w:ascii="Times New Roman" w:eastAsia="Times New Roman" w:hAnsi="Times New Roman" w:cs="Times New Roman"/>
          <w:sz w:val="24"/>
          <w:szCs w:val="24"/>
          <w:lang w:eastAsia="en-ZW"/>
        </w:rPr>
        <w:t xml:space="preserve">, </w:t>
      </w:r>
      <w:r w:rsidR="007F353B">
        <w:rPr>
          <w:rFonts w:ascii="Times New Roman" w:eastAsia="Times New Roman" w:hAnsi="Times New Roman" w:cs="Times New Roman"/>
          <w:sz w:val="24"/>
          <w:szCs w:val="24"/>
          <w:lang w:eastAsia="en-ZW"/>
        </w:rPr>
        <w:t xml:space="preserve">the applicant avers that </w:t>
      </w:r>
      <w:r w:rsidR="00C24546">
        <w:rPr>
          <w:rFonts w:ascii="Times New Roman" w:eastAsia="Times New Roman" w:hAnsi="Times New Roman" w:cs="Times New Roman"/>
          <w:sz w:val="24"/>
          <w:szCs w:val="24"/>
          <w:lang w:eastAsia="en-ZW"/>
        </w:rPr>
        <w:t>the</w:t>
      </w:r>
      <w:r w:rsidR="007F353B">
        <w:rPr>
          <w:rFonts w:ascii="Times New Roman" w:eastAsia="Times New Roman" w:hAnsi="Times New Roman" w:cs="Times New Roman"/>
          <w:sz w:val="24"/>
          <w:szCs w:val="24"/>
          <w:lang w:eastAsia="en-ZW"/>
        </w:rPr>
        <w:t xml:space="preserve"> right to equal protection and benefit of the law and </w:t>
      </w:r>
      <w:r w:rsidR="00C24546">
        <w:rPr>
          <w:rFonts w:ascii="Times New Roman" w:eastAsia="Times New Roman" w:hAnsi="Times New Roman" w:cs="Times New Roman"/>
          <w:sz w:val="24"/>
          <w:szCs w:val="24"/>
          <w:lang w:eastAsia="en-ZW"/>
        </w:rPr>
        <w:t>its</w:t>
      </w:r>
      <w:r w:rsidR="007F353B">
        <w:rPr>
          <w:rFonts w:ascii="Times New Roman" w:eastAsia="Times New Roman" w:hAnsi="Times New Roman" w:cs="Times New Roman"/>
          <w:sz w:val="24"/>
          <w:szCs w:val="24"/>
          <w:lang w:eastAsia="en-ZW"/>
        </w:rPr>
        <w:t xml:space="preserve"> rights to a fair hearing and access to the courts were violated by the Supreme Court by the manner in which it disposed of the appeal before it. The intended substantive application is predicated on the assertion that the court rendered a decision in a non-constitutional matter the </w:t>
      </w:r>
      <w:r w:rsidR="007F353B">
        <w:rPr>
          <w:rFonts w:ascii="Times New Roman" w:eastAsia="Times New Roman" w:hAnsi="Times New Roman" w:cs="Times New Roman"/>
          <w:sz w:val="24"/>
          <w:szCs w:val="24"/>
          <w:lang w:eastAsia="en-ZW"/>
        </w:rPr>
        <w:lastRenderedPageBreak/>
        <w:t xml:space="preserve">effect of which was to infringe the applicant’s fundamental rights. In the circumstances of this case, the applicant’s challenge is premised on the alleged infringement of rights by the Supreme Court itself. </w:t>
      </w:r>
      <w:r w:rsidR="0014727A">
        <w:rPr>
          <w:rFonts w:ascii="Times New Roman" w:eastAsia="Times New Roman" w:hAnsi="Times New Roman" w:cs="Times New Roman"/>
          <w:sz w:val="24"/>
          <w:szCs w:val="24"/>
          <w:lang w:eastAsia="en-ZW"/>
        </w:rPr>
        <w:t xml:space="preserve">In my view, the specific nature of this allegation clearly operates to trigger the </w:t>
      </w:r>
      <w:r w:rsidR="00324E80">
        <w:rPr>
          <w:rFonts w:ascii="Times New Roman" w:eastAsia="Times New Roman" w:hAnsi="Times New Roman" w:cs="Times New Roman"/>
          <w:sz w:val="24"/>
          <w:szCs w:val="24"/>
          <w:lang w:eastAsia="en-ZW"/>
        </w:rPr>
        <w:t xml:space="preserve">jurisdiction </w:t>
      </w:r>
      <w:r w:rsidR="0014727A">
        <w:rPr>
          <w:rFonts w:ascii="Times New Roman" w:eastAsia="Times New Roman" w:hAnsi="Times New Roman" w:cs="Times New Roman"/>
          <w:sz w:val="24"/>
          <w:szCs w:val="24"/>
          <w:lang w:eastAsia="en-ZW"/>
        </w:rPr>
        <w:t>of this Court</w:t>
      </w:r>
      <w:r w:rsidR="00324E80">
        <w:rPr>
          <w:rFonts w:ascii="Times New Roman" w:eastAsia="Times New Roman" w:hAnsi="Times New Roman" w:cs="Times New Roman"/>
          <w:sz w:val="24"/>
          <w:szCs w:val="24"/>
          <w:lang w:eastAsia="en-ZW"/>
        </w:rPr>
        <w:t xml:space="preserve">. </w:t>
      </w:r>
      <w:r w:rsidR="007F353B">
        <w:rPr>
          <w:rFonts w:ascii="Times New Roman" w:eastAsia="Times New Roman" w:hAnsi="Times New Roman" w:cs="Times New Roman"/>
          <w:sz w:val="24"/>
          <w:szCs w:val="24"/>
          <w:lang w:eastAsia="en-ZW"/>
        </w:rPr>
        <w:t>Consequently, the respondent’s preliminary objection founded on lack of jurisdiction is without merit and it is accordingly dismissed.</w:t>
      </w:r>
    </w:p>
    <w:p w14:paraId="733274BC" w14:textId="77777777" w:rsidR="00E46574" w:rsidRDefault="00E46574" w:rsidP="002B24C3">
      <w:pPr>
        <w:shd w:val="clear" w:color="auto" w:fill="FFFFFF"/>
        <w:spacing w:after="0" w:line="480" w:lineRule="auto"/>
        <w:jc w:val="both"/>
        <w:rPr>
          <w:rFonts w:ascii="Times New Roman" w:eastAsia="Times New Roman" w:hAnsi="Times New Roman" w:cs="Times New Roman"/>
          <w:sz w:val="24"/>
          <w:szCs w:val="24"/>
          <w:lang w:eastAsia="en-ZW"/>
        </w:rPr>
      </w:pPr>
    </w:p>
    <w:p w14:paraId="7931B7F0" w14:textId="5E5C8EEE" w:rsidR="0014727A" w:rsidRPr="00305FCA" w:rsidRDefault="008D6CB5" w:rsidP="002B24C3">
      <w:pPr>
        <w:shd w:val="clear" w:color="auto" w:fill="FFFFFF"/>
        <w:spacing w:after="0" w:line="480" w:lineRule="auto"/>
        <w:jc w:val="both"/>
        <w:rPr>
          <w:rFonts w:ascii="Times New Roman" w:eastAsia="Times New Roman" w:hAnsi="Times New Roman" w:cs="Times New Roman"/>
          <w:sz w:val="24"/>
          <w:szCs w:val="24"/>
          <w:lang w:eastAsia="en-ZW"/>
        </w:rPr>
      </w:pPr>
      <w:r w:rsidRPr="00305FCA">
        <w:rPr>
          <w:rFonts w:ascii="Times New Roman" w:eastAsia="Times New Roman" w:hAnsi="Times New Roman" w:cs="Times New Roman"/>
          <w:b/>
          <w:bCs/>
          <w:sz w:val="24"/>
          <w:szCs w:val="24"/>
          <w:lang w:eastAsia="en-ZW"/>
        </w:rPr>
        <w:t>Disguised Appeal</w:t>
      </w:r>
    </w:p>
    <w:p w14:paraId="6D5EBF99" w14:textId="1737F942" w:rsidR="00235FD1" w:rsidRDefault="008D6CB5" w:rsidP="00DE093C">
      <w:pPr>
        <w:shd w:val="clear" w:color="auto" w:fill="FFFFFF"/>
        <w:spacing w:after="0" w:line="480" w:lineRule="auto"/>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b/>
      </w:r>
      <w:r w:rsidR="00875748">
        <w:rPr>
          <w:rFonts w:ascii="Times New Roman" w:eastAsia="Times New Roman" w:hAnsi="Times New Roman" w:cs="Times New Roman"/>
          <w:sz w:val="24"/>
          <w:szCs w:val="24"/>
          <w:lang w:eastAsia="en-ZW"/>
        </w:rPr>
        <w:t>The respondent further contends that the applicant is simply challenging the correctness of the judgment rendered by the Supreme Court.</w:t>
      </w:r>
      <w:r w:rsidR="00DE093C">
        <w:rPr>
          <w:rFonts w:ascii="Times New Roman" w:eastAsia="Times New Roman" w:hAnsi="Times New Roman" w:cs="Times New Roman"/>
          <w:sz w:val="24"/>
          <w:szCs w:val="24"/>
          <w:lang w:eastAsia="en-ZW"/>
        </w:rPr>
        <w:t xml:space="preserve"> </w:t>
      </w:r>
      <w:r w:rsidR="00875748">
        <w:rPr>
          <w:rFonts w:ascii="Times New Roman" w:eastAsia="Times New Roman" w:hAnsi="Times New Roman" w:cs="Times New Roman"/>
          <w:sz w:val="24"/>
          <w:szCs w:val="24"/>
          <w:lang w:eastAsia="en-ZW"/>
        </w:rPr>
        <w:t xml:space="preserve">In reality, therefore, the matter is an appeal brought to this Court </w:t>
      </w:r>
      <w:r w:rsidR="00DE093C">
        <w:rPr>
          <w:rFonts w:ascii="Times New Roman" w:eastAsia="Times New Roman" w:hAnsi="Times New Roman" w:cs="Times New Roman"/>
          <w:sz w:val="24"/>
          <w:szCs w:val="24"/>
          <w:lang w:eastAsia="en-ZW"/>
        </w:rPr>
        <w:t>under the guise of an application.</w:t>
      </w:r>
    </w:p>
    <w:p w14:paraId="214B1267" w14:textId="2077D5D0" w:rsidR="00DE093C" w:rsidRDefault="00DE093C" w:rsidP="00DE093C">
      <w:pPr>
        <w:shd w:val="clear" w:color="auto" w:fill="FFFFFF"/>
        <w:spacing w:after="0" w:line="480" w:lineRule="auto"/>
        <w:jc w:val="both"/>
        <w:rPr>
          <w:rFonts w:ascii="Times New Roman" w:eastAsia="Times New Roman" w:hAnsi="Times New Roman" w:cs="Times New Roman"/>
          <w:sz w:val="24"/>
          <w:szCs w:val="24"/>
          <w:lang w:eastAsia="en-ZW"/>
        </w:rPr>
      </w:pPr>
    </w:p>
    <w:p w14:paraId="61217244" w14:textId="642D4736" w:rsidR="00DE093C" w:rsidRDefault="00DE093C" w:rsidP="00DE093C">
      <w:pPr>
        <w:shd w:val="clear" w:color="auto" w:fill="FFFFFF"/>
        <w:spacing w:after="0" w:line="480" w:lineRule="auto"/>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b/>
        <w:t xml:space="preserve">In its founding affidavit, the applicant complains of the correctness of the decision </w:t>
      </w:r>
      <w:r>
        <w:rPr>
          <w:rFonts w:ascii="Times New Roman" w:eastAsia="Times New Roman" w:hAnsi="Times New Roman" w:cs="Times New Roman"/>
          <w:i/>
          <w:iCs/>
          <w:sz w:val="24"/>
          <w:szCs w:val="24"/>
          <w:lang w:eastAsia="en-ZW"/>
        </w:rPr>
        <w:t>a quo</w:t>
      </w:r>
      <w:r>
        <w:rPr>
          <w:rFonts w:ascii="Times New Roman" w:eastAsia="Times New Roman" w:hAnsi="Times New Roman" w:cs="Times New Roman"/>
          <w:sz w:val="24"/>
          <w:szCs w:val="24"/>
          <w:lang w:eastAsia="en-ZW"/>
        </w:rPr>
        <w:t xml:space="preserve"> in dismissing the appeal on the basis of a preliminary point. Ordinarily, an attack premised on the fact that a matter was disposed on a preliminary point cannot </w:t>
      </w:r>
      <w:r>
        <w:rPr>
          <w:rFonts w:ascii="Times New Roman" w:eastAsia="Times New Roman" w:hAnsi="Times New Roman" w:cs="Times New Roman"/>
          <w:i/>
          <w:iCs/>
          <w:sz w:val="24"/>
          <w:szCs w:val="24"/>
          <w:lang w:eastAsia="en-ZW"/>
        </w:rPr>
        <w:t>per se</w:t>
      </w:r>
      <w:r>
        <w:rPr>
          <w:rFonts w:ascii="Times New Roman" w:eastAsia="Times New Roman" w:hAnsi="Times New Roman" w:cs="Times New Roman"/>
          <w:sz w:val="24"/>
          <w:szCs w:val="24"/>
          <w:lang w:eastAsia="en-ZW"/>
        </w:rPr>
        <w:t xml:space="preserve"> trigger an application for constitutional review. The appropriate remedy in any such case is to take the matter on appeal. This is because a preliminary issue raised in any proceedings constitutes a discrete element of a dispute that has the potential to decisively conclude the </w:t>
      </w:r>
      <w:r w:rsidR="00FD4851">
        <w:rPr>
          <w:rFonts w:ascii="Times New Roman" w:eastAsia="Times New Roman" w:hAnsi="Times New Roman" w:cs="Times New Roman"/>
          <w:sz w:val="24"/>
          <w:szCs w:val="24"/>
          <w:lang w:eastAsia="en-ZW"/>
        </w:rPr>
        <w:t>dispute</w:t>
      </w:r>
      <w:r>
        <w:rPr>
          <w:rFonts w:ascii="Times New Roman" w:eastAsia="Times New Roman" w:hAnsi="Times New Roman" w:cs="Times New Roman"/>
          <w:sz w:val="24"/>
          <w:szCs w:val="24"/>
          <w:lang w:eastAsia="en-ZW"/>
        </w:rPr>
        <w:t xml:space="preserve"> or a substantial part of the </w:t>
      </w:r>
      <w:r w:rsidR="00FD4851">
        <w:rPr>
          <w:rFonts w:ascii="Times New Roman" w:eastAsia="Times New Roman" w:hAnsi="Times New Roman" w:cs="Times New Roman"/>
          <w:sz w:val="24"/>
          <w:szCs w:val="24"/>
          <w:lang w:eastAsia="en-ZW"/>
        </w:rPr>
        <w:t>dispute.</w:t>
      </w:r>
      <w:r>
        <w:rPr>
          <w:rFonts w:ascii="Times New Roman" w:eastAsia="Times New Roman" w:hAnsi="Times New Roman" w:cs="Times New Roman"/>
          <w:sz w:val="24"/>
          <w:szCs w:val="24"/>
          <w:lang w:eastAsia="en-ZW"/>
        </w:rPr>
        <w:t xml:space="preserve"> The dismissal of a matter on the basis of a </w:t>
      </w:r>
      <w:proofErr w:type="spellStart"/>
      <w:r>
        <w:rPr>
          <w:rFonts w:ascii="Times New Roman" w:eastAsia="Times New Roman" w:hAnsi="Times New Roman" w:cs="Times New Roman"/>
          <w:sz w:val="24"/>
          <w:szCs w:val="24"/>
          <w:lang w:eastAsia="en-ZW"/>
        </w:rPr>
        <w:t>meritable</w:t>
      </w:r>
      <w:proofErr w:type="spellEnd"/>
      <w:r>
        <w:rPr>
          <w:rFonts w:ascii="Times New Roman" w:eastAsia="Times New Roman" w:hAnsi="Times New Roman" w:cs="Times New Roman"/>
          <w:sz w:val="24"/>
          <w:szCs w:val="24"/>
          <w:lang w:eastAsia="en-ZW"/>
        </w:rPr>
        <w:t xml:space="preserve"> preliminary point does not normally give rise to any constitutionally reviewable irregularity.</w:t>
      </w:r>
    </w:p>
    <w:p w14:paraId="1E5A64F1" w14:textId="77777777" w:rsidR="00FD4851" w:rsidRDefault="00FD4851" w:rsidP="00DE093C">
      <w:pPr>
        <w:shd w:val="clear" w:color="auto" w:fill="FFFFFF"/>
        <w:spacing w:after="0" w:line="480" w:lineRule="auto"/>
        <w:jc w:val="both"/>
        <w:rPr>
          <w:rFonts w:ascii="Times New Roman" w:eastAsia="Times New Roman" w:hAnsi="Times New Roman" w:cs="Times New Roman"/>
          <w:sz w:val="24"/>
          <w:szCs w:val="24"/>
          <w:lang w:eastAsia="en-ZW"/>
        </w:rPr>
      </w:pPr>
    </w:p>
    <w:p w14:paraId="69CCD5FE" w14:textId="3CB4D85C" w:rsidR="00FD4851" w:rsidRDefault="00FD4851" w:rsidP="00DE093C">
      <w:pPr>
        <w:shd w:val="clear" w:color="auto" w:fill="FFFFFF"/>
        <w:spacing w:after="0" w:line="480" w:lineRule="auto"/>
        <w:jc w:val="both"/>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b/>
      </w:r>
      <w:r w:rsidR="00D22BB7">
        <w:rPr>
          <w:rFonts w:ascii="Times New Roman" w:eastAsia="Times New Roman" w:hAnsi="Times New Roman" w:cs="Times New Roman"/>
          <w:sz w:val="24"/>
          <w:szCs w:val="24"/>
          <w:lang w:eastAsia="en-ZW"/>
        </w:rPr>
        <w:t xml:space="preserve">Nevertheless, as I have already stated, the applicant’s complaint </w:t>
      </w:r>
      <w:r w:rsidR="00D22BB7">
        <w:rPr>
          <w:rFonts w:ascii="Times New Roman" w:eastAsia="Times New Roman" w:hAnsi="Times New Roman" w:cs="Times New Roman"/>
          <w:i/>
          <w:iCs/>
          <w:sz w:val="24"/>
          <w:szCs w:val="24"/>
          <w:lang w:eastAsia="en-ZW"/>
        </w:rPr>
        <w:t xml:space="preserve">in </w:t>
      </w:r>
      <w:proofErr w:type="spellStart"/>
      <w:r w:rsidR="00D22BB7">
        <w:rPr>
          <w:rFonts w:ascii="Times New Roman" w:eastAsia="Times New Roman" w:hAnsi="Times New Roman" w:cs="Times New Roman"/>
          <w:i/>
          <w:iCs/>
          <w:sz w:val="24"/>
          <w:szCs w:val="24"/>
          <w:lang w:eastAsia="en-ZW"/>
        </w:rPr>
        <w:t>casu</w:t>
      </w:r>
      <w:proofErr w:type="spellEnd"/>
      <w:r w:rsidR="00D22BB7">
        <w:rPr>
          <w:rFonts w:ascii="Times New Roman" w:eastAsia="Times New Roman" w:hAnsi="Times New Roman" w:cs="Times New Roman"/>
          <w:sz w:val="24"/>
          <w:szCs w:val="24"/>
          <w:lang w:eastAsia="en-ZW"/>
        </w:rPr>
        <w:t xml:space="preserve"> is not simply that the court </w:t>
      </w:r>
      <w:r w:rsidR="00D22BB7">
        <w:rPr>
          <w:rFonts w:ascii="Times New Roman" w:eastAsia="Times New Roman" w:hAnsi="Times New Roman" w:cs="Times New Roman"/>
          <w:i/>
          <w:iCs/>
          <w:sz w:val="24"/>
          <w:szCs w:val="24"/>
          <w:lang w:eastAsia="en-ZW"/>
        </w:rPr>
        <w:t>a quo</w:t>
      </w:r>
      <w:r w:rsidR="00D22BB7">
        <w:rPr>
          <w:rFonts w:ascii="Times New Roman" w:eastAsia="Times New Roman" w:hAnsi="Times New Roman" w:cs="Times New Roman"/>
          <w:sz w:val="24"/>
          <w:szCs w:val="24"/>
          <w:lang w:eastAsia="en-ZW"/>
        </w:rPr>
        <w:t xml:space="preserve"> disposed of the appeal before it on the preliminary point of </w:t>
      </w:r>
      <w:proofErr w:type="spellStart"/>
      <w:r w:rsidR="00D22BB7">
        <w:rPr>
          <w:rFonts w:ascii="Times New Roman" w:eastAsia="Times New Roman" w:hAnsi="Times New Roman" w:cs="Times New Roman"/>
          <w:sz w:val="24"/>
          <w:szCs w:val="24"/>
          <w:lang w:eastAsia="en-ZW"/>
        </w:rPr>
        <w:t>peremption</w:t>
      </w:r>
      <w:proofErr w:type="spellEnd"/>
      <w:r w:rsidR="00D22BB7">
        <w:rPr>
          <w:rFonts w:ascii="Times New Roman" w:eastAsia="Times New Roman" w:hAnsi="Times New Roman" w:cs="Times New Roman"/>
          <w:sz w:val="24"/>
          <w:szCs w:val="24"/>
          <w:lang w:eastAsia="en-ZW"/>
        </w:rPr>
        <w:t xml:space="preserve">. Rather, its grievance lies with the manner in which the court proceeded to adjudicate that ground, quite apart from the correctness of its findings in that regard. It is this particular challenge that takes the present application beyond the bounds of an ordinary appeal and </w:t>
      </w:r>
      <w:r w:rsidR="00D22BB7">
        <w:rPr>
          <w:rFonts w:ascii="Times New Roman" w:eastAsia="Times New Roman" w:hAnsi="Times New Roman" w:cs="Times New Roman"/>
          <w:sz w:val="24"/>
          <w:szCs w:val="24"/>
          <w:lang w:eastAsia="en-ZW"/>
        </w:rPr>
        <w:lastRenderedPageBreak/>
        <w:t xml:space="preserve">renders the decision </w:t>
      </w:r>
      <w:r w:rsidR="00D22BB7">
        <w:rPr>
          <w:rFonts w:ascii="Times New Roman" w:eastAsia="Times New Roman" w:hAnsi="Times New Roman" w:cs="Times New Roman"/>
          <w:i/>
          <w:iCs/>
          <w:sz w:val="24"/>
          <w:szCs w:val="24"/>
          <w:lang w:eastAsia="en-ZW"/>
        </w:rPr>
        <w:t>a quo</w:t>
      </w:r>
      <w:r w:rsidR="00D22BB7">
        <w:rPr>
          <w:rFonts w:ascii="Times New Roman" w:eastAsia="Times New Roman" w:hAnsi="Times New Roman" w:cs="Times New Roman"/>
          <w:sz w:val="24"/>
          <w:szCs w:val="24"/>
          <w:lang w:eastAsia="en-ZW"/>
        </w:rPr>
        <w:t xml:space="preserve"> constitutionally reviewable. For this reason, I would dismiss the respondent’s contention that the instant application is nothing more than a disguised appeal.</w:t>
      </w:r>
    </w:p>
    <w:p w14:paraId="1B7C466D" w14:textId="77777777" w:rsidR="005302E0" w:rsidRDefault="005302E0" w:rsidP="00DE093C">
      <w:pPr>
        <w:shd w:val="clear" w:color="auto" w:fill="FFFFFF"/>
        <w:spacing w:after="0" w:line="480" w:lineRule="auto"/>
        <w:jc w:val="both"/>
        <w:rPr>
          <w:rFonts w:ascii="Times New Roman" w:eastAsia="Times New Roman" w:hAnsi="Times New Roman" w:cs="Times New Roman"/>
          <w:sz w:val="24"/>
          <w:szCs w:val="24"/>
          <w:lang w:eastAsia="en-ZW"/>
        </w:rPr>
      </w:pPr>
    </w:p>
    <w:p w14:paraId="5E8128C6" w14:textId="1FB9C439" w:rsidR="00E46574" w:rsidRPr="00305FCA" w:rsidRDefault="00AB02F3" w:rsidP="003E6780">
      <w:pPr>
        <w:spacing w:after="0" w:line="480" w:lineRule="auto"/>
        <w:jc w:val="both"/>
        <w:rPr>
          <w:rFonts w:ascii="Times New Roman" w:hAnsi="Times New Roman" w:cs="Times New Roman"/>
          <w:sz w:val="24"/>
          <w:szCs w:val="24"/>
        </w:rPr>
      </w:pPr>
      <w:r w:rsidRPr="00305FCA">
        <w:rPr>
          <w:rFonts w:ascii="Times New Roman" w:hAnsi="Times New Roman" w:cs="Times New Roman"/>
          <w:b/>
          <w:bCs/>
          <w:sz w:val="24"/>
          <w:szCs w:val="24"/>
        </w:rPr>
        <w:t>The Interests of Justice</w:t>
      </w:r>
    </w:p>
    <w:p w14:paraId="3A0F40E7" w14:textId="60DE1CD0" w:rsidR="00CE63D2" w:rsidRDefault="00305FCA"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applicant’s case, in essence, is that its fundamental rights under s 56(1) and s 69(2) and (3) of the Constitution were violated by the judgment of the Supreme Court.</w:t>
      </w:r>
      <w:r w:rsidR="009D0719">
        <w:rPr>
          <w:rFonts w:ascii="Times New Roman" w:hAnsi="Times New Roman" w:cs="Times New Roman"/>
          <w:sz w:val="24"/>
          <w:szCs w:val="24"/>
        </w:rPr>
        <w:t xml:space="preserve"> </w:t>
      </w:r>
      <w:r w:rsidR="00AC26DF">
        <w:rPr>
          <w:rFonts w:ascii="Times New Roman" w:hAnsi="Times New Roman" w:cs="Times New Roman"/>
          <w:sz w:val="24"/>
          <w:szCs w:val="24"/>
        </w:rPr>
        <w:t>It is averred that the</w:t>
      </w:r>
      <w:r w:rsidR="009D0719">
        <w:rPr>
          <w:rFonts w:ascii="Times New Roman" w:hAnsi="Times New Roman" w:cs="Times New Roman"/>
          <w:sz w:val="24"/>
          <w:szCs w:val="24"/>
        </w:rPr>
        <w:t xml:space="preserve"> court so gravely misapplied the law as to render a gross injustice. Furthermore, its decision sets a wrong precedent binding on inferior courts. In the event, the applicant has no recourse other than to approach this Court.</w:t>
      </w:r>
    </w:p>
    <w:p w14:paraId="20408F2E" w14:textId="77777777" w:rsidR="009D0719" w:rsidRDefault="009D0719" w:rsidP="003E6780">
      <w:pPr>
        <w:spacing w:after="0" w:line="480" w:lineRule="auto"/>
        <w:jc w:val="both"/>
        <w:rPr>
          <w:rFonts w:ascii="Times New Roman" w:hAnsi="Times New Roman" w:cs="Times New Roman"/>
          <w:sz w:val="24"/>
          <w:szCs w:val="24"/>
        </w:rPr>
      </w:pPr>
    </w:p>
    <w:p w14:paraId="687F0DD7" w14:textId="300B2885" w:rsidR="00AB02F3" w:rsidRDefault="009D0719"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It is now settled and trite that direct access to the Court is an extraordinary procedure granted only in deserving cases that meet the requirements prescribed by the relevant Rules of the Court. Rule 21(2) stipulates </w:t>
      </w:r>
      <w:r w:rsidR="009D65A7">
        <w:rPr>
          <w:rFonts w:ascii="Times New Roman" w:hAnsi="Times New Roman" w:cs="Times New Roman"/>
          <w:sz w:val="24"/>
          <w:szCs w:val="24"/>
        </w:rPr>
        <w:t>what must be contained in an application of this nature, in particular, the grounds on which it is contended that it is in the int</w:t>
      </w:r>
      <w:r w:rsidR="0076443D">
        <w:rPr>
          <w:rFonts w:ascii="Times New Roman" w:hAnsi="Times New Roman" w:cs="Times New Roman"/>
          <w:sz w:val="24"/>
          <w:szCs w:val="24"/>
        </w:rPr>
        <w:t>e</w:t>
      </w:r>
      <w:r w:rsidR="009D65A7">
        <w:rPr>
          <w:rFonts w:ascii="Times New Roman" w:hAnsi="Times New Roman" w:cs="Times New Roman"/>
          <w:sz w:val="24"/>
          <w:szCs w:val="24"/>
        </w:rPr>
        <w:t>rests of justice that an order for direct access be granted.</w:t>
      </w:r>
      <w:r w:rsidR="0076443D">
        <w:rPr>
          <w:rFonts w:ascii="Times New Roman" w:hAnsi="Times New Roman" w:cs="Times New Roman"/>
          <w:sz w:val="24"/>
          <w:szCs w:val="24"/>
        </w:rPr>
        <w:t xml:space="preserve"> Rule 21(8) sets out the criteria for assessing the interests of justice. These include, in addition to any other relevant consideration, the prospects of success if direct access is granted, the availability of any other remedy and the existence or otherwise of any disputes of fact in the matter.</w:t>
      </w:r>
    </w:p>
    <w:p w14:paraId="1D8D3BD1" w14:textId="77777777" w:rsidR="0076443D" w:rsidRDefault="0076443D" w:rsidP="003E6780">
      <w:pPr>
        <w:spacing w:after="0" w:line="480" w:lineRule="auto"/>
        <w:jc w:val="both"/>
        <w:rPr>
          <w:rFonts w:ascii="Times New Roman" w:hAnsi="Times New Roman" w:cs="Times New Roman"/>
          <w:sz w:val="24"/>
          <w:szCs w:val="24"/>
        </w:rPr>
      </w:pPr>
    </w:p>
    <w:p w14:paraId="01B494CD" w14:textId="610A084E" w:rsidR="0076443D" w:rsidRDefault="0076443D"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It must be emphasised that the decision of the Supreme Court in a non-constitutional matter is final and that its correctness cannot be challenged simply on the basis that it might be wrong.</w:t>
      </w:r>
      <w:r w:rsidR="002D51D6">
        <w:rPr>
          <w:rFonts w:ascii="Times New Roman" w:hAnsi="Times New Roman" w:cs="Times New Roman"/>
          <w:sz w:val="24"/>
          <w:szCs w:val="24"/>
        </w:rPr>
        <w:t xml:space="preserve"> See </w:t>
      </w:r>
      <w:r w:rsidR="002D51D6">
        <w:rPr>
          <w:rFonts w:ascii="Times New Roman" w:hAnsi="Times New Roman" w:cs="Times New Roman"/>
          <w:i/>
          <w:iCs/>
          <w:sz w:val="24"/>
          <w:szCs w:val="24"/>
        </w:rPr>
        <w:t>Williams &amp; Anor</w:t>
      </w:r>
      <w:r w:rsidR="002D51D6">
        <w:rPr>
          <w:rFonts w:ascii="Times New Roman" w:hAnsi="Times New Roman" w:cs="Times New Roman"/>
          <w:sz w:val="24"/>
          <w:szCs w:val="24"/>
        </w:rPr>
        <w:t xml:space="preserve"> v </w:t>
      </w:r>
      <w:proofErr w:type="spellStart"/>
      <w:r w:rsidR="002D51D6" w:rsidRPr="002D51D6">
        <w:rPr>
          <w:rFonts w:ascii="Times New Roman" w:hAnsi="Times New Roman" w:cs="Times New Roman"/>
          <w:i/>
          <w:iCs/>
          <w:sz w:val="24"/>
          <w:szCs w:val="24"/>
        </w:rPr>
        <w:t>Msipa</w:t>
      </w:r>
      <w:proofErr w:type="spellEnd"/>
      <w:r w:rsidR="002D51D6" w:rsidRPr="002D51D6">
        <w:rPr>
          <w:rFonts w:ascii="Times New Roman" w:hAnsi="Times New Roman" w:cs="Times New Roman"/>
          <w:i/>
          <w:iCs/>
          <w:sz w:val="24"/>
          <w:szCs w:val="24"/>
        </w:rPr>
        <w:t xml:space="preserve"> N.O. &amp; </w:t>
      </w:r>
      <w:proofErr w:type="spellStart"/>
      <w:r w:rsidR="002D51D6" w:rsidRPr="002D51D6">
        <w:rPr>
          <w:rFonts w:ascii="Times New Roman" w:hAnsi="Times New Roman" w:cs="Times New Roman"/>
          <w:i/>
          <w:iCs/>
          <w:sz w:val="24"/>
          <w:szCs w:val="24"/>
        </w:rPr>
        <w:t>Ors</w:t>
      </w:r>
      <w:proofErr w:type="spellEnd"/>
      <w:r w:rsidR="002D51D6" w:rsidRPr="002D51D6">
        <w:rPr>
          <w:rFonts w:ascii="Times New Roman" w:hAnsi="Times New Roman" w:cs="Times New Roman"/>
          <w:i/>
          <w:iCs/>
          <w:sz w:val="24"/>
          <w:szCs w:val="24"/>
        </w:rPr>
        <w:t xml:space="preserve"> </w:t>
      </w:r>
      <w:r w:rsidR="002D51D6" w:rsidRPr="002D51D6">
        <w:rPr>
          <w:rFonts w:ascii="Times New Roman" w:hAnsi="Times New Roman" w:cs="Times New Roman"/>
          <w:sz w:val="24"/>
          <w:szCs w:val="24"/>
        </w:rPr>
        <w:t>2010 (2) ZLR 552 (S)</w:t>
      </w:r>
      <w:r w:rsidR="002D51D6">
        <w:rPr>
          <w:rFonts w:ascii="Times New Roman" w:hAnsi="Times New Roman" w:cs="Times New Roman"/>
          <w:sz w:val="24"/>
          <w:szCs w:val="24"/>
        </w:rPr>
        <w:t xml:space="preserve">, at </w:t>
      </w:r>
      <w:r w:rsidR="00FB1C64">
        <w:rPr>
          <w:rFonts w:ascii="Times New Roman" w:hAnsi="Times New Roman" w:cs="Times New Roman"/>
          <w:sz w:val="24"/>
          <w:szCs w:val="24"/>
        </w:rPr>
        <w:t xml:space="preserve">567B-C; the </w:t>
      </w:r>
      <w:r w:rsidR="00FB1C64">
        <w:rPr>
          <w:rFonts w:ascii="Times New Roman" w:hAnsi="Times New Roman" w:cs="Times New Roman"/>
          <w:i/>
          <w:iCs/>
          <w:sz w:val="24"/>
          <w:szCs w:val="24"/>
        </w:rPr>
        <w:t>Lytton Investments</w:t>
      </w:r>
      <w:r w:rsidR="00FB1C64">
        <w:rPr>
          <w:rFonts w:ascii="Times New Roman" w:hAnsi="Times New Roman" w:cs="Times New Roman"/>
          <w:sz w:val="24"/>
          <w:szCs w:val="24"/>
        </w:rPr>
        <w:t xml:space="preserve"> case, </w:t>
      </w:r>
      <w:r w:rsidR="00FB1C64">
        <w:rPr>
          <w:rFonts w:ascii="Times New Roman" w:hAnsi="Times New Roman" w:cs="Times New Roman"/>
          <w:i/>
          <w:iCs/>
          <w:sz w:val="24"/>
          <w:szCs w:val="24"/>
        </w:rPr>
        <w:t>supra</w:t>
      </w:r>
      <w:r w:rsidR="00FB1C64">
        <w:rPr>
          <w:rFonts w:ascii="Times New Roman" w:hAnsi="Times New Roman" w:cs="Times New Roman"/>
          <w:sz w:val="24"/>
          <w:szCs w:val="24"/>
        </w:rPr>
        <w:t xml:space="preserve">, at p 23; </w:t>
      </w:r>
      <w:r w:rsidR="00FB1C64">
        <w:rPr>
          <w:rFonts w:ascii="Times New Roman" w:hAnsi="Times New Roman" w:cs="Times New Roman"/>
          <w:i/>
          <w:iCs/>
          <w:sz w:val="24"/>
          <w:szCs w:val="24"/>
        </w:rPr>
        <w:t>Machine</w:t>
      </w:r>
      <w:r w:rsidR="00FB1C64">
        <w:rPr>
          <w:rFonts w:ascii="Times New Roman" w:hAnsi="Times New Roman" w:cs="Times New Roman"/>
          <w:sz w:val="24"/>
          <w:szCs w:val="24"/>
        </w:rPr>
        <w:t xml:space="preserve"> v </w:t>
      </w:r>
      <w:r w:rsidR="00FB1C64">
        <w:rPr>
          <w:rFonts w:ascii="Times New Roman" w:hAnsi="Times New Roman" w:cs="Times New Roman"/>
          <w:i/>
          <w:iCs/>
          <w:sz w:val="24"/>
          <w:szCs w:val="24"/>
        </w:rPr>
        <w:t xml:space="preserve">Sheriff for Zimbabwe &amp; </w:t>
      </w:r>
      <w:proofErr w:type="spellStart"/>
      <w:r w:rsidR="00FB1C64">
        <w:rPr>
          <w:rFonts w:ascii="Times New Roman" w:hAnsi="Times New Roman" w:cs="Times New Roman"/>
          <w:i/>
          <w:iCs/>
          <w:sz w:val="24"/>
          <w:szCs w:val="24"/>
        </w:rPr>
        <w:t>Ors</w:t>
      </w:r>
      <w:proofErr w:type="spellEnd"/>
      <w:r w:rsidR="00FB1C64">
        <w:rPr>
          <w:rFonts w:ascii="Times New Roman" w:hAnsi="Times New Roman" w:cs="Times New Roman"/>
          <w:sz w:val="24"/>
          <w:szCs w:val="24"/>
        </w:rPr>
        <w:t xml:space="preserve"> CCZ 8-23, at p 9. The tests to be applied in scrutinising the final determination of the Supreme Court in a non-</w:t>
      </w:r>
      <w:r w:rsidR="00FB1C64">
        <w:rPr>
          <w:rFonts w:ascii="Times New Roman" w:hAnsi="Times New Roman" w:cs="Times New Roman"/>
          <w:sz w:val="24"/>
          <w:szCs w:val="24"/>
        </w:rPr>
        <w:lastRenderedPageBreak/>
        <w:t xml:space="preserve">constitutional matter were lucidly articulated in the </w:t>
      </w:r>
      <w:r w:rsidR="00FB1C64">
        <w:rPr>
          <w:rFonts w:ascii="Times New Roman" w:hAnsi="Times New Roman" w:cs="Times New Roman"/>
          <w:i/>
          <w:iCs/>
          <w:sz w:val="24"/>
          <w:szCs w:val="24"/>
        </w:rPr>
        <w:t>Lytton Investments</w:t>
      </w:r>
      <w:r w:rsidR="00FB1C64">
        <w:rPr>
          <w:rFonts w:ascii="Times New Roman" w:hAnsi="Times New Roman" w:cs="Times New Roman"/>
          <w:sz w:val="24"/>
          <w:szCs w:val="24"/>
        </w:rPr>
        <w:t xml:space="preserve"> case, </w:t>
      </w:r>
      <w:r w:rsidR="00FB1C64">
        <w:rPr>
          <w:rFonts w:ascii="Times New Roman" w:hAnsi="Times New Roman" w:cs="Times New Roman"/>
          <w:i/>
          <w:iCs/>
          <w:sz w:val="24"/>
          <w:szCs w:val="24"/>
        </w:rPr>
        <w:t>supra</w:t>
      </w:r>
      <w:r w:rsidR="00FB1C64">
        <w:rPr>
          <w:rFonts w:ascii="Times New Roman" w:hAnsi="Times New Roman" w:cs="Times New Roman"/>
          <w:sz w:val="24"/>
          <w:szCs w:val="24"/>
        </w:rPr>
        <w:t>, at pp 19-20, as follows:</w:t>
      </w:r>
    </w:p>
    <w:p w14:paraId="2BC8916A" w14:textId="081F9E86" w:rsidR="00FB1C64" w:rsidRDefault="00860BF6" w:rsidP="00902B39">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facts must show that there is a real likelihood of the Court finding </w:t>
      </w:r>
      <w:r w:rsidR="00C51762">
        <w:rPr>
          <w:rFonts w:ascii="Times New Roman" w:hAnsi="Times New Roman" w:cs="Times New Roman"/>
          <w:sz w:val="24"/>
          <w:szCs w:val="24"/>
        </w:rPr>
        <w:t xml:space="preserve">that </w:t>
      </w:r>
      <w:r>
        <w:rPr>
          <w:rFonts w:ascii="Times New Roman" w:hAnsi="Times New Roman" w:cs="Times New Roman"/>
          <w:sz w:val="24"/>
          <w:szCs w:val="24"/>
        </w:rPr>
        <w:t xml:space="preserve">the Supreme Court infringed the applicant’s right to judicial protection. </w:t>
      </w:r>
      <w:r w:rsidR="00902B39">
        <w:rPr>
          <w:rFonts w:ascii="Times New Roman" w:hAnsi="Times New Roman" w:cs="Times New Roman"/>
          <w:sz w:val="24"/>
          <w:szCs w:val="24"/>
        </w:rPr>
        <w:t>The Supreme Court must have failed to act in accordance with the requirements of the law governing the proceedings or prescribing the rights and obligations subject to determination. The failure to act lawfully would have to be shown to have disabled the court from making a decision on the non-constitutional issue.</w:t>
      </w:r>
    </w:p>
    <w:p w14:paraId="4C568F80" w14:textId="77777777" w:rsidR="00902B39" w:rsidRDefault="00902B39" w:rsidP="00902B39">
      <w:pPr>
        <w:spacing w:after="0" w:line="240" w:lineRule="auto"/>
        <w:ind w:left="720"/>
        <w:jc w:val="both"/>
        <w:rPr>
          <w:rFonts w:ascii="Times New Roman" w:hAnsi="Times New Roman" w:cs="Times New Roman"/>
          <w:sz w:val="24"/>
          <w:szCs w:val="24"/>
        </w:rPr>
      </w:pPr>
    </w:p>
    <w:p w14:paraId="3EF78FF8" w14:textId="7DCD1B2C" w:rsidR="00902B39" w:rsidRPr="00FB1C64" w:rsidRDefault="00902B39" w:rsidP="00902B39">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theory of constitutional review of a decision of the Supreme Court in a case involving a non-constitutional matter is based on the principle of loss of rights in such proceedings because of the court’s failure to act in terms of the law, thereby producing an irrational decision. There must, therefore, </w:t>
      </w:r>
      <w:r w:rsidR="00CB260A">
        <w:rPr>
          <w:rFonts w:ascii="Times New Roman" w:hAnsi="Times New Roman" w:cs="Times New Roman"/>
          <w:sz w:val="24"/>
          <w:szCs w:val="24"/>
        </w:rPr>
        <w:t>be proof of the failure to comply with the law. The failure must be shown to have produced an arbitrary decision.”</w:t>
      </w:r>
    </w:p>
    <w:p w14:paraId="6F70F4A6" w14:textId="77777777" w:rsidR="00AB02F3" w:rsidRDefault="00AB02F3" w:rsidP="00CB260A">
      <w:pPr>
        <w:spacing w:after="0" w:line="480" w:lineRule="auto"/>
        <w:jc w:val="both"/>
        <w:rPr>
          <w:rFonts w:ascii="Times New Roman" w:hAnsi="Times New Roman" w:cs="Times New Roman"/>
          <w:sz w:val="24"/>
          <w:szCs w:val="24"/>
        </w:rPr>
      </w:pPr>
    </w:p>
    <w:p w14:paraId="5153E538" w14:textId="7C0B253F" w:rsidR="00CB260A" w:rsidRDefault="00CB260A" w:rsidP="00CB26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shall revert to the </w:t>
      </w:r>
      <w:proofErr w:type="spellStart"/>
      <w:r>
        <w:rPr>
          <w:rFonts w:ascii="Times New Roman" w:hAnsi="Times New Roman" w:cs="Times New Roman"/>
          <w:sz w:val="24"/>
          <w:szCs w:val="24"/>
        </w:rPr>
        <w:t>aforestated</w:t>
      </w:r>
      <w:proofErr w:type="spellEnd"/>
      <w:r>
        <w:rPr>
          <w:rFonts w:ascii="Times New Roman" w:hAnsi="Times New Roman" w:cs="Times New Roman"/>
          <w:sz w:val="24"/>
          <w:szCs w:val="24"/>
        </w:rPr>
        <w:t xml:space="preserve"> tests to be applied, when assessing the impugned decision of the Supreme Court </w:t>
      </w:r>
      <w:r>
        <w:rPr>
          <w:rFonts w:ascii="Times New Roman" w:hAnsi="Times New Roman" w:cs="Times New Roman"/>
          <w:i/>
          <w:iCs/>
          <w:sz w:val="24"/>
          <w:szCs w:val="24"/>
        </w:rPr>
        <w:t xml:space="preserve">in </w:t>
      </w:r>
      <w:proofErr w:type="spellStart"/>
      <w:r>
        <w:rPr>
          <w:rFonts w:ascii="Times New Roman" w:hAnsi="Times New Roman" w:cs="Times New Roman"/>
          <w:i/>
          <w:iCs/>
          <w:sz w:val="24"/>
          <w:szCs w:val="24"/>
        </w:rPr>
        <w:t>casu</w:t>
      </w:r>
      <w:proofErr w:type="spellEnd"/>
      <w:r>
        <w:rPr>
          <w:rFonts w:ascii="Times New Roman" w:hAnsi="Times New Roman" w:cs="Times New Roman"/>
          <w:sz w:val="24"/>
          <w:szCs w:val="24"/>
        </w:rPr>
        <w:t>, at a later stage in this judgment.</w:t>
      </w:r>
    </w:p>
    <w:p w14:paraId="7F1A349A" w14:textId="77777777" w:rsidR="00CB260A" w:rsidRDefault="00CB260A" w:rsidP="00CB260A">
      <w:pPr>
        <w:spacing w:after="0" w:line="480" w:lineRule="auto"/>
        <w:jc w:val="both"/>
        <w:rPr>
          <w:rFonts w:ascii="Times New Roman" w:hAnsi="Times New Roman" w:cs="Times New Roman"/>
          <w:sz w:val="24"/>
          <w:szCs w:val="24"/>
        </w:rPr>
      </w:pPr>
    </w:p>
    <w:p w14:paraId="415084A9" w14:textId="27CD9D05" w:rsidR="00CB260A" w:rsidRDefault="00CB260A" w:rsidP="00CB260A">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The Prospects of Success</w:t>
      </w:r>
    </w:p>
    <w:p w14:paraId="22656CE1" w14:textId="1BCF8A02" w:rsidR="00CB260A" w:rsidRDefault="00CB260A" w:rsidP="00CB260A">
      <w:pPr>
        <w:spacing w:after="0" w:line="480" w:lineRule="auto"/>
        <w:jc w:val="both"/>
        <w:rPr>
          <w:rFonts w:ascii="Times New Roman" w:hAnsi="Times New Roman" w:cs="Times New Roman"/>
        </w:rPr>
      </w:pPr>
      <w:r>
        <w:rPr>
          <w:rFonts w:ascii="Times New Roman" w:hAnsi="Times New Roman" w:cs="Times New Roman"/>
          <w:sz w:val="24"/>
          <w:szCs w:val="24"/>
        </w:rPr>
        <w:tab/>
        <w:t>The test for reasonable prospects of success postulates an objective and dispassionate decision, based on the facts and the applicable law, as to whether or not the applicant has an arguable case</w:t>
      </w:r>
      <w:r w:rsidR="00BD4191">
        <w:rPr>
          <w:rFonts w:ascii="Times New Roman" w:hAnsi="Times New Roman" w:cs="Times New Roman"/>
          <w:sz w:val="24"/>
          <w:szCs w:val="24"/>
        </w:rPr>
        <w:t xml:space="preserve"> in the intended application should direct access be granted.</w:t>
      </w:r>
      <w:r>
        <w:rPr>
          <w:rFonts w:ascii="Times New Roman" w:hAnsi="Times New Roman" w:cs="Times New Roman"/>
          <w:sz w:val="24"/>
          <w:szCs w:val="24"/>
        </w:rPr>
        <w:t xml:space="preserve"> The prospects of success must not be remote but must have a realistic chance of succeeding. In this respect, a mere possibility of success will not suffice. There must be a sound rational basis for the conclusion that there are prospects of success in </w:t>
      </w:r>
      <w:r w:rsidR="00BD4191">
        <w:rPr>
          <w:rFonts w:ascii="Times New Roman" w:hAnsi="Times New Roman" w:cs="Times New Roman"/>
          <w:sz w:val="24"/>
          <w:szCs w:val="24"/>
        </w:rPr>
        <w:t xml:space="preserve">the main matter. In short, this Court must be satisfied that the applicant has an arguable </w:t>
      </w:r>
      <w:r w:rsidR="00BD4191">
        <w:rPr>
          <w:rFonts w:ascii="Times New Roman" w:hAnsi="Times New Roman" w:cs="Times New Roman"/>
          <w:i/>
          <w:iCs/>
          <w:sz w:val="24"/>
          <w:szCs w:val="24"/>
        </w:rPr>
        <w:t>prima facie</w:t>
      </w:r>
      <w:r w:rsidR="00BD4191">
        <w:rPr>
          <w:rFonts w:ascii="Times New Roman" w:hAnsi="Times New Roman" w:cs="Times New Roman"/>
          <w:sz w:val="24"/>
          <w:szCs w:val="24"/>
        </w:rPr>
        <w:t xml:space="preserve"> case and not a mere possibility of success. See </w:t>
      </w:r>
      <w:proofErr w:type="spellStart"/>
      <w:r w:rsidR="00BD4191">
        <w:rPr>
          <w:rFonts w:ascii="Times New Roman" w:hAnsi="Times New Roman" w:cs="Times New Roman"/>
          <w:i/>
          <w:iCs/>
          <w:sz w:val="24"/>
          <w:szCs w:val="24"/>
        </w:rPr>
        <w:t>Essop</w:t>
      </w:r>
      <w:proofErr w:type="spellEnd"/>
      <w:r w:rsidR="00BD4191">
        <w:rPr>
          <w:rFonts w:ascii="Times New Roman" w:hAnsi="Times New Roman" w:cs="Times New Roman"/>
          <w:sz w:val="24"/>
          <w:szCs w:val="24"/>
        </w:rPr>
        <w:t xml:space="preserve"> v </w:t>
      </w:r>
      <w:r w:rsidR="00BD4191">
        <w:rPr>
          <w:rFonts w:ascii="Times New Roman" w:hAnsi="Times New Roman" w:cs="Times New Roman"/>
          <w:i/>
          <w:iCs/>
          <w:sz w:val="24"/>
          <w:szCs w:val="24"/>
        </w:rPr>
        <w:t>S</w:t>
      </w:r>
      <w:r w:rsidR="00BD4191">
        <w:rPr>
          <w:rFonts w:ascii="Times New Roman" w:hAnsi="Times New Roman" w:cs="Times New Roman"/>
          <w:sz w:val="24"/>
          <w:szCs w:val="24"/>
        </w:rPr>
        <w:t xml:space="preserve"> 2016 </w:t>
      </w:r>
      <w:r w:rsidR="00BD4191">
        <w:rPr>
          <w:rFonts w:ascii="Times New Roman" w:hAnsi="Times New Roman" w:cs="Times New Roman"/>
        </w:rPr>
        <w:t xml:space="preserve">[ZASCA] 114; </w:t>
      </w:r>
      <w:r w:rsidR="00BD4191">
        <w:rPr>
          <w:rFonts w:ascii="Times New Roman" w:hAnsi="Times New Roman" w:cs="Times New Roman"/>
          <w:i/>
          <w:iCs/>
        </w:rPr>
        <w:t>S</w:t>
      </w:r>
      <w:r w:rsidR="00BD4191">
        <w:rPr>
          <w:rFonts w:ascii="Times New Roman" w:hAnsi="Times New Roman" w:cs="Times New Roman"/>
        </w:rPr>
        <w:t xml:space="preserve"> v </w:t>
      </w:r>
      <w:proofErr w:type="spellStart"/>
      <w:r w:rsidR="00BD4191">
        <w:rPr>
          <w:rFonts w:ascii="Times New Roman" w:hAnsi="Times New Roman" w:cs="Times New Roman"/>
          <w:i/>
          <w:iCs/>
        </w:rPr>
        <w:t>Dinha</w:t>
      </w:r>
      <w:proofErr w:type="spellEnd"/>
      <w:r w:rsidR="00BD4191">
        <w:rPr>
          <w:rFonts w:ascii="Times New Roman" w:hAnsi="Times New Roman" w:cs="Times New Roman"/>
        </w:rPr>
        <w:t xml:space="preserve"> CCZ 11-20, at p 6.</w:t>
      </w:r>
    </w:p>
    <w:p w14:paraId="65EFE507" w14:textId="77777777" w:rsidR="00BD4191" w:rsidRPr="0099708E" w:rsidRDefault="00BD4191" w:rsidP="00CB260A">
      <w:pPr>
        <w:spacing w:after="0" w:line="480" w:lineRule="auto"/>
        <w:jc w:val="both"/>
        <w:rPr>
          <w:rFonts w:ascii="Times New Roman" w:hAnsi="Times New Roman" w:cs="Times New Roman"/>
          <w:sz w:val="24"/>
          <w:szCs w:val="24"/>
        </w:rPr>
      </w:pPr>
    </w:p>
    <w:p w14:paraId="04948447" w14:textId="149E44CC" w:rsidR="00BD4191" w:rsidRPr="00CF37A3" w:rsidRDefault="00BD4191" w:rsidP="00CB260A">
      <w:pPr>
        <w:spacing w:after="0" w:line="480" w:lineRule="auto"/>
        <w:jc w:val="both"/>
        <w:rPr>
          <w:rFonts w:ascii="Times New Roman" w:hAnsi="Times New Roman" w:cs="Times New Roman"/>
          <w:sz w:val="24"/>
          <w:szCs w:val="24"/>
        </w:rPr>
      </w:pPr>
      <w:r w:rsidRPr="0099708E">
        <w:rPr>
          <w:rFonts w:ascii="Times New Roman" w:hAnsi="Times New Roman" w:cs="Times New Roman"/>
          <w:sz w:val="24"/>
          <w:szCs w:val="24"/>
        </w:rPr>
        <w:tab/>
        <w:t xml:space="preserve">Subsequent decisions of this Court in cases involving the grant of leave to appeal </w:t>
      </w:r>
      <w:r w:rsidR="0099708E" w:rsidRPr="0099708E">
        <w:rPr>
          <w:rFonts w:ascii="Times New Roman" w:hAnsi="Times New Roman" w:cs="Times New Roman"/>
          <w:sz w:val="24"/>
          <w:szCs w:val="24"/>
        </w:rPr>
        <w:t xml:space="preserve">propound the </w:t>
      </w:r>
      <w:r w:rsidR="0099708E">
        <w:rPr>
          <w:rFonts w:ascii="Times New Roman" w:hAnsi="Times New Roman" w:cs="Times New Roman"/>
          <w:sz w:val="24"/>
          <w:szCs w:val="24"/>
        </w:rPr>
        <w:t>application of a more rigorous test in evaluating the prospects of success on appeal.</w:t>
      </w:r>
      <w:r w:rsidR="00CA32B1">
        <w:rPr>
          <w:rFonts w:ascii="Times New Roman" w:hAnsi="Times New Roman" w:cs="Times New Roman"/>
          <w:sz w:val="24"/>
          <w:szCs w:val="24"/>
        </w:rPr>
        <w:t xml:space="preserve"> In any such case, the applicant must demonstrate reasonable prospects that this Court </w:t>
      </w:r>
      <w:r w:rsidR="00CA32B1">
        <w:rPr>
          <w:rFonts w:ascii="Times New Roman" w:hAnsi="Times New Roman" w:cs="Times New Roman"/>
          <w:sz w:val="24"/>
          <w:szCs w:val="24"/>
        </w:rPr>
        <w:lastRenderedPageBreak/>
        <w:t xml:space="preserve">is likely to reverse the findings of the lower court or materially alter the judgment </w:t>
      </w:r>
      <w:r w:rsidR="00CA32B1">
        <w:rPr>
          <w:rFonts w:ascii="Times New Roman" w:hAnsi="Times New Roman" w:cs="Times New Roman"/>
          <w:i/>
          <w:iCs/>
          <w:sz w:val="24"/>
          <w:szCs w:val="24"/>
        </w:rPr>
        <w:t>a quo</w:t>
      </w:r>
      <w:r w:rsidR="00CA32B1">
        <w:rPr>
          <w:rFonts w:ascii="Times New Roman" w:hAnsi="Times New Roman" w:cs="Times New Roman"/>
          <w:sz w:val="24"/>
          <w:szCs w:val="24"/>
        </w:rPr>
        <w:t xml:space="preserve"> if leave to appeal is granted. See </w:t>
      </w:r>
      <w:r w:rsidR="00CA32B1">
        <w:rPr>
          <w:rFonts w:ascii="Times New Roman" w:hAnsi="Times New Roman" w:cs="Times New Roman"/>
          <w:i/>
          <w:iCs/>
          <w:sz w:val="24"/>
          <w:szCs w:val="24"/>
        </w:rPr>
        <w:t>Cold Chain (Pvt) Ltd t/a Sea Harvest</w:t>
      </w:r>
      <w:r w:rsidR="00CA32B1">
        <w:rPr>
          <w:rFonts w:ascii="Times New Roman" w:hAnsi="Times New Roman" w:cs="Times New Roman"/>
          <w:sz w:val="24"/>
          <w:szCs w:val="24"/>
        </w:rPr>
        <w:t xml:space="preserve"> v </w:t>
      </w:r>
      <w:proofErr w:type="spellStart"/>
      <w:r w:rsidR="00CA32B1">
        <w:rPr>
          <w:rFonts w:ascii="Times New Roman" w:hAnsi="Times New Roman" w:cs="Times New Roman"/>
          <w:i/>
          <w:iCs/>
          <w:sz w:val="24"/>
          <w:szCs w:val="24"/>
        </w:rPr>
        <w:t>Makoni</w:t>
      </w:r>
      <w:proofErr w:type="spellEnd"/>
      <w:r w:rsidR="00CA32B1">
        <w:rPr>
          <w:rFonts w:ascii="Times New Roman" w:hAnsi="Times New Roman" w:cs="Times New Roman"/>
          <w:sz w:val="24"/>
          <w:szCs w:val="24"/>
        </w:rPr>
        <w:t xml:space="preserve"> 2017 (1) ZLR 14 (CC), at 15G-16E; </w:t>
      </w:r>
      <w:proofErr w:type="spellStart"/>
      <w:r w:rsidR="00CF37A3">
        <w:rPr>
          <w:rFonts w:ascii="Times New Roman" w:hAnsi="Times New Roman" w:cs="Times New Roman"/>
          <w:i/>
          <w:iCs/>
          <w:sz w:val="24"/>
          <w:szCs w:val="24"/>
        </w:rPr>
        <w:t>Chombo</w:t>
      </w:r>
      <w:proofErr w:type="spellEnd"/>
      <w:r w:rsidR="00CF37A3">
        <w:rPr>
          <w:rFonts w:ascii="Times New Roman" w:hAnsi="Times New Roman" w:cs="Times New Roman"/>
          <w:sz w:val="24"/>
          <w:szCs w:val="24"/>
        </w:rPr>
        <w:t xml:space="preserve"> v </w:t>
      </w:r>
      <w:r w:rsidR="00CF37A3">
        <w:rPr>
          <w:rFonts w:ascii="Times New Roman" w:hAnsi="Times New Roman" w:cs="Times New Roman"/>
          <w:i/>
          <w:iCs/>
          <w:sz w:val="24"/>
          <w:szCs w:val="24"/>
        </w:rPr>
        <w:t>National Prosecuting Authority &amp; Anor</w:t>
      </w:r>
      <w:r w:rsidR="00CF37A3">
        <w:rPr>
          <w:rFonts w:ascii="Times New Roman" w:hAnsi="Times New Roman" w:cs="Times New Roman"/>
          <w:sz w:val="24"/>
          <w:szCs w:val="24"/>
        </w:rPr>
        <w:t xml:space="preserve"> CCZ 8-22, at pp 7-8.</w:t>
      </w:r>
    </w:p>
    <w:p w14:paraId="06B703D3" w14:textId="77777777" w:rsidR="00AB02F3" w:rsidRDefault="00AB02F3" w:rsidP="003E6780">
      <w:pPr>
        <w:spacing w:after="0" w:line="480" w:lineRule="auto"/>
        <w:jc w:val="both"/>
        <w:rPr>
          <w:rFonts w:ascii="Times New Roman" w:hAnsi="Times New Roman" w:cs="Times New Roman"/>
          <w:sz w:val="24"/>
          <w:szCs w:val="24"/>
        </w:rPr>
      </w:pPr>
    </w:p>
    <w:p w14:paraId="2B90E792" w14:textId="1041C4B4" w:rsidR="00AB02F3" w:rsidRDefault="00AC26DF"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Additionally, the intended application itself must raise a constitutional matter in order to render the decision of the Supreme Court reviewable. The applicant must allege or aver that the court </w:t>
      </w:r>
      <w:r>
        <w:rPr>
          <w:rFonts w:ascii="Times New Roman" w:hAnsi="Times New Roman" w:cs="Times New Roman"/>
          <w:i/>
          <w:iCs/>
          <w:sz w:val="24"/>
          <w:szCs w:val="24"/>
        </w:rPr>
        <w:t>a quo</w:t>
      </w:r>
      <w:r>
        <w:rPr>
          <w:rFonts w:ascii="Times New Roman" w:hAnsi="Times New Roman" w:cs="Times New Roman"/>
          <w:sz w:val="24"/>
          <w:szCs w:val="24"/>
        </w:rPr>
        <w:t xml:space="preserve">, in its determination of the issues that were before it, violated one or more of the applicant’s fundamental rights. </w:t>
      </w:r>
      <w:r>
        <w:rPr>
          <w:rFonts w:ascii="Times New Roman" w:hAnsi="Times New Roman" w:cs="Times New Roman"/>
          <w:i/>
          <w:iCs/>
          <w:sz w:val="24"/>
          <w:szCs w:val="24"/>
        </w:rPr>
        <w:t xml:space="preserve">In </w:t>
      </w:r>
      <w:proofErr w:type="spellStart"/>
      <w:r>
        <w:rPr>
          <w:rFonts w:ascii="Times New Roman" w:hAnsi="Times New Roman" w:cs="Times New Roman"/>
          <w:i/>
          <w:iCs/>
          <w:sz w:val="24"/>
          <w:szCs w:val="24"/>
        </w:rPr>
        <w:t>casu</w:t>
      </w:r>
      <w:proofErr w:type="spellEnd"/>
      <w:r>
        <w:rPr>
          <w:rFonts w:ascii="Times New Roman" w:hAnsi="Times New Roman" w:cs="Times New Roman"/>
          <w:sz w:val="24"/>
          <w:szCs w:val="24"/>
        </w:rPr>
        <w:t xml:space="preserve">, the applicant alleges the violation of his rights under </w:t>
      </w:r>
      <w:proofErr w:type="spellStart"/>
      <w:r>
        <w:rPr>
          <w:rFonts w:ascii="Times New Roman" w:hAnsi="Times New Roman" w:cs="Times New Roman"/>
          <w:sz w:val="24"/>
          <w:szCs w:val="24"/>
        </w:rPr>
        <w:t>ss</w:t>
      </w:r>
      <w:proofErr w:type="spellEnd"/>
      <w:r>
        <w:rPr>
          <w:rFonts w:ascii="Times New Roman" w:hAnsi="Times New Roman" w:cs="Times New Roman"/>
          <w:sz w:val="24"/>
          <w:szCs w:val="24"/>
        </w:rPr>
        <w:t xml:space="preserve"> 56(1), 69(2) and 69(3) of the Constitution.</w:t>
      </w:r>
    </w:p>
    <w:p w14:paraId="69E97125" w14:textId="77777777" w:rsidR="00AC26DF" w:rsidRDefault="00AC26DF" w:rsidP="003E6780">
      <w:pPr>
        <w:spacing w:after="0" w:line="480" w:lineRule="auto"/>
        <w:jc w:val="both"/>
        <w:rPr>
          <w:rFonts w:ascii="Times New Roman" w:hAnsi="Times New Roman" w:cs="Times New Roman"/>
          <w:sz w:val="24"/>
          <w:szCs w:val="24"/>
        </w:rPr>
      </w:pPr>
    </w:p>
    <w:p w14:paraId="7F74980B" w14:textId="62D03080" w:rsidR="00AC26DF" w:rsidRDefault="00AC26DF" w:rsidP="003E678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The Impugned Supreme Court Judgment</w:t>
      </w:r>
    </w:p>
    <w:p w14:paraId="53140DC6" w14:textId="359803A7" w:rsidR="00AC26DF" w:rsidRDefault="00EB5954"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arriving at its determination, the court </w:t>
      </w:r>
      <w:r>
        <w:rPr>
          <w:rFonts w:ascii="Times New Roman" w:hAnsi="Times New Roman" w:cs="Times New Roman"/>
          <w:i/>
          <w:iCs/>
          <w:sz w:val="24"/>
          <w:szCs w:val="24"/>
        </w:rPr>
        <w:t>a quo</w:t>
      </w:r>
      <w:r>
        <w:rPr>
          <w:rFonts w:ascii="Times New Roman" w:hAnsi="Times New Roman" w:cs="Times New Roman"/>
          <w:sz w:val="24"/>
          <w:szCs w:val="24"/>
        </w:rPr>
        <w:t xml:space="preserve"> had regard to the following factual scenario:</w:t>
      </w:r>
    </w:p>
    <w:p w14:paraId="21B1538A" w14:textId="62782793" w:rsidR="00EB5954" w:rsidRDefault="00EB5954" w:rsidP="008456B5">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applicant noted its appeal to the Supreme Court on 4 April 2023.</w:t>
      </w:r>
    </w:p>
    <w:p w14:paraId="42ED50D3" w14:textId="2F316207" w:rsidR="00EB5954" w:rsidRDefault="00EB5954" w:rsidP="008456B5">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the meantime, on 5 May 2023, the respondent obtained leave to execute pending appeal and proceeded to instruct the Sheriff to attach the applicant’s property in execution.</w:t>
      </w:r>
    </w:p>
    <w:p w14:paraId="1E32DAE2" w14:textId="527A0FC9" w:rsidR="00EB5954" w:rsidRDefault="00C8613B" w:rsidP="008456B5">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Before the attachment, on 11 May 2023, the applicant filed an urgent chamber application in Case No. HC 3131/23 for leave to appeal against the judgment granting leave to execute.</w:t>
      </w:r>
    </w:p>
    <w:p w14:paraId="6A858876" w14:textId="2A85494E" w:rsidR="00C8613B" w:rsidRDefault="00C8613B" w:rsidP="008456B5">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Following </w:t>
      </w:r>
      <w:r w:rsidR="008456B5">
        <w:rPr>
          <w:rFonts w:ascii="Times New Roman" w:hAnsi="Times New Roman" w:cs="Times New Roman"/>
          <w:sz w:val="24"/>
          <w:szCs w:val="24"/>
        </w:rPr>
        <w:t>a</w:t>
      </w:r>
      <w:r>
        <w:rPr>
          <w:rFonts w:ascii="Times New Roman" w:hAnsi="Times New Roman" w:cs="Times New Roman"/>
          <w:sz w:val="24"/>
          <w:szCs w:val="24"/>
        </w:rPr>
        <w:t xml:space="preserve"> writ of execution issued on 9 May 2023, the Sheriff attached the applicant’s property on 12 May 2023.</w:t>
      </w:r>
    </w:p>
    <w:p w14:paraId="6A33E774" w14:textId="1D56F694" w:rsidR="00C8613B" w:rsidRDefault="00C8613B" w:rsidP="008456B5">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Thereafter, the parties signed an agreement in terms of which the applicant undertook to withdraw its application for leave to appeal.</w:t>
      </w:r>
    </w:p>
    <w:p w14:paraId="6CD04AE4" w14:textId="6AAFEF80" w:rsidR="00C8613B" w:rsidRDefault="00C8613B" w:rsidP="008456B5">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On 15 and 25 May 2023, the applicant paid the respondent the sums of US$ 679,103.98 and US$ 1,500,000.00 respectively.</w:t>
      </w:r>
    </w:p>
    <w:p w14:paraId="1BE996AA" w14:textId="5530A39C" w:rsidR="00C8613B" w:rsidRDefault="00C8613B" w:rsidP="008456B5">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compliance with clause 3 of the agreement between the parties, the applicant withdrew its application for leave to </w:t>
      </w:r>
      <w:r w:rsidR="008456B5">
        <w:rPr>
          <w:rFonts w:ascii="Times New Roman" w:hAnsi="Times New Roman" w:cs="Times New Roman"/>
          <w:sz w:val="24"/>
          <w:szCs w:val="24"/>
        </w:rPr>
        <w:t>appeal in Case No. HC 3131/23.</w:t>
      </w:r>
    </w:p>
    <w:p w14:paraId="559FEE37" w14:textId="77777777" w:rsidR="008456B5" w:rsidRDefault="008456B5" w:rsidP="008456B5">
      <w:pPr>
        <w:spacing w:after="0" w:line="480" w:lineRule="auto"/>
        <w:jc w:val="both"/>
        <w:rPr>
          <w:rFonts w:ascii="Times New Roman" w:hAnsi="Times New Roman" w:cs="Times New Roman"/>
          <w:sz w:val="24"/>
          <w:szCs w:val="24"/>
        </w:rPr>
      </w:pPr>
    </w:p>
    <w:p w14:paraId="4EF88B32" w14:textId="7B2B5945" w:rsidR="008456B5" w:rsidRDefault="008456B5" w:rsidP="008456B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Against the foregoing background, the respondent gave notice of a preliminary objection to the effect that, under the doctrine of </w:t>
      </w:r>
      <w:proofErr w:type="spellStart"/>
      <w:r>
        <w:rPr>
          <w:rFonts w:ascii="Times New Roman" w:hAnsi="Times New Roman" w:cs="Times New Roman"/>
          <w:sz w:val="24"/>
          <w:szCs w:val="24"/>
        </w:rPr>
        <w:t>peremption</w:t>
      </w:r>
      <w:proofErr w:type="spellEnd"/>
      <w:r>
        <w:rPr>
          <w:rFonts w:ascii="Times New Roman" w:hAnsi="Times New Roman" w:cs="Times New Roman"/>
          <w:sz w:val="24"/>
          <w:szCs w:val="24"/>
        </w:rPr>
        <w:t xml:space="preserve">, the applicant had by its unequivocal conduct, acquiesced to the judgment of the High Court and had thereby lost its </w:t>
      </w:r>
      <w:r>
        <w:rPr>
          <w:rFonts w:ascii="Times New Roman" w:hAnsi="Times New Roman" w:cs="Times New Roman"/>
          <w:sz w:val="24"/>
          <w:szCs w:val="24"/>
        </w:rPr>
        <w:lastRenderedPageBreak/>
        <w:t xml:space="preserve">right to appeal against that judgment. The applicant, on the other hand, </w:t>
      </w:r>
      <w:r w:rsidR="00DC3563">
        <w:rPr>
          <w:rFonts w:ascii="Times New Roman" w:hAnsi="Times New Roman" w:cs="Times New Roman"/>
          <w:sz w:val="24"/>
          <w:szCs w:val="24"/>
        </w:rPr>
        <w:t>submitted that at no time did it compromise its right of appeal and that it had signed the agreement and made the two payments in order to comply with the court order for execution pending appeal and to save its property from execution. In its extremely concise ruling, the Supreme Court held as follows:</w:t>
      </w:r>
    </w:p>
    <w:p w14:paraId="4FA4E5F3" w14:textId="5AC60537" w:rsidR="00DC3563" w:rsidRPr="00DC3563" w:rsidRDefault="00DC3563" w:rsidP="001967AA">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 our view this is the essence of pre-emption [</w:t>
      </w:r>
      <w:r>
        <w:rPr>
          <w:rFonts w:ascii="Times New Roman" w:hAnsi="Times New Roman" w:cs="Times New Roman"/>
          <w:i/>
          <w:iCs/>
          <w:sz w:val="24"/>
          <w:szCs w:val="24"/>
        </w:rPr>
        <w:t>sic</w:t>
      </w:r>
      <w:r>
        <w:rPr>
          <w:rFonts w:ascii="Times New Roman" w:hAnsi="Times New Roman" w:cs="Times New Roman"/>
          <w:sz w:val="24"/>
          <w:szCs w:val="24"/>
        </w:rPr>
        <w:t xml:space="preserve">]. The appellant had 2 options available to it. That is to either comply with the court order </w:t>
      </w:r>
      <w:r w:rsidR="001967AA">
        <w:rPr>
          <w:rFonts w:ascii="Times New Roman" w:hAnsi="Times New Roman" w:cs="Times New Roman"/>
          <w:sz w:val="24"/>
          <w:szCs w:val="24"/>
        </w:rPr>
        <w:t>or to pursue its urgent chamber application for leave to appeal. It elected the former, signed the agreement and made 2 payments towards liquidation of the judgment debt. Accordingly, pursuing the present appeal against that background, is no longer available to the appellant. The preliminary objection has merit and ought to be uph</w:t>
      </w:r>
      <w:r w:rsidR="0098696C">
        <w:rPr>
          <w:rFonts w:ascii="Times New Roman" w:hAnsi="Times New Roman" w:cs="Times New Roman"/>
          <w:sz w:val="24"/>
          <w:szCs w:val="24"/>
        </w:rPr>
        <w:t>e</w:t>
      </w:r>
      <w:r w:rsidR="001967AA">
        <w:rPr>
          <w:rFonts w:ascii="Times New Roman" w:hAnsi="Times New Roman" w:cs="Times New Roman"/>
          <w:sz w:val="24"/>
          <w:szCs w:val="24"/>
        </w:rPr>
        <w:t>ld.”</w:t>
      </w:r>
    </w:p>
    <w:p w14:paraId="03C0681B" w14:textId="77777777" w:rsidR="00AC26DF" w:rsidRDefault="00AC26DF" w:rsidP="003E6780">
      <w:pPr>
        <w:spacing w:after="0" w:line="480" w:lineRule="auto"/>
        <w:jc w:val="both"/>
        <w:rPr>
          <w:rFonts w:ascii="Times New Roman" w:hAnsi="Times New Roman" w:cs="Times New Roman"/>
          <w:sz w:val="24"/>
          <w:szCs w:val="24"/>
        </w:rPr>
      </w:pPr>
    </w:p>
    <w:p w14:paraId="268ACB52" w14:textId="6CF068F4" w:rsidR="001967AA" w:rsidRDefault="001967AA"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435E1">
        <w:rPr>
          <w:rFonts w:ascii="Times New Roman" w:hAnsi="Times New Roman" w:cs="Times New Roman"/>
          <w:sz w:val="24"/>
          <w:szCs w:val="24"/>
        </w:rPr>
        <w:t xml:space="preserve">Turning to the agreement itself, the Preamble thereto sets out the background </w:t>
      </w:r>
      <w:r w:rsidR="00F71602">
        <w:rPr>
          <w:rFonts w:ascii="Times New Roman" w:hAnsi="Times New Roman" w:cs="Times New Roman"/>
          <w:sz w:val="24"/>
          <w:szCs w:val="24"/>
        </w:rPr>
        <w:t>to the agreement leading to the stay of execution of the judgment in Case No. HC 723/23. Clause 1 records the applicant’s undertaking to pay the respondent the sum of US$ 1</w:t>
      </w:r>
      <w:proofErr w:type="gramStart"/>
      <w:r w:rsidR="00F71602">
        <w:rPr>
          <w:rFonts w:ascii="Times New Roman" w:hAnsi="Times New Roman" w:cs="Times New Roman"/>
          <w:sz w:val="24"/>
          <w:szCs w:val="24"/>
        </w:rPr>
        <w:t>,5</w:t>
      </w:r>
      <w:proofErr w:type="gramEnd"/>
      <w:r w:rsidR="00F71602">
        <w:rPr>
          <w:rFonts w:ascii="Times New Roman" w:hAnsi="Times New Roman" w:cs="Times New Roman"/>
          <w:sz w:val="24"/>
          <w:szCs w:val="24"/>
        </w:rPr>
        <w:t xml:space="preserve"> million before the close of business on 26 May 2023. It also records the agreement of the parties to negotiate and conclude a final deed of settlement no later than 30 June 2023. By virtue of clause 2, the respondent undertook, immediately upon signature of the agreement, to instruct the Sheriff to release all of the applicant’s assets attached pursuant to</w:t>
      </w:r>
      <w:r w:rsidR="0048498C">
        <w:rPr>
          <w:rFonts w:ascii="Times New Roman" w:hAnsi="Times New Roman" w:cs="Times New Roman"/>
          <w:sz w:val="24"/>
          <w:szCs w:val="24"/>
        </w:rPr>
        <w:t xml:space="preserve"> the</w:t>
      </w:r>
      <w:r w:rsidR="00F71602">
        <w:rPr>
          <w:rFonts w:ascii="Times New Roman" w:hAnsi="Times New Roman" w:cs="Times New Roman"/>
          <w:sz w:val="24"/>
          <w:szCs w:val="24"/>
        </w:rPr>
        <w:t xml:space="preserve"> writ of attachment issue</w:t>
      </w:r>
      <w:r w:rsidR="0048498C">
        <w:rPr>
          <w:rFonts w:ascii="Times New Roman" w:hAnsi="Times New Roman" w:cs="Times New Roman"/>
          <w:sz w:val="24"/>
          <w:szCs w:val="24"/>
        </w:rPr>
        <w:t>d</w:t>
      </w:r>
      <w:r w:rsidR="00F71602">
        <w:rPr>
          <w:rFonts w:ascii="Times New Roman" w:hAnsi="Times New Roman" w:cs="Times New Roman"/>
          <w:sz w:val="24"/>
          <w:szCs w:val="24"/>
        </w:rPr>
        <w:t xml:space="preserve"> under Case No. HC 723/23. Finally, in terms of clause 3, the applicant undertook to forthwith file </w:t>
      </w:r>
      <w:r w:rsidR="0098696C">
        <w:rPr>
          <w:rFonts w:ascii="Times New Roman" w:hAnsi="Times New Roman" w:cs="Times New Roman"/>
          <w:sz w:val="24"/>
          <w:szCs w:val="24"/>
        </w:rPr>
        <w:t xml:space="preserve">the agreement together with a notice of withdrawal, withdrawing its application for leave to appeal filed under Case No. HC 3131/23. Very </w:t>
      </w:r>
      <w:r w:rsidR="00593600">
        <w:rPr>
          <w:rFonts w:ascii="Times New Roman" w:hAnsi="Times New Roman" w:cs="Times New Roman"/>
          <w:sz w:val="24"/>
          <w:szCs w:val="24"/>
        </w:rPr>
        <w:t>critically</w:t>
      </w:r>
      <w:r w:rsidR="0098696C">
        <w:rPr>
          <w:rFonts w:ascii="Times New Roman" w:hAnsi="Times New Roman" w:cs="Times New Roman"/>
          <w:sz w:val="24"/>
          <w:szCs w:val="24"/>
        </w:rPr>
        <w:t>, the agreement is totally silent as to the fate of the main appeal lodged by the applicant in Case No. SC 201/23.</w:t>
      </w:r>
    </w:p>
    <w:p w14:paraId="0B83D1CB" w14:textId="77777777" w:rsidR="00913C30" w:rsidRDefault="00913C30" w:rsidP="003E6780">
      <w:pPr>
        <w:spacing w:after="0" w:line="480" w:lineRule="auto"/>
        <w:jc w:val="both"/>
        <w:rPr>
          <w:rFonts w:ascii="Times New Roman" w:hAnsi="Times New Roman" w:cs="Times New Roman"/>
          <w:sz w:val="24"/>
          <w:szCs w:val="24"/>
        </w:rPr>
      </w:pPr>
    </w:p>
    <w:p w14:paraId="2B92F377" w14:textId="72ECBE9A" w:rsidR="00913C30" w:rsidRDefault="00913C30" w:rsidP="003E678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Evidence of </w:t>
      </w:r>
      <w:proofErr w:type="spellStart"/>
      <w:r>
        <w:rPr>
          <w:rFonts w:ascii="Times New Roman" w:hAnsi="Times New Roman" w:cs="Times New Roman"/>
          <w:b/>
          <w:bCs/>
          <w:sz w:val="24"/>
          <w:szCs w:val="24"/>
        </w:rPr>
        <w:t>Peremption</w:t>
      </w:r>
      <w:proofErr w:type="spellEnd"/>
    </w:p>
    <w:p w14:paraId="185E34C7" w14:textId="4097F0CA" w:rsidR="00913C30" w:rsidRDefault="00913C30"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i/>
          <w:iCs/>
          <w:sz w:val="24"/>
          <w:szCs w:val="24"/>
        </w:rPr>
        <w:t>Magwaliba</w:t>
      </w:r>
      <w:proofErr w:type="spellEnd"/>
      <w:r>
        <w:rPr>
          <w:rFonts w:ascii="Times New Roman" w:hAnsi="Times New Roman" w:cs="Times New Roman"/>
          <w:sz w:val="24"/>
          <w:szCs w:val="24"/>
        </w:rPr>
        <w:t xml:space="preserve">, for the applicant, submits that the agreement concluded by the parties in May 2023 does not compromise the applicant’s right of appeal. </w:t>
      </w:r>
      <w:r w:rsidR="004D4EE1">
        <w:rPr>
          <w:rFonts w:ascii="Times New Roman" w:hAnsi="Times New Roman" w:cs="Times New Roman"/>
          <w:sz w:val="24"/>
          <w:szCs w:val="24"/>
        </w:rPr>
        <w:t xml:space="preserve">The Supreme Court, so he contends, made findings of fact on the basis of no evidence at all. He also notes that the </w:t>
      </w:r>
      <w:r w:rsidR="004D4EE1">
        <w:rPr>
          <w:rFonts w:ascii="Times New Roman" w:hAnsi="Times New Roman" w:cs="Times New Roman"/>
          <w:sz w:val="24"/>
          <w:szCs w:val="24"/>
        </w:rPr>
        <w:lastRenderedPageBreak/>
        <w:t xml:space="preserve">agreement, having been introduced through the respondent’s notice of preliminary objection, was not properly before the court </w:t>
      </w:r>
      <w:r w:rsidR="004D4EE1">
        <w:rPr>
          <w:rFonts w:ascii="Times New Roman" w:hAnsi="Times New Roman" w:cs="Times New Roman"/>
          <w:i/>
          <w:iCs/>
          <w:sz w:val="24"/>
          <w:szCs w:val="24"/>
        </w:rPr>
        <w:t>a quo</w:t>
      </w:r>
      <w:r w:rsidR="004D4EE1">
        <w:rPr>
          <w:rFonts w:ascii="Times New Roman" w:hAnsi="Times New Roman" w:cs="Times New Roman"/>
          <w:sz w:val="24"/>
          <w:szCs w:val="24"/>
        </w:rPr>
        <w:t>.</w:t>
      </w:r>
    </w:p>
    <w:p w14:paraId="53E08EDC" w14:textId="77777777" w:rsidR="004D4EE1" w:rsidRDefault="004D4EE1" w:rsidP="003E6780">
      <w:pPr>
        <w:spacing w:after="0" w:line="480" w:lineRule="auto"/>
        <w:jc w:val="both"/>
        <w:rPr>
          <w:rFonts w:ascii="Times New Roman" w:hAnsi="Times New Roman" w:cs="Times New Roman"/>
          <w:sz w:val="24"/>
          <w:szCs w:val="24"/>
        </w:rPr>
      </w:pPr>
    </w:p>
    <w:p w14:paraId="61309086" w14:textId="6523765D" w:rsidR="004D4EE1" w:rsidRDefault="004D4EE1"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i/>
          <w:iCs/>
          <w:sz w:val="24"/>
          <w:szCs w:val="24"/>
        </w:rPr>
        <w:t>Ndlovu</w:t>
      </w:r>
      <w:proofErr w:type="spellEnd"/>
      <w:r>
        <w:rPr>
          <w:rFonts w:ascii="Times New Roman" w:hAnsi="Times New Roman" w:cs="Times New Roman"/>
          <w:sz w:val="24"/>
          <w:szCs w:val="24"/>
        </w:rPr>
        <w:t xml:space="preserve">, for the respondent, argues that there was clear evidence of </w:t>
      </w:r>
      <w:proofErr w:type="spellStart"/>
      <w:r>
        <w:rPr>
          <w:rFonts w:ascii="Times New Roman" w:hAnsi="Times New Roman" w:cs="Times New Roman"/>
          <w:sz w:val="24"/>
          <w:szCs w:val="24"/>
        </w:rPr>
        <w:t>peremption</w:t>
      </w:r>
      <w:proofErr w:type="spellEnd"/>
      <w:r>
        <w:rPr>
          <w:rFonts w:ascii="Times New Roman" w:hAnsi="Times New Roman" w:cs="Times New Roman"/>
          <w:sz w:val="24"/>
          <w:szCs w:val="24"/>
        </w:rPr>
        <w:t xml:space="preserve">. This comprised the agreement between the parties coupled with the two subsequent payments made by the applicant. Equally </w:t>
      </w:r>
      <w:r w:rsidR="00593600">
        <w:rPr>
          <w:rFonts w:ascii="Times New Roman" w:hAnsi="Times New Roman" w:cs="Times New Roman"/>
          <w:sz w:val="24"/>
          <w:szCs w:val="24"/>
        </w:rPr>
        <w:t>importantly</w:t>
      </w:r>
      <w:r>
        <w:rPr>
          <w:rFonts w:ascii="Times New Roman" w:hAnsi="Times New Roman" w:cs="Times New Roman"/>
          <w:sz w:val="24"/>
          <w:szCs w:val="24"/>
        </w:rPr>
        <w:t>, the applicant’s abandonment and withdrawal of its application for leave to appeal against the judgment granting leave to execute demonstrated its acquiescence to the judgment granted against it in Case No. HC 723/23 for the payment of US$ 10,718,373.51 plus interest.</w:t>
      </w:r>
    </w:p>
    <w:p w14:paraId="2CC99F0B" w14:textId="77777777" w:rsidR="009712F1" w:rsidRDefault="009712F1" w:rsidP="003E6780">
      <w:pPr>
        <w:spacing w:after="0" w:line="480" w:lineRule="auto"/>
        <w:jc w:val="both"/>
        <w:rPr>
          <w:rFonts w:ascii="Times New Roman" w:hAnsi="Times New Roman" w:cs="Times New Roman"/>
          <w:sz w:val="24"/>
          <w:szCs w:val="24"/>
        </w:rPr>
      </w:pPr>
    </w:p>
    <w:p w14:paraId="3963DB4A" w14:textId="72C1A374" w:rsidR="009712F1" w:rsidRDefault="009712F1"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F26F8">
        <w:rPr>
          <w:rFonts w:ascii="Times New Roman" w:hAnsi="Times New Roman" w:cs="Times New Roman"/>
          <w:sz w:val="24"/>
          <w:szCs w:val="24"/>
        </w:rPr>
        <w:t xml:space="preserve">The case authorities dealing with the doctrine of </w:t>
      </w:r>
      <w:proofErr w:type="spellStart"/>
      <w:r w:rsidR="00BF26F8">
        <w:rPr>
          <w:rFonts w:ascii="Times New Roman" w:hAnsi="Times New Roman" w:cs="Times New Roman"/>
          <w:sz w:val="24"/>
          <w:szCs w:val="24"/>
        </w:rPr>
        <w:t>peremption</w:t>
      </w:r>
      <w:proofErr w:type="spellEnd"/>
      <w:r w:rsidR="00BF26F8">
        <w:rPr>
          <w:rFonts w:ascii="Times New Roman" w:hAnsi="Times New Roman" w:cs="Times New Roman"/>
          <w:sz w:val="24"/>
          <w:szCs w:val="24"/>
        </w:rPr>
        <w:t xml:space="preserve"> or acquiescence are relatively clear and consistent. In </w:t>
      </w:r>
      <w:proofErr w:type="spellStart"/>
      <w:r w:rsidR="00BF26F8">
        <w:rPr>
          <w:rFonts w:ascii="Times New Roman" w:hAnsi="Times New Roman" w:cs="Times New Roman"/>
          <w:i/>
          <w:iCs/>
          <w:sz w:val="24"/>
          <w:szCs w:val="24"/>
        </w:rPr>
        <w:t>Dabne</w:t>
      </w:r>
      <w:r w:rsidR="00C008B8">
        <w:rPr>
          <w:rFonts w:ascii="Times New Roman" w:hAnsi="Times New Roman" w:cs="Times New Roman"/>
          <w:i/>
          <w:iCs/>
          <w:sz w:val="24"/>
          <w:szCs w:val="24"/>
        </w:rPr>
        <w:t>r</w:t>
      </w:r>
      <w:proofErr w:type="spellEnd"/>
      <w:r w:rsidR="00BF26F8">
        <w:rPr>
          <w:rFonts w:ascii="Times New Roman" w:hAnsi="Times New Roman" w:cs="Times New Roman"/>
          <w:sz w:val="24"/>
          <w:szCs w:val="24"/>
        </w:rPr>
        <w:t xml:space="preserve"> v </w:t>
      </w:r>
      <w:r w:rsidR="00BF26F8">
        <w:rPr>
          <w:rFonts w:ascii="Times New Roman" w:hAnsi="Times New Roman" w:cs="Times New Roman"/>
          <w:i/>
          <w:iCs/>
          <w:sz w:val="24"/>
          <w:szCs w:val="24"/>
        </w:rPr>
        <w:t>South African Railways and Harbours</w:t>
      </w:r>
      <w:r w:rsidR="00BF26F8">
        <w:rPr>
          <w:rFonts w:ascii="Times New Roman" w:hAnsi="Times New Roman" w:cs="Times New Roman"/>
          <w:sz w:val="24"/>
          <w:szCs w:val="24"/>
        </w:rPr>
        <w:t xml:space="preserve"> 1920 AD 583, at 594, it was observed as follows:</w:t>
      </w:r>
    </w:p>
    <w:p w14:paraId="44BE48F9" w14:textId="0A80C885" w:rsidR="00BF26F8" w:rsidRPr="00BF26F8" w:rsidRDefault="00BF26F8" w:rsidP="00C008B8">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 the conduct of an unsuccessful litigant is such as to point indubitably and necessarily to the conclusion that he does not intend to attack the judgment, then he is held to have acquiesced in it. But the conduct relied upon must be unequivocal and must be inconsistent with</w:t>
      </w:r>
      <w:r w:rsidR="00C008B8">
        <w:rPr>
          <w:rFonts w:ascii="Times New Roman" w:hAnsi="Times New Roman" w:cs="Times New Roman"/>
          <w:sz w:val="24"/>
          <w:szCs w:val="24"/>
        </w:rPr>
        <w:t xml:space="preserve"> any intention to appeal. And the onus of establishing that position is on the party alleging it. In doubtful cases, acquiescence, like waiver, must be held non-proven.”</w:t>
      </w:r>
    </w:p>
    <w:p w14:paraId="241CDDBA" w14:textId="77777777" w:rsidR="00EA5B93" w:rsidRDefault="00EA5B93" w:rsidP="003E6780">
      <w:pPr>
        <w:spacing w:after="0" w:line="480" w:lineRule="auto"/>
        <w:jc w:val="both"/>
        <w:rPr>
          <w:rFonts w:ascii="Times New Roman" w:hAnsi="Times New Roman" w:cs="Times New Roman"/>
          <w:sz w:val="24"/>
          <w:szCs w:val="24"/>
        </w:rPr>
      </w:pPr>
    </w:p>
    <w:p w14:paraId="62A0D942" w14:textId="3C373A90" w:rsidR="00C008B8" w:rsidRDefault="00C008B8"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same principles were relied upon in </w:t>
      </w:r>
      <w:proofErr w:type="spellStart"/>
      <w:r>
        <w:rPr>
          <w:rFonts w:ascii="Times New Roman" w:hAnsi="Times New Roman" w:cs="Times New Roman"/>
          <w:i/>
          <w:iCs/>
          <w:sz w:val="24"/>
          <w:szCs w:val="24"/>
        </w:rPr>
        <w:t>Gentiruco</w:t>
      </w:r>
      <w:proofErr w:type="spellEnd"/>
      <w:r>
        <w:rPr>
          <w:rFonts w:ascii="Times New Roman" w:hAnsi="Times New Roman" w:cs="Times New Roman"/>
          <w:i/>
          <w:iCs/>
          <w:sz w:val="24"/>
          <w:szCs w:val="24"/>
        </w:rPr>
        <w:t xml:space="preserve"> A.G.</w:t>
      </w:r>
      <w:r>
        <w:rPr>
          <w:rFonts w:ascii="Times New Roman" w:hAnsi="Times New Roman" w:cs="Times New Roman"/>
          <w:sz w:val="24"/>
          <w:szCs w:val="24"/>
        </w:rPr>
        <w:t xml:space="preserve"> v </w:t>
      </w:r>
      <w:r>
        <w:rPr>
          <w:rFonts w:ascii="Times New Roman" w:hAnsi="Times New Roman" w:cs="Times New Roman"/>
          <w:i/>
          <w:iCs/>
          <w:sz w:val="24"/>
          <w:szCs w:val="24"/>
        </w:rPr>
        <w:t>Firestone SA (Pty) Ltd</w:t>
      </w:r>
      <w:r>
        <w:rPr>
          <w:rFonts w:ascii="Times New Roman" w:hAnsi="Times New Roman" w:cs="Times New Roman"/>
          <w:sz w:val="24"/>
          <w:szCs w:val="24"/>
        </w:rPr>
        <w:t xml:space="preserve"> 1972 (1) SA 589, at 600, and also in </w:t>
      </w:r>
      <w:r w:rsidR="00290FC1">
        <w:rPr>
          <w:rFonts w:ascii="Times New Roman" w:hAnsi="Times New Roman" w:cs="Times New Roman"/>
          <w:i/>
          <w:iCs/>
          <w:sz w:val="24"/>
          <w:szCs w:val="24"/>
        </w:rPr>
        <w:t>Cohen</w:t>
      </w:r>
      <w:r w:rsidR="00290FC1">
        <w:rPr>
          <w:rFonts w:ascii="Times New Roman" w:hAnsi="Times New Roman" w:cs="Times New Roman"/>
          <w:sz w:val="24"/>
          <w:szCs w:val="24"/>
        </w:rPr>
        <w:t xml:space="preserve"> v </w:t>
      </w:r>
      <w:r w:rsidR="00290FC1">
        <w:rPr>
          <w:rFonts w:ascii="Times New Roman" w:hAnsi="Times New Roman" w:cs="Times New Roman"/>
          <w:i/>
          <w:iCs/>
          <w:sz w:val="24"/>
          <w:szCs w:val="24"/>
        </w:rPr>
        <w:t>Cohen</w:t>
      </w:r>
      <w:r w:rsidR="00290FC1">
        <w:rPr>
          <w:rFonts w:ascii="Times New Roman" w:hAnsi="Times New Roman" w:cs="Times New Roman"/>
          <w:sz w:val="24"/>
          <w:szCs w:val="24"/>
        </w:rPr>
        <w:t xml:space="preserve"> 1980 ZLR 286.</w:t>
      </w:r>
      <w:r w:rsidR="001A0DDC">
        <w:rPr>
          <w:rFonts w:ascii="Times New Roman" w:hAnsi="Times New Roman" w:cs="Times New Roman"/>
          <w:sz w:val="24"/>
          <w:szCs w:val="24"/>
        </w:rPr>
        <w:t xml:space="preserve"> In the latte</w:t>
      </w:r>
      <w:r w:rsidR="000569DE">
        <w:rPr>
          <w:rFonts w:ascii="Times New Roman" w:hAnsi="Times New Roman" w:cs="Times New Roman"/>
          <w:sz w:val="24"/>
          <w:szCs w:val="24"/>
        </w:rPr>
        <w:t>r</w:t>
      </w:r>
      <w:r w:rsidR="001A0DDC">
        <w:rPr>
          <w:rFonts w:ascii="Times New Roman" w:hAnsi="Times New Roman" w:cs="Times New Roman"/>
          <w:sz w:val="24"/>
          <w:szCs w:val="24"/>
        </w:rPr>
        <w:t xml:space="preserve"> case, assent or </w:t>
      </w:r>
      <w:proofErr w:type="spellStart"/>
      <w:r w:rsidR="001A0DDC">
        <w:rPr>
          <w:rFonts w:ascii="Times New Roman" w:hAnsi="Times New Roman" w:cs="Times New Roman"/>
          <w:sz w:val="24"/>
          <w:szCs w:val="24"/>
        </w:rPr>
        <w:t>peremption</w:t>
      </w:r>
      <w:proofErr w:type="spellEnd"/>
      <w:r w:rsidR="001A0DDC">
        <w:rPr>
          <w:rFonts w:ascii="Times New Roman" w:hAnsi="Times New Roman" w:cs="Times New Roman"/>
          <w:sz w:val="24"/>
          <w:szCs w:val="24"/>
        </w:rPr>
        <w:t xml:space="preserve"> was likened to estoppel by words or conduct. It was further explained that </w:t>
      </w:r>
      <w:proofErr w:type="spellStart"/>
      <w:r w:rsidR="001A0DDC">
        <w:rPr>
          <w:rFonts w:ascii="Times New Roman" w:hAnsi="Times New Roman" w:cs="Times New Roman"/>
          <w:sz w:val="24"/>
          <w:szCs w:val="24"/>
        </w:rPr>
        <w:t>peremption</w:t>
      </w:r>
      <w:proofErr w:type="spellEnd"/>
      <w:r w:rsidR="001A0DDC">
        <w:rPr>
          <w:rFonts w:ascii="Times New Roman" w:hAnsi="Times New Roman" w:cs="Times New Roman"/>
          <w:sz w:val="24"/>
          <w:szCs w:val="24"/>
        </w:rPr>
        <w:t xml:space="preserve"> is not to be lightly inferred. The court must be clearly satisfied that the appellant in question has abandoned its right of appeal.</w:t>
      </w:r>
    </w:p>
    <w:p w14:paraId="2FA1A202" w14:textId="77777777" w:rsidR="00844BA8" w:rsidRDefault="00844BA8" w:rsidP="003E6780">
      <w:pPr>
        <w:spacing w:after="0" w:line="480" w:lineRule="auto"/>
        <w:jc w:val="both"/>
        <w:rPr>
          <w:rFonts w:ascii="Times New Roman" w:hAnsi="Times New Roman" w:cs="Times New Roman"/>
          <w:sz w:val="24"/>
          <w:szCs w:val="24"/>
        </w:rPr>
      </w:pPr>
    </w:p>
    <w:p w14:paraId="7B5A48FB" w14:textId="377DA3B6" w:rsidR="00844BA8" w:rsidRDefault="00844BA8"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 behalf of the applicant </w:t>
      </w:r>
      <w:r>
        <w:rPr>
          <w:rFonts w:ascii="Times New Roman" w:hAnsi="Times New Roman" w:cs="Times New Roman"/>
          <w:i/>
          <w:iCs/>
          <w:sz w:val="24"/>
          <w:szCs w:val="24"/>
        </w:rPr>
        <w:t xml:space="preserve">in </w:t>
      </w:r>
      <w:proofErr w:type="spellStart"/>
      <w:r>
        <w:rPr>
          <w:rFonts w:ascii="Times New Roman" w:hAnsi="Times New Roman" w:cs="Times New Roman"/>
          <w:i/>
          <w:iCs/>
          <w:sz w:val="24"/>
          <w:szCs w:val="24"/>
        </w:rPr>
        <w:t>casu</w:t>
      </w:r>
      <w:proofErr w:type="spellEnd"/>
      <w:r>
        <w:rPr>
          <w:rFonts w:ascii="Times New Roman" w:hAnsi="Times New Roman" w:cs="Times New Roman"/>
          <w:sz w:val="24"/>
          <w:szCs w:val="24"/>
        </w:rPr>
        <w:t xml:space="preserve">, it is submitted that its conduct did not show that it indubitably and necessarily did not intend to challenge the judgment made against it. The </w:t>
      </w:r>
      <w:r>
        <w:rPr>
          <w:rFonts w:ascii="Times New Roman" w:hAnsi="Times New Roman" w:cs="Times New Roman"/>
          <w:sz w:val="24"/>
          <w:szCs w:val="24"/>
        </w:rPr>
        <w:lastRenderedPageBreak/>
        <w:t xml:space="preserve">applicant only made </w:t>
      </w:r>
      <w:r w:rsidR="00F63995">
        <w:rPr>
          <w:rFonts w:ascii="Times New Roman" w:hAnsi="Times New Roman" w:cs="Times New Roman"/>
          <w:sz w:val="24"/>
          <w:szCs w:val="24"/>
        </w:rPr>
        <w:t xml:space="preserve">the two </w:t>
      </w:r>
      <w:r>
        <w:rPr>
          <w:rFonts w:ascii="Times New Roman" w:hAnsi="Times New Roman" w:cs="Times New Roman"/>
          <w:sz w:val="24"/>
          <w:szCs w:val="24"/>
        </w:rPr>
        <w:t xml:space="preserve">payments after the order for leave to execute pending appeal was granted and after its property had been attached. It did not withdraw the appeal, the integrity of which was maintained in the agreement between the parties. </w:t>
      </w:r>
      <w:r w:rsidR="00320645">
        <w:rPr>
          <w:rFonts w:ascii="Times New Roman" w:hAnsi="Times New Roman" w:cs="Times New Roman"/>
          <w:sz w:val="24"/>
          <w:szCs w:val="24"/>
        </w:rPr>
        <w:t xml:space="preserve">It is further submitted that there was no unequivocal conduct inconsistent with any intention to appeal on the part of the applicant. Its compliance with the appealed judgment was only pursuant to a court order pending appeal and did not amount to acquiescence or any abandonment of its right of appeal. Lastly, it is submitted that </w:t>
      </w:r>
      <w:r w:rsidR="00F63995">
        <w:rPr>
          <w:rFonts w:ascii="Times New Roman" w:hAnsi="Times New Roman" w:cs="Times New Roman"/>
          <w:sz w:val="24"/>
          <w:szCs w:val="24"/>
        </w:rPr>
        <w:t xml:space="preserve">the </w:t>
      </w:r>
      <w:r w:rsidR="00320645">
        <w:rPr>
          <w:rFonts w:ascii="Times New Roman" w:hAnsi="Times New Roman" w:cs="Times New Roman"/>
          <w:sz w:val="24"/>
          <w:szCs w:val="24"/>
        </w:rPr>
        <w:t>respondent failed to discharge the onus of establishing the acquiescence which it alleged. There was clearly doubt as to proof of acquiescence by the applicant.</w:t>
      </w:r>
    </w:p>
    <w:p w14:paraId="6E4C55D0" w14:textId="77777777" w:rsidR="00320645" w:rsidRDefault="00320645" w:rsidP="003E6780">
      <w:pPr>
        <w:spacing w:after="0" w:line="480" w:lineRule="auto"/>
        <w:jc w:val="both"/>
        <w:rPr>
          <w:rFonts w:ascii="Times New Roman" w:hAnsi="Times New Roman" w:cs="Times New Roman"/>
          <w:sz w:val="24"/>
          <w:szCs w:val="24"/>
        </w:rPr>
      </w:pPr>
    </w:p>
    <w:p w14:paraId="6692A09B" w14:textId="61964588" w:rsidR="00320645" w:rsidRDefault="00373456"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Having regard to the evidence before the Supreme Court, it seems to be virtually impossible to discern any clear or unequivocal intention on the part of the applicant to </w:t>
      </w:r>
      <w:proofErr w:type="spellStart"/>
      <w:r>
        <w:rPr>
          <w:rFonts w:ascii="Times New Roman" w:hAnsi="Times New Roman" w:cs="Times New Roman"/>
          <w:sz w:val="24"/>
          <w:szCs w:val="24"/>
        </w:rPr>
        <w:t>perempt</w:t>
      </w:r>
      <w:proofErr w:type="spellEnd"/>
      <w:r>
        <w:rPr>
          <w:rFonts w:ascii="Times New Roman" w:hAnsi="Times New Roman" w:cs="Times New Roman"/>
          <w:sz w:val="24"/>
          <w:szCs w:val="24"/>
        </w:rPr>
        <w:t xml:space="preserve"> or compromise its right of appeal. </w:t>
      </w:r>
      <w:r w:rsidR="005A7CDA">
        <w:rPr>
          <w:rFonts w:ascii="Times New Roman" w:hAnsi="Times New Roman" w:cs="Times New Roman"/>
          <w:sz w:val="24"/>
          <w:szCs w:val="24"/>
        </w:rPr>
        <w:t>The agreement concluded by the parties in May 2023</w:t>
      </w:r>
      <w:r w:rsidR="00F63995">
        <w:rPr>
          <w:rFonts w:ascii="Times New Roman" w:hAnsi="Times New Roman" w:cs="Times New Roman"/>
          <w:sz w:val="24"/>
          <w:szCs w:val="24"/>
        </w:rPr>
        <w:t xml:space="preserve">, in the second paragraph of the Preamble, </w:t>
      </w:r>
      <w:r w:rsidR="005A7CDA">
        <w:rPr>
          <w:rFonts w:ascii="Times New Roman" w:hAnsi="Times New Roman" w:cs="Times New Roman"/>
          <w:sz w:val="24"/>
          <w:szCs w:val="24"/>
        </w:rPr>
        <w:t>makes explicit reference</w:t>
      </w:r>
      <w:r w:rsidR="00F63995">
        <w:rPr>
          <w:rFonts w:ascii="Times New Roman" w:hAnsi="Times New Roman" w:cs="Times New Roman"/>
          <w:sz w:val="24"/>
          <w:szCs w:val="24"/>
        </w:rPr>
        <w:t xml:space="preserve"> </w:t>
      </w:r>
      <w:r w:rsidR="005A7CDA">
        <w:rPr>
          <w:rFonts w:ascii="Times New Roman" w:hAnsi="Times New Roman" w:cs="Times New Roman"/>
          <w:sz w:val="24"/>
          <w:szCs w:val="24"/>
        </w:rPr>
        <w:t>to the appeal filed by the applicant on 4 April 2023 in Case No. SC 201/23 against the judgment in Case No. HC 723/23.</w:t>
      </w:r>
      <w:r w:rsidR="00C43FC3">
        <w:rPr>
          <w:rFonts w:ascii="Times New Roman" w:hAnsi="Times New Roman" w:cs="Times New Roman"/>
          <w:sz w:val="24"/>
          <w:szCs w:val="24"/>
        </w:rPr>
        <w:t xml:space="preserve"> However, the agreement makes no reference whatsoever to any compromise or abandonment of the applicant’s pending appeal</w:t>
      </w:r>
      <w:r w:rsidR="00F63995">
        <w:rPr>
          <w:rFonts w:ascii="Times New Roman" w:hAnsi="Times New Roman" w:cs="Times New Roman"/>
          <w:sz w:val="24"/>
          <w:szCs w:val="24"/>
        </w:rPr>
        <w:t xml:space="preserve"> – nor can any </w:t>
      </w:r>
      <w:r w:rsidR="006932C0">
        <w:rPr>
          <w:rFonts w:ascii="Times New Roman" w:hAnsi="Times New Roman" w:cs="Times New Roman"/>
          <w:sz w:val="24"/>
          <w:szCs w:val="24"/>
        </w:rPr>
        <w:t>such compromise or abandonment be inferred therefrom.</w:t>
      </w:r>
      <w:r w:rsidR="00C43FC3">
        <w:rPr>
          <w:rFonts w:ascii="Times New Roman" w:hAnsi="Times New Roman" w:cs="Times New Roman"/>
          <w:sz w:val="24"/>
          <w:szCs w:val="24"/>
        </w:rPr>
        <w:t xml:space="preserve"> It does not finally terminate the appeal proceedings against the merits of the High Court judgment and it clearly keeps the main appeal alive</w:t>
      </w:r>
      <w:r w:rsidR="00E85567">
        <w:rPr>
          <w:rFonts w:ascii="Times New Roman" w:hAnsi="Times New Roman" w:cs="Times New Roman"/>
          <w:sz w:val="24"/>
          <w:szCs w:val="24"/>
        </w:rPr>
        <w:t>. What was to be withdrawn in terms of clause 3 of the agreement – and was in fact subsequently withdrawn – was the application for leave to appeal</w:t>
      </w:r>
      <w:r w:rsidR="00C43FC3">
        <w:rPr>
          <w:rFonts w:ascii="Times New Roman" w:hAnsi="Times New Roman" w:cs="Times New Roman"/>
          <w:sz w:val="24"/>
          <w:szCs w:val="24"/>
        </w:rPr>
        <w:t xml:space="preserve"> </w:t>
      </w:r>
      <w:r w:rsidR="00E85567">
        <w:rPr>
          <w:rFonts w:ascii="Times New Roman" w:hAnsi="Times New Roman" w:cs="Times New Roman"/>
          <w:sz w:val="24"/>
          <w:szCs w:val="24"/>
        </w:rPr>
        <w:t>filed under Case No. HC 3131/23 against the judgment of the High Court on 5 May 2023 granting the respondent leave to execute the judgment granted on 15 March 2</w:t>
      </w:r>
      <w:r w:rsidR="007F47F9">
        <w:rPr>
          <w:rFonts w:ascii="Times New Roman" w:hAnsi="Times New Roman" w:cs="Times New Roman"/>
          <w:sz w:val="24"/>
          <w:szCs w:val="24"/>
        </w:rPr>
        <w:t>0</w:t>
      </w:r>
      <w:r w:rsidR="00E85567">
        <w:rPr>
          <w:rFonts w:ascii="Times New Roman" w:hAnsi="Times New Roman" w:cs="Times New Roman"/>
          <w:sz w:val="24"/>
          <w:szCs w:val="24"/>
        </w:rPr>
        <w:t>23 in Case No. HC 723/23.</w:t>
      </w:r>
    </w:p>
    <w:p w14:paraId="6829B6B0" w14:textId="77777777" w:rsidR="007A60B2" w:rsidRDefault="007A60B2" w:rsidP="003E6780">
      <w:pPr>
        <w:spacing w:after="0" w:line="480" w:lineRule="auto"/>
        <w:jc w:val="both"/>
        <w:rPr>
          <w:rFonts w:ascii="Times New Roman" w:hAnsi="Times New Roman" w:cs="Times New Roman"/>
          <w:sz w:val="24"/>
          <w:szCs w:val="24"/>
        </w:rPr>
      </w:pPr>
    </w:p>
    <w:p w14:paraId="29B356D2" w14:textId="1C5164D5" w:rsidR="007A60B2" w:rsidRDefault="007A60B2"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26D99">
        <w:rPr>
          <w:rFonts w:ascii="Times New Roman" w:hAnsi="Times New Roman" w:cs="Times New Roman"/>
          <w:sz w:val="24"/>
          <w:szCs w:val="24"/>
        </w:rPr>
        <w:t xml:space="preserve">As for the two payments made by the applicant in May 2023, they were undoubtedly made in terms of the last paragraph of the Preamble as read with clauses 1 and 2 of the agreement. </w:t>
      </w:r>
      <w:r w:rsidR="007978C3">
        <w:rPr>
          <w:rFonts w:ascii="Times New Roman" w:hAnsi="Times New Roman" w:cs="Times New Roman"/>
          <w:sz w:val="24"/>
          <w:szCs w:val="24"/>
        </w:rPr>
        <w:t>They were obviously designed to regulate compliance with the judgment granting leave to execute, pending the main appeal against the judgment in Case No. HC 723/23. More critically, they were intended to obviate the execution of that judgment and to enable the release of the applicant’s</w:t>
      </w:r>
      <w:r w:rsidR="00176D29">
        <w:rPr>
          <w:rFonts w:ascii="Times New Roman" w:hAnsi="Times New Roman" w:cs="Times New Roman"/>
          <w:sz w:val="24"/>
          <w:szCs w:val="24"/>
        </w:rPr>
        <w:t xml:space="preserve"> </w:t>
      </w:r>
      <w:r w:rsidR="007978C3">
        <w:rPr>
          <w:rFonts w:ascii="Times New Roman" w:hAnsi="Times New Roman" w:cs="Times New Roman"/>
          <w:sz w:val="24"/>
          <w:szCs w:val="24"/>
        </w:rPr>
        <w:t xml:space="preserve">assets </w:t>
      </w:r>
      <w:r w:rsidR="00176D29">
        <w:rPr>
          <w:rFonts w:ascii="Times New Roman" w:hAnsi="Times New Roman" w:cs="Times New Roman"/>
          <w:sz w:val="24"/>
          <w:szCs w:val="24"/>
        </w:rPr>
        <w:t>attached pursuant to that judgment.</w:t>
      </w:r>
    </w:p>
    <w:p w14:paraId="08B785BB" w14:textId="77777777" w:rsidR="00AB281A" w:rsidRDefault="00AB281A" w:rsidP="003E6780">
      <w:pPr>
        <w:spacing w:after="0" w:line="480" w:lineRule="auto"/>
        <w:jc w:val="both"/>
        <w:rPr>
          <w:rFonts w:ascii="Times New Roman" w:hAnsi="Times New Roman" w:cs="Times New Roman"/>
          <w:sz w:val="24"/>
          <w:szCs w:val="24"/>
        </w:rPr>
      </w:pPr>
    </w:p>
    <w:p w14:paraId="16DF5636" w14:textId="1C1C6594" w:rsidR="00AB281A" w:rsidRDefault="00AB281A"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To conclude this aspect of the matter, I take the view that there was no evidence before the Supreme Court showing</w:t>
      </w:r>
      <w:r w:rsidR="00F04D9E">
        <w:rPr>
          <w:rFonts w:ascii="Times New Roman" w:hAnsi="Times New Roman" w:cs="Times New Roman"/>
          <w:sz w:val="24"/>
          <w:szCs w:val="24"/>
        </w:rPr>
        <w:t>,</w:t>
      </w:r>
      <w:r>
        <w:rPr>
          <w:rFonts w:ascii="Times New Roman" w:hAnsi="Times New Roman" w:cs="Times New Roman"/>
          <w:sz w:val="24"/>
          <w:szCs w:val="24"/>
        </w:rPr>
        <w:t xml:space="preserve"> indubitably</w:t>
      </w:r>
      <w:r w:rsidR="00F04D9E">
        <w:rPr>
          <w:rFonts w:ascii="Times New Roman" w:hAnsi="Times New Roman" w:cs="Times New Roman"/>
          <w:sz w:val="24"/>
          <w:szCs w:val="24"/>
        </w:rPr>
        <w:t xml:space="preserve"> and necessarily,</w:t>
      </w:r>
      <w:r>
        <w:rPr>
          <w:rFonts w:ascii="Times New Roman" w:hAnsi="Times New Roman" w:cs="Times New Roman"/>
          <w:sz w:val="24"/>
          <w:szCs w:val="24"/>
        </w:rPr>
        <w:t xml:space="preserve"> an unequivocal intention on the part of the applicant to compromise or abandon its appeal in Case No. SC 201/23. I shall address the legal ramifications of that deficiency later in this judgment.</w:t>
      </w:r>
    </w:p>
    <w:p w14:paraId="4C3E0B60" w14:textId="77777777" w:rsidR="008549CE" w:rsidRDefault="008549CE" w:rsidP="003E6780">
      <w:pPr>
        <w:spacing w:after="0" w:line="480" w:lineRule="auto"/>
        <w:jc w:val="both"/>
        <w:rPr>
          <w:rFonts w:ascii="Times New Roman" w:hAnsi="Times New Roman" w:cs="Times New Roman"/>
          <w:sz w:val="24"/>
          <w:szCs w:val="24"/>
        </w:rPr>
      </w:pPr>
    </w:p>
    <w:p w14:paraId="5F23C924" w14:textId="6121C185" w:rsidR="008549CE" w:rsidRDefault="008549CE" w:rsidP="003E678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Alleged Violation of Section 56(1) of the Constitution</w:t>
      </w:r>
    </w:p>
    <w:p w14:paraId="03E2279A" w14:textId="737C9E25" w:rsidR="008549CE" w:rsidRDefault="008549CE"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i/>
          <w:iCs/>
          <w:sz w:val="24"/>
          <w:szCs w:val="24"/>
        </w:rPr>
        <w:t>Magwaliba</w:t>
      </w:r>
      <w:proofErr w:type="spellEnd"/>
      <w:r>
        <w:rPr>
          <w:rFonts w:ascii="Times New Roman" w:hAnsi="Times New Roman" w:cs="Times New Roman"/>
          <w:sz w:val="24"/>
          <w:szCs w:val="24"/>
        </w:rPr>
        <w:t xml:space="preserve"> submits that the applicant had a right to note his appeal and the right to have that appeal determined. </w:t>
      </w:r>
      <w:r w:rsidR="00426E6F">
        <w:rPr>
          <w:rFonts w:ascii="Times New Roman" w:hAnsi="Times New Roman" w:cs="Times New Roman"/>
          <w:sz w:val="24"/>
          <w:szCs w:val="24"/>
        </w:rPr>
        <w:t xml:space="preserve">He contends that the judgment of the Supreme Court is unprecedented and that there is no similar judgment on record. The court ought to have dealt with the merits of the matter instead of dismissing it simply on the strength of the respondent’s preliminary objection. In the event, the applicant was unfairly treated and this treatment by the court </w:t>
      </w:r>
      <w:r w:rsidR="00426E6F">
        <w:rPr>
          <w:rFonts w:ascii="Times New Roman" w:hAnsi="Times New Roman" w:cs="Times New Roman"/>
          <w:i/>
          <w:iCs/>
          <w:sz w:val="24"/>
          <w:szCs w:val="24"/>
        </w:rPr>
        <w:t>a quo</w:t>
      </w:r>
      <w:r w:rsidR="00426E6F">
        <w:rPr>
          <w:rFonts w:ascii="Times New Roman" w:hAnsi="Times New Roman" w:cs="Times New Roman"/>
          <w:sz w:val="24"/>
          <w:szCs w:val="24"/>
        </w:rPr>
        <w:t xml:space="preserve"> resulted in the violation of its right under s 56(1) of the Constitution.</w:t>
      </w:r>
    </w:p>
    <w:p w14:paraId="40B47C1B" w14:textId="77777777" w:rsidR="00426E6F" w:rsidRDefault="00426E6F" w:rsidP="003E6780">
      <w:pPr>
        <w:spacing w:after="0" w:line="480" w:lineRule="auto"/>
        <w:jc w:val="both"/>
        <w:rPr>
          <w:rFonts w:ascii="Times New Roman" w:hAnsi="Times New Roman" w:cs="Times New Roman"/>
          <w:sz w:val="24"/>
          <w:szCs w:val="24"/>
        </w:rPr>
      </w:pPr>
    </w:p>
    <w:p w14:paraId="02E4665A" w14:textId="7D909BB5" w:rsidR="00426E6F" w:rsidRDefault="00426E6F"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i/>
          <w:iCs/>
          <w:sz w:val="24"/>
          <w:szCs w:val="24"/>
        </w:rPr>
        <w:t>Ndlovu</w:t>
      </w:r>
      <w:proofErr w:type="spellEnd"/>
      <w:r>
        <w:rPr>
          <w:rFonts w:ascii="Times New Roman" w:hAnsi="Times New Roman" w:cs="Times New Roman"/>
          <w:sz w:val="24"/>
          <w:szCs w:val="24"/>
        </w:rPr>
        <w:t xml:space="preserve"> counters that there was no violation of s 56(1). The fact that there is no similar judgment on record does not in itself create any discrimination. The applicant has failed to establish any differentiation or discrimination within the meaning of s 56(1).</w:t>
      </w:r>
      <w:r w:rsidR="00F04D9E">
        <w:rPr>
          <w:rFonts w:ascii="Times New Roman" w:hAnsi="Times New Roman" w:cs="Times New Roman"/>
          <w:sz w:val="24"/>
          <w:szCs w:val="24"/>
        </w:rPr>
        <w:t xml:space="preserve"> I am inclined to agree.</w:t>
      </w:r>
    </w:p>
    <w:p w14:paraId="549D7BA5" w14:textId="058A93A6" w:rsidR="00426E6F" w:rsidRDefault="00426E6F" w:rsidP="003E6780">
      <w:pPr>
        <w:spacing w:after="0" w:line="480" w:lineRule="auto"/>
        <w:jc w:val="both"/>
        <w:rPr>
          <w:rFonts w:ascii="Times New Roman" w:hAnsi="Times New Roman" w:cs="Times New Roman"/>
          <w:sz w:val="24"/>
          <w:szCs w:val="24"/>
        </w:rPr>
      </w:pPr>
    </w:p>
    <w:p w14:paraId="61B833A9" w14:textId="601596E0" w:rsidR="00426E6F" w:rsidRDefault="00426E6F"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Section 56(1) of the Constitution</w:t>
      </w:r>
      <w:r w:rsidR="00031199">
        <w:rPr>
          <w:rFonts w:ascii="Times New Roman" w:hAnsi="Times New Roman" w:cs="Times New Roman"/>
          <w:sz w:val="24"/>
          <w:szCs w:val="24"/>
        </w:rPr>
        <w:t xml:space="preserve">, under the rubric of </w:t>
      </w:r>
      <w:r w:rsidR="00031199">
        <w:rPr>
          <w:rFonts w:ascii="Times New Roman" w:hAnsi="Times New Roman" w:cs="Times New Roman"/>
          <w:b/>
          <w:bCs/>
          <w:sz w:val="24"/>
          <w:szCs w:val="24"/>
        </w:rPr>
        <w:t>equality and non-discrimination</w:t>
      </w:r>
      <w:r w:rsidR="00031199">
        <w:rPr>
          <w:rFonts w:ascii="Times New Roman" w:hAnsi="Times New Roman" w:cs="Times New Roman"/>
          <w:sz w:val="24"/>
          <w:szCs w:val="24"/>
        </w:rPr>
        <w:t>,</w:t>
      </w:r>
      <w:r>
        <w:rPr>
          <w:rFonts w:ascii="Times New Roman" w:hAnsi="Times New Roman" w:cs="Times New Roman"/>
          <w:sz w:val="24"/>
          <w:szCs w:val="24"/>
        </w:rPr>
        <w:t xml:space="preserve"> provides that:</w:t>
      </w:r>
    </w:p>
    <w:p w14:paraId="6D9ECAED" w14:textId="3F8BA639" w:rsidR="00426E6F" w:rsidRPr="00031199" w:rsidRDefault="00031199" w:rsidP="0003119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031199">
        <w:rPr>
          <w:rFonts w:ascii="Times New Roman" w:hAnsi="Times New Roman" w:cs="Times New Roman"/>
          <w:sz w:val="24"/>
          <w:szCs w:val="24"/>
        </w:rPr>
        <w:t>All persons are equal before the law and have the right to equal protection and benefit of the law.</w:t>
      </w:r>
      <w:r>
        <w:rPr>
          <w:rFonts w:ascii="Times New Roman" w:hAnsi="Times New Roman" w:cs="Times New Roman"/>
          <w:sz w:val="24"/>
          <w:szCs w:val="24"/>
        </w:rPr>
        <w:t>”</w:t>
      </w:r>
    </w:p>
    <w:p w14:paraId="14FBD4BB" w14:textId="77777777" w:rsidR="00031199" w:rsidRDefault="00031199" w:rsidP="00031199">
      <w:pPr>
        <w:spacing w:after="0" w:line="480" w:lineRule="auto"/>
        <w:jc w:val="both"/>
        <w:rPr>
          <w:rFonts w:ascii="Times New Roman" w:hAnsi="Times New Roman" w:cs="Times New Roman"/>
          <w:sz w:val="24"/>
          <w:szCs w:val="24"/>
        </w:rPr>
      </w:pPr>
    </w:p>
    <w:p w14:paraId="6CC2BB73" w14:textId="2E109DFD" w:rsidR="00D22BD2" w:rsidRDefault="00D22BD2" w:rsidP="0003119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the leading case on the interpretation of s 56(1), </w:t>
      </w:r>
      <w:proofErr w:type="spellStart"/>
      <w:r>
        <w:rPr>
          <w:rFonts w:ascii="Times New Roman" w:hAnsi="Times New Roman" w:cs="Times New Roman"/>
          <w:i/>
          <w:iCs/>
          <w:sz w:val="24"/>
          <w:szCs w:val="24"/>
        </w:rPr>
        <w:t>Nkomo</w:t>
      </w:r>
      <w:proofErr w:type="spellEnd"/>
      <w:r>
        <w:rPr>
          <w:rFonts w:ascii="Times New Roman" w:hAnsi="Times New Roman" w:cs="Times New Roman"/>
          <w:sz w:val="24"/>
          <w:szCs w:val="24"/>
        </w:rPr>
        <w:t xml:space="preserve"> v </w:t>
      </w:r>
      <w:r>
        <w:rPr>
          <w:rFonts w:ascii="Times New Roman" w:hAnsi="Times New Roman" w:cs="Times New Roman"/>
          <w:i/>
          <w:iCs/>
          <w:sz w:val="24"/>
          <w:szCs w:val="24"/>
        </w:rPr>
        <w:t>Minister of Local Government, Rural and Urb</w:t>
      </w:r>
      <w:r w:rsidR="00040D40">
        <w:rPr>
          <w:rFonts w:ascii="Times New Roman" w:hAnsi="Times New Roman" w:cs="Times New Roman"/>
          <w:i/>
          <w:iCs/>
          <w:sz w:val="24"/>
          <w:szCs w:val="24"/>
        </w:rPr>
        <w:t>an</w:t>
      </w:r>
      <w:r>
        <w:rPr>
          <w:rFonts w:ascii="Times New Roman" w:hAnsi="Times New Roman" w:cs="Times New Roman"/>
          <w:i/>
          <w:iCs/>
          <w:sz w:val="24"/>
          <w:szCs w:val="24"/>
        </w:rPr>
        <w:t xml:space="preserve"> Development &amp; </w:t>
      </w:r>
      <w:proofErr w:type="spellStart"/>
      <w:r>
        <w:rPr>
          <w:rFonts w:ascii="Times New Roman" w:hAnsi="Times New Roman" w:cs="Times New Roman"/>
          <w:i/>
          <w:iCs/>
          <w:sz w:val="24"/>
          <w:szCs w:val="24"/>
        </w:rPr>
        <w:t>Ors</w:t>
      </w:r>
      <w:proofErr w:type="spellEnd"/>
      <w:r>
        <w:rPr>
          <w:rFonts w:ascii="Times New Roman" w:hAnsi="Times New Roman" w:cs="Times New Roman"/>
          <w:sz w:val="24"/>
          <w:szCs w:val="24"/>
        </w:rPr>
        <w:t xml:space="preserve"> CCZ </w:t>
      </w:r>
      <w:r w:rsidR="006819AF">
        <w:rPr>
          <w:rFonts w:ascii="Times New Roman" w:hAnsi="Times New Roman" w:cs="Times New Roman"/>
          <w:sz w:val="24"/>
          <w:szCs w:val="24"/>
        </w:rPr>
        <w:t>6-16,</w:t>
      </w:r>
      <w:r>
        <w:rPr>
          <w:rFonts w:ascii="Times New Roman" w:hAnsi="Times New Roman" w:cs="Times New Roman"/>
          <w:sz w:val="24"/>
          <w:szCs w:val="24"/>
        </w:rPr>
        <w:t xml:space="preserve"> it was emphasised that:</w:t>
      </w:r>
    </w:p>
    <w:p w14:paraId="43582F3C" w14:textId="6FC39A4A" w:rsidR="00D22BD2" w:rsidRDefault="00D22BD2" w:rsidP="006819AF">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“It envisages a law which provides equal protection and benefit for the persons protected by it. It includes the right not to be subjected to treatment to which others in a similar position are not subjected.</w:t>
      </w:r>
    </w:p>
    <w:p w14:paraId="1D8DF8B7" w14:textId="77777777" w:rsidR="00792732" w:rsidRDefault="00792732" w:rsidP="006819AF">
      <w:pPr>
        <w:spacing w:after="0" w:line="240" w:lineRule="auto"/>
        <w:ind w:left="720"/>
        <w:jc w:val="both"/>
        <w:rPr>
          <w:rFonts w:ascii="Times New Roman" w:hAnsi="Times New Roman" w:cs="Times New Roman"/>
          <w:sz w:val="24"/>
          <w:szCs w:val="24"/>
        </w:rPr>
      </w:pPr>
    </w:p>
    <w:p w14:paraId="661AF8E9" w14:textId="6A8B49A3" w:rsidR="00D22BD2" w:rsidRPr="00D22BD2" w:rsidRDefault="00D22BD2" w:rsidP="006819AF">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The applicant has made no allegation of unequal treatment or differentiation. He has not shown that he was denied protection of the law while others in his position have been afforded such protection. He has presented the Court with no evidence that </w:t>
      </w:r>
      <w:r w:rsidR="006819AF">
        <w:rPr>
          <w:rFonts w:ascii="Times New Roman" w:hAnsi="Times New Roman" w:cs="Times New Roman"/>
          <w:sz w:val="24"/>
          <w:szCs w:val="24"/>
        </w:rPr>
        <w:t>he has been denied equal protection and benefit of the law.”</w:t>
      </w:r>
    </w:p>
    <w:p w14:paraId="64EFEF03" w14:textId="77777777" w:rsidR="00031199" w:rsidRDefault="00031199" w:rsidP="00031199">
      <w:pPr>
        <w:spacing w:after="0" w:line="480" w:lineRule="auto"/>
        <w:jc w:val="both"/>
        <w:rPr>
          <w:rFonts w:ascii="Times New Roman" w:hAnsi="Times New Roman" w:cs="Times New Roman"/>
          <w:sz w:val="24"/>
          <w:szCs w:val="24"/>
        </w:rPr>
      </w:pPr>
    </w:p>
    <w:p w14:paraId="63C33AA2" w14:textId="47643B81" w:rsidR="006819AF" w:rsidRDefault="006819AF" w:rsidP="0003119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similar vein, in </w:t>
      </w:r>
      <w:proofErr w:type="spellStart"/>
      <w:r>
        <w:rPr>
          <w:rFonts w:ascii="Times New Roman" w:hAnsi="Times New Roman" w:cs="Times New Roman"/>
          <w:i/>
          <w:iCs/>
          <w:sz w:val="24"/>
          <w:szCs w:val="24"/>
        </w:rPr>
        <w:t>Gonese</w:t>
      </w:r>
      <w:proofErr w:type="spellEnd"/>
      <w:r>
        <w:rPr>
          <w:rFonts w:ascii="Times New Roman" w:hAnsi="Times New Roman" w:cs="Times New Roman"/>
          <w:sz w:val="24"/>
          <w:szCs w:val="24"/>
        </w:rPr>
        <w:t xml:space="preserve"> v </w:t>
      </w:r>
      <w:r>
        <w:rPr>
          <w:rFonts w:ascii="Times New Roman" w:hAnsi="Times New Roman" w:cs="Times New Roman"/>
          <w:i/>
          <w:iCs/>
          <w:sz w:val="24"/>
          <w:szCs w:val="24"/>
        </w:rPr>
        <w:t xml:space="preserve">President of the Senate &amp; </w:t>
      </w:r>
      <w:proofErr w:type="spellStart"/>
      <w:r>
        <w:rPr>
          <w:rFonts w:ascii="Times New Roman" w:hAnsi="Times New Roman" w:cs="Times New Roman"/>
          <w:i/>
          <w:iCs/>
          <w:sz w:val="24"/>
          <w:szCs w:val="24"/>
        </w:rPr>
        <w:t>Ors</w:t>
      </w:r>
      <w:proofErr w:type="spellEnd"/>
      <w:r>
        <w:rPr>
          <w:rFonts w:ascii="Times New Roman" w:hAnsi="Times New Roman" w:cs="Times New Roman"/>
          <w:sz w:val="24"/>
          <w:szCs w:val="24"/>
        </w:rPr>
        <w:t xml:space="preserve"> CCZ 2-23, it was reiterated that:</w:t>
      </w:r>
    </w:p>
    <w:p w14:paraId="4DA35152" w14:textId="2DCE7F67" w:rsidR="006819AF" w:rsidRPr="008062F8" w:rsidRDefault="006819AF" w:rsidP="008062F8">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person alleging a violation of s 56(1) must demonstrate that he was denied the protection of the law, while others similarly positioned were afforded such protection. Put differently, he must show that the law in question operated </w:t>
      </w:r>
      <w:r w:rsidR="008062F8">
        <w:rPr>
          <w:rFonts w:ascii="Times New Roman" w:hAnsi="Times New Roman" w:cs="Times New Roman"/>
          <w:sz w:val="24"/>
          <w:szCs w:val="24"/>
        </w:rPr>
        <w:t xml:space="preserve">to discriminate against him in favour of others in the same or similar position. See the </w:t>
      </w:r>
      <w:proofErr w:type="spellStart"/>
      <w:r w:rsidR="008062F8">
        <w:rPr>
          <w:rFonts w:ascii="Times New Roman" w:hAnsi="Times New Roman" w:cs="Times New Roman"/>
          <w:i/>
          <w:iCs/>
          <w:sz w:val="24"/>
          <w:szCs w:val="24"/>
        </w:rPr>
        <w:t>Mpungu</w:t>
      </w:r>
      <w:proofErr w:type="spellEnd"/>
      <w:r w:rsidR="008062F8">
        <w:rPr>
          <w:rFonts w:ascii="Times New Roman" w:hAnsi="Times New Roman" w:cs="Times New Roman"/>
          <w:sz w:val="24"/>
          <w:szCs w:val="24"/>
        </w:rPr>
        <w:t xml:space="preserve"> case, </w:t>
      </w:r>
      <w:r w:rsidR="008062F8">
        <w:rPr>
          <w:rFonts w:ascii="Times New Roman" w:hAnsi="Times New Roman" w:cs="Times New Roman"/>
          <w:i/>
          <w:iCs/>
          <w:sz w:val="24"/>
          <w:szCs w:val="24"/>
        </w:rPr>
        <w:t>op. cit.</w:t>
      </w:r>
      <w:r w:rsidR="008062F8">
        <w:rPr>
          <w:rFonts w:ascii="Times New Roman" w:hAnsi="Times New Roman" w:cs="Times New Roman"/>
          <w:sz w:val="24"/>
          <w:szCs w:val="24"/>
        </w:rPr>
        <w:t xml:space="preserve"> In other words, the general right to protection of the law </w:t>
      </w:r>
      <w:r w:rsidR="008062F8">
        <w:rPr>
          <w:rFonts w:ascii="Times New Roman" w:hAnsi="Times New Roman" w:cs="Times New Roman"/>
          <w:i/>
          <w:iCs/>
          <w:sz w:val="24"/>
          <w:szCs w:val="24"/>
        </w:rPr>
        <w:t>simpliciter</w:t>
      </w:r>
      <w:r w:rsidR="008062F8">
        <w:rPr>
          <w:rFonts w:ascii="Times New Roman" w:hAnsi="Times New Roman" w:cs="Times New Roman"/>
          <w:sz w:val="24"/>
          <w:szCs w:val="24"/>
        </w:rPr>
        <w:t xml:space="preserve"> no longer exists or is not to be found in s 56(1).”</w:t>
      </w:r>
    </w:p>
    <w:p w14:paraId="1F1128E4" w14:textId="77777777" w:rsidR="00031199" w:rsidRDefault="00031199" w:rsidP="00031199">
      <w:pPr>
        <w:spacing w:after="0" w:line="480" w:lineRule="auto"/>
        <w:jc w:val="both"/>
        <w:rPr>
          <w:rFonts w:ascii="Times New Roman" w:hAnsi="Times New Roman" w:cs="Times New Roman"/>
          <w:sz w:val="24"/>
          <w:szCs w:val="24"/>
        </w:rPr>
      </w:pPr>
    </w:p>
    <w:p w14:paraId="18BEA9C8" w14:textId="276BA681" w:rsidR="008062F8" w:rsidRDefault="008062F8" w:rsidP="0003119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question that arises </w:t>
      </w:r>
      <w:r>
        <w:rPr>
          <w:rFonts w:ascii="Times New Roman" w:hAnsi="Times New Roman" w:cs="Times New Roman"/>
          <w:i/>
          <w:iCs/>
          <w:sz w:val="24"/>
          <w:szCs w:val="24"/>
        </w:rPr>
        <w:t xml:space="preserve">in </w:t>
      </w:r>
      <w:proofErr w:type="spellStart"/>
      <w:r>
        <w:rPr>
          <w:rFonts w:ascii="Times New Roman" w:hAnsi="Times New Roman" w:cs="Times New Roman"/>
          <w:i/>
          <w:iCs/>
          <w:sz w:val="24"/>
          <w:szCs w:val="24"/>
        </w:rPr>
        <w:t>casu</w:t>
      </w:r>
      <w:proofErr w:type="spellEnd"/>
      <w:r>
        <w:rPr>
          <w:rFonts w:ascii="Times New Roman" w:hAnsi="Times New Roman" w:cs="Times New Roman"/>
          <w:sz w:val="24"/>
          <w:szCs w:val="24"/>
        </w:rPr>
        <w:t xml:space="preserve"> is whether the intended substantive application under s 85(1) of the Constitution meets the requisite threshold for pleading a violation of the right to equal protection and benefit of the law under s 56(1). In my considered opinion, it does not</w:t>
      </w:r>
      <w:r w:rsidR="006B5940">
        <w:rPr>
          <w:rFonts w:ascii="Times New Roman" w:hAnsi="Times New Roman" w:cs="Times New Roman"/>
          <w:sz w:val="24"/>
          <w:szCs w:val="24"/>
        </w:rPr>
        <w:t>, for the following reasons.</w:t>
      </w:r>
    </w:p>
    <w:p w14:paraId="416FC5CF" w14:textId="77777777" w:rsidR="006B5940" w:rsidRDefault="006B5940" w:rsidP="00031199">
      <w:pPr>
        <w:spacing w:after="0" w:line="480" w:lineRule="auto"/>
        <w:jc w:val="both"/>
        <w:rPr>
          <w:rFonts w:ascii="Times New Roman" w:hAnsi="Times New Roman" w:cs="Times New Roman"/>
          <w:sz w:val="24"/>
          <w:szCs w:val="24"/>
        </w:rPr>
      </w:pPr>
    </w:p>
    <w:p w14:paraId="6E963943" w14:textId="0A614C9E" w:rsidR="00067207" w:rsidRDefault="00792732" w:rsidP="0003119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order to found reliance on s 56(1), </w:t>
      </w:r>
      <w:r w:rsidR="00067207">
        <w:rPr>
          <w:rFonts w:ascii="Times New Roman" w:hAnsi="Times New Roman" w:cs="Times New Roman"/>
          <w:sz w:val="24"/>
          <w:szCs w:val="24"/>
        </w:rPr>
        <w:t xml:space="preserve">the applicant must demonstrate that, by virtue of </w:t>
      </w:r>
      <w:r w:rsidR="00923BAC">
        <w:rPr>
          <w:rFonts w:ascii="Times New Roman" w:hAnsi="Times New Roman" w:cs="Times New Roman"/>
          <w:sz w:val="24"/>
          <w:szCs w:val="24"/>
        </w:rPr>
        <w:t>the conduct of the Supreme Court and the resultant</w:t>
      </w:r>
      <w:r w:rsidR="00067207">
        <w:rPr>
          <w:rFonts w:ascii="Times New Roman" w:hAnsi="Times New Roman" w:cs="Times New Roman"/>
          <w:sz w:val="24"/>
          <w:szCs w:val="24"/>
        </w:rPr>
        <w:t xml:space="preserve"> judgment </w:t>
      </w:r>
      <w:r w:rsidR="00923BAC">
        <w:rPr>
          <w:rFonts w:ascii="Times New Roman" w:hAnsi="Times New Roman" w:cs="Times New Roman"/>
          <w:sz w:val="24"/>
          <w:szCs w:val="24"/>
        </w:rPr>
        <w:t xml:space="preserve">that is impugned, </w:t>
      </w:r>
      <w:r w:rsidR="00067207">
        <w:rPr>
          <w:rFonts w:ascii="Times New Roman" w:hAnsi="Times New Roman" w:cs="Times New Roman"/>
          <w:sz w:val="24"/>
          <w:szCs w:val="24"/>
        </w:rPr>
        <w:t xml:space="preserve">it has been the recipient of unequal treatment, </w:t>
      </w:r>
      <w:r w:rsidR="00067207">
        <w:rPr>
          <w:rFonts w:ascii="Times New Roman" w:hAnsi="Times New Roman" w:cs="Times New Roman"/>
          <w:i/>
          <w:iCs/>
          <w:sz w:val="24"/>
          <w:szCs w:val="24"/>
        </w:rPr>
        <w:t>viz.</w:t>
      </w:r>
      <w:r w:rsidR="00067207">
        <w:rPr>
          <w:rFonts w:ascii="Times New Roman" w:hAnsi="Times New Roman" w:cs="Times New Roman"/>
          <w:sz w:val="24"/>
          <w:szCs w:val="24"/>
        </w:rPr>
        <w:t xml:space="preserve"> that certain persons similarly positioned have been afforded </w:t>
      </w:r>
      <w:r w:rsidR="00067207">
        <w:rPr>
          <w:rFonts w:ascii="Times New Roman" w:hAnsi="Times New Roman" w:cs="Times New Roman"/>
          <w:sz w:val="24"/>
          <w:szCs w:val="24"/>
        </w:rPr>
        <w:lastRenderedPageBreak/>
        <w:t>some protection or benefit of the law, which protection or benefit it has not been afforded. In other words, it must show that those persons in the same or similar position as itself have been treated in a manner different from the treatment meted out to it and that it is entitled to the same or equal treatment as those persons.</w:t>
      </w:r>
    </w:p>
    <w:p w14:paraId="1DD0CE2E" w14:textId="77777777" w:rsidR="00067207" w:rsidRDefault="00067207" w:rsidP="00031199">
      <w:pPr>
        <w:spacing w:after="0" w:line="480" w:lineRule="auto"/>
        <w:jc w:val="both"/>
        <w:rPr>
          <w:rFonts w:ascii="Times New Roman" w:hAnsi="Times New Roman" w:cs="Times New Roman"/>
          <w:sz w:val="24"/>
          <w:szCs w:val="24"/>
        </w:rPr>
      </w:pPr>
    </w:p>
    <w:p w14:paraId="42C162D2" w14:textId="685B86F7" w:rsidR="00C5119A" w:rsidRPr="00C5119A" w:rsidRDefault="00067207" w:rsidP="0003119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17A0">
        <w:rPr>
          <w:rFonts w:ascii="Times New Roman" w:hAnsi="Times New Roman" w:cs="Times New Roman"/>
          <w:sz w:val="24"/>
          <w:szCs w:val="24"/>
        </w:rPr>
        <w:tab/>
        <w:t xml:space="preserve">In the present matter, the Supreme Court was confronted with a preliminary objection grounded in the alleged </w:t>
      </w:r>
      <w:proofErr w:type="spellStart"/>
      <w:r w:rsidR="007417A0">
        <w:rPr>
          <w:rFonts w:ascii="Times New Roman" w:hAnsi="Times New Roman" w:cs="Times New Roman"/>
          <w:sz w:val="24"/>
          <w:szCs w:val="24"/>
        </w:rPr>
        <w:t>peremption</w:t>
      </w:r>
      <w:proofErr w:type="spellEnd"/>
      <w:r w:rsidR="007417A0">
        <w:rPr>
          <w:rFonts w:ascii="Times New Roman" w:hAnsi="Times New Roman" w:cs="Times New Roman"/>
          <w:sz w:val="24"/>
          <w:szCs w:val="24"/>
        </w:rPr>
        <w:t xml:space="preserve"> of the applicant’s right of appeal by virtue of its alleged acquiescence in the judgment appealed against. The court proceeded to deal with the objection and ruled against the applicant. Procedurally regarded, a preliminary issue or objection constitutes a discrete element of a dispute that has the potential </w:t>
      </w:r>
      <w:r w:rsidR="009F0D97">
        <w:rPr>
          <w:rFonts w:ascii="Times New Roman" w:hAnsi="Times New Roman" w:cs="Times New Roman"/>
          <w:sz w:val="24"/>
          <w:szCs w:val="24"/>
        </w:rPr>
        <w:t>to decisively conclude the dispute or a substantial part thereof.</w:t>
      </w:r>
      <w:r w:rsidR="00C5119A">
        <w:rPr>
          <w:rFonts w:ascii="Times New Roman" w:hAnsi="Times New Roman" w:cs="Times New Roman"/>
          <w:sz w:val="24"/>
          <w:szCs w:val="24"/>
        </w:rPr>
        <w:t xml:space="preserve"> As a rule, a court seized with a dispute must examine and dispose of all the issues that are properly raised before it, including any relevant preliminary issue. The failure to do so constitutes a fatal procedural irregularity that operates to vitiate the entire proceedings. See </w:t>
      </w:r>
      <w:proofErr w:type="spellStart"/>
      <w:r w:rsidR="00C5119A">
        <w:rPr>
          <w:rFonts w:ascii="Times New Roman" w:hAnsi="Times New Roman" w:cs="Times New Roman"/>
          <w:i/>
          <w:iCs/>
          <w:sz w:val="24"/>
          <w:szCs w:val="24"/>
        </w:rPr>
        <w:t>Gwaradzimba</w:t>
      </w:r>
      <w:proofErr w:type="spellEnd"/>
      <w:r w:rsidR="00C5119A">
        <w:rPr>
          <w:rFonts w:ascii="Times New Roman" w:hAnsi="Times New Roman" w:cs="Times New Roman"/>
          <w:sz w:val="24"/>
          <w:szCs w:val="24"/>
        </w:rPr>
        <w:t xml:space="preserve"> v </w:t>
      </w:r>
      <w:r w:rsidR="00C5119A">
        <w:rPr>
          <w:rFonts w:ascii="Times New Roman" w:hAnsi="Times New Roman" w:cs="Times New Roman"/>
          <w:i/>
          <w:iCs/>
          <w:sz w:val="24"/>
          <w:szCs w:val="24"/>
        </w:rPr>
        <w:t>C.J. Petron and Company (Pvt) Ltd</w:t>
      </w:r>
      <w:r w:rsidR="00C5119A">
        <w:rPr>
          <w:rFonts w:ascii="Times New Roman" w:hAnsi="Times New Roman" w:cs="Times New Roman"/>
          <w:sz w:val="24"/>
          <w:szCs w:val="24"/>
        </w:rPr>
        <w:t xml:space="preserve"> SC 12-16, at paras 20-26.</w:t>
      </w:r>
    </w:p>
    <w:p w14:paraId="5AE966C6" w14:textId="77777777" w:rsidR="00C5119A" w:rsidRDefault="00C5119A" w:rsidP="00031199">
      <w:pPr>
        <w:spacing w:after="0" w:line="480" w:lineRule="auto"/>
        <w:jc w:val="both"/>
        <w:rPr>
          <w:rFonts w:ascii="Times New Roman" w:hAnsi="Times New Roman" w:cs="Times New Roman"/>
          <w:sz w:val="24"/>
          <w:szCs w:val="24"/>
        </w:rPr>
      </w:pPr>
    </w:p>
    <w:p w14:paraId="0180F0EF" w14:textId="3E5058FD" w:rsidR="00792732" w:rsidRDefault="009F0D97" w:rsidP="00C5119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the court </w:t>
      </w:r>
      <w:r>
        <w:rPr>
          <w:rFonts w:ascii="Times New Roman" w:hAnsi="Times New Roman" w:cs="Times New Roman"/>
          <w:i/>
          <w:iCs/>
          <w:sz w:val="24"/>
          <w:szCs w:val="24"/>
        </w:rPr>
        <w:t>a quo</w:t>
      </w:r>
      <w:r>
        <w:rPr>
          <w:rFonts w:ascii="Times New Roman" w:hAnsi="Times New Roman" w:cs="Times New Roman"/>
          <w:sz w:val="24"/>
          <w:szCs w:val="24"/>
        </w:rPr>
        <w:t xml:space="preserve"> did was to determine the dispute before it by adopting a course properly acceptable at law, that of disposing of a matter on the strength of a preliminary point. In so doing, it did not differentiate or discriminate in any manner as against the applicant by subjecting it to any treatment less favourable than that accorded to other litigants in a similar or the same position. In </w:t>
      </w:r>
      <w:r w:rsidR="0002420B">
        <w:rPr>
          <w:rFonts w:ascii="Times New Roman" w:hAnsi="Times New Roman" w:cs="Times New Roman"/>
          <w:sz w:val="24"/>
          <w:szCs w:val="24"/>
        </w:rPr>
        <w:t>short,</w:t>
      </w:r>
      <w:r>
        <w:rPr>
          <w:rFonts w:ascii="Times New Roman" w:hAnsi="Times New Roman" w:cs="Times New Roman"/>
          <w:sz w:val="24"/>
          <w:szCs w:val="24"/>
        </w:rPr>
        <w:t xml:space="preserve"> </w:t>
      </w:r>
      <w:r w:rsidR="0002420B">
        <w:rPr>
          <w:rFonts w:ascii="Times New Roman" w:hAnsi="Times New Roman" w:cs="Times New Roman"/>
          <w:sz w:val="24"/>
          <w:szCs w:val="24"/>
        </w:rPr>
        <w:t>the court</w:t>
      </w:r>
      <w:r>
        <w:rPr>
          <w:rFonts w:ascii="Times New Roman" w:hAnsi="Times New Roman" w:cs="Times New Roman"/>
          <w:sz w:val="24"/>
          <w:szCs w:val="24"/>
        </w:rPr>
        <w:t xml:space="preserve"> did not in any way discriminate against the applicant</w:t>
      </w:r>
      <w:r w:rsidR="007C754A">
        <w:rPr>
          <w:rFonts w:ascii="Times New Roman" w:hAnsi="Times New Roman" w:cs="Times New Roman"/>
          <w:sz w:val="24"/>
          <w:szCs w:val="24"/>
        </w:rPr>
        <w:t xml:space="preserve"> or subject it to any unequal treatment.</w:t>
      </w:r>
    </w:p>
    <w:p w14:paraId="279331FB" w14:textId="77777777" w:rsidR="00834F47" w:rsidRDefault="00834F47" w:rsidP="00C5119A">
      <w:pPr>
        <w:spacing w:after="0" w:line="480" w:lineRule="auto"/>
        <w:ind w:firstLine="720"/>
        <w:jc w:val="both"/>
        <w:rPr>
          <w:rFonts w:ascii="Times New Roman" w:hAnsi="Times New Roman" w:cs="Times New Roman"/>
          <w:sz w:val="24"/>
          <w:szCs w:val="24"/>
        </w:rPr>
      </w:pPr>
    </w:p>
    <w:p w14:paraId="446CE724" w14:textId="6DC72D55" w:rsidR="00834F47" w:rsidRDefault="00834F47" w:rsidP="00C5119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Whether or not the court </w:t>
      </w:r>
      <w:r>
        <w:rPr>
          <w:rFonts w:ascii="Times New Roman" w:hAnsi="Times New Roman" w:cs="Times New Roman"/>
          <w:i/>
          <w:iCs/>
          <w:sz w:val="24"/>
          <w:szCs w:val="24"/>
        </w:rPr>
        <w:t>a quo</w:t>
      </w:r>
      <w:r>
        <w:rPr>
          <w:rFonts w:ascii="Times New Roman" w:hAnsi="Times New Roman" w:cs="Times New Roman"/>
          <w:sz w:val="24"/>
          <w:szCs w:val="24"/>
        </w:rPr>
        <w:t xml:space="preserve"> was correct in assessing the evidence before it in arriving at its determination is an entirely separate matter. That is not the critical question in issue at </w:t>
      </w:r>
      <w:r>
        <w:rPr>
          <w:rFonts w:ascii="Times New Roman" w:hAnsi="Times New Roman" w:cs="Times New Roman"/>
          <w:sz w:val="24"/>
          <w:szCs w:val="24"/>
        </w:rPr>
        <w:lastRenderedPageBreak/>
        <w:t xml:space="preserve">this stage for the purpose of analysing and adjudicating an alleged infringement of the right to equal protection and benefit of the law. In that respect, I do not think that the applicant has made out any persuasive or arguable case to sustain the alleged violation of </w:t>
      </w:r>
      <w:r w:rsidR="007C754A">
        <w:rPr>
          <w:rFonts w:ascii="Times New Roman" w:hAnsi="Times New Roman" w:cs="Times New Roman"/>
          <w:sz w:val="24"/>
          <w:szCs w:val="24"/>
        </w:rPr>
        <w:t>s</w:t>
      </w:r>
      <w:r>
        <w:rPr>
          <w:rFonts w:ascii="Times New Roman" w:hAnsi="Times New Roman" w:cs="Times New Roman"/>
          <w:sz w:val="24"/>
          <w:szCs w:val="24"/>
        </w:rPr>
        <w:t xml:space="preserve"> 56(1) of the Constitution. Its prospects of success in that regard are non-existent or negligible at best.</w:t>
      </w:r>
    </w:p>
    <w:p w14:paraId="505C7F7B" w14:textId="77777777" w:rsidR="00834F47" w:rsidRDefault="00834F47" w:rsidP="00834F47">
      <w:pPr>
        <w:spacing w:after="0" w:line="480" w:lineRule="auto"/>
        <w:jc w:val="both"/>
        <w:rPr>
          <w:rFonts w:ascii="Times New Roman" w:hAnsi="Times New Roman" w:cs="Times New Roman"/>
          <w:sz w:val="24"/>
          <w:szCs w:val="24"/>
        </w:rPr>
      </w:pPr>
    </w:p>
    <w:p w14:paraId="40AFE166" w14:textId="317F32CC" w:rsidR="00834F47" w:rsidRDefault="00834F47" w:rsidP="00834F47">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Allege</w:t>
      </w:r>
      <w:r w:rsidR="00BE01C4">
        <w:rPr>
          <w:rFonts w:ascii="Times New Roman" w:hAnsi="Times New Roman" w:cs="Times New Roman"/>
          <w:b/>
          <w:bCs/>
          <w:sz w:val="24"/>
          <w:szCs w:val="24"/>
        </w:rPr>
        <w:t>d</w:t>
      </w:r>
      <w:r>
        <w:rPr>
          <w:rFonts w:ascii="Times New Roman" w:hAnsi="Times New Roman" w:cs="Times New Roman"/>
          <w:b/>
          <w:bCs/>
          <w:sz w:val="24"/>
          <w:szCs w:val="24"/>
        </w:rPr>
        <w:t xml:space="preserve"> </w:t>
      </w:r>
      <w:r w:rsidR="00BE01C4">
        <w:rPr>
          <w:rFonts w:ascii="Times New Roman" w:hAnsi="Times New Roman" w:cs="Times New Roman"/>
          <w:b/>
          <w:bCs/>
          <w:sz w:val="24"/>
          <w:szCs w:val="24"/>
        </w:rPr>
        <w:t>V</w:t>
      </w:r>
      <w:r>
        <w:rPr>
          <w:rFonts w:ascii="Times New Roman" w:hAnsi="Times New Roman" w:cs="Times New Roman"/>
          <w:b/>
          <w:bCs/>
          <w:sz w:val="24"/>
          <w:szCs w:val="24"/>
        </w:rPr>
        <w:t xml:space="preserve">iolation of </w:t>
      </w:r>
      <w:r w:rsidR="00BE01C4">
        <w:rPr>
          <w:rFonts w:ascii="Times New Roman" w:hAnsi="Times New Roman" w:cs="Times New Roman"/>
          <w:b/>
          <w:bCs/>
          <w:sz w:val="24"/>
          <w:szCs w:val="24"/>
        </w:rPr>
        <w:t>S</w:t>
      </w:r>
      <w:r>
        <w:rPr>
          <w:rFonts w:ascii="Times New Roman" w:hAnsi="Times New Roman" w:cs="Times New Roman"/>
          <w:b/>
          <w:bCs/>
          <w:sz w:val="24"/>
          <w:szCs w:val="24"/>
        </w:rPr>
        <w:t>ection 69(2) and (3) of the Constitution</w:t>
      </w:r>
    </w:p>
    <w:p w14:paraId="7C0294C9" w14:textId="78BA5936" w:rsidR="00AE2FA6" w:rsidRPr="00AE2FA6" w:rsidRDefault="00AE2FA6" w:rsidP="00834F4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In the intended substantive application, the applicant avers that the Supreme Court violated its right to a fair hearing guaranteed by s 69 of the Constitution. Subsections (2) and (3) of s 69 provide as follows:</w:t>
      </w:r>
    </w:p>
    <w:p w14:paraId="449032E1" w14:textId="3B0D41EC" w:rsidR="00031199" w:rsidRPr="00031199" w:rsidRDefault="00031199" w:rsidP="0003119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r w:rsidRPr="00031199">
        <w:rPr>
          <w:rFonts w:ascii="Times New Roman" w:hAnsi="Times New Roman" w:cs="Times New Roman"/>
          <w:sz w:val="24"/>
          <w:szCs w:val="24"/>
        </w:rPr>
        <w:t>(2) In the determination of civil rights and obligations, every person has a right to a fair, speedy and public</w:t>
      </w:r>
      <w:r>
        <w:rPr>
          <w:rFonts w:ascii="Times New Roman" w:hAnsi="Times New Roman" w:cs="Times New Roman"/>
          <w:sz w:val="24"/>
          <w:szCs w:val="24"/>
        </w:rPr>
        <w:t xml:space="preserve"> </w:t>
      </w:r>
      <w:r w:rsidRPr="00031199">
        <w:rPr>
          <w:rFonts w:ascii="Times New Roman" w:hAnsi="Times New Roman" w:cs="Times New Roman"/>
          <w:sz w:val="24"/>
          <w:szCs w:val="24"/>
        </w:rPr>
        <w:t>hearing within a reasonable time before an independent and impartial court, tribunal or other forum established</w:t>
      </w:r>
      <w:r>
        <w:rPr>
          <w:rFonts w:ascii="Times New Roman" w:hAnsi="Times New Roman" w:cs="Times New Roman"/>
          <w:sz w:val="24"/>
          <w:szCs w:val="24"/>
        </w:rPr>
        <w:t xml:space="preserve"> </w:t>
      </w:r>
      <w:r w:rsidRPr="00031199">
        <w:rPr>
          <w:rFonts w:ascii="Times New Roman" w:hAnsi="Times New Roman" w:cs="Times New Roman"/>
          <w:sz w:val="24"/>
          <w:szCs w:val="24"/>
        </w:rPr>
        <w:t>by law.</w:t>
      </w:r>
    </w:p>
    <w:p w14:paraId="0E280FEB" w14:textId="77777777" w:rsidR="00AE2FA6" w:rsidRDefault="00AE2FA6" w:rsidP="00031199">
      <w:pPr>
        <w:autoSpaceDE w:val="0"/>
        <w:autoSpaceDN w:val="0"/>
        <w:adjustRightInd w:val="0"/>
        <w:spacing w:after="0" w:line="240" w:lineRule="auto"/>
        <w:ind w:left="720"/>
        <w:rPr>
          <w:rFonts w:ascii="Times New Roman" w:hAnsi="Times New Roman" w:cs="Times New Roman"/>
          <w:sz w:val="24"/>
          <w:szCs w:val="24"/>
        </w:rPr>
      </w:pPr>
    </w:p>
    <w:p w14:paraId="41E03A32" w14:textId="482352B0" w:rsidR="00031199" w:rsidRPr="00031199" w:rsidRDefault="00031199" w:rsidP="00031199">
      <w:pPr>
        <w:autoSpaceDE w:val="0"/>
        <w:autoSpaceDN w:val="0"/>
        <w:adjustRightInd w:val="0"/>
        <w:spacing w:after="0" w:line="240" w:lineRule="auto"/>
        <w:ind w:left="720"/>
        <w:rPr>
          <w:rFonts w:ascii="Times New Roman" w:hAnsi="Times New Roman" w:cs="Times New Roman"/>
          <w:sz w:val="24"/>
          <w:szCs w:val="24"/>
        </w:rPr>
      </w:pPr>
      <w:r w:rsidRPr="00031199">
        <w:rPr>
          <w:rFonts w:ascii="Times New Roman" w:hAnsi="Times New Roman" w:cs="Times New Roman"/>
          <w:sz w:val="24"/>
          <w:szCs w:val="24"/>
        </w:rPr>
        <w:t>(3) Every person has the right of access to the courts, or to some other tribunal or forum established by law</w:t>
      </w:r>
      <w:r>
        <w:rPr>
          <w:rFonts w:ascii="Times New Roman" w:hAnsi="Times New Roman" w:cs="Times New Roman"/>
          <w:sz w:val="24"/>
          <w:szCs w:val="24"/>
        </w:rPr>
        <w:t xml:space="preserve"> </w:t>
      </w:r>
      <w:r w:rsidRPr="00031199">
        <w:rPr>
          <w:rFonts w:ascii="Times New Roman" w:hAnsi="Times New Roman" w:cs="Times New Roman"/>
          <w:sz w:val="24"/>
          <w:szCs w:val="24"/>
        </w:rPr>
        <w:t>for the resolution of any dispute.</w:t>
      </w:r>
      <w:r>
        <w:rPr>
          <w:rFonts w:ascii="Times New Roman" w:hAnsi="Times New Roman" w:cs="Times New Roman"/>
          <w:sz w:val="24"/>
          <w:szCs w:val="24"/>
        </w:rPr>
        <w:t>”</w:t>
      </w:r>
    </w:p>
    <w:p w14:paraId="4853C87E" w14:textId="77777777" w:rsidR="00426E6F" w:rsidRDefault="00426E6F" w:rsidP="003E6780">
      <w:pPr>
        <w:spacing w:after="0" w:line="480" w:lineRule="auto"/>
        <w:jc w:val="both"/>
        <w:rPr>
          <w:rFonts w:ascii="Times New Roman" w:hAnsi="Times New Roman" w:cs="Times New Roman"/>
          <w:sz w:val="24"/>
          <w:szCs w:val="24"/>
        </w:rPr>
      </w:pPr>
    </w:p>
    <w:p w14:paraId="0D29AF31" w14:textId="08F43E64" w:rsidR="00AE2FA6" w:rsidRDefault="00AE2FA6"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Taking a broad perspective, the court </w:t>
      </w:r>
      <w:r>
        <w:rPr>
          <w:rFonts w:ascii="Times New Roman" w:hAnsi="Times New Roman" w:cs="Times New Roman"/>
          <w:i/>
          <w:iCs/>
          <w:sz w:val="24"/>
          <w:szCs w:val="24"/>
        </w:rPr>
        <w:t>a quo</w:t>
      </w:r>
      <w:r>
        <w:rPr>
          <w:rFonts w:ascii="Times New Roman" w:hAnsi="Times New Roman" w:cs="Times New Roman"/>
          <w:sz w:val="24"/>
          <w:szCs w:val="24"/>
        </w:rPr>
        <w:t xml:space="preserve"> cannot be faulted for upholding the respondent’s preliminary objection and thereafter dismissing the appeal before it. In so doing, it correctly followed the appellate procedures prescribed by the Supreme Court Rules, 2018. On that broad basis, it cannot be said that the applicant’s right to a fair hearing </w:t>
      </w:r>
      <w:r w:rsidR="002D32FC">
        <w:rPr>
          <w:rFonts w:ascii="Times New Roman" w:hAnsi="Times New Roman" w:cs="Times New Roman"/>
          <w:sz w:val="24"/>
          <w:szCs w:val="24"/>
        </w:rPr>
        <w:t>and right of access to the courts were violated in the circumstances before the Supreme Court.</w:t>
      </w:r>
    </w:p>
    <w:p w14:paraId="2E59D381" w14:textId="77777777" w:rsidR="002D32FC" w:rsidRDefault="002D32FC" w:rsidP="003E6780">
      <w:pPr>
        <w:spacing w:after="0" w:line="480" w:lineRule="auto"/>
        <w:jc w:val="both"/>
        <w:rPr>
          <w:rFonts w:ascii="Times New Roman" w:hAnsi="Times New Roman" w:cs="Times New Roman"/>
          <w:sz w:val="24"/>
          <w:szCs w:val="24"/>
        </w:rPr>
      </w:pPr>
    </w:p>
    <w:p w14:paraId="5F5BE7AA" w14:textId="4F753E27" w:rsidR="002D32FC" w:rsidRDefault="002D32FC"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i/>
          <w:iCs/>
          <w:sz w:val="24"/>
          <w:szCs w:val="24"/>
        </w:rPr>
        <w:t>Magwaliba</w:t>
      </w:r>
      <w:proofErr w:type="spellEnd"/>
      <w:r>
        <w:rPr>
          <w:rFonts w:ascii="Times New Roman" w:hAnsi="Times New Roman" w:cs="Times New Roman"/>
          <w:sz w:val="24"/>
          <w:szCs w:val="24"/>
        </w:rPr>
        <w:t xml:space="preserve"> submits that s 69 of the Constitution includes the right to have a matter determined according to the established principles of law. In this instance</w:t>
      </w:r>
      <w:r w:rsidR="00FC2D7C">
        <w:rPr>
          <w:rFonts w:ascii="Times New Roman" w:hAnsi="Times New Roman" w:cs="Times New Roman"/>
          <w:sz w:val="24"/>
          <w:szCs w:val="24"/>
        </w:rPr>
        <w:t>,</w:t>
      </w:r>
      <w:r w:rsidR="00FD6308">
        <w:rPr>
          <w:rFonts w:ascii="Times New Roman" w:hAnsi="Times New Roman" w:cs="Times New Roman"/>
          <w:sz w:val="24"/>
          <w:szCs w:val="24"/>
        </w:rPr>
        <w:t xml:space="preserve"> </w:t>
      </w:r>
      <w:r>
        <w:rPr>
          <w:rFonts w:ascii="Times New Roman" w:hAnsi="Times New Roman" w:cs="Times New Roman"/>
          <w:sz w:val="24"/>
          <w:szCs w:val="24"/>
        </w:rPr>
        <w:t xml:space="preserve">the court </w:t>
      </w:r>
      <w:r>
        <w:rPr>
          <w:rFonts w:ascii="Times New Roman" w:hAnsi="Times New Roman" w:cs="Times New Roman"/>
          <w:i/>
          <w:iCs/>
          <w:sz w:val="24"/>
          <w:szCs w:val="24"/>
        </w:rPr>
        <w:t>a quo</w:t>
      </w:r>
      <w:r>
        <w:rPr>
          <w:rFonts w:ascii="Times New Roman" w:hAnsi="Times New Roman" w:cs="Times New Roman"/>
          <w:sz w:val="24"/>
          <w:szCs w:val="24"/>
        </w:rPr>
        <w:t xml:space="preserve">’s error was so gross as to transcend mere faultiness. Its decision is to be criticised on the basis that it had the effect of refusing to exercise jurisdiction that was properly exercisable. The court misconceived the principles applicable to its jurisdiction and the relevant procedure to be followed as well as the substantive law to be applied. In so doing, it arrived at a decision that </w:t>
      </w:r>
      <w:r>
        <w:rPr>
          <w:rFonts w:ascii="Times New Roman" w:hAnsi="Times New Roman" w:cs="Times New Roman"/>
          <w:sz w:val="24"/>
          <w:szCs w:val="24"/>
        </w:rPr>
        <w:lastRenderedPageBreak/>
        <w:t xml:space="preserve">was patently wrong in its finding of </w:t>
      </w:r>
      <w:proofErr w:type="spellStart"/>
      <w:r>
        <w:rPr>
          <w:rFonts w:ascii="Times New Roman" w:hAnsi="Times New Roman" w:cs="Times New Roman"/>
          <w:sz w:val="24"/>
          <w:szCs w:val="24"/>
        </w:rPr>
        <w:t>peremption</w:t>
      </w:r>
      <w:proofErr w:type="spellEnd"/>
      <w:r>
        <w:rPr>
          <w:rFonts w:ascii="Times New Roman" w:hAnsi="Times New Roman" w:cs="Times New Roman"/>
          <w:sz w:val="24"/>
          <w:szCs w:val="24"/>
        </w:rPr>
        <w:t xml:space="preserve"> and compromise.</w:t>
      </w:r>
      <w:r w:rsidR="00A211D0">
        <w:rPr>
          <w:rFonts w:ascii="Times New Roman" w:hAnsi="Times New Roman" w:cs="Times New Roman"/>
          <w:sz w:val="24"/>
          <w:szCs w:val="24"/>
        </w:rPr>
        <w:t xml:space="preserve"> In the event,</w:t>
      </w:r>
      <w:r w:rsidR="00FC2D7C">
        <w:rPr>
          <w:rFonts w:ascii="Times New Roman" w:hAnsi="Times New Roman" w:cs="Times New Roman"/>
          <w:sz w:val="24"/>
          <w:szCs w:val="24"/>
        </w:rPr>
        <w:t xml:space="preserve"> so it is argued,</w:t>
      </w:r>
      <w:r w:rsidR="00A211D0">
        <w:rPr>
          <w:rFonts w:ascii="Times New Roman" w:hAnsi="Times New Roman" w:cs="Times New Roman"/>
          <w:sz w:val="24"/>
          <w:szCs w:val="24"/>
        </w:rPr>
        <w:t xml:space="preserve"> the applicant’s right to be heard and right of access to the courts were clearly violated.</w:t>
      </w:r>
    </w:p>
    <w:p w14:paraId="5A263538" w14:textId="77777777" w:rsidR="00A211D0" w:rsidRDefault="00A211D0" w:rsidP="003E6780">
      <w:pPr>
        <w:spacing w:after="0" w:line="480" w:lineRule="auto"/>
        <w:jc w:val="both"/>
        <w:rPr>
          <w:rFonts w:ascii="Times New Roman" w:hAnsi="Times New Roman" w:cs="Times New Roman"/>
          <w:sz w:val="24"/>
          <w:szCs w:val="24"/>
        </w:rPr>
      </w:pPr>
    </w:p>
    <w:p w14:paraId="75B74F31" w14:textId="0E54F662" w:rsidR="00A211D0" w:rsidRPr="00A211D0" w:rsidRDefault="00A211D0"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i/>
          <w:iCs/>
          <w:sz w:val="24"/>
          <w:szCs w:val="24"/>
        </w:rPr>
        <w:t>Ndlovu</w:t>
      </w:r>
      <w:proofErr w:type="spellEnd"/>
      <w:r w:rsidRPr="00A211D0">
        <w:rPr>
          <w:rFonts w:ascii="Times New Roman" w:hAnsi="Times New Roman" w:cs="Times New Roman"/>
          <w:sz w:val="24"/>
          <w:szCs w:val="24"/>
        </w:rPr>
        <w:t xml:space="preserve"> adopts a fundamentally different position. </w:t>
      </w:r>
      <w:r>
        <w:rPr>
          <w:rFonts w:ascii="Times New Roman" w:hAnsi="Times New Roman" w:cs="Times New Roman"/>
          <w:sz w:val="24"/>
          <w:szCs w:val="24"/>
        </w:rPr>
        <w:t xml:space="preserve">He argues that neither the right to a fair hearing nor the right of access to the courts was violated. Both parties were heard on the preliminary point of </w:t>
      </w:r>
      <w:proofErr w:type="spellStart"/>
      <w:r>
        <w:rPr>
          <w:rFonts w:ascii="Times New Roman" w:hAnsi="Times New Roman" w:cs="Times New Roman"/>
          <w:sz w:val="24"/>
          <w:szCs w:val="24"/>
        </w:rPr>
        <w:t>peremption</w:t>
      </w:r>
      <w:proofErr w:type="spellEnd"/>
      <w:r>
        <w:rPr>
          <w:rFonts w:ascii="Times New Roman" w:hAnsi="Times New Roman" w:cs="Times New Roman"/>
          <w:sz w:val="24"/>
          <w:szCs w:val="24"/>
        </w:rPr>
        <w:t xml:space="preserve"> and the resultant judgment of the court </w:t>
      </w:r>
      <w:r>
        <w:rPr>
          <w:rFonts w:ascii="Times New Roman" w:hAnsi="Times New Roman" w:cs="Times New Roman"/>
          <w:i/>
          <w:iCs/>
          <w:sz w:val="24"/>
          <w:szCs w:val="24"/>
        </w:rPr>
        <w:t>a quo</w:t>
      </w:r>
      <w:r>
        <w:rPr>
          <w:rFonts w:ascii="Times New Roman" w:hAnsi="Times New Roman" w:cs="Times New Roman"/>
          <w:sz w:val="24"/>
          <w:szCs w:val="24"/>
        </w:rPr>
        <w:t xml:space="preserve"> related squarely to the applicant’s acquiescence to the judgment of the High Court and the </w:t>
      </w:r>
      <w:proofErr w:type="spellStart"/>
      <w:r>
        <w:rPr>
          <w:rFonts w:ascii="Times New Roman" w:hAnsi="Times New Roman" w:cs="Times New Roman"/>
          <w:sz w:val="24"/>
          <w:szCs w:val="24"/>
        </w:rPr>
        <w:t>peremption</w:t>
      </w:r>
      <w:proofErr w:type="spellEnd"/>
      <w:r>
        <w:rPr>
          <w:rFonts w:ascii="Times New Roman" w:hAnsi="Times New Roman" w:cs="Times New Roman"/>
          <w:sz w:val="24"/>
          <w:szCs w:val="24"/>
        </w:rPr>
        <w:t xml:space="preserve"> of its right of appeal against that judgment. The evidence that was adduced and relied upon by the court was the proof of payments made by the applicant and the terms of the agreement between the parties. It is accordingly submitted that proper factual findings were made by the court and that, therefore, </w:t>
      </w:r>
      <w:r w:rsidR="00546FFE">
        <w:rPr>
          <w:rFonts w:ascii="Times New Roman" w:hAnsi="Times New Roman" w:cs="Times New Roman"/>
          <w:sz w:val="24"/>
          <w:szCs w:val="24"/>
        </w:rPr>
        <w:t>there was no violation of the applicant’s rights under s 69(2) and (3) of the Constitution.</w:t>
      </w:r>
    </w:p>
    <w:p w14:paraId="2516BFBC" w14:textId="77777777" w:rsidR="00A211D0" w:rsidRPr="002D32FC" w:rsidRDefault="00A211D0" w:rsidP="003E6780">
      <w:pPr>
        <w:spacing w:after="0" w:line="480" w:lineRule="auto"/>
        <w:jc w:val="both"/>
        <w:rPr>
          <w:rFonts w:ascii="Times New Roman" w:hAnsi="Times New Roman" w:cs="Times New Roman"/>
          <w:sz w:val="24"/>
          <w:szCs w:val="24"/>
        </w:rPr>
      </w:pPr>
    </w:p>
    <w:p w14:paraId="094D3F28" w14:textId="45E3CF49" w:rsidR="00426E6F" w:rsidRDefault="009C4718"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have earlier taken the view, having regard to the agreement between the parties and their conduct pursuant thereto, that there was no evidence before the court </w:t>
      </w:r>
      <w:r>
        <w:rPr>
          <w:rFonts w:ascii="Times New Roman" w:hAnsi="Times New Roman" w:cs="Times New Roman"/>
          <w:i/>
          <w:iCs/>
          <w:sz w:val="24"/>
          <w:szCs w:val="24"/>
        </w:rPr>
        <w:t>a quo</w:t>
      </w:r>
      <w:r>
        <w:rPr>
          <w:rFonts w:ascii="Times New Roman" w:hAnsi="Times New Roman" w:cs="Times New Roman"/>
          <w:sz w:val="24"/>
          <w:szCs w:val="24"/>
        </w:rPr>
        <w:t xml:space="preserve"> showing any unequivocal intention on the part of the applicant to compromise or abandon its appeal in the proceedings pending before that court.</w:t>
      </w:r>
      <w:r w:rsidR="00FC2D7C">
        <w:rPr>
          <w:rFonts w:ascii="Times New Roman" w:hAnsi="Times New Roman" w:cs="Times New Roman"/>
          <w:sz w:val="24"/>
          <w:szCs w:val="24"/>
        </w:rPr>
        <w:t xml:space="preserve"> That being the case, the judgment of the court was undoubtedly flawed in its assessment of the evidence before it and the conclusion to be drawn therefrom. It was therefore not a judgment in accordance with the law and it resulted in the court declining to deal with the substantive merits of the appeal before it. Arguably, this amounted to an abdication of its responsibility to hear the matter and render a judicial determination in the dispute between the parties. </w:t>
      </w:r>
      <w:r w:rsidR="00A92D1C">
        <w:rPr>
          <w:rFonts w:ascii="Times New Roman" w:hAnsi="Times New Roman" w:cs="Times New Roman"/>
          <w:sz w:val="24"/>
          <w:szCs w:val="24"/>
        </w:rPr>
        <w:t>It also evinced a failure to carry out the court’s function to hear and determine the appeal within the realm of recognised legal principles.</w:t>
      </w:r>
    </w:p>
    <w:p w14:paraId="5B453984" w14:textId="77777777" w:rsidR="00213AAB" w:rsidRDefault="00213AAB" w:rsidP="003E6780">
      <w:pPr>
        <w:spacing w:after="0" w:line="480" w:lineRule="auto"/>
        <w:jc w:val="both"/>
        <w:rPr>
          <w:rFonts w:ascii="Times New Roman" w:hAnsi="Times New Roman" w:cs="Times New Roman"/>
          <w:sz w:val="24"/>
          <w:szCs w:val="24"/>
        </w:rPr>
      </w:pPr>
    </w:p>
    <w:p w14:paraId="1BCA3F5B" w14:textId="2983F031" w:rsidR="00213AAB" w:rsidRDefault="00213AAB"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question that arises </w:t>
      </w:r>
      <w:r>
        <w:rPr>
          <w:rFonts w:ascii="Times New Roman" w:hAnsi="Times New Roman" w:cs="Times New Roman"/>
          <w:i/>
          <w:iCs/>
          <w:sz w:val="24"/>
          <w:szCs w:val="24"/>
        </w:rPr>
        <w:t xml:space="preserve">in </w:t>
      </w:r>
      <w:proofErr w:type="spellStart"/>
      <w:r>
        <w:rPr>
          <w:rFonts w:ascii="Times New Roman" w:hAnsi="Times New Roman" w:cs="Times New Roman"/>
          <w:i/>
          <w:iCs/>
          <w:sz w:val="24"/>
          <w:szCs w:val="24"/>
        </w:rPr>
        <w:t>casu</w:t>
      </w:r>
      <w:proofErr w:type="spellEnd"/>
      <w:r>
        <w:rPr>
          <w:rFonts w:ascii="Times New Roman" w:hAnsi="Times New Roman" w:cs="Times New Roman"/>
          <w:sz w:val="24"/>
          <w:szCs w:val="24"/>
        </w:rPr>
        <w:t xml:space="preserve"> is whether or not the evidential </w:t>
      </w:r>
      <w:r>
        <w:rPr>
          <w:rFonts w:ascii="Times New Roman" w:hAnsi="Times New Roman" w:cs="Times New Roman"/>
          <w:i/>
          <w:iCs/>
          <w:sz w:val="24"/>
          <w:szCs w:val="24"/>
        </w:rPr>
        <w:t>lacuna</w:t>
      </w:r>
      <w:r>
        <w:rPr>
          <w:rFonts w:ascii="Times New Roman" w:hAnsi="Times New Roman" w:cs="Times New Roman"/>
          <w:sz w:val="24"/>
          <w:szCs w:val="24"/>
        </w:rPr>
        <w:t xml:space="preserve"> in the judgment of the court and the consequential misapplication of the law of </w:t>
      </w:r>
      <w:proofErr w:type="spellStart"/>
      <w:r>
        <w:rPr>
          <w:rFonts w:ascii="Times New Roman" w:hAnsi="Times New Roman" w:cs="Times New Roman"/>
          <w:sz w:val="24"/>
          <w:szCs w:val="24"/>
        </w:rPr>
        <w:t>peremption</w:t>
      </w:r>
      <w:proofErr w:type="spellEnd"/>
      <w:r>
        <w:rPr>
          <w:rFonts w:ascii="Times New Roman" w:hAnsi="Times New Roman" w:cs="Times New Roman"/>
          <w:sz w:val="24"/>
          <w:szCs w:val="24"/>
        </w:rPr>
        <w:t xml:space="preserve">, taken together, suffice to justify the grant of direct access to this Court. Ordinarily, a wrong judicial decision would not, in itself, operate to violate the right to a fair hearing or the right of access to the courts. This is made abundantly clear in the jurisprudence of this Court, both before and after the advent of the 2013 Constitution, as appears from the case authorities that I have cited earlier. It is necessary for the complainant to demonstrate that the Supreme Court, in adjudicating the non-constitutional matter before it, failed to act in accordance with </w:t>
      </w:r>
      <w:r w:rsidR="00571A0A">
        <w:rPr>
          <w:rFonts w:ascii="Times New Roman" w:hAnsi="Times New Roman" w:cs="Times New Roman"/>
          <w:sz w:val="24"/>
          <w:szCs w:val="24"/>
        </w:rPr>
        <w:t>the requirements of the law governing the proceedings or prescribing the rights and obligations subject to determination. Additionally, the failure to act lawfully must be shown to have disabled the court from making a decision on the non-constitutional issue before it, thereby entailing an irrational or arbitrary decision.</w:t>
      </w:r>
    </w:p>
    <w:p w14:paraId="57AE6E9D" w14:textId="77777777" w:rsidR="0071480D" w:rsidRDefault="0071480D" w:rsidP="003E6780">
      <w:pPr>
        <w:spacing w:after="0" w:line="480" w:lineRule="auto"/>
        <w:jc w:val="both"/>
        <w:rPr>
          <w:rFonts w:ascii="Times New Roman" w:hAnsi="Times New Roman" w:cs="Times New Roman"/>
          <w:sz w:val="24"/>
          <w:szCs w:val="24"/>
        </w:rPr>
      </w:pPr>
    </w:p>
    <w:p w14:paraId="115663F4" w14:textId="152D9946" w:rsidR="0071480D" w:rsidRDefault="0071480D"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the present matter, it seems to me that the impugned judgment falls squarely within the parameters of constitutional review justifying interference with that judgment. I am accordingly inclined to answer the question posed above in the affirmative. The stark evidential deficiencies in the judgment </w:t>
      </w:r>
      <w:r>
        <w:rPr>
          <w:rFonts w:ascii="Times New Roman" w:hAnsi="Times New Roman" w:cs="Times New Roman"/>
          <w:i/>
          <w:iCs/>
          <w:sz w:val="24"/>
          <w:szCs w:val="24"/>
        </w:rPr>
        <w:t>a quo</w:t>
      </w:r>
      <w:r>
        <w:rPr>
          <w:rFonts w:ascii="Times New Roman" w:hAnsi="Times New Roman" w:cs="Times New Roman"/>
          <w:sz w:val="24"/>
          <w:szCs w:val="24"/>
        </w:rPr>
        <w:t xml:space="preserve">, coupled with the grave misapplication of the principles of </w:t>
      </w:r>
      <w:proofErr w:type="spellStart"/>
      <w:r>
        <w:rPr>
          <w:rFonts w:ascii="Times New Roman" w:hAnsi="Times New Roman" w:cs="Times New Roman"/>
          <w:sz w:val="24"/>
          <w:szCs w:val="24"/>
        </w:rPr>
        <w:t>peremption</w:t>
      </w:r>
      <w:proofErr w:type="spellEnd"/>
      <w:r>
        <w:rPr>
          <w:rFonts w:ascii="Times New Roman" w:hAnsi="Times New Roman" w:cs="Times New Roman"/>
          <w:sz w:val="24"/>
          <w:szCs w:val="24"/>
        </w:rPr>
        <w:t>, followed by the failure to adjudicate the substantive dispute between the parties, bear the classic hallmarks of an irrational or arbitrary decision.</w:t>
      </w:r>
      <w:r w:rsidR="00E30FDB">
        <w:rPr>
          <w:rFonts w:ascii="Times New Roman" w:hAnsi="Times New Roman" w:cs="Times New Roman"/>
          <w:sz w:val="24"/>
          <w:szCs w:val="24"/>
        </w:rPr>
        <w:t xml:space="preserve"> In my view, the</w:t>
      </w:r>
      <w:r>
        <w:rPr>
          <w:rFonts w:ascii="Times New Roman" w:hAnsi="Times New Roman" w:cs="Times New Roman"/>
          <w:sz w:val="24"/>
          <w:szCs w:val="24"/>
        </w:rPr>
        <w:t xml:space="preserve"> cumulative effect of the impugned judgment is to deprive the applicant of its fundamental right to a fair hearing and right of access to the courts guaranteed by s 69(2) and </w:t>
      </w:r>
      <w:r w:rsidR="00E30FDB">
        <w:rPr>
          <w:rFonts w:ascii="Times New Roman" w:hAnsi="Times New Roman" w:cs="Times New Roman"/>
          <w:sz w:val="24"/>
          <w:szCs w:val="24"/>
        </w:rPr>
        <w:t>s 69</w:t>
      </w:r>
      <w:r>
        <w:rPr>
          <w:rFonts w:ascii="Times New Roman" w:hAnsi="Times New Roman" w:cs="Times New Roman"/>
          <w:sz w:val="24"/>
          <w:szCs w:val="24"/>
        </w:rPr>
        <w:t>(3) of the Constitution.</w:t>
      </w:r>
    </w:p>
    <w:p w14:paraId="40913550" w14:textId="77777777" w:rsidR="0071480D" w:rsidRDefault="0071480D" w:rsidP="003E6780">
      <w:pPr>
        <w:spacing w:after="0" w:line="480" w:lineRule="auto"/>
        <w:jc w:val="both"/>
        <w:rPr>
          <w:rFonts w:ascii="Times New Roman" w:hAnsi="Times New Roman" w:cs="Times New Roman"/>
          <w:sz w:val="24"/>
          <w:szCs w:val="24"/>
        </w:rPr>
      </w:pPr>
    </w:p>
    <w:p w14:paraId="128D3C92" w14:textId="3148D12D" w:rsidR="0071480D" w:rsidRDefault="0071480D" w:rsidP="003E678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Disposition</w:t>
      </w:r>
    </w:p>
    <w:p w14:paraId="3A02593A" w14:textId="70650D01" w:rsidR="0071480D" w:rsidRDefault="0071480D"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18EE">
        <w:rPr>
          <w:rFonts w:ascii="Times New Roman" w:hAnsi="Times New Roman" w:cs="Times New Roman"/>
          <w:sz w:val="24"/>
          <w:szCs w:val="24"/>
        </w:rPr>
        <w:t xml:space="preserve">In the final analysis, I am satisfied that the applicant has presented an arguable </w:t>
      </w:r>
      <w:r w:rsidR="00A418EE">
        <w:rPr>
          <w:rFonts w:ascii="Times New Roman" w:hAnsi="Times New Roman" w:cs="Times New Roman"/>
          <w:i/>
          <w:iCs/>
          <w:sz w:val="24"/>
          <w:szCs w:val="24"/>
        </w:rPr>
        <w:t>prima facie</w:t>
      </w:r>
      <w:r w:rsidR="00A418EE">
        <w:rPr>
          <w:rFonts w:ascii="Times New Roman" w:hAnsi="Times New Roman" w:cs="Times New Roman"/>
          <w:sz w:val="24"/>
          <w:szCs w:val="24"/>
        </w:rPr>
        <w:t xml:space="preserve"> case, demonstrating a realistic chance of succeeding in the main matter. Even if one were </w:t>
      </w:r>
      <w:r w:rsidR="00A418EE">
        <w:rPr>
          <w:rFonts w:ascii="Times New Roman" w:hAnsi="Times New Roman" w:cs="Times New Roman"/>
          <w:sz w:val="24"/>
          <w:szCs w:val="24"/>
        </w:rPr>
        <w:lastRenderedPageBreak/>
        <w:t xml:space="preserve">to apply the more stringent test endorsed in applications for leave to appeal, the applicant </w:t>
      </w:r>
      <w:r w:rsidR="00A418EE">
        <w:rPr>
          <w:rFonts w:ascii="Times New Roman" w:hAnsi="Times New Roman" w:cs="Times New Roman"/>
          <w:i/>
          <w:iCs/>
          <w:sz w:val="24"/>
          <w:szCs w:val="24"/>
        </w:rPr>
        <w:t xml:space="preserve">in </w:t>
      </w:r>
      <w:proofErr w:type="spellStart"/>
      <w:r w:rsidR="00A418EE">
        <w:rPr>
          <w:rFonts w:ascii="Times New Roman" w:hAnsi="Times New Roman" w:cs="Times New Roman"/>
          <w:i/>
          <w:iCs/>
          <w:sz w:val="24"/>
          <w:szCs w:val="24"/>
        </w:rPr>
        <w:t>casu</w:t>
      </w:r>
      <w:proofErr w:type="spellEnd"/>
      <w:r w:rsidR="00A418EE">
        <w:rPr>
          <w:rFonts w:ascii="Times New Roman" w:hAnsi="Times New Roman" w:cs="Times New Roman"/>
          <w:sz w:val="24"/>
          <w:szCs w:val="24"/>
        </w:rPr>
        <w:t xml:space="preserve"> has demonstrated reasonable prospects that this Court is likely to reverse the findings of the Supreme Court and materially alter its judgment. In my view, the intended substantive application caries considerable prospects of success and it would therefore be in the interests of justice to grant the instant application for direct access to this Court.</w:t>
      </w:r>
    </w:p>
    <w:p w14:paraId="148F11D6" w14:textId="77777777" w:rsidR="00247DF2" w:rsidRDefault="00247DF2" w:rsidP="003E6780">
      <w:pPr>
        <w:spacing w:after="0" w:line="480" w:lineRule="auto"/>
        <w:jc w:val="both"/>
        <w:rPr>
          <w:rFonts w:ascii="Times New Roman" w:hAnsi="Times New Roman" w:cs="Times New Roman"/>
          <w:sz w:val="24"/>
          <w:szCs w:val="24"/>
        </w:rPr>
      </w:pPr>
    </w:p>
    <w:p w14:paraId="11E2A6BE" w14:textId="3D2D3CEE" w:rsidR="00247DF2" w:rsidRDefault="00247DF2"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result, it is ordered as follows: </w:t>
      </w:r>
    </w:p>
    <w:p w14:paraId="62A47A2F" w14:textId="38ABE24A" w:rsidR="00247DF2" w:rsidRDefault="00247DF2" w:rsidP="00247DF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Leave be and is hereby granted for the applicant to institute an application in terms of s 85(1</w:t>
      </w:r>
      <w:proofErr w:type="gramStart"/>
      <w:r>
        <w:rPr>
          <w:rFonts w:ascii="Times New Roman" w:hAnsi="Times New Roman" w:cs="Times New Roman"/>
          <w:sz w:val="24"/>
          <w:szCs w:val="24"/>
        </w:rPr>
        <w:t>)</w:t>
      </w:r>
      <w:r w:rsidR="00F9077E">
        <w:rPr>
          <w:rFonts w:ascii="Times New Roman" w:hAnsi="Times New Roman" w:cs="Times New Roman"/>
          <w:sz w:val="24"/>
          <w:szCs w:val="24"/>
        </w:rPr>
        <w:t>(</w:t>
      </w:r>
      <w:proofErr w:type="gramEnd"/>
      <w:r w:rsidR="00F9077E">
        <w:rPr>
          <w:rFonts w:ascii="Times New Roman" w:hAnsi="Times New Roman" w:cs="Times New Roman"/>
          <w:sz w:val="24"/>
          <w:szCs w:val="24"/>
        </w:rPr>
        <w:t>a)</w:t>
      </w:r>
      <w:r>
        <w:rPr>
          <w:rFonts w:ascii="Times New Roman" w:hAnsi="Times New Roman" w:cs="Times New Roman"/>
          <w:sz w:val="24"/>
          <w:szCs w:val="24"/>
        </w:rPr>
        <w:t xml:space="preserve"> of the Constitution </w:t>
      </w:r>
      <w:r w:rsidR="00F9077E">
        <w:rPr>
          <w:rFonts w:ascii="Times New Roman" w:hAnsi="Times New Roman" w:cs="Times New Roman"/>
          <w:sz w:val="24"/>
          <w:szCs w:val="24"/>
        </w:rPr>
        <w:t xml:space="preserve">for an order </w:t>
      </w:r>
      <w:r>
        <w:rPr>
          <w:rFonts w:ascii="Times New Roman" w:hAnsi="Times New Roman" w:cs="Times New Roman"/>
          <w:sz w:val="24"/>
          <w:szCs w:val="24"/>
        </w:rPr>
        <w:t xml:space="preserve">declaring that the judgment of the Supreme Court </w:t>
      </w:r>
      <w:r w:rsidR="00F9077E">
        <w:rPr>
          <w:rFonts w:ascii="Times New Roman" w:hAnsi="Times New Roman" w:cs="Times New Roman"/>
          <w:sz w:val="24"/>
          <w:szCs w:val="24"/>
        </w:rPr>
        <w:t>in Case No. SC</w:t>
      </w:r>
      <w:r w:rsidR="00AC2FEC">
        <w:rPr>
          <w:rFonts w:ascii="Times New Roman" w:hAnsi="Times New Roman" w:cs="Times New Roman"/>
          <w:sz w:val="24"/>
          <w:szCs w:val="24"/>
        </w:rPr>
        <w:t xml:space="preserve"> </w:t>
      </w:r>
      <w:r w:rsidR="00F9077E">
        <w:rPr>
          <w:rFonts w:ascii="Times New Roman" w:hAnsi="Times New Roman" w:cs="Times New Roman"/>
          <w:sz w:val="24"/>
          <w:szCs w:val="24"/>
        </w:rPr>
        <w:t>201/23 violates the rights of the applicant as set out in s 69(2) and</w:t>
      </w:r>
      <w:r w:rsidR="00AC2FEC">
        <w:rPr>
          <w:rFonts w:ascii="Times New Roman" w:hAnsi="Times New Roman" w:cs="Times New Roman"/>
          <w:sz w:val="24"/>
          <w:szCs w:val="24"/>
        </w:rPr>
        <w:t xml:space="preserve"> s 69</w:t>
      </w:r>
      <w:r w:rsidR="00F9077E">
        <w:rPr>
          <w:rFonts w:ascii="Times New Roman" w:hAnsi="Times New Roman" w:cs="Times New Roman"/>
          <w:sz w:val="24"/>
          <w:szCs w:val="24"/>
        </w:rPr>
        <w:t>(3) of the Constitution.</w:t>
      </w:r>
    </w:p>
    <w:p w14:paraId="342FF44A" w14:textId="2A6258FE" w:rsidR="00F9077E" w:rsidRDefault="00F9077E" w:rsidP="00247DF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aforesaid application shall be filed within ten (10) days of the date of this order and shall be substantially in accordance with </w:t>
      </w:r>
      <w:r w:rsidR="00F51A74">
        <w:rPr>
          <w:rFonts w:ascii="Times New Roman" w:hAnsi="Times New Roman" w:cs="Times New Roman"/>
          <w:sz w:val="24"/>
          <w:szCs w:val="24"/>
        </w:rPr>
        <w:t xml:space="preserve">the </w:t>
      </w:r>
      <w:r>
        <w:rPr>
          <w:rFonts w:ascii="Times New Roman" w:hAnsi="Times New Roman" w:cs="Times New Roman"/>
          <w:sz w:val="24"/>
          <w:szCs w:val="24"/>
        </w:rPr>
        <w:t>draft application attached to the founding affidavit in this matter.</w:t>
      </w:r>
      <w:bookmarkStart w:id="1" w:name="_GoBack"/>
      <w:bookmarkEnd w:id="1"/>
    </w:p>
    <w:p w14:paraId="0F4BFBC8" w14:textId="07E0891D" w:rsidR="00F9077E" w:rsidRPr="00247DF2" w:rsidRDefault="00F9077E" w:rsidP="00247DF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There shall be no order as to costs.</w:t>
      </w:r>
    </w:p>
    <w:p w14:paraId="31A46107" w14:textId="77777777" w:rsidR="00AC26DF" w:rsidRDefault="00AC26DF" w:rsidP="003E6780">
      <w:pPr>
        <w:spacing w:after="0" w:line="480" w:lineRule="auto"/>
        <w:jc w:val="both"/>
        <w:rPr>
          <w:rFonts w:ascii="Times New Roman" w:hAnsi="Times New Roman" w:cs="Times New Roman"/>
          <w:sz w:val="24"/>
          <w:szCs w:val="24"/>
        </w:rPr>
      </w:pPr>
    </w:p>
    <w:p w14:paraId="24012B8E" w14:textId="77777777" w:rsidR="00F9077E" w:rsidRDefault="00F9077E" w:rsidP="003E6780">
      <w:pPr>
        <w:spacing w:after="0" w:line="480" w:lineRule="auto"/>
        <w:jc w:val="both"/>
        <w:rPr>
          <w:rFonts w:ascii="Times New Roman" w:hAnsi="Times New Roman" w:cs="Times New Roman"/>
          <w:sz w:val="24"/>
          <w:szCs w:val="24"/>
        </w:rPr>
      </w:pPr>
    </w:p>
    <w:p w14:paraId="3A9807BC" w14:textId="5BA7DC8C" w:rsidR="00AB02F3" w:rsidRDefault="00820A9C"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GWAUNZA DCJ:</w:t>
      </w:r>
      <w:r>
        <w:rPr>
          <w:rFonts w:ascii="Times New Roman" w:hAnsi="Times New Roman" w:cs="Times New Roman"/>
          <w:sz w:val="24"/>
          <w:szCs w:val="24"/>
        </w:rPr>
        <w:tab/>
        <w:t>I agree.</w:t>
      </w:r>
    </w:p>
    <w:p w14:paraId="43CE713D" w14:textId="77777777" w:rsidR="00820A9C" w:rsidRDefault="00820A9C" w:rsidP="003E6780">
      <w:pPr>
        <w:spacing w:after="0" w:line="480" w:lineRule="auto"/>
        <w:jc w:val="both"/>
        <w:rPr>
          <w:rFonts w:ascii="Times New Roman" w:hAnsi="Times New Roman" w:cs="Times New Roman"/>
          <w:sz w:val="24"/>
          <w:szCs w:val="24"/>
        </w:rPr>
      </w:pPr>
    </w:p>
    <w:p w14:paraId="535C4CF6" w14:textId="1C6402DC" w:rsidR="00820A9C" w:rsidRDefault="00820A9C" w:rsidP="003E67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MAKARAU JCC:</w:t>
      </w:r>
      <w:r>
        <w:rPr>
          <w:rFonts w:ascii="Times New Roman" w:hAnsi="Times New Roman" w:cs="Times New Roman"/>
          <w:sz w:val="24"/>
          <w:szCs w:val="24"/>
        </w:rPr>
        <w:tab/>
        <w:t>I agree.</w:t>
      </w:r>
    </w:p>
    <w:p w14:paraId="76F0701C" w14:textId="77777777" w:rsidR="00820A9C" w:rsidRDefault="00820A9C" w:rsidP="003E6780">
      <w:pPr>
        <w:spacing w:after="0" w:line="480" w:lineRule="auto"/>
        <w:jc w:val="both"/>
        <w:rPr>
          <w:rFonts w:ascii="Times New Roman" w:hAnsi="Times New Roman" w:cs="Times New Roman"/>
          <w:sz w:val="24"/>
          <w:szCs w:val="24"/>
        </w:rPr>
      </w:pPr>
    </w:p>
    <w:p w14:paraId="7127A6AC" w14:textId="77777777" w:rsidR="00820A9C" w:rsidRDefault="00820A9C" w:rsidP="003E6780">
      <w:pPr>
        <w:spacing w:after="0" w:line="480" w:lineRule="auto"/>
        <w:jc w:val="both"/>
        <w:rPr>
          <w:rFonts w:ascii="Times New Roman" w:hAnsi="Times New Roman" w:cs="Times New Roman"/>
          <w:sz w:val="24"/>
          <w:szCs w:val="24"/>
        </w:rPr>
      </w:pPr>
    </w:p>
    <w:p w14:paraId="322DD731" w14:textId="151C0B0C" w:rsidR="00820A9C" w:rsidRDefault="00175146" w:rsidP="003E6780">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Sawyer and </w:t>
      </w:r>
      <w:proofErr w:type="spellStart"/>
      <w:r>
        <w:rPr>
          <w:rFonts w:ascii="Times New Roman" w:hAnsi="Times New Roman" w:cs="Times New Roman"/>
          <w:i/>
          <w:iCs/>
          <w:sz w:val="24"/>
          <w:szCs w:val="24"/>
        </w:rPr>
        <w:t>Mkushi</w:t>
      </w:r>
      <w:proofErr w:type="spellEnd"/>
      <w:r>
        <w:rPr>
          <w:rFonts w:ascii="Times New Roman" w:hAnsi="Times New Roman" w:cs="Times New Roman"/>
          <w:sz w:val="24"/>
          <w:szCs w:val="24"/>
        </w:rPr>
        <w:t>, applicant’s legal practitioners</w:t>
      </w:r>
    </w:p>
    <w:p w14:paraId="1344D655" w14:textId="1B53E13B" w:rsidR="0092376B" w:rsidRDefault="00175146" w:rsidP="003E6780">
      <w:pPr>
        <w:spacing w:after="0" w:line="48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Tagurira</w:t>
      </w:r>
      <w:proofErr w:type="spellEnd"/>
      <w:r>
        <w:rPr>
          <w:rFonts w:ascii="Times New Roman" w:hAnsi="Times New Roman" w:cs="Times New Roman"/>
          <w:i/>
          <w:iCs/>
          <w:sz w:val="24"/>
          <w:szCs w:val="24"/>
        </w:rPr>
        <w:t xml:space="preserve"> Sande Attorneys</w:t>
      </w:r>
      <w:r>
        <w:rPr>
          <w:rFonts w:ascii="Times New Roman" w:hAnsi="Times New Roman" w:cs="Times New Roman"/>
          <w:sz w:val="24"/>
          <w:szCs w:val="24"/>
        </w:rPr>
        <w:t>, respondent’s legal practitioners</w:t>
      </w:r>
    </w:p>
    <w:p w14:paraId="68C7812A" w14:textId="77777777" w:rsidR="001A41C2" w:rsidRPr="00175146" w:rsidRDefault="001A41C2" w:rsidP="003E6780">
      <w:pPr>
        <w:spacing w:after="0" w:line="480" w:lineRule="auto"/>
        <w:jc w:val="both"/>
        <w:rPr>
          <w:rFonts w:ascii="Times New Roman" w:hAnsi="Times New Roman" w:cs="Times New Roman"/>
          <w:sz w:val="24"/>
          <w:szCs w:val="24"/>
        </w:rPr>
      </w:pPr>
    </w:p>
    <w:sectPr w:rsidR="001A41C2" w:rsidRPr="00175146" w:rsidSect="00F41533">
      <w:head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A6FF3" w14:textId="77777777" w:rsidR="00037AEA" w:rsidRPr="00880D01" w:rsidRDefault="00037AEA" w:rsidP="00021092">
      <w:pPr>
        <w:spacing w:after="0" w:line="240" w:lineRule="auto"/>
      </w:pPr>
      <w:r w:rsidRPr="00880D01">
        <w:separator/>
      </w:r>
    </w:p>
  </w:endnote>
  <w:endnote w:type="continuationSeparator" w:id="0">
    <w:p w14:paraId="0AAD14E3" w14:textId="77777777" w:rsidR="00037AEA" w:rsidRPr="00880D01" w:rsidRDefault="00037AEA" w:rsidP="00021092">
      <w:pPr>
        <w:spacing w:after="0" w:line="240" w:lineRule="auto"/>
      </w:pPr>
      <w:r w:rsidRPr="00880D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055C2" w14:textId="77777777" w:rsidR="00037AEA" w:rsidRPr="00880D01" w:rsidRDefault="00037AEA" w:rsidP="00021092">
      <w:pPr>
        <w:spacing w:after="0" w:line="240" w:lineRule="auto"/>
      </w:pPr>
      <w:r w:rsidRPr="00880D01">
        <w:separator/>
      </w:r>
    </w:p>
  </w:footnote>
  <w:footnote w:type="continuationSeparator" w:id="0">
    <w:p w14:paraId="652CA4EE" w14:textId="77777777" w:rsidR="00037AEA" w:rsidRPr="00880D01" w:rsidRDefault="00037AEA" w:rsidP="00021092">
      <w:pPr>
        <w:spacing w:after="0" w:line="240" w:lineRule="auto"/>
      </w:pPr>
      <w:r w:rsidRPr="00880D01">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58B48" w14:textId="7EFE4262" w:rsidR="00A35EC9" w:rsidRPr="00880D01" w:rsidRDefault="00A35EC9" w:rsidP="00AB02F3">
    <w:pPr>
      <w:spacing w:after="0" w:line="240" w:lineRule="auto"/>
      <w:jc w:val="right"/>
      <w:rPr>
        <w:color w:val="FFFFFF" w:themeColor="background1"/>
      </w:rPr>
    </w:pPr>
    <w:r w:rsidRPr="00880D01">
      <w:fldChar w:fldCharType="begin"/>
    </w:r>
    <w:r w:rsidRPr="00880D01">
      <w:instrText xml:space="preserve"> PAGE   \* MERGEFORMAT </w:instrText>
    </w:r>
    <w:r w:rsidRPr="00880D01">
      <w:fldChar w:fldCharType="separate"/>
    </w:r>
    <w:r w:rsidR="00F51A74">
      <w:rPr>
        <w:noProof/>
      </w:rPr>
      <w:t>21</w:t>
    </w:r>
    <w:r w:rsidRPr="00880D01">
      <w:rPr>
        <w:color w:val="FFFFFF" w:themeColor="background1"/>
      </w:rPr>
      <w:fldChar w:fldCharType="end"/>
    </w:r>
  </w:p>
  <w:p w14:paraId="26BB30B4" w14:textId="6D316897" w:rsidR="00A35EC9" w:rsidRPr="002F0D75" w:rsidRDefault="00A35EC9" w:rsidP="00A35EC9">
    <w:pPr>
      <w:spacing w:after="0" w:line="240" w:lineRule="auto"/>
      <w:jc w:val="right"/>
      <w:rPr>
        <w:rFonts w:ascii="Times New Roman" w:hAnsi="Times New Roman" w:cs="Times New Roman"/>
        <w:sz w:val="24"/>
        <w:szCs w:val="24"/>
      </w:rPr>
    </w:pPr>
    <w:r w:rsidRPr="002F0D75">
      <w:rPr>
        <w:rFonts w:ascii="Times New Roman" w:hAnsi="Times New Roman" w:cs="Times New Roman"/>
        <w:sz w:val="24"/>
        <w:szCs w:val="24"/>
      </w:rPr>
      <w:t>No. CCZ</w:t>
    </w:r>
    <w:r w:rsidR="0092376B" w:rsidRPr="002F0D75">
      <w:rPr>
        <w:rFonts w:ascii="Times New Roman" w:hAnsi="Times New Roman" w:cs="Times New Roman"/>
        <w:sz w:val="24"/>
        <w:szCs w:val="24"/>
      </w:rPr>
      <w:t xml:space="preserve"> 2</w:t>
    </w:r>
    <w:r w:rsidR="00887020" w:rsidRPr="002F0D75">
      <w:rPr>
        <w:rFonts w:ascii="Times New Roman" w:hAnsi="Times New Roman" w:cs="Times New Roman"/>
        <w:sz w:val="24"/>
        <w:szCs w:val="24"/>
      </w:rPr>
      <w:t>/24</w:t>
    </w:r>
  </w:p>
  <w:p w14:paraId="76484014" w14:textId="075E65E6" w:rsidR="00A35EC9" w:rsidRPr="002F0D75" w:rsidRDefault="00A35EC9" w:rsidP="00A35EC9">
    <w:pPr>
      <w:spacing w:after="0" w:line="240" w:lineRule="auto"/>
      <w:jc w:val="right"/>
      <w:rPr>
        <w:rFonts w:ascii="Times New Roman" w:hAnsi="Times New Roman" w:cs="Times New Roman"/>
        <w:sz w:val="24"/>
        <w:szCs w:val="24"/>
      </w:rPr>
    </w:pPr>
    <w:r w:rsidRPr="002F0D75">
      <w:rPr>
        <w:rFonts w:ascii="Times New Roman" w:hAnsi="Times New Roman" w:cs="Times New Roman"/>
        <w:sz w:val="24"/>
        <w:szCs w:val="24"/>
      </w:rPr>
      <w:t>Const. Application No. CCZ 30/23</w:t>
    </w:r>
  </w:p>
  <w:p w14:paraId="678AD5EA" w14:textId="77777777" w:rsidR="00A35EC9" w:rsidRPr="00880D01" w:rsidRDefault="00A35E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D1CAD"/>
    <w:multiLevelType w:val="hybridMultilevel"/>
    <w:tmpl w:val="A10CEB8C"/>
    <w:lvl w:ilvl="0" w:tplc="3C70262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8317973"/>
    <w:multiLevelType w:val="hybridMultilevel"/>
    <w:tmpl w:val="6B086A5A"/>
    <w:lvl w:ilvl="0" w:tplc="7AC0B08C">
      <w:start w:val="1"/>
      <w:numFmt w:val="decimal"/>
      <w:lvlText w:val="(%1)"/>
      <w:lvlJc w:val="left"/>
      <w:pPr>
        <w:ind w:left="360" w:hanging="360"/>
      </w:pPr>
      <w:rPr>
        <w:rFonts w:eastAsia="Calibri"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 w15:restartNumberingAfterBreak="0">
    <w:nsid w:val="41C271E7"/>
    <w:multiLevelType w:val="hybridMultilevel"/>
    <w:tmpl w:val="B4025162"/>
    <w:lvl w:ilvl="0" w:tplc="90F46A04">
      <w:start w:val="1"/>
      <w:numFmt w:val="decimal"/>
      <w:lvlText w:val="%1."/>
      <w:lvlJc w:val="left"/>
      <w:pPr>
        <w:ind w:left="792" w:hanging="432"/>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6B764F3"/>
    <w:multiLevelType w:val="hybridMultilevel"/>
    <w:tmpl w:val="3086F27A"/>
    <w:lvl w:ilvl="0" w:tplc="3009000F">
      <w:start w:val="1"/>
      <w:numFmt w:val="decimal"/>
      <w:lvlText w:val="%1."/>
      <w:lvlJc w:val="left"/>
      <w:pPr>
        <w:ind w:left="1080" w:hanging="360"/>
      </w:p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61427F25"/>
    <w:multiLevelType w:val="hybridMultilevel"/>
    <w:tmpl w:val="FFC4AA8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6615745C"/>
    <w:multiLevelType w:val="hybridMultilevel"/>
    <w:tmpl w:val="59B83CA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AED6057"/>
    <w:multiLevelType w:val="hybridMultilevel"/>
    <w:tmpl w:val="25D4902C"/>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7" w15:restartNumberingAfterBreak="0">
    <w:nsid w:val="7E6D7704"/>
    <w:multiLevelType w:val="hybridMultilevel"/>
    <w:tmpl w:val="CA28EA2A"/>
    <w:lvl w:ilvl="0" w:tplc="3009000F">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num w:numId="1">
    <w:abstractNumId w:val="1"/>
  </w:num>
  <w:num w:numId="2">
    <w:abstractNumId w:val="3"/>
  </w:num>
  <w:num w:numId="3">
    <w:abstractNumId w:val="6"/>
  </w:num>
  <w:num w:numId="4">
    <w:abstractNumId w:val="2"/>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092"/>
    <w:rsid w:val="000001C7"/>
    <w:rsid w:val="0000681D"/>
    <w:rsid w:val="0001259A"/>
    <w:rsid w:val="000141B6"/>
    <w:rsid w:val="000155FE"/>
    <w:rsid w:val="000156DD"/>
    <w:rsid w:val="00015E56"/>
    <w:rsid w:val="00021092"/>
    <w:rsid w:val="00023D2E"/>
    <w:rsid w:val="0002420B"/>
    <w:rsid w:val="00027792"/>
    <w:rsid w:val="00027A9A"/>
    <w:rsid w:val="000305B3"/>
    <w:rsid w:val="00031199"/>
    <w:rsid w:val="00033FA1"/>
    <w:rsid w:val="00034229"/>
    <w:rsid w:val="0003480B"/>
    <w:rsid w:val="0003504E"/>
    <w:rsid w:val="00035BDA"/>
    <w:rsid w:val="0003622E"/>
    <w:rsid w:val="000367A5"/>
    <w:rsid w:val="00037AEA"/>
    <w:rsid w:val="000406D9"/>
    <w:rsid w:val="00040D40"/>
    <w:rsid w:val="00043F27"/>
    <w:rsid w:val="000445EE"/>
    <w:rsid w:val="00050193"/>
    <w:rsid w:val="00051B54"/>
    <w:rsid w:val="00054322"/>
    <w:rsid w:val="00055057"/>
    <w:rsid w:val="000569DE"/>
    <w:rsid w:val="00056F03"/>
    <w:rsid w:val="0005708B"/>
    <w:rsid w:val="00060242"/>
    <w:rsid w:val="00060A50"/>
    <w:rsid w:val="00062361"/>
    <w:rsid w:val="000636FD"/>
    <w:rsid w:val="00063787"/>
    <w:rsid w:val="00063A94"/>
    <w:rsid w:val="00065DDB"/>
    <w:rsid w:val="00066094"/>
    <w:rsid w:val="00066B6E"/>
    <w:rsid w:val="00067207"/>
    <w:rsid w:val="00067EC7"/>
    <w:rsid w:val="00070AA9"/>
    <w:rsid w:val="000720BC"/>
    <w:rsid w:val="000721DB"/>
    <w:rsid w:val="00075720"/>
    <w:rsid w:val="000777E2"/>
    <w:rsid w:val="00080B97"/>
    <w:rsid w:val="0008397C"/>
    <w:rsid w:val="00085748"/>
    <w:rsid w:val="00091527"/>
    <w:rsid w:val="00091528"/>
    <w:rsid w:val="000A337B"/>
    <w:rsid w:val="000A4626"/>
    <w:rsid w:val="000A4EA2"/>
    <w:rsid w:val="000A5F04"/>
    <w:rsid w:val="000A6758"/>
    <w:rsid w:val="000A7B79"/>
    <w:rsid w:val="000B02C3"/>
    <w:rsid w:val="000B438F"/>
    <w:rsid w:val="000B4F14"/>
    <w:rsid w:val="000B6AE2"/>
    <w:rsid w:val="000B79CE"/>
    <w:rsid w:val="000C02B1"/>
    <w:rsid w:val="000C0AC2"/>
    <w:rsid w:val="000C16DD"/>
    <w:rsid w:val="000C345F"/>
    <w:rsid w:val="000C38B9"/>
    <w:rsid w:val="000C6683"/>
    <w:rsid w:val="000C67D4"/>
    <w:rsid w:val="000C7CFA"/>
    <w:rsid w:val="000D2351"/>
    <w:rsid w:val="000D46F3"/>
    <w:rsid w:val="000D54EE"/>
    <w:rsid w:val="000D5817"/>
    <w:rsid w:val="000D79D0"/>
    <w:rsid w:val="000E079C"/>
    <w:rsid w:val="000E0D99"/>
    <w:rsid w:val="000E20F6"/>
    <w:rsid w:val="000E418B"/>
    <w:rsid w:val="000E4F4F"/>
    <w:rsid w:val="000E537D"/>
    <w:rsid w:val="000E5C6F"/>
    <w:rsid w:val="000E60D9"/>
    <w:rsid w:val="000E6B75"/>
    <w:rsid w:val="000E74FD"/>
    <w:rsid w:val="000F0762"/>
    <w:rsid w:val="000F0E8E"/>
    <w:rsid w:val="000F2831"/>
    <w:rsid w:val="000F34B9"/>
    <w:rsid w:val="000F44A6"/>
    <w:rsid w:val="000F5EB7"/>
    <w:rsid w:val="000F6099"/>
    <w:rsid w:val="000F664A"/>
    <w:rsid w:val="000F6E19"/>
    <w:rsid w:val="000F7BEE"/>
    <w:rsid w:val="0010178A"/>
    <w:rsid w:val="00103A6A"/>
    <w:rsid w:val="00104274"/>
    <w:rsid w:val="001046F6"/>
    <w:rsid w:val="00104A48"/>
    <w:rsid w:val="00104EC9"/>
    <w:rsid w:val="00105033"/>
    <w:rsid w:val="00105163"/>
    <w:rsid w:val="0010554B"/>
    <w:rsid w:val="0010689D"/>
    <w:rsid w:val="00107392"/>
    <w:rsid w:val="00107C48"/>
    <w:rsid w:val="00111138"/>
    <w:rsid w:val="001135A2"/>
    <w:rsid w:val="00113879"/>
    <w:rsid w:val="00113C6E"/>
    <w:rsid w:val="0011543B"/>
    <w:rsid w:val="001154FA"/>
    <w:rsid w:val="00121AD2"/>
    <w:rsid w:val="00122DEA"/>
    <w:rsid w:val="00125263"/>
    <w:rsid w:val="0012589C"/>
    <w:rsid w:val="00125BF5"/>
    <w:rsid w:val="00125C26"/>
    <w:rsid w:val="00125E19"/>
    <w:rsid w:val="00126474"/>
    <w:rsid w:val="0012727D"/>
    <w:rsid w:val="001279F9"/>
    <w:rsid w:val="00130386"/>
    <w:rsid w:val="001328E9"/>
    <w:rsid w:val="00133E53"/>
    <w:rsid w:val="00133EB1"/>
    <w:rsid w:val="0013412D"/>
    <w:rsid w:val="001368E2"/>
    <w:rsid w:val="00137100"/>
    <w:rsid w:val="00141247"/>
    <w:rsid w:val="00141A14"/>
    <w:rsid w:val="00141E98"/>
    <w:rsid w:val="00142D23"/>
    <w:rsid w:val="00143B44"/>
    <w:rsid w:val="00144C79"/>
    <w:rsid w:val="00144D0B"/>
    <w:rsid w:val="0014544B"/>
    <w:rsid w:val="00146AA9"/>
    <w:rsid w:val="00146CCB"/>
    <w:rsid w:val="0014727A"/>
    <w:rsid w:val="00147EA9"/>
    <w:rsid w:val="0015349D"/>
    <w:rsid w:val="001534A7"/>
    <w:rsid w:val="00155A85"/>
    <w:rsid w:val="00155D99"/>
    <w:rsid w:val="0016016C"/>
    <w:rsid w:val="00160296"/>
    <w:rsid w:val="00160FAE"/>
    <w:rsid w:val="001625D5"/>
    <w:rsid w:val="00162C11"/>
    <w:rsid w:val="0016303B"/>
    <w:rsid w:val="001638B1"/>
    <w:rsid w:val="0016396D"/>
    <w:rsid w:val="0016591B"/>
    <w:rsid w:val="00166802"/>
    <w:rsid w:val="0016686B"/>
    <w:rsid w:val="00167358"/>
    <w:rsid w:val="00167472"/>
    <w:rsid w:val="00170495"/>
    <w:rsid w:val="00170D2D"/>
    <w:rsid w:val="00170D4D"/>
    <w:rsid w:val="001718E6"/>
    <w:rsid w:val="001725A6"/>
    <w:rsid w:val="001728E1"/>
    <w:rsid w:val="00172AF3"/>
    <w:rsid w:val="00173122"/>
    <w:rsid w:val="00174C55"/>
    <w:rsid w:val="00174DD0"/>
    <w:rsid w:val="00175146"/>
    <w:rsid w:val="00175F5E"/>
    <w:rsid w:val="00176D29"/>
    <w:rsid w:val="00180DB0"/>
    <w:rsid w:val="001823A1"/>
    <w:rsid w:val="001838B4"/>
    <w:rsid w:val="00185B6C"/>
    <w:rsid w:val="00187793"/>
    <w:rsid w:val="0019452F"/>
    <w:rsid w:val="001967AA"/>
    <w:rsid w:val="001A0DDC"/>
    <w:rsid w:val="001A1F22"/>
    <w:rsid w:val="001A3437"/>
    <w:rsid w:val="001A41C2"/>
    <w:rsid w:val="001A473A"/>
    <w:rsid w:val="001A6511"/>
    <w:rsid w:val="001A69C8"/>
    <w:rsid w:val="001A6C53"/>
    <w:rsid w:val="001B0978"/>
    <w:rsid w:val="001B2AC4"/>
    <w:rsid w:val="001B330A"/>
    <w:rsid w:val="001B369B"/>
    <w:rsid w:val="001B47E4"/>
    <w:rsid w:val="001B6347"/>
    <w:rsid w:val="001B6619"/>
    <w:rsid w:val="001B6AB9"/>
    <w:rsid w:val="001B6F2D"/>
    <w:rsid w:val="001C02C2"/>
    <w:rsid w:val="001C1E1D"/>
    <w:rsid w:val="001C3481"/>
    <w:rsid w:val="001C3D4D"/>
    <w:rsid w:val="001C4FFF"/>
    <w:rsid w:val="001C6A50"/>
    <w:rsid w:val="001C7444"/>
    <w:rsid w:val="001C7A35"/>
    <w:rsid w:val="001D0ABE"/>
    <w:rsid w:val="001D0AC6"/>
    <w:rsid w:val="001D12FC"/>
    <w:rsid w:val="001D2C59"/>
    <w:rsid w:val="001D2E81"/>
    <w:rsid w:val="001D3A61"/>
    <w:rsid w:val="001D3B1A"/>
    <w:rsid w:val="001D4F4A"/>
    <w:rsid w:val="001D4F97"/>
    <w:rsid w:val="001D7134"/>
    <w:rsid w:val="001E2DDC"/>
    <w:rsid w:val="001E32ED"/>
    <w:rsid w:val="001E365C"/>
    <w:rsid w:val="001E4CCD"/>
    <w:rsid w:val="001E5E08"/>
    <w:rsid w:val="001E64F5"/>
    <w:rsid w:val="001F1621"/>
    <w:rsid w:val="001F1D9B"/>
    <w:rsid w:val="001F2E4E"/>
    <w:rsid w:val="001F375A"/>
    <w:rsid w:val="001F3844"/>
    <w:rsid w:val="001F48BF"/>
    <w:rsid w:val="001F7F41"/>
    <w:rsid w:val="00200293"/>
    <w:rsid w:val="002019F6"/>
    <w:rsid w:val="002036AB"/>
    <w:rsid w:val="00204BF3"/>
    <w:rsid w:val="002111CB"/>
    <w:rsid w:val="00211CC6"/>
    <w:rsid w:val="0021219F"/>
    <w:rsid w:val="00212B39"/>
    <w:rsid w:val="00213801"/>
    <w:rsid w:val="00213AAB"/>
    <w:rsid w:val="002157D1"/>
    <w:rsid w:val="00223B43"/>
    <w:rsid w:val="00224EFB"/>
    <w:rsid w:val="00226CDF"/>
    <w:rsid w:val="002318FC"/>
    <w:rsid w:val="002352A1"/>
    <w:rsid w:val="00235A6C"/>
    <w:rsid w:val="00235FD1"/>
    <w:rsid w:val="00237C94"/>
    <w:rsid w:val="0024156D"/>
    <w:rsid w:val="00241AC7"/>
    <w:rsid w:val="002428B2"/>
    <w:rsid w:val="00243140"/>
    <w:rsid w:val="00243DB4"/>
    <w:rsid w:val="0024497C"/>
    <w:rsid w:val="00245DA9"/>
    <w:rsid w:val="00247DF2"/>
    <w:rsid w:val="00251A31"/>
    <w:rsid w:val="002520E5"/>
    <w:rsid w:val="00252BA8"/>
    <w:rsid w:val="002533C1"/>
    <w:rsid w:val="00253BFA"/>
    <w:rsid w:val="00253F05"/>
    <w:rsid w:val="00254649"/>
    <w:rsid w:val="0025549C"/>
    <w:rsid w:val="00255805"/>
    <w:rsid w:val="00257674"/>
    <w:rsid w:val="00257C3D"/>
    <w:rsid w:val="0026045C"/>
    <w:rsid w:val="002618BE"/>
    <w:rsid w:val="002626FE"/>
    <w:rsid w:val="00263644"/>
    <w:rsid w:val="002661AD"/>
    <w:rsid w:val="002712B3"/>
    <w:rsid w:val="00271654"/>
    <w:rsid w:val="00272741"/>
    <w:rsid w:val="002744EA"/>
    <w:rsid w:val="00275725"/>
    <w:rsid w:val="00275B0E"/>
    <w:rsid w:val="0027677A"/>
    <w:rsid w:val="00276B73"/>
    <w:rsid w:val="00276B99"/>
    <w:rsid w:val="00277B54"/>
    <w:rsid w:val="00280196"/>
    <w:rsid w:val="00280248"/>
    <w:rsid w:val="00282180"/>
    <w:rsid w:val="0028380D"/>
    <w:rsid w:val="00285A77"/>
    <w:rsid w:val="00286FC4"/>
    <w:rsid w:val="0028721B"/>
    <w:rsid w:val="0029012B"/>
    <w:rsid w:val="0029035C"/>
    <w:rsid w:val="002909D2"/>
    <w:rsid w:val="00290FC1"/>
    <w:rsid w:val="002911C9"/>
    <w:rsid w:val="0029185B"/>
    <w:rsid w:val="00291F06"/>
    <w:rsid w:val="0029467B"/>
    <w:rsid w:val="00295670"/>
    <w:rsid w:val="002966EA"/>
    <w:rsid w:val="002972AE"/>
    <w:rsid w:val="002A347F"/>
    <w:rsid w:val="002A3D1F"/>
    <w:rsid w:val="002A4829"/>
    <w:rsid w:val="002A506C"/>
    <w:rsid w:val="002A542C"/>
    <w:rsid w:val="002A6123"/>
    <w:rsid w:val="002A6DD8"/>
    <w:rsid w:val="002A76FF"/>
    <w:rsid w:val="002A78AA"/>
    <w:rsid w:val="002A78FF"/>
    <w:rsid w:val="002A7BD8"/>
    <w:rsid w:val="002B026E"/>
    <w:rsid w:val="002B0D28"/>
    <w:rsid w:val="002B178B"/>
    <w:rsid w:val="002B2215"/>
    <w:rsid w:val="002B24C3"/>
    <w:rsid w:val="002B296D"/>
    <w:rsid w:val="002B61F0"/>
    <w:rsid w:val="002B7CBF"/>
    <w:rsid w:val="002C033F"/>
    <w:rsid w:val="002C07B7"/>
    <w:rsid w:val="002C151D"/>
    <w:rsid w:val="002C3C9A"/>
    <w:rsid w:val="002C3CDE"/>
    <w:rsid w:val="002C43AE"/>
    <w:rsid w:val="002C5E41"/>
    <w:rsid w:val="002C6576"/>
    <w:rsid w:val="002C68D0"/>
    <w:rsid w:val="002D095A"/>
    <w:rsid w:val="002D0AC8"/>
    <w:rsid w:val="002D0CF3"/>
    <w:rsid w:val="002D207A"/>
    <w:rsid w:val="002D20B1"/>
    <w:rsid w:val="002D2E28"/>
    <w:rsid w:val="002D32FC"/>
    <w:rsid w:val="002D4D6E"/>
    <w:rsid w:val="002D51D6"/>
    <w:rsid w:val="002D52B4"/>
    <w:rsid w:val="002D6079"/>
    <w:rsid w:val="002D6B8A"/>
    <w:rsid w:val="002D7A0E"/>
    <w:rsid w:val="002E0E0B"/>
    <w:rsid w:val="002E2358"/>
    <w:rsid w:val="002E3461"/>
    <w:rsid w:val="002E539C"/>
    <w:rsid w:val="002E7C93"/>
    <w:rsid w:val="002F0D75"/>
    <w:rsid w:val="002F1DA3"/>
    <w:rsid w:val="002F35D9"/>
    <w:rsid w:val="002F3E88"/>
    <w:rsid w:val="002F5D2D"/>
    <w:rsid w:val="002F67E4"/>
    <w:rsid w:val="003006F2"/>
    <w:rsid w:val="0030072F"/>
    <w:rsid w:val="00300785"/>
    <w:rsid w:val="00301F3F"/>
    <w:rsid w:val="0030368C"/>
    <w:rsid w:val="00303B0E"/>
    <w:rsid w:val="003041D0"/>
    <w:rsid w:val="00305FCA"/>
    <w:rsid w:val="003123E3"/>
    <w:rsid w:val="00312A41"/>
    <w:rsid w:val="00314142"/>
    <w:rsid w:val="00314512"/>
    <w:rsid w:val="003147B9"/>
    <w:rsid w:val="00316A0F"/>
    <w:rsid w:val="003200FD"/>
    <w:rsid w:val="00320645"/>
    <w:rsid w:val="003208C9"/>
    <w:rsid w:val="00321C23"/>
    <w:rsid w:val="00321CAF"/>
    <w:rsid w:val="0032244D"/>
    <w:rsid w:val="00322F8D"/>
    <w:rsid w:val="00323559"/>
    <w:rsid w:val="00324E80"/>
    <w:rsid w:val="00326E59"/>
    <w:rsid w:val="00330467"/>
    <w:rsid w:val="0033272E"/>
    <w:rsid w:val="0033392C"/>
    <w:rsid w:val="00333CBB"/>
    <w:rsid w:val="00335E26"/>
    <w:rsid w:val="00337196"/>
    <w:rsid w:val="003372AD"/>
    <w:rsid w:val="00341623"/>
    <w:rsid w:val="00343D2D"/>
    <w:rsid w:val="0034408C"/>
    <w:rsid w:val="003455CC"/>
    <w:rsid w:val="00345F88"/>
    <w:rsid w:val="0034674F"/>
    <w:rsid w:val="00347585"/>
    <w:rsid w:val="00351958"/>
    <w:rsid w:val="00352552"/>
    <w:rsid w:val="00353602"/>
    <w:rsid w:val="00353BD2"/>
    <w:rsid w:val="003546F1"/>
    <w:rsid w:val="0035626D"/>
    <w:rsid w:val="003566E5"/>
    <w:rsid w:val="00357976"/>
    <w:rsid w:val="00357A8F"/>
    <w:rsid w:val="0036011B"/>
    <w:rsid w:val="00360648"/>
    <w:rsid w:val="00361421"/>
    <w:rsid w:val="00361F6E"/>
    <w:rsid w:val="0036284F"/>
    <w:rsid w:val="0036298C"/>
    <w:rsid w:val="00362BC5"/>
    <w:rsid w:val="00363B18"/>
    <w:rsid w:val="00365CDB"/>
    <w:rsid w:val="003668C7"/>
    <w:rsid w:val="00366D6B"/>
    <w:rsid w:val="00367580"/>
    <w:rsid w:val="0036778C"/>
    <w:rsid w:val="003678FB"/>
    <w:rsid w:val="00367A1E"/>
    <w:rsid w:val="0037145F"/>
    <w:rsid w:val="003719CB"/>
    <w:rsid w:val="00373456"/>
    <w:rsid w:val="00373468"/>
    <w:rsid w:val="00373EA8"/>
    <w:rsid w:val="00374012"/>
    <w:rsid w:val="00377591"/>
    <w:rsid w:val="003810B6"/>
    <w:rsid w:val="00382292"/>
    <w:rsid w:val="00384EE1"/>
    <w:rsid w:val="003859FF"/>
    <w:rsid w:val="003860D0"/>
    <w:rsid w:val="003867D9"/>
    <w:rsid w:val="00391334"/>
    <w:rsid w:val="003956C9"/>
    <w:rsid w:val="00395820"/>
    <w:rsid w:val="00395902"/>
    <w:rsid w:val="003A1CAE"/>
    <w:rsid w:val="003A23B6"/>
    <w:rsid w:val="003A2BBC"/>
    <w:rsid w:val="003A3BE2"/>
    <w:rsid w:val="003A478C"/>
    <w:rsid w:val="003A48C5"/>
    <w:rsid w:val="003A4D8C"/>
    <w:rsid w:val="003A7505"/>
    <w:rsid w:val="003A77AB"/>
    <w:rsid w:val="003A7F07"/>
    <w:rsid w:val="003A7F6A"/>
    <w:rsid w:val="003B0390"/>
    <w:rsid w:val="003B1F5A"/>
    <w:rsid w:val="003B3319"/>
    <w:rsid w:val="003C1E16"/>
    <w:rsid w:val="003C343D"/>
    <w:rsid w:val="003C6838"/>
    <w:rsid w:val="003C6EE0"/>
    <w:rsid w:val="003C7750"/>
    <w:rsid w:val="003C7F8B"/>
    <w:rsid w:val="003D05B6"/>
    <w:rsid w:val="003D37DD"/>
    <w:rsid w:val="003D50A4"/>
    <w:rsid w:val="003D5C31"/>
    <w:rsid w:val="003D6B25"/>
    <w:rsid w:val="003D77AB"/>
    <w:rsid w:val="003E268A"/>
    <w:rsid w:val="003E341A"/>
    <w:rsid w:val="003E3CE5"/>
    <w:rsid w:val="003E5596"/>
    <w:rsid w:val="003E6780"/>
    <w:rsid w:val="003E6C95"/>
    <w:rsid w:val="003F0252"/>
    <w:rsid w:val="003F3E87"/>
    <w:rsid w:val="003F56EA"/>
    <w:rsid w:val="003F5770"/>
    <w:rsid w:val="003F5E91"/>
    <w:rsid w:val="003F64BF"/>
    <w:rsid w:val="003F677E"/>
    <w:rsid w:val="00401D9D"/>
    <w:rsid w:val="00403284"/>
    <w:rsid w:val="00403BE4"/>
    <w:rsid w:val="004048BB"/>
    <w:rsid w:val="00405C40"/>
    <w:rsid w:val="00406337"/>
    <w:rsid w:val="00410DCE"/>
    <w:rsid w:val="004126A2"/>
    <w:rsid w:val="004141C3"/>
    <w:rsid w:val="004145C8"/>
    <w:rsid w:val="00415141"/>
    <w:rsid w:val="00416F30"/>
    <w:rsid w:val="004174D7"/>
    <w:rsid w:val="00420659"/>
    <w:rsid w:val="0042079F"/>
    <w:rsid w:val="00420838"/>
    <w:rsid w:val="00421ACE"/>
    <w:rsid w:val="00423027"/>
    <w:rsid w:val="00426E6F"/>
    <w:rsid w:val="00430F7D"/>
    <w:rsid w:val="004319C7"/>
    <w:rsid w:val="00431FBE"/>
    <w:rsid w:val="004341AE"/>
    <w:rsid w:val="004341FB"/>
    <w:rsid w:val="00440318"/>
    <w:rsid w:val="00441D5F"/>
    <w:rsid w:val="00445303"/>
    <w:rsid w:val="004459C5"/>
    <w:rsid w:val="00452226"/>
    <w:rsid w:val="00454005"/>
    <w:rsid w:val="00455145"/>
    <w:rsid w:val="0045521F"/>
    <w:rsid w:val="00455311"/>
    <w:rsid w:val="0046173D"/>
    <w:rsid w:val="00461A3C"/>
    <w:rsid w:val="00462A94"/>
    <w:rsid w:val="00462E30"/>
    <w:rsid w:val="004635F5"/>
    <w:rsid w:val="00463B49"/>
    <w:rsid w:val="00466F0D"/>
    <w:rsid w:val="00467029"/>
    <w:rsid w:val="0047255F"/>
    <w:rsid w:val="004732CB"/>
    <w:rsid w:val="00474D58"/>
    <w:rsid w:val="004766E4"/>
    <w:rsid w:val="00476F3D"/>
    <w:rsid w:val="00477945"/>
    <w:rsid w:val="00480354"/>
    <w:rsid w:val="00481876"/>
    <w:rsid w:val="00482872"/>
    <w:rsid w:val="00482A8F"/>
    <w:rsid w:val="00482DDD"/>
    <w:rsid w:val="00483AF5"/>
    <w:rsid w:val="0048498C"/>
    <w:rsid w:val="00484BAC"/>
    <w:rsid w:val="00486CC7"/>
    <w:rsid w:val="00487A33"/>
    <w:rsid w:val="00491000"/>
    <w:rsid w:val="00491425"/>
    <w:rsid w:val="004921A7"/>
    <w:rsid w:val="00492E92"/>
    <w:rsid w:val="004930F8"/>
    <w:rsid w:val="004933A9"/>
    <w:rsid w:val="00493416"/>
    <w:rsid w:val="00495630"/>
    <w:rsid w:val="00495B83"/>
    <w:rsid w:val="004A271B"/>
    <w:rsid w:val="004A288C"/>
    <w:rsid w:val="004A3417"/>
    <w:rsid w:val="004A5C04"/>
    <w:rsid w:val="004A66AC"/>
    <w:rsid w:val="004A7A91"/>
    <w:rsid w:val="004B01FE"/>
    <w:rsid w:val="004B3045"/>
    <w:rsid w:val="004B38FB"/>
    <w:rsid w:val="004B681F"/>
    <w:rsid w:val="004B7F09"/>
    <w:rsid w:val="004C18C8"/>
    <w:rsid w:val="004C1C46"/>
    <w:rsid w:val="004C391F"/>
    <w:rsid w:val="004C6EDD"/>
    <w:rsid w:val="004C71E6"/>
    <w:rsid w:val="004C7BBD"/>
    <w:rsid w:val="004D0F1E"/>
    <w:rsid w:val="004D1CC9"/>
    <w:rsid w:val="004D37D7"/>
    <w:rsid w:val="004D4EE1"/>
    <w:rsid w:val="004D61E8"/>
    <w:rsid w:val="004D7816"/>
    <w:rsid w:val="004E0296"/>
    <w:rsid w:val="004E0F4F"/>
    <w:rsid w:val="004E1AFE"/>
    <w:rsid w:val="004E2884"/>
    <w:rsid w:val="004E2953"/>
    <w:rsid w:val="004E52EF"/>
    <w:rsid w:val="004E5A5C"/>
    <w:rsid w:val="004E6004"/>
    <w:rsid w:val="004F2673"/>
    <w:rsid w:val="004F48B1"/>
    <w:rsid w:val="004F5C92"/>
    <w:rsid w:val="004F6911"/>
    <w:rsid w:val="005007DC"/>
    <w:rsid w:val="0050109E"/>
    <w:rsid w:val="0050171A"/>
    <w:rsid w:val="00501B60"/>
    <w:rsid w:val="00504B87"/>
    <w:rsid w:val="00506A5A"/>
    <w:rsid w:val="0051150C"/>
    <w:rsid w:val="00512002"/>
    <w:rsid w:val="00512962"/>
    <w:rsid w:val="00513FE9"/>
    <w:rsid w:val="00517B00"/>
    <w:rsid w:val="0052150D"/>
    <w:rsid w:val="005242CF"/>
    <w:rsid w:val="005257B7"/>
    <w:rsid w:val="005260D1"/>
    <w:rsid w:val="0052671D"/>
    <w:rsid w:val="00527139"/>
    <w:rsid w:val="00527589"/>
    <w:rsid w:val="00527E13"/>
    <w:rsid w:val="005302E0"/>
    <w:rsid w:val="005311FC"/>
    <w:rsid w:val="00532588"/>
    <w:rsid w:val="00532990"/>
    <w:rsid w:val="00533640"/>
    <w:rsid w:val="00533E58"/>
    <w:rsid w:val="00535B85"/>
    <w:rsid w:val="005361E1"/>
    <w:rsid w:val="005367F7"/>
    <w:rsid w:val="005373E2"/>
    <w:rsid w:val="0054344E"/>
    <w:rsid w:val="00546C84"/>
    <w:rsid w:val="00546FFE"/>
    <w:rsid w:val="0054746D"/>
    <w:rsid w:val="00547E42"/>
    <w:rsid w:val="00551D0F"/>
    <w:rsid w:val="005532EC"/>
    <w:rsid w:val="00554FD0"/>
    <w:rsid w:val="00555492"/>
    <w:rsid w:val="00561394"/>
    <w:rsid w:val="00563184"/>
    <w:rsid w:val="00563B7B"/>
    <w:rsid w:val="00571128"/>
    <w:rsid w:val="00571A0A"/>
    <w:rsid w:val="00580845"/>
    <w:rsid w:val="00580956"/>
    <w:rsid w:val="00582C0B"/>
    <w:rsid w:val="00584151"/>
    <w:rsid w:val="00584C13"/>
    <w:rsid w:val="00584E64"/>
    <w:rsid w:val="00586879"/>
    <w:rsid w:val="00587596"/>
    <w:rsid w:val="00590A15"/>
    <w:rsid w:val="00593600"/>
    <w:rsid w:val="00593895"/>
    <w:rsid w:val="0059538F"/>
    <w:rsid w:val="005957E2"/>
    <w:rsid w:val="005958F5"/>
    <w:rsid w:val="00596CA4"/>
    <w:rsid w:val="005976F7"/>
    <w:rsid w:val="00597E65"/>
    <w:rsid w:val="005A0205"/>
    <w:rsid w:val="005A1208"/>
    <w:rsid w:val="005A17B5"/>
    <w:rsid w:val="005A2F52"/>
    <w:rsid w:val="005A4400"/>
    <w:rsid w:val="005A7CDA"/>
    <w:rsid w:val="005B1DE9"/>
    <w:rsid w:val="005B4A89"/>
    <w:rsid w:val="005B555E"/>
    <w:rsid w:val="005B67D4"/>
    <w:rsid w:val="005C1ECA"/>
    <w:rsid w:val="005C5392"/>
    <w:rsid w:val="005C5C9C"/>
    <w:rsid w:val="005C5F25"/>
    <w:rsid w:val="005C739A"/>
    <w:rsid w:val="005D0FD2"/>
    <w:rsid w:val="005D12B2"/>
    <w:rsid w:val="005D13FA"/>
    <w:rsid w:val="005D149A"/>
    <w:rsid w:val="005D1A32"/>
    <w:rsid w:val="005D2250"/>
    <w:rsid w:val="005D2F54"/>
    <w:rsid w:val="005D4B35"/>
    <w:rsid w:val="005D59CC"/>
    <w:rsid w:val="005D5FD9"/>
    <w:rsid w:val="005D6501"/>
    <w:rsid w:val="005E142E"/>
    <w:rsid w:val="005E19D3"/>
    <w:rsid w:val="005E3F2D"/>
    <w:rsid w:val="005E40FA"/>
    <w:rsid w:val="005E51A2"/>
    <w:rsid w:val="005E5DF1"/>
    <w:rsid w:val="005F23E5"/>
    <w:rsid w:val="005F2C88"/>
    <w:rsid w:val="005F44F4"/>
    <w:rsid w:val="005F5628"/>
    <w:rsid w:val="005F64E0"/>
    <w:rsid w:val="005F70F5"/>
    <w:rsid w:val="0060213F"/>
    <w:rsid w:val="00602CE3"/>
    <w:rsid w:val="00602E93"/>
    <w:rsid w:val="0060380C"/>
    <w:rsid w:val="00603F11"/>
    <w:rsid w:val="006059CF"/>
    <w:rsid w:val="006112AF"/>
    <w:rsid w:val="006126B4"/>
    <w:rsid w:val="00613148"/>
    <w:rsid w:val="006156B9"/>
    <w:rsid w:val="00616D76"/>
    <w:rsid w:val="00617C2F"/>
    <w:rsid w:val="00620835"/>
    <w:rsid w:val="00621441"/>
    <w:rsid w:val="006271DC"/>
    <w:rsid w:val="00627765"/>
    <w:rsid w:val="006313FC"/>
    <w:rsid w:val="00632D30"/>
    <w:rsid w:val="006332AF"/>
    <w:rsid w:val="00633C03"/>
    <w:rsid w:val="006355FE"/>
    <w:rsid w:val="00635AEE"/>
    <w:rsid w:val="006361C6"/>
    <w:rsid w:val="00636A54"/>
    <w:rsid w:val="0063765D"/>
    <w:rsid w:val="006410F3"/>
    <w:rsid w:val="006432CD"/>
    <w:rsid w:val="00643ED8"/>
    <w:rsid w:val="006441C6"/>
    <w:rsid w:val="0064488A"/>
    <w:rsid w:val="00644CF8"/>
    <w:rsid w:val="00644F1F"/>
    <w:rsid w:val="006459D9"/>
    <w:rsid w:val="00645E06"/>
    <w:rsid w:val="00646138"/>
    <w:rsid w:val="006524C7"/>
    <w:rsid w:val="00652CDB"/>
    <w:rsid w:val="006530C8"/>
    <w:rsid w:val="00653B5A"/>
    <w:rsid w:val="0065528D"/>
    <w:rsid w:val="006573A0"/>
    <w:rsid w:val="00657442"/>
    <w:rsid w:val="00660213"/>
    <w:rsid w:val="006615D3"/>
    <w:rsid w:val="0066250E"/>
    <w:rsid w:val="006635EA"/>
    <w:rsid w:val="00664337"/>
    <w:rsid w:val="00664C61"/>
    <w:rsid w:val="00665788"/>
    <w:rsid w:val="006672A2"/>
    <w:rsid w:val="00670F43"/>
    <w:rsid w:val="00671AE7"/>
    <w:rsid w:val="00674F19"/>
    <w:rsid w:val="00675719"/>
    <w:rsid w:val="00677320"/>
    <w:rsid w:val="00680A3F"/>
    <w:rsid w:val="00680FA2"/>
    <w:rsid w:val="006819AF"/>
    <w:rsid w:val="006828F0"/>
    <w:rsid w:val="00683C33"/>
    <w:rsid w:val="006851A8"/>
    <w:rsid w:val="00685258"/>
    <w:rsid w:val="006913A1"/>
    <w:rsid w:val="006915E7"/>
    <w:rsid w:val="006923F4"/>
    <w:rsid w:val="00692625"/>
    <w:rsid w:val="00692E76"/>
    <w:rsid w:val="006932C0"/>
    <w:rsid w:val="00694B0C"/>
    <w:rsid w:val="00694F7B"/>
    <w:rsid w:val="00695104"/>
    <w:rsid w:val="00696EFD"/>
    <w:rsid w:val="006A04EC"/>
    <w:rsid w:val="006A1789"/>
    <w:rsid w:val="006A44B2"/>
    <w:rsid w:val="006A5AE5"/>
    <w:rsid w:val="006A6C3D"/>
    <w:rsid w:val="006A7AF3"/>
    <w:rsid w:val="006B000E"/>
    <w:rsid w:val="006B1FD7"/>
    <w:rsid w:val="006B4891"/>
    <w:rsid w:val="006B54F0"/>
    <w:rsid w:val="006B58DB"/>
    <w:rsid w:val="006B5940"/>
    <w:rsid w:val="006C00B8"/>
    <w:rsid w:val="006C0944"/>
    <w:rsid w:val="006C0E74"/>
    <w:rsid w:val="006C4D51"/>
    <w:rsid w:val="006C503B"/>
    <w:rsid w:val="006C6B8C"/>
    <w:rsid w:val="006C79CB"/>
    <w:rsid w:val="006D0291"/>
    <w:rsid w:val="006D0F6C"/>
    <w:rsid w:val="006D2581"/>
    <w:rsid w:val="006D2652"/>
    <w:rsid w:val="006D2B5B"/>
    <w:rsid w:val="006D3F72"/>
    <w:rsid w:val="006D4517"/>
    <w:rsid w:val="006D47B3"/>
    <w:rsid w:val="006D6488"/>
    <w:rsid w:val="006D7254"/>
    <w:rsid w:val="006D7261"/>
    <w:rsid w:val="006D728D"/>
    <w:rsid w:val="006D77DE"/>
    <w:rsid w:val="006E0213"/>
    <w:rsid w:val="006E2537"/>
    <w:rsid w:val="006E26F4"/>
    <w:rsid w:val="006E2B5E"/>
    <w:rsid w:val="006E3BF0"/>
    <w:rsid w:val="006E74A0"/>
    <w:rsid w:val="006F0F37"/>
    <w:rsid w:val="006F2129"/>
    <w:rsid w:val="006F2538"/>
    <w:rsid w:val="006F2C8E"/>
    <w:rsid w:val="006F2FD2"/>
    <w:rsid w:val="006F3FF7"/>
    <w:rsid w:val="006F480A"/>
    <w:rsid w:val="006F4CE6"/>
    <w:rsid w:val="006F5E01"/>
    <w:rsid w:val="006F6F27"/>
    <w:rsid w:val="006F7396"/>
    <w:rsid w:val="00700C6E"/>
    <w:rsid w:val="00705BB3"/>
    <w:rsid w:val="0071097B"/>
    <w:rsid w:val="00710BA7"/>
    <w:rsid w:val="00713576"/>
    <w:rsid w:val="007139E2"/>
    <w:rsid w:val="0071480D"/>
    <w:rsid w:val="00715CBA"/>
    <w:rsid w:val="00715CE0"/>
    <w:rsid w:val="007215C2"/>
    <w:rsid w:val="0072289C"/>
    <w:rsid w:val="00723AD3"/>
    <w:rsid w:val="00723FE7"/>
    <w:rsid w:val="0073039A"/>
    <w:rsid w:val="0073239B"/>
    <w:rsid w:val="007356A3"/>
    <w:rsid w:val="007366B1"/>
    <w:rsid w:val="00737066"/>
    <w:rsid w:val="007379D0"/>
    <w:rsid w:val="00737D89"/>
    <w:rsid w:val="007417A0"/>
    <w:rsid w:val="007426D9"/>
    <w:rsid w:val="00742F19"/>
    <w:rsid w:val="007448C0"/>
    <w:rsid w:val="0074575B"/>
    <w:rsid w:val="00746AB1"/>
    <w:rsid w:val="00746C3A"/>
    <w:rsid w:val="00746D4C"/>
    <w:rsid w:val="0074751C"/>
    <w:rsid w:val="0075140F"/>
    <w:rsid w:val="007530C3"/>
    <w:rsid w:val="007535E1"/>
    <w:rsid w:val="0076040B"/>
    <w:rsid w:val="00760DE6"/>
    <w:rsid w:val="00761A37"/>
    <w:rsid w:val="007622E9"/>
    <w:rsid w:val="00762E13"/>
    <w:rsid w:val="00762E70"/>
    <w:rsid w:val="007631CB"/>
    <w:rsid w:val="00763F25"/>
    <w:rsid w:val="0076443D"/>
    <w:rsid w:val="00764C1E"/>
    <w:rsid w:val="00766898"/>
    <w:rsid w:val="00767DC5"/>
    <w:rsid w:val="007700C0"/>
    <w:rsid w:val="00770D7C"/>
    <w:rsid w:val="00770FBC"/>
    <w:rsid w:val="0077127E"/>
    <w:rsid w:val="0077151E"/>
    <w:rsid w:val="00772B06"/>
    <w:rsid w:val="00774B61"/>
    <w:rsid w:val="0077568D"/>
    <w:rsid w:val="00776158"/>
    <w:rsid w:val="00777EC2"/>
    <w:rsid w:val="00780B25"/>
    <w:rsid w:val="007819D0"/>
    <w:rsid w:val="00783B7C"/>
    <w:rsid w:val="00786357"/>
    <w:rsid w:val="0079012E"/>
    <w:rsid w:val="007902C0"/>
    <w:rsid w:val="00792732"/>
    <w:rsid w:val="0079482E"/>
    <w:rsid w:val="00794F30"/>
    <w:rsid w:val="007953DC"/>
    <w:rsid w:val="007978C3"/>
    <w:rsid w:val="007A0327"/>
    <w:rsid w:val="007A3374"/>
    <w:rsid w:val="007A60B2"/>
    <w:rsid w:val="007B090F"/>
    <w:rsid w:val="007B1321"/>
    <w:rsid w:val="007B3DDF"/>
    <w:rsid w:val="007B4484"/>
    <w:rsid w:val="007B576F"/>
    <w:rsid w:val="007B6240"/>
    <w:rsid w:val="007B6809"/>
    <w:rsid w:val="007B6E13"/>
    <w:rsid w:val="007B76E6"/>
    <w:rsid w:val="007B79BD"/>
    <w:rsid w:val="007C1D92"/>
    <w:rsid w:val="007C249E"/>
    <w:rsid w:val="007C2C6E"/>
    <w:rsid w:val="007C4D2F"/>
    <w:rsid w:val="007C754A"/>
    <w:rsid w:val="007C75DB"/>
    <w:rsid w:val="007D08EE"/>
    <w:rsid w:val="007D217F"/>
    <w:rsid w:val="007D6F54"/>
    <w:rsid w:val="007D7194"/>
    <w:rsid w:val="007D72D5"/>
    <w:rsid w:val="007E0271"/>
    <w:rsid w:val="007E0839"/>
    <w:rsid w:val="007E1EA6"/>
    <w:rsid w:val="007E556B"/>
    <w:rsid w:val="007E5B2A"/>
    <w:rsid w:val="007E6C08"/>
    <w:rsid w:val="007E7272"/>
    <w:rsid w:val="007F34EA"/>
    <w:rsid w:val="007F353B"/>
    <w:rsid w:val="007F47F9"/>
    <w:rsid w:val="007F6CA6"/>
    <w:rsid w:val="0080046B"/>
    <w:rsid w:val="008004C6"/>
    <w:rsid w:val="00800B4D"/>
    <w:rsid w:val="00800F40"/>
    <w:rsid w:val="00801411"/>
    <w:rsid w:val="008017D6"/>
    <w:rsid w:val="00803916"/>
    <w:rsid w:val="00803C1D"/>
    <w:rsid w:val="008050BD"/>
    <w:rsid w:val="008062F8"/>
    <w:rsid w:val="00807EEF"/>
    <w:rsid w:val="008108B7"/>
    <w:rsid w:val="00812D15"/>
    <w:rsid w:val="00812E34"/>
    <w:rsid w:val="00813D1E"/>
    <w:rsid w:val="00814552"/>
    <w:rsid w:val="0081737A"/>
    <w:rsid w:val="00820071"/>
    <w:rsid w:val="008209BF"/>
    <w:rsid w:val="00820A9C"/>
    <w:rsid w:val="00821278"/>
    <w:rsid w:val="0082272B"/>
    <w:rsid w:val="008227FC"/>
    <w:rsid w:val="00822846"/>
    <w:rsid w:val="008228F4"/>
    <w:rsid w:val="00822ABF"/>
    <w:rsid w:val="00824426"/>
    <w:rsid w:val="008255AE"/>
    <w:rsid w:val="00825AAA"/>
    <w:rsid w:val="0082634A"/>
    <w:rsid w:val="008264D7"/>
    <w:rsid w:val="008266D0"/>
    <w:rsid w:val="00832394"/>
    <w:rsid w:val="00833BF5"/>
    <w:rsid w:val="00834F47"/>
    <w:rsid w:val="008418E7"/>
    <w:rsid w:val="00843697"/>
    <w:rsid w:val="00843A44"/>
    <w:rsid w:val="00844BA8"/>
    <w:rsid w:val="008456B5"/>
    <w:rsid w:val="00845E3A"/>
    <w:rsid w:val="00846F1C"/>
    <w:rsid w:val="008476E2"/>
    <w:rsid w:val="00850615"/>
    <w:rsid w:val="00850D06"/>
    <w:rsid w:val="00851475"/>
    <w:rsid w:val="00854783"/>
    <w:rsid w:val="008549CE"/>
    <w:rsid w:val="00854D95"/>
    <w:rsid w:val="00860658"/>
    <w:rsid w:val="00860691"/>
    <w:rsid w:val="00860BF6"/>
    <w:rsid w:val="00861683"/>
    <w:rsid w:val="00861D58"/>
    <w:rsid w:val="00861EEC"/>
    <w:rsid w:val="0086253C"/>
    <w:rsid w:val="00863139"/>
    <w:rsid w:val="00863AF5"/>
    <w:rsid w:val="00864212"/>
    <w:rsid w:val="00864D30"/>
    <w:rsid w:val="0086584D"/>
    <w:rsid w:val="00870DAE"/>
    <w:rsid w:val="00870F21"/>
    <w:rsid w:val="00871C14"/>
    <w:rsid w:val="0087347C"/>
    <w:rsid w:val="00875100"/>
    <w:rsid w:val="00875227"/>
    <w:rsid w:val="00875748"/>
    <w:rsid w:val="00875E9B"/>
    <w:rsid w:val="008778F2"/>
    <w:rsid w:val="008809A6"/>
    <w:rsid w:val="00880D01"/>
    <w:rsid w:val="008827EB"/>
    <w:rsid w:val="00884187"/>
    <w:rsid w:val="00884D73"/>
    <w:rsid w:val="00887020"/>
    <w:rsid w:val="00887589"/>
    <w:rsid w:val="00887D3C"/>
    <w:rsid w:val="00890395"/>
    <w:rsid w:val="008905EE"/>
    <w:rsid w:val="008908D5"/>
    <w:rsid w:val="00890B83"/>
    <w:rsid w:val="00891FF3"/>
    <w:rsid w:val="00893BD6"/>
    <w:rsid w:val="008940E0"/>
    <w:rsid w:val="008947AB"/>
    <w:rsid w:val="00895622"/>
    <w:rsid w:val="008967DA"/>
    <w:rsid w:val="008967E1"/>
    <w:rsid w:val="00896823"/>
    <w:rsid w:val="0089777C"/>
    <w:rsid w:val="0089779A"/>
    <w:rsid w:val="008A0A81"/>
    <w:rsid w:val="008A10CE"/>
    <w:rsid w:val="008A22B9"/>
    <w:rsid w:val="008A3880"/>
    <w:rsid w:val="008A3CCF"/>
    <w:rsid w:val="008A500A"/>
    <w:rsid w:val="008A5720"/>
    <w:rsid w:val="008A604E"/>
    <w:rsid w:val="008A6654"/>
    <w:rsid w:val="008A69C5"/>
    <w:rsid w:val="008B0677"/>
    <w:rsid w:val="008B3811"/>
    <w:rsid w:val="008B60AD"/>
    <w:rsid w:val="008B6A4F"/>
    <w:rsid w:val="008C0BAF"/>
    <w:rsid w:val="008C2A65"/>
    <w:rsid w:val="008C628F"/>
    <w:rsid w:val="008C72DA"/>
    <w:rsid w:val="008C7E74"/>
    <w:rsid w:val="008D0422"/>
    <w:rsid w:val="008D107A"/>
    <w:rsid w:val="008D13E5"/>
    <w:rsid w:val="008D1A52"/>
    <w:rsid w:val="008D3928"/>
    <w:rsid w:val="008D39A8"/>
    <w:rsid w:val="008D3A27"/>
    <w:rsid w:val="008D5120"/>
    <w:rsid w:val="008D54D0"/>
    <w:rsid w:val="008D62BE"/>
    <w:rsid w:val="008D6CB5"/>
    <w:rsid w:val="008D6D09"/>
    <w:rsid w:val="008E13F6"/>
    <w:rsid w:val="008E3CC2"/>
    <w:rsid w:val="008E6AAA"/>
    <w:rsid w:val="008F03E3"/>
    <w:rsid w:val="008F27A1"/>
    <w:rsid w:val="008F3D2E"/>
    <w:rsid w:val="008F4A33"/>
    <w:rsid w:val="008F4ED0"/>
    <w:rsid w:val="008F7642"/>
    <w:rsid w:val="008F7974"/>
    <w:rsid w:val="00900AA0"/>
    <w:rsid w:val="009020AD"/>
    <w:rsid w:val="00902AC7"/>
    <w:rsid w:val="00902B39"/>
    <w:rsid w:val="00903618"/>
    <w:rsid w:val="0090464D"/>
    <w:rsid w:val="00904753"/>
    <w:rsid w:val="00904AB0"/>
    <w:rsid w:val="00905242"/>
    <w:rsid w:val="00905858"/>
    <w:rsid w:val="00906310"/>
    <w:rsid w:val="009078D1"/>
    <w:rsid w:val="00910F46"/>
    <w:rsid w:val="00911277"/>
    <w:rsid w:val="00913C30"/>
    <w:rsid w:val="00915CFD"/>
    <w:rsid w:val="009170E7"/>
    <w:rsid w:val="00917384"/>
    <w:rsid w:val="00921D5D"/>
    <w:rsid w:val="009226FD"/>
    <w:rsid w:val="00922C8F"/>
    <w:rsid w:val="0092376B"/>
    <w:rsid w:val="00923BAC"/>
    <w:rsid w:val="00926173"/>
    <w:rsid w:val="009261F9"/>
    <w:rsid w:val="00926D99"/>
    <w:rsid w:val="00927BBB"/>
    <w:rsid w:val="00930CC7"/>
    <w:rsid w:val="00930F6D"/>
    <w:rsid w:val="009312D7"/>
    <w:rsid w:val="00935640"/>
    <w:rsid w:val="00935C44"/>
    <w:rsid w:val="0093614A"/>
    <w:rsid w:val="009401BC"/>
    <w:rsid w:val="009425EA"/>
    <w:rsid w:val="00942BC6"/>
    <w:rsid w:val="009437B2"/>
    <w:rsid w:val="00943A3C"/>
    <w:rsid w:val="00944A7B"/>
    <w:rsid w:val="0095006C"/>
    <w:rsid w:val="009530FE"/>
    <w:rsid w:val="009531C6"/>
    <w:rsid w:val="009627EF"/>
    <w:rsid w:val="009639B9"/>
    <w:rsid w:val="0096547E"/>
    <w:rsid w:val="00970DA8"/>
    <w:rsid w:val="009712F1"/>
    <w:rsid w:val="009723C0"/>
    <w:rsid w:val="00973390"/>
    <w:rsid w:val="0097371A"/>
    <w:rsid w:val="009766C2"/>
    <w:rsid w:val="009772E5"/>
    <w:rsid w:val="0097756B"/>
    <w:rsid w:val="009817C5"/>
    <w:rsid w:val="00983206"/>
    <w:rsid w:val="0098360F"/>
    <w:rsid w:val="0098551D"/>
    <w:rsid w:val="00986125"/>
    <w:rsid w:val="009862F0"/>
    <w:rsid w:val="0098696C"/>
    <w:rsid w:val="0098773B"/>
    <w:rsid w:val="00987A15"/>
    <w:rsid w:val="00990F3F"/>
    <w:rsid w:val="009917E4"/>
    <w:rsid w:val="00993DB2"/>
    <w:rsid w:val="009966A4"/>
    <w:rsid w:val="0099708E"/>
    <w:rsid w:val="009A06D0"/>
    <w:rsid w:val="009A0A44"/>
    <w:rsid w:val="009A0F40"/>
    <w:rsid w:val="009A3CDA"/>
    <w:rsid w:val="009A577E"/>
    <w:rsid w:val="009A61DD"/>
    <w:rsid w:val="009A62E4"/>
    <w:rsid w:val="009B08A8"/>
    <w:rsid w:val="009B0C60"/>
    <w:rsid w:val="009B10D4"/>
    <w:rsid w:val="009B1DBE"/>
    <w:rsid w:val="009B2286"/>
    <w:rsid w:val="009B2B81"/>
    <w:rsid w:val="009B36F6"/>
    <w:rsid w:val="009B3DA5"/>
    <w:rsid w:val="009B5A91"/>
    <w:rsid w:val="009C2DE0"/>
    <w:rsid w:val="009C3345"/>
    <w:rsid w:val="009C3953"/>
    <w:rsid w:val="009C409B"/>
    <w:rsid w:val="009C468A"/>
    <w:rsid w:val="009C4718"/>
    <w:rsid w:val="009C478C"/>
    <w:rsid w:val="009C4B9D"/>
    <w:rsid w:val="009C4C42"/>
    <w:rsid w:val="009C5473"/>
    <w:rsid w:val="009D0077"/>
    <w:rsid w:val="009D0337"/>
    <w:rsid w:val="009D0719"/>
    <w:rsid w:val="009D271B"/>
    <w:rsid w:val="009D4E07"/>
    <w:rsid w:val="009D5AC3"/>
    <w:rsid w:val="009D65A7"/>
    <w:rsid w:val="009D6AA2"/>
    <w:rsid w:val="009D7F85"/>
    <w:rsid w:val="009E24CA"/>
    <w:rsid w:val="009E521F"/>
    <w:rsid w:val="009E699D"/>
    <w:rsid w:val="009F0D97"/>
    <w:rsid w:val="009F445D"/>
    <w:rsid w:val="00A01754"/>
    <w:rsid w:val="00A01A53"/>
    <w:rsid w:val="00A0430A"/>
    <w:rsid w:val="00A04D7E"/>
    <w:rsid w:val="00A04D82"/>
    <w:rsid w:val="00A04FEF"/>
    <w:rsid w:val="00A053FA"/>
    <w:rsid w:val="00A05738"/>
    <w:rsid w:val="00A05D44"/>
    <w:rsid w:val="00A064A0"/>
    <w:rsid w:val="00A07A82"/>
    <w:rsid w:val="00A07D56"/>
    <w:rsid w:val="00A10A12"/>
    <w:rsid w:val="00A13EA9"/>
    <w:rsid w:val="00A143DA"/>
    <w:rsid w:val="00A1569C"/>
    <w:rsid w:val="00A20083"/>
    <w:rsid w:val="00A211D0"/>
    <w:rsid w:val="00A2245A"/>
    <w:rsid w:val="00A22516"/>
    <w:rsid w:val="00A22A8A"/>
    <w:rsid w:val="00A233CF"/>
    <w:rsid w:val="00A23CB4"/>
    <w:rsid w:val="00A242B2"/>
    <w:rsid w:val="00A24A80"/>
    <w:rsid w:val="00A25ACA"/>
    <w:rsid w:val="00A27256"/>
    <w:rsid w:val="00A2755E"/>
    <w:rsid w:val="00A3025F"/>
    <w:rsid w:val="00A307FC"/>
    <w:rsid w:val="00A31A87"/>
    <w:rsid w:val="00A31E3E"/>
    <w:rsid w:val="00A3203A"/>
    <w:rsid w:val="00A32DFA"/>
    <w:rsid w:val="00A34B1F"/>
    <w:rsid w:val="00A34F26"/>
    <w:rsid w:val="00A35EC9"/>
    <w:rsid w:val="00A36E4D"/>
    <w:rsid w:val="00A373B4"/>
    <w:rsid w:val="00A418EE"/>
    <w:rsid w:val="00A439C3"/>
    <w:rsid w:val="00A43AC7"/>
    <w:rsid w:val="00A43B91"/>
    <w:rsid w:val="00A455B0"/>
    <w:rsid w:val="00A50266"/>
    <w:rsid w:val="00A52ABB"/>
    <w:rsid w:val="00A54281"/>
    <w:rsid w:val="00A553E9"/>
    <w:rsid w:val="00A55790"/>
    <w:rsid w:val="00A571DF"/>
    <w:rsid w:val="00A5740E"/>
    <w:rsid w:val="00A606A3"/>
    <w:rsid w:val="00A62359"/>
    <w:rsid w:val="00A62D3A"/>
    <w:rsid w:val="00A63661"/>
    <w:rsid w:val="00A65F08"/>
    <w:rsid w:val="00A66405"/>
    <w:rsid w:val="00A667B3"/>
    <w:rsid w:val="00A67C83"/>
    <w:rsid w:val="00A70D08"/>
    <w:rsid w:val="00A71BA5"/>
    <w:rsid w:val="00A71DB7"/>
    <w:rsid w:val="00A7374C"/>
    <w:rsid w:val="00A73A1D"/>
    <w:rsid w:val="00A753BF"/>
    <w:rsid w:val="00A76DA2"/>
    <w:rsid w:val="00A76E46"/>
    <w:rsid w:val="00A7759D"/>
    <w:rsid w:val="00A8154B"/>
    <w:rsid w:val="00A84DC1"/>
    <w:rsid w:val="00A8596C"/>
    <w:rsid w:val="00A863A9"/>
    <w:rsid w:val="00A86767"/>
    <w:rsid w:val="00A90145"/>
    <w:rsid w:val="00A90EDA"/>
    <w:rsid w:val="00A91EE3"/>
    <w:rsid w:val="00A9203A"/>
    <w:rsid w:val="00A928BD"/>
    <w:rsid w:val="00A92D1C"/>
    <w:rsid w:val="00A93F21"/>
    <w:rsid w:val="00A97171"/>
    <w:rsid w:val="00AA0523"/>
    <w:rsid w:val="00AA27A0"/>
    <w:rsid w:val="00AA4FC5"/>
    <w:rsid w:val="00AA57A8"/>
    <w:rsid w:val="00AA7323"/>
    <w:rsid w:val="00AB02F3"/>
    <w:rsid w:val="00AB14D3"/>
    <w:rsid w:val="00AB281A"/>
    <w:rsid w:val="00AB47E7"/>
    <w:rsid w:val="00AB4FBB"/>
    <w:rsid w:val="00AB5F02"/>
    <w:rsid w:val="00AC063E"/>
    <w:rsid w:val="00AC26B6"/>
    <w:rsid w:val="00AC26DF"/>
    <w:rsid w:val="00AC2FEC"/>
    <w:rsid w:val="00AC3E7B"/>
    <w:rsid w:val="00AC5C2B"/>
    <w:rsid w:val="00AC5FEE"/>
    <w:rsid w:val="00AD02F3"/>
    <w:rsid w:val="00AD125E"/>
    <w:rsid w:val="00AD15FC"/>
    <w:rsid w:val="00AD235C"/>
    <w:rsid w:val="00AD2CE2"/>
    <w:rsid w:val="00AD406F"/>
    <w:rsid w:val="00AD41F5"/>
    <w:rsid w:val="00AD4DE4"/>
    <w:rsid w:val="00AD6F15"/>
    <w:rsid w:val="00AD7820"/>
    <w:rsid w:val="00AD7CA8"/>
    <w:rsid w:val="00AE0C4A"/>
    <w:rsid w:val="00AE1AFB"/>
    <w:rsid w:val="00AE223B"/>
    <w:rsid w:val="00AE290D"/>
    <w:rsid w:val="00AE2FA6"/>
    <w:rsid w:val="00AE3838"/>
    <w:rsid w:val="00AE4C5B"/>
    <w:rsid w:val="00AF033A"/>
    <w:rsid w:val="00AF2C11"/>
    <w:rsid w:val="00AF4C9F"/>
    <w:rsid w:val="00AF50BB"/>
    <w:rsid w:val="00AF629C"/>
    <w:rsid w:val="00AF6BD8"/>
    <w:rsid w:val="00B02DF8"/>
    <w:rsid w:val="00B02F20"/>
    <w:rsid w:val="00B03746"/>
    <w:rsid w:val="00B03B6B"/>
    <w:rsid w:val="00B03ECE"/>
    <w:rsid w:val="00B04C3D"/>
    <w:rsid w:val="00B058E2"/>
    <w:rsid w:val="00B06943"/>
    <w:rsid w:val="00B103BE"/>
    <w:rsid w:val="00B108AB"/>
    <w:rsid w:val="00B10F3E"/>
    <w:rsid w:val="00B12278"/>
    <w:rsid w:val="00B12BA9"/>
    <w:rsid w:val="00B14A14"/>
    <w:rsid w:val="00B1691A"/>
    <w:rsid w:val="00B16E80"/>
    <w:rsid w:val="00B17327"/>
    <w:rsid w:val="00B24089"/>
    <w:rsid w:val="00B24FB7"/>
    <w:rsid w:val="00B24FCE"/>
    <w:rsid w:val="00B25057"/>
    <w:rsid w:val="00B27D02"/>
    <w:rsid w:val="00B328A0"/>
    <w:rsid w:val="00B33941"/>
    <w:rsid w:val="00B34386"/>
    <w:rsid w:val="00B34A3D"/>
    <w:rsid w:val="00B35599"/>
    <w:rsid w:val="00B3601E"/>
    <w:rsid w:val="00B41342"/>
    <w:rsid w:val="00B417E0"/>
    <w:rsid w:val="00B42C32"/>
    <w:rsid w:val="00B4460A"/>
    <w:rsid w:val="00B45040"/>
    <w:rsid w:val="00B46F6F"/>
    <w:rsid w:val="00B51960"/>
    <w:rsid w:val="00B529BD"/>
    <w:rsid w:val="00B543F1"/>
    <w:rsid w:val="00B5451C"/>
    <w:rsid w:val="00B5648F"/>
    <w:rsid w:val="00B56572"/>
    <w:rsid w:val="00B57A26"/>
    <w:rsid w:val="00B6229F"/>
    <w:rsid w:val="00B625B5"/>
    <w:rsid w:val="00B62EB5"/>
    <w:rsid w:val="00B63A2B"/>
    <w:rsid w:val="00B64249"/>
    <w:rsid w:val="00B66DA6"/>
    <w:rsid w:val="00B66F2A"/>
    <w:rsid w:val="00B700A3"/>
    <w:rsid w:val="00B71155"/>
    <w:rsid w:val="00B7345C"/>
    <w:rsid w:val="00B73988"/>
    <w:rsid w:val="00B7534D"/>
    <w:rsid w:val="00B75625"/>
    <w:rsid w:val="00B82A3C"/>
    <w:rsid w:val="00B864C8"/>
    <w:rsid w:val="00B86D54"/>
    <w:rsid w:val="00B919BC"/>
    <w:rsid w:val="00B91B8E"/>
    <w:rsid w:val="00B93928"/>
    <w:rsid w:val="00B973C4"/>
    <w:rsid w:val="00BA2603"/>
    <w:rsid w:val="00BA3D65"/>
    <w:rsid w:val="00BA41FC"/>
    <w:rsid w:val="00BA46D1"/>
    <w:rsid w:val="00BA5F02"/>
    <w:rsid w:val="00BA625C"/>
    <w:rsid w:val="00BB078B"/>
    <w:rsid w:val="00BB122A"/>
    <w:rsid w:val="00BB26D4"/>
    <w:rsid w:val="00BB4E35"/>
    <w:rsid w:val="00BB5160"/>
    <w:rsid w:val="00BB5CC6"/>
    <w:rsid w:val="00BC1880"/>
    <w:rsid w:val="00BC1BE6"/>
    <w:rsid w:val="00BC3FA4"/>
    <w:rsid w:val="00BC59EF"/>
    <w:rsid w:val="00BC5D4C"/>
    <w:rsid w:val="00BC676C"/>
    <w:rsid w:val="00BC6CF6"/>
    <w:rsid w:val="00BC7E7A"/>
    <w:rsid w:val="00BD0D4F"/>
    <w:rsid w:val="00BD0DEA"/>
    <w:rsid w:val="00BD0EBF"/>
    <w:rsid w:val="00BD22C7"/>
    <w:rsid w:val="00BD2702"/>
    <w:rsid w:val="00BD4191"/>
    <w:rsid w:val="00BD4885"/>
    <w:rsid w:val="00BD67B3"/>
    <w:rsid w:val="00BD71D1"/>
    <w:rsid w:val="00BD77F8"/>
    <w:rsid w:val="00BD7EA4"/>
    <w:rsid w:val="00BE01C4"/>
    <w:rsid w:val="00BE1378"/>
    <w:rsid w:val="00BE1835"/>
    <w:rsid w:val="00BE1C41"/>
    <w:rsid w:val="00BE3A39"/>
    <w:rsid w:val="00BE46A5"/>
    <w:rsid w:val="00BE4F72"/>
    <w:rsid w:val="00BE6760"/>
    <w:rsid w:val="00BE67E1"/>
    <w:rsid w:val="00BE6C8A"/>
    <w:rsid w:val="00BF12BE"/>
    <w:rsid w:val="00BF248B"/>
    <w:rsid w:val="00BF26F8"/>
    <w:rsid w:val="00BF2D63"/>
    <w:rsid w:val="00BF314B"/>
    <w:rsid w:val="00BF366E"/>
    <w:rsid w:val="00BF3A9C"/>
    <w:rsid w:val="00BF5215"/>
    <w:rsid w:val="00BF64E7"/>
    <w:rsid w:val="00BF6BF5"/>
    <w:rsid w:val="00BF6E51"/>
    <w:rsid w:val="00BF6F6C"/>
    <w:rsid w:val="00BF7C9D"/>
    <w:rsid w:val="00BF7DAD"/>
    <w:rsid w:val="00C00013"/>
    <w:rsid w:val="00C008B8"/>
    <w:rsid w:val="00C01EEB"/>
    <w:rsid w:val="00C022DC"/>
    <w:rsid w:val="00C02579"/>
    <w:rsid w:val="00C027FD"/>
    <w:rsid w:val="00C035C1"/>
    <w:rsid w:val="00C0382B"/>
    <w:rsid w:val="00C03BC0"/>
    <w:rsid w:val="00C0438C"/>
    <w:rsid w:val="00C049F2"/>
    <w:rsid w:val="00C06198"/>
    <w:rsid w:val="00C07F39"/>
    <w:rsid w:val="00C11398"/>
    <w:rsid w:val="00C12532"/>
    <w:rsid w:val="00C12B88"/>
    <w:rsid w:val="00C13FF9"/>
    <w:rsid w:val="00C168B5"/>
    <w:rsid w:val="00C16DEA"/>
    <w:rsid w:val="00C176C2"/>
    <w:rsid w:val="00C1771B"/>
    <w:rsid w:val="00C17E25"/>
    <w:rsid w:val="00C2234F"/>
    <w:rsid w:val="00C22922"/>
    <w:rsid w:val="00C232CF"/>
    <w:rsid w:val="00C24546"/>
    <w:rsid w:val="00C31524"/>
    <w:rsid w:val="00C32671"/>
    <w:rsid w:val="00C335E3"/>
    <w:rsid w:val="00C376E5"/>
    <w:rsid w:val="00C37CE8"/>
    <w:rsid w:val="00C37D0F"/>
    <w:rsid w:val="00C40BB0"/>
    <w:rsid w:val="00C43059"/>
    <w:rsid w:val="00C43FC3"/>
    <w:rsid w:val="00C44C62"/>
    <w:rsid w:val="00C45D83"/>
    <w:rsid w:val="00C47C42"/>
    <w:rsid w:val="00C50CA3"/>
    <w:rsid w:val="00C5119A"/>
    <w:rsid w:val="00C51762"/>
    <w:rsid w:val="00C5282C"/>
    <w:rsid w:val="00C53D00"/>
    <w:rsid w:val="00C53FAF"/>
    <w:rsid w:val="00C5427E"/>
    <w:rsid w:val="00C573C0"/>
    <w:rsid w:val="00C6127C"/>
    <w:rsid w:val="00C635AA"/>
    <w:rsid w:val="00C63ACC"/>
    <w:rsid w:val="00C64052"/>
    <w:rsid w:val="00C64660"/>
    <w:rsid w:val="00C646D3"/>
    <w:rsid w:val="00C65117"/>
    <w:rsid w:val="00C6675E"/>
    <w:rsid w:val="00C712E9"/>
    <w:rsid w:val="00C71BF6"/>
    <w:rsid w:val="00C71FBD"/>
    <w:rsid w:val="00C75212"/>
    <w:rsid w:val="00C7536E"/>
    <w:rsid w:val="00C778B9"/>
    <w:rsid w:val="00C825D6"/>
    <w:rsid w:val="00C832C5"/>
    <w:rsid w:val="00C856AE"/>
    <w:rsid w:val="00C8613B"/>
    <w:rsid w:val="00C9083A"/>
    <w:rsid w:val="00C92FEC"/>
    <w:rsid w:val="00C9458B"/>
    <w:rsid w:val="00C94E84"/>
    <w:rsid w:val="00C9576D"/>
    <w:rsid w:val="00C95F33"/>
    <w:rsid w:val="00CA08B2"/>
    <w:rsid w:val="00CA0B57"/>
    <w:rsid w:val="00CA32B1"/>
    <w:rsid w:val="00CA3C12"/>
    <w:rsid w:val="00CA48EB"/>
    <w:rsid w:val="00CA5D7B"/>
    <w:rsid w:val="00CA5E18"/>
    <w:rsid w:val="00CA7E01"/>
    <w:rsid w:val="00CB186A"/>
    <w:rsid w:val="00CB21E2"/>
    <w:rsid w:val="00CB260A"/>
    <w:rsid w:val="00CB41F2"/>
    <w:rsid w:val="00CB4938"/>
    <w:rsid w:val="00CB6F19"/>
    <w:rsid w:val="00CC035D"/>
    <w:rsid w:val="00CC0B4B"/>
    <w:rsid w:val="00CC2C4D"/>
    <w:rsid w:val="00CC36CA"/>
    <w:rsid w:val="00CC45F7"/>
    <w:rsid w:val="00CD044C"/>
    <w:rsid w:val="00CD07FD"/>
    <w:rsid w:val="00CD3B6D"/>
    <w:rsid w:val="00CD6544"/>
    <w:rsid w:val="00CD6ECA"/>
    <w:rsid w:val="00CD6F09"/>
    <w:rsid w:val="00CD707C"/>
    <w:rsid w:val="00CD7755"/>
    <w:rsid w:val="00CE0682"/>
    <w:rsid w:val="00CE1990"/>
    <w:rsid w:val="00CE311D"/>
    <w:rsid w:val="00CE463E"/>
    <w:rsid w:val="00CE63D2"/>
    <w:rsid w:val="00CE7073"/>
    <w:rsid w:val="00CE7657"/>
    <w:rsid w:val="00CE77EE"/>
    <w:rsid w:val="00CE78D8"/>
    <w:rsid w:val="00CE7AF4"/>
    <w:rsid w:val="00CF0850"/>
    <w:rsid w:val="00CF0B28"/>
    <w:rsid w:val="00CF2083"/>
    <w:rsid w:val="00CF362B"/>
    <w:rsid w:val="00CF37A3"/>
    <w:rsid w:val="00CF38D6"/>
    <w:rsid w:val="00CF40CD"/>
    <w:rsid w:val="00CF4F71"/>
    <w:rsid w:val="00CF7F8D"/>
    <w:rsid w:val="00D013A3"/>
    <w:rsid w:val="00D017D3"/>
    <w:rsid w:val="00D0301F"/>
    <w:rsid w:val="00D0402C"/>
    <w:rsid w:val="00D06BCB"/>
    <w:rsid w:val="00D1122C"/>
    <w:rsid w:val="00D12868"/>
    <w:rsid w:val="00D13179"/>
    <w:rsid w:val="00D15F7C"/>
    <w:rsid w:val="00D161B4"/>
    <w:rsid w:val="00D1673D"/>
    <w:rsid w:val="00D168AB"/>
    <w:rsid w:val="00D17B8F"/>
    <w:rsid w:val="00D17E2F"/>
    <w:rsid w:val="00D22BB7"/>
    <w:rsid w:val="00D22BD2"/>
    <w:rsid w:val="00D2489B"/>
    <w:rsid w:val="00D250D4"/>
    <w:rsid w:val="00D30A15"/>
    <w:rsid w:val="00D30AF7"/>
    <w:rsid w:val="00D311D3"/>
    <w:rsid w:val="00D311DB"/>
    <w:rsid w:val="00D31746"/>
    <w:rsid w:val="00D32036"/>
    <w:rsid w:val="00D32ADA"/>
    <w:rsid w:val="00D3368F"/>
    <w:rsid w:val="00D35D5B"/>
    <w:rsid w:val="00D36121"/>
    <w:rsid w:val="00D369C7"/>
    <w:rsid w:val="00D37806"/>
    <w:rsid w:val="00D37B42"/>
    <w:rsid w:val="00D37ED4"/>
    <w:rsid w:val="00D40C52"/>
    <w:rsid w:val="00D4184C"/>
    <w:rsid w:val="00D41ED8"/>
    <w:rsid w:val="00D41FCC"/>
    <w:rsid w:val="00D42FB1"/>
    <w:rsid w:val="00D44F08"/>
    <w:rsid w:val="00D453C1"/>
    <w:rsid w:val="00D46F6D"/>
    <w:rsid w:val="00D47E99"/>
    <w:rsid w:val="00D529ED"/>
    <w:rsid w:val="00D52C06"/>
    <w:rsid w:val="00D52C3E"/>
    <w:rsid w:val="00D534EA"/>
    <w:rsid w:val="00D56C4D"/>
    <w:rsid w:val="00D5791E"/>
    <w:rsid w:val="00D57F08"/>
    <w:rsid w:val="00D62271"/>
    <w:rsid w:val="00D626A6"/>
    <w:rsid w:val="00D641AD"/>
    <w:rsid w:val="00D64720"/>
    <w:rsid w:val="00D64E09"/>
    <w:rsid w:val="00D66964"/>
    <w:rsid w:val="00D67B66"/>
    <w:rsid w:val="00D703AC"/>
    <w:rsid w:val="00D74615"/>
    <w:rsid w:val="00D765DF"/>
    <w:rsid w:val="00D76963"/>
    <w:rsid w:val="00D80470"/>
    <w:rsid w:val="00D8215B"/>
    <w:rsid w:val="00D828AD"/>
    <w:rsid w:val="00D83303"/>
    <w:rsid w:val="00D845FF"/>
    <w:rsid w:val="00D84A7F"/>
    <w:rsid w:val="00D9571C"/>
    <w:rsid w:val="00D9664A"/>
    <w:rsid w:val="00D9668F"/>
    <w:rsid w:val="00D97D6B"/>
    <w:rsid w:val="00DA1F61"/>
    <w:rsid w:val="00DA242B"/>
    <w:rsid w:val="00DA4EB8"/>
    <w:rsid w:val="00DA50D9"/>
    <w:rsid w:val="00DB2175"/>
    <w:rsid w:val="00DB2569"/>
    <w:rsid w:val="00DB713A"/>
    <w:rsid w:val="00DC0AE4"/>
    <w:rsid w:val="00DC0BB6"/>
    <w:rsid w:val="00DC1DF6"/>
    <w:rsid w:val="00DC2859"/>
    <w:rsid w:val="00DC3563"/>
    <w:rsid w:val="00DC58E1"/>
    <w:rsid w:val="00DC6269"/>
    <w:rsid w:val="00DC673E"/>
    <w:rsid w:val="00DC69E4"/>
    <w:rsid w:val="00DC6D9A"/>
    <w:rsid w:val="00DC7AEE"/>
    <w:rsid w:val="00DC7B04"/>
    <w:rsid w:val="00DD217A"/>
    <w:rsid w:val="00DD2206"/>
    <w:rsid w:val="00DD2A87"/>
    <w:rsid w:val="00DD4DA9"/>
    <w:rsid w:val="00DD5B0D"/>
    <w:rsid w:val="00DD69C4"/>
    <w:rsid w:val="00DE093C"/>
    <w:rsid w:val="00DE2587"/>
    <w:rsid w:val="00DE2C05"/>
    <w:rsid w:val="00DE2C1A"/>
    <w:rsid w:val="00DE3268"/>
    <w:rsid w:val="00DE3D70"/>
    <w:rsid w:val="00DE566A"/>
    <w:rsid w:val="00DE5744"/>
    <w:rsid w:val="00DE58D2"/>
    <w:rsid w:val="00DE6271"/>
    <w:rsid w:val="00DF180A"/>
    <w:rsid w:val="00DF217C"/>
    <w:rsid w:val="00DF2B50"/>
    <w:rsid w:val="00DF3EED"/>
    <w:rsid w:val="00DF5097"/>
    <w:rsid w:val="00DF74C5"/>
    <w:rsid w:val="00E004C2"/>
    <w:rsid w:val="00E00B8D"/>
    <w:rsid w:val="00E0220B"/>
    <w:rsid w:val="00E023EE"/>
    <w:rsid w:val="00E06E89"/>
    <w:rsid w:val="00E0730B"/>
    <w:rsid w:val="00E10066"/>
    <w:rsid w:val="00E1052E"/>
    <w:rsid w:val="00E108F9"/>
    <w:rsid w:val="00E10E95"/>
    <w:rsid w:val="00E1267F"/>
    <w:rsid w:val="00E16366"/>
    <w:rsid w:val="00E17B35"/>
    <w:rsid w:val="00E20A31"/>
    <w:rsid w:val="00E20ECF"/>
    <w:rsid w:val="00E2103F"/>
    <w:rsid w:val="00E2223D"/>
    <w:rsid w:val="00E2255E"/>
    <w:rsid w:val="00E2259D"/>
    <w:rsid w:val="00E25022"/>
    <w:rsid w:val="00E26BA9"/>
    <w:rsid w:val="00E2796B"/>
    <w:rsid w:val="00E279DF"/>
    <w:rsid w:val="00E3062A"/>
    <w:rsid w:val="00E30836"/>
    <w:rsid w:val="00E30952"/>
    <w:rsid w:val="00E30B7F"/>
    <w:rsid w:val="00E30FDB"/>
    <w:rsid w:val="00E3364C"/>
    <w:rsid w:val="00E34221"/>
    <w:rsid w:val="00E34D96"/>
    <w:rsid w:val="00E361B2"/>
    <w:rsid w:val="00E3654B"/>
    <w:rsid w:val="00E41A20"/>
    <w:rsid w:val="00E42F82"/>
    <w:rsid w:val="00E43038"/>
    <w:rsid w:val="00E43629"/>
    <w:rsid w:val="00E44A6C"/>
    <w:rsid w:val="00E44B6E"/>
    <w:rsid w:val="00E46574"/>
    <w:rsid w:val="00E47283"/>
    <w:rsid w:val="00E5050F"/>
    <w:rsid w:val="00E5117C"/>
    <w:rsid w:val="00E52F57"/>
    <w:rsid w:val="00E54FDF"/>
    <w:rsid w:val="00E56435"/>
    <w:rsid w:val="00E619CD"/>
    <w:rsid w:val="00E6323C"/>
    <w:rsid w:val="00E6379F"/>
    <w:rsid w:val="00E6685C"/>
    <w:rsid w:val="00E66F40"/>
    <w:rsid w:val="00E724F0"/>
    <w:rsid w:val="00E73FD3"/>
    <w:rsid w:val="00E74D28"/>
    <w:rsid w:val="00E7577C"/>
    <w:rsid w:val="00E7740D"/>
    <w:rsid w:val="00E80D31"/>
    <w:rsid w:val="00E810FA"/>
    <w:rsid w:val="00E82C21"/>
    <w:rsid w:val="00E82FDB"/>
    <w:rsid w:val="00E83EA1"/>
    <w:rsid w:val="00E84DCF"/>
    <w:rsid w:val="00E85567"/>
    <w:rsid w:val="00E864C9"/>
    <w:rsid w:val="00E91DFF"/>
    <w:rsid w:val="00E9377C"/>
    <w:rsid w:val="00E954FB"/>
    <w:rsid w:val="00E9676A"/>
    <w:rsid w:val="00E9757D"/>
    <w:rsid w:val="00E979A9"/>
    <w:rsid w:val="00EA0CB2"/>
    <w:rsid w:val="00EA369C"/>
    <w:rsid w:val="00EA3D90"/>
    <w:rsid w:val="00EA5B93"/>
    <w:rsid w:val="00EA7B06"/>
    <w:rsid w:val="00EB00CD"/>
    <w:rsid w:val="00EB0CA6"/>
    <w:rsid w:val="00EB17B9"/>
    <w:rsid w:val="00EB1FB1"/>
    <w:rsid w:val="00EB262E"/>
    <w:rsid w:val="00EB26E2"/>
    <w:rsid w:val="00EB27C6"/>
    <w:rsid w:val="00EB30F0"/>
    <w:rsid w:val="00EB476E"/>
    <w:rsid w:val="00EB5954"/>
    <w:rsid w:val="00EB6F4F"/>
    <w:rsid w:val="00EC0000"/>
    <w:rsid w:val="00EC1C4A"/>
    <w:rsid w:val="00EC1D0C"/>
    <w:rsid w:val="00EC1F64"/>
    <w:rsid w:val="00EC2BE3"/>
    <w:rsid w:val="00EC2C3C"/>
    <w:rsid w:val="00EC37D1"/>
    <w:rsid w:val="00EC393B"/>
    <w:rsid w:val="00EC4B62"/>
    <w:rsid w:val="00EC5B18"/>
    <w:rsid w:val="00EC753B"/>
    <w:rsid w:val="00ED111D"/>
    <w:rsid w:val="00ED1D5A"/>
    <w:rsid w:val="00ED27A4"/>
    <w:rsid w:val="00ED30A6"/>
    <w:rsid w:val="00ED37CB"/>
    <w:rsid w:val="00ED490A"/>
    <w:rsid w:val="00ED52CD"/>
    <w:rsid w:val="00ED5D0B"/>
    <w:rsid w:val="00ED7D95"/>
    <w:rsid w:val="00EE1273"/>
    <w:rsid w:val="00EE12E5"/>
    <w:rsid w:val="00EE265F"/>
    <w:rsid w:val="00EE42C7"/>
    <w:rsid w:val="00EE6F2A"/>
    <w:rsid w:val="00EF00B6"/>
    <w:rsid w:val="00EF041D"/>
    <w:rsid w:val="00EF2714"/>
    <w:rsid w:val="00EF285B"/>
    <w:rsid w:val="00EF3582"/>
    <w:rsid w:val="00EF5E99"/>
    <w:rsid w:val="00EF6F02"/>
    <w:rsid w:val="00F028A6"/>
    <w:rsid w:val="00F04D9E"/>
    <w:rsid w:val="00F07D77"/>
    <w:rsid w:val="00F10107"/>
    <w:rsid w:val="00F11348"/>
    <w:rsid w:val="00F11663"/>
    <w:rsid w:val="00F11ECD"/>
    <w:rsid w:val="00F13188"/>
    <w:rsid w:val="00F14419"/>
    <w:rsid w:val="00F15F7B"/>
    <w:rsid w:val="00F1631B"/>
    <w:rsid w:val="00F1663E"/>
    <w:rsid w:val="00F168DE"/>
    <w:rsid w:val="00F1711A"/>
    <w:rsid w:val="00F1729A"/>
    <w:rsid w:val="00F2121D"/>
    <w:rsid w:val="00F21ACA"/>
    <w:rsid w:val="00F236A2"/>
    <w:rsid w:val="00F25E03"/>
    <w:rsid w:val="00F260F8"/>
    <w:rsid w:val="00F27E9E"/>
    <w:rsid w:val="00F30A93"/>
    <w:rsid w:val="00F311F9"/>
    <w:rsid w:val="00F327D9"/>
    <w:rsid w:val="00F3432E"/>
    <w:rsid w:val="00F34729"/>
    <w:rsid w:val="00F40A46"/>
    <w:rsid w:val="00F41533"/>
    <w:rsid w:val="00F42905"/>
    <w:rsid w:val="00F432C3"/>
    <w:rsid w:val="00F435E1"/>
    <w:rsid w:val="00F44CAA"/>
    <w:rsid w:val="00F46812"/>
    <w:rsid w:val="00F50FE4"/>
    <w:rsid w:val="00F510FF"/>
    <w:rsid w:val="00F51A74"/>
    <w:rsid w:val="00F5587D"/>
    <w:rsid w:val="00F55DCE"/>
    <w:rsid w:val="00F566CD"/>
    <w:rsid w:val="00F56B5A"/>
    <w:rsid w:val="00F601A8"/>
    <w:rsid w:val="00F60BFD"/>
    <w:rsid w:val="00F6296D"/>
    <w:rsid w:val="00F63995"/>
    <w:rsid w:val="00F63E18"/>
    <w:rsid w:val="00F653FE"/>
    <w:rsid w:val="00F66764"/>
    <w:rsid w:val="00F66AD3"/>
    <w:rsid w:val="00F67BD4"/>
    <w:rsid w:val="00F713F0"/>
    <w:rsid w:val="00F71602"/>
    <w:rsid w:val="00F71B8B"/>
    <w:rsid w:val="00F71C4C"/>
    <w:rsid w:val="00F72AE8"/>
    <w:rsid w:val="00F73024"/>
    <w:rsid w:val="00F74727"/>
    <w:rsid w:val="00F75400"/>
    <w:rsid w:val="00F77018"/>
    <w:rsid w:val="00F77F0E"/>
    <w:rsid w:val="00F77FE1"/>
    <w:rsid w:val="00F813E3"/>
    <w:rsid w:val="00F82BD8"/>
    <w:rsid w:val="00F83CFB"/>
    <w:rsid w:val="00F847DD"/>
    <w:rsid w:val="00F853FF"/>
    <w:rsid w:val="00F85B6A"/>
    <w:rsid w:val="00F85EB6"/>
    <w:rsid w:val="00F86BE2"/>
    <w:rsid w:val="00F9077E"/>
    <w:rsid w:val="00F911A6"/>
    <w:rsid w:val="00F91C20"/>
    <w:rsid w:val="00F92C3E"/>
    <w:rsid w:val="00F9363F"/>
    <w:rsid w:val="00F93A52"/>
    <w:rsid w:val="00F93B40"/>
    <w:rsid w:val="00F94EC1"/>
    <w:rsid w:val="00F9601B"/>
    <w:rsid w:val="00F97D92"/>
    <w:rsid w:val="00FA27D3"/>
    <w:rsid w:val="00FA2B10"/>
    <w:rsid w:val="00FA506C"/>
    <w:rsid w:val="00FA5E2D"/>
    <w:rsid w:val="00FA6278"/>
    <w:rsid w:val="00FA778A"/>
    <w:rsid w:val="00FB0FB0"/>
    <w:rsid w:val="00FB1C64"/>
    <w:rsid w:val="00FB363C"/>
    <w:rsid w:val="00FB39E1"/>
    <w:rsid w:val="00FB4929"/>
    <w:rsid w:val="00FB4AF7"/>
    <w:rsid w:val="00FB4D5C"/>
    <w:rsid w:val="00FB51B2"/>
    <w:rsid w:val="00FB526B"/>
    <w:rsid w:val="00FB54DD"/>
    <w:rsid w:val="00FB5EBD"/>
    <w:rsid w:val="00FB785E"/>
    <w:rsid w:val="00FB7EC5"/>
    <w:rsid w:val="00FC1737"/>
    <w:rsid w:val="00FC2D7C"/>
    <w:rsid w:val="00FC3025"/>
    <w:rsid w:val="00FC31A3"/>
    <w:rsid w:val="00FC3646"/>
    <w:rsid w:val="00FC39A7"/>
    <w:rsid w:val="00FC508C"/>
    <w:rsid w:val="00FC79AF"/>
    <w:rsid w:val="00FC7E07"/>
    <w:rsid w:val="00FD079C"/>
    <w:rsid w:val="00FD2591"/>
    <w:rsid w:val="00FD317F"/>
    <w:rsid w:val="00FD3214"/>
    <w:rsid w:val="00FD4851"/>
    <w:rsid w:val="00FD609F"/>
    <w:rsid w:val="00FD6308"/>
    <w:rsid w:val="00FD669D"/>
    <w:rsid w:val="00FE022A"/>
    <w:rsid w:val="00FE42D3"/>
    <w:rsid w:val="00FE5191"/>
    <w:rsid w:val="00FE54C0"/>
    <w:rsid w:val="00FE5E0D"/>
    <w:rsid w:val="00FE6DC5"/>
    <w:rsid w:val="00FF18C3"/>
    <w:rsid w:val="00FF2024"/>
    <w:rsid w:val="00FF206F"/>
    <w:rsid w:val="00FF5DEC"/>
    <w:rsid w:val="00FF732D"/>
    <w:rsid w:val="00FF7FC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BACA0"/>
  <w15:chartTrackingRefBased/>
  <w15:docId w15:val="{FFD06FC7-8F85-40C2-A24A-8B477A06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0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092"/>
    <w:pPr>
      <w:ind w:left="720"/>
      <w:contextualSpacing/>
    </w:pPr>
  </w:style>
  <w:style w:type="paragraph" w:styleId="FootnoteText">
    <w:name w:val="footnote text"/>
    <w:basedOn w:val="Normal"/>
    <w:link w:val="FootnoteTextChar"/>
    <w:uiPriority w:val="99"/>
    <w:semiHidden/>
    <w:unhideWhenUsed/>
    <w:rsid w:val="000210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092"/>
    <w:rPr>
      <w:sz w:val="20"/>
      <w:szCs w:val="20"/>
    </w:rPr>
  </w:style>
  <w:style w:type="character" w:styleId="FootnoteReference">
    <w:name w:val="footnote reference"/>
    <w:basedOn w:val="DefaultParagraphFont"/>
    <w:uiPriority w:val="99"/>
    <w:semiHidden/>
    <w:unhideWhenUsed/>
    <w:rsid w:val="00021092"/>
    <w:rPr>
      <w:vertAlign w:val="superscript"/>
    </w:rPr>
  </w:style>
  <w:style w:type="paragraph" w:styleId="Header">
    <w:name w:val="header"/>
    <w:basedOn w:val="Normal"/>
    <w:link w:val="HeaderChar"/>
    <w:uiPriority w:val="99"/>
    <w:unhideWhenUsed/>
    <w:rsid w:val="00A35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EC9"/>
  </w:style>
  <w:style w:type="paragraph" w:styleId="Footer">
    <w:name w:val="footer"/>
    <w:basedOn w:val="Normal"/>
    <w:link w:val="FooterChar"/>
    <w:uiPriority w:val="99"/>
    <w:unhideWhenUsed/>
    <w:rsid w:val="00A35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EC9"/>
  </w:style>
  <w:style w:type="paragraph" w:customStyle="1" w:styleId="Default">
    <w:name w:val="Default"/>
    <w:rsid w:val="00E34221"/>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6112</Words>
  <Characters>34845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Fashi</dc:creator>
  <cp:keywords/>
  <dc:description/>
  <cp:lastModifiedBy>USR</cp:lastModifiedBy>
  <cp:revision>6</cp:revision>
  <cp:lastPrinted>2024-01-12T05:58:00Z</cp:lastPrinted>
  <dcterms:created xsi:type="dcterms:W3CDTF">2024-01-12T05:59:00Z</dcterms:created>
  <dcterms:modified xsi:type="dcterms:W3CDTF">2024-01-18T09:13:00Z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c44d4efc-dd38-4a1d-9757-05439a3628e1</vt:lpwstr>
  </property>
</Properties>
</file>