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608" w:rsidRPr="004045AD" w:rsidRDefault="000126B7" w:rsidP="00957D31">
      <w:pPr>
        <w:tabs>
          <w:tab w:val="left" w:pos="284"/>
          <w:tab w:val="left" w:pos="567"/>
        </w:tabs>
        <w:rPr>
          <w:rFonts w:ascii="Times New Roman" w:hAnsi="Times New Roman" w:cs="Times New Roman"/>
          <w:b/>
          <w:sz w:val="24"/>
          <w:szCs w:val="24"/>
        </w:rPr>
      </w:pPr>
      <w:bookmarkStart w:id="0" w:name="_GoBack"/>
      <w:bookmarkEnd w:id="0"/>
      <w:r w:rsidRPr="004045AD">
        <w:rPr>
          <w:rFonts w:ascii="Times New Roman" w:hAnsi="Times New Roman" w:cs="Times New Roman"/>
          <w:b/>
          <w:sz w:val="24"/>
          <w:szCs w:val="24"/>
          <w:u w:val="single"/>
        </w:rPr>
        <w:t>REPORTABLE</w:t>
      </w:r>
      <w:r w:rsidRPr="004045AD">
        <w:rPr>
          <w:rFonts w:ascii="Times New Roman" w:hAnsi="Times New Roman" w:cs="Times New Roman"/>
          <w:sz w:val="24"/>
          <w:szCs w:val="24"/>
        </w:rPr>
        <w:t xml:space="preserve"> </w:t>
      </w:r>
      <w:r w:rsidRPr="004045AD">
        <w:rPr>
          <w:rFonts w:ascii="Times New Roman" w:hAnsi="Times New Roman" w:cs="Times New Roman"/>
          <w:b/>
          <w:sz w:val="24"/>
          <w:szCs w:val="24"/>
        </w:rPr>
        <w:t>(</w:t>
      </w:r>
      <w:r w:rsidR="009641FC">
        <w:rPr>
          <w:rFonts w:ascii="Times New Roman" w:hAnsi="Times New Roman" w:cs="Times New Roman"/>
          <w:b/>
          <w:sz w:val="24"/>
          <w:szCs w:val="24"/>
        </w:rPr>
        <w:t>91</w:t>
      </w:r>
      <w:r w:rsidRPr="004045AD">
        <w:rPr>
          <w:rFonts w:ascii="Times New Roman" w:hAnsi="Times New Roman" w:cs="Times New Roman"/>
          <w:b/>
          <w:sz w:val="24"/>
          <w:szCs w:val="24"/>
        </w:rPr>
        <w:t>)</w:t>
      </w:r>
    </w:p>
    <w:p w:rsidR="0080537F" w:rsidRPr="004045AD" w:rsidRDefault="0080537F" w:rsidP="000126B7">
      <w:pPr>
        <w:rPr>
          <w:rFonts w:ascii="Times New Roman" w:hAnsi="Times New Roman" w:cs="Times New Roman"/>
          <w:sz w:val="24"/>
          <w:szCs w:val="24"/>
        </w:rPr>
      </w:pPr>
    </w:p>
    <w:p w:rsidR="00831608" w:rsidRPr="004045AD" w:rsidRDefault="000126B7" w:rsidP="000126B7">
      <w:pPr>
        <w:spacing w:after="0" w:line="240" w:lineRule="auto"/>
        <w:jc w:val="center"/>
        <w:rPr>
          <w:rFonts w:ascii="Times New Roman" w:hAnsi="Times New Roman" w:cs="Times New Roman"/>
          <w:b/>
          <w:sz w:val="24"/>
          <w:szCs w:val="24"/>
        </w:rPr>
      </w:pPr>
      <w:r w:rsidRPr="004045AD">
        <w:rPr>
          <w:rFonts w:ascii="Times New Roman" w:hAnsi="Times New Roman" w:cs="Times New Roman"/>
          <w:b/>
          <w:sz w:val="24"/>
          <w:szCs w:val="24"/>
        </w:rPr>
        <w:t xml:space="preserve">COMPETITION     TARIFF     </w:t>
      </w:r>
      <w:r w:rsidR="00831608" w:rsidRPr="004045AD">
        <w:rPr>
          <w:rFonts w:ascii="Times New Roman" w:hAnsi="Times New Roman" w:cs="Times New Roman"/>
          <w:b/>
          <w:sz w:val="24"/>
          <w:szCs w:val="24"/>
        </w:rPr>
        <w:t>COMMISSION</w:t>
      </w:r>
    </w:p>
    <w:p w:rsidR="00831608" w:rsidRPr="004045AD" w:rsidRDefault="00831608" w:rsidP="000126B7">
      <w:pPr>
        <w:tabs>
          <w:tab w:val="left" w:pos="2460"/>
        </w:tabs>
        <w:spacing w:after="0" w:line="240" w:lineRule="auto"/>
        <w:jc w:val="center"/>
        <w:rPr>
          <w:rFonts w:ascii="Times New Roman" w:hAnsi="Times New Roman" w:cs="Times New Roman"/>
          <w:b/>
          <w:sz w:val="24"/>
          <w:szCs w:val="24"/>
        </w:rPr>
      </w:pPr>
      <w:r w:rsidRPr="004045AD">
        <w:rPr>
          <w:rFonts w:ascii="Times New Roman" w:hAnsi="Times New Roman" w:cs="Times New Roman"/>
          <w:b/>
          <w:sz w:val="24"/>
          <w:szCs w:val="24"/>
        </w:rPr>
        <w:t>v</w:t>
      </w:r>
    </w:p>
    <w:p w:rsidR="003C462D" w:rsidRPr="004045AD" w:rsidRDefault="000126B7" w:rsidP="000126B7">
      <w:pPr>
        <w:pStyle w:val="ListParagraph"/>
        <w:numPr>
          <w:ilvl w:val="0"/>
          <w:numId w:val="14"/>
        </w:numPr>
        <w:spacing w:after="0" w:line="240" w:lineRule="auto"/>
        <w:jc w:val="center"/>
        <w:rPr>
          <w:rFonts w:ascii="Times New Roman" w:hAnsi="Times New Roman" w:cs="Times New Roman"/>
          <w:b/>
          <w:sz w:val="24"/>
          <w:szCs w:val="24"/>
        </w:rPr>
      </w:pPr>
      <w:r w:rsidRPr="004045AD">
        <w:rPr>
          <w:rFonts w:ascii="Times New Roman" w:hAnsi="Times New Roman" w:cs="Times New Roman"/>
          <w:b/>
          <w:sz w:val="24"/>
          <w:szCs w:val="24"/>
        </w:rPr>
        <w:t xml:space="preserve">ASHRAM     INVESTMENTS     (PRIVATE)     </w:t>
      </w:r>
      <w:r w:rsidR="00831608" w:rsidRPr="004045AD">
        <w:rPr>
          <w:rFonts w:ascii="Times New Roman" w:hAnsi="Times New Roman" w:cs="Times New Roman"/>
          <w:b/>
          <w:sz w:val="24"/>
          <w:szCs w:val="24"/>
        </w:rPr>
        <w:t>L</w:t>
      </w:r>
      <w:r w:rsidRPr="004045AD">
        <w:rPr>
          <w:rFonts w:ascii="Times New Roman" w:hAnsi="Times New Roman" w:cs="Times New Roman"/>
          <w:b/>
          <w:sz w:val="24"/>
          <w:szCs w:val="24"/>
        </w:rPr>
        <w:t>IMI</w:t>
      </w:r>
      <w:r w:rsidR="00831608" w:rsidRPr="004045AD">
        <w:rPr>
          <w:rFonts w:ascii="Times New Roman" w:hAnsi="Times New Roman" w:cs="Times New Roman"/>
          <w:b/>
          <w:sz w:val="24"/>
          <w:szCs w:val="24"/>
        </w:rPr>
        <w:t>T</w:t>
      </w:r>
      <w:r w:rsidRPr="004045AD">
        <w:rPr>
          <w:rFonts w:ascii="Times New Roman" w:hAnsi="Times New Roman" w:cs="Times New Roman"/>
          <w:b/>
          <w:sz w:val="24"/>
          <w:szCs w:val="24"/>
        </w:rPr>
        <w:t>E</w:t>
      </w:r>
      <w:r w:rsidR="00831608" w:rsidRPr="004045AD">
        <w:rPr>
          <w:rFonts w:ascii="Times New Roman" w:hAnsi="Times New Roman" w:cs="Times New Roman"/>
          <w:b/>
          <w:sz w:val="24"/>
          <w:szCs w:val="24"/>
        </w:rPr>
        <w:t>D</w:t>
      </w:r>
      <w:r w:rsidRPr="004045AD">
        <w:rPr>
          <w:rFonts w:ascii="Times New Roman" w:hAnsi="Times New Roman" w:cs="Times New Roman"/>
          <w:b/>
          <w:sz w:val="24"/>
          <w:szCs w:val="24"/>
        </w:rPr>
        <w:t xml:space="preserve">     (2)     </w:t>
      </w:r>
      <w:r w:rsidRPr="004045AD">
        <w:rPr>
          <w:rFonts w:ascii="Times New Roman" w:eastAsia="Calibri" w:hAnsi="Times New Roman" w:cs="Times New Roman"/>
          <w:b/>
          <w:sz w:val="24"/>
          <w:szCs w:val="24"/>
        </w:rPr>
        <w:t>PROFEEDS (PRIVATE) LIMITED     (3)     PRODUTRADE     (PRIVATE)      LIMITED</w:t>
      </w:r>
    </w:p>
    <w:p w:rsidR="003C462D" w:rsidRPr="004045AD" w:rsidRDefault="000126B7" w:rsidP="000126B7">
      <w:pPr>
        <w:spacing w:after="0" w:line="240" w:lineRule="auto"/>
        <w:jc w:val="center"/>
        <w:rPr>
          <w:rFonts w:ascii="Times New Roman" w:eastAsia="Calibri" w:hAnsi="Times New Roman" w:cs="Times New Roman"/>
          <w:b/>
          <w:sz w:val="24"/>
          <w:szCs w:val="24"/>
        </w:rPr>
      </w:pPr>
      <w:r w:rsidRPr="004045AD">
        <w:rPr>
          <w:rFonts w:ascii="Times New Roman" w:eastAsia="Calibri" w:hAnsi="Times New Roman" w:cs="Times New Roman"/>
          <w:b/>
          <w:sz w:val="24"/>
          <w:szCs w:val="24"/>
        </w:rPr>
        <w:t>(4)     IN</w:t>
      </w:r>
      <w:r w:rsidR="00273A2C">
        <w:rPr>
          <w:rFonts w:ascii="Times New Roman" w:eastAsia="Calibri" w:hAnsi="Times New Roman" w:cs="Times New Roman"/>
          <w:b/>
          <w:sz w:val="24"/>
          <w:szCs w:val="24"/>
        </w:rPr>
        <w:t>N</w:t>
      </w:r>
      <w:r w:rsidRPr="004045AD">
        <w:rPr>
          <w:rFonts w:ascii="Times New Roman" w:eastAsia="Calibri" w:hAnsi="Times New Roman" w:cs="Times New Roman"/>
          <w:b/>
          <w:sz w:val="24"/>
          <w:szCs w:val="24"/>
        </w:rPr>
        <w:t>SCOR     AFRICA     LIMITED</w:t>
      </w:r>
    </w:p>
    <w:p w:rsidR="003C462D" w:rsidRPr="004045AD" w:rsidRDefault="003C462D" w:rsidP="00831608">
      <w:pPr>
        <w:rPr>
          <w:rFonts w:ascii="Times New Roman" w:hAnsi="Times New Roman" w:cs="Times New Roman"/>
          <w:sz w:val="24"/>
          <w:szCs w:val="24"/>
        </w:rPr>
      </w:pPr>
    </w:p>
    <w:p w:rsidR="00B350BF" w:rsidRPr="004045AD" w:rsidRDefault="00B350BF" w:rsidP="00831608">
      <w:pPr>
        <w:rPr>
          <w:rFonts w:ascii="Times New Roman" w:hAnsi="Times New Roman" w:cs="Times New Roman"/>
          <w:sz w:val="24"/>
          <w:szCs w:val="24"/>
        </w:rPr>
      </w:pPr>
    </w:p>
    <w:p w:rsidR="00831608" w:rsidRPr="004045AD" w:rsidRDefault="00831608" w:rsidP="00B350BF">
      <w:pPr>
        <w:spacing w:after="0"/>
        <w:rPr>
          <w:rFonts w:ascii="Times New Roman" w:hAnsi="Times New Roman" w:cs="Times New Roman"/>
          <w:b/>
          <w:sz w:val="24"/>
          <w:szCs w:val="24"/>
        </w:rPr>
      </w:pPr>
      <w:r w:rsidRPr="004045AD">
        <w:rPr>
          <w:rFonts w:ascii="Times New Roman" w:hAnsi="Times New Roman" w:cs="Times New Roman"/>
          <w:b/>
          <w:sz w:val="24"/>
          <w:szCs w:val="24"/>
        </w:rPr>
        <w:t xml:space="preserve">SUPREME COURT OF ZIMBABWE </w:t>
      </w:r>
    </w:p>
    <w:p w:rsidR="00831608" w:rsidRPr="004045AD" w:rsidRDefault="00831608" w:rsidP="00800EA4">
      <w:pPr>
        <w:tabs>
          <w:tab w:val="left" w:pos="1905"/>
          <w:tab w:val="left" w:pos="8534"/>
        </w:tabs>
        <w:spacing w:after="0"/>
        <w:rPr>
          <w:rFonts w:ascii="Times New Roman" w:hAnsi="Times New Roman" w:cs="Times New Roman"/>
          <w:b/>
          <w:sz w:val="24"/>
          <w:szCs w:val="24"/>
        </w:rPr>
      </w:pPr>
      <w:r w:rsidRPr="004045AD">
        <w:rPr>
          <w:rFonts w:ascii="Times New Roman" w:hAnsi="Times New Roman" w:cs="Times New Roman"/>
          <w:b/>
          <w:sz w:val="24"/>
          <w:szCs w:val="24"/>
        </w:rPr>
        <w:t>UCHENA JA, MATHONSI JA &amp; CHATUKUTA JA</w:t>
      </w:r>
      <w:r w:rsidR="00800EA4" w:rsidRPr="004045AD">
        <w:rPr>
          <w:rFonts w:ascii="Times New Roman" w:hAnsi="Times New Roman" w:cs="Times New Roman"/>
          <w:b/>
          <w:sz w:val="24"/>
          <w:szCs w:val="24"/>
        </w:rPr>
        <w:tab/>
      </w:r>
    </w:p>
    <w:p w:rsidR="00831608" w:rsidRPr="004045AD" w:rsidRDefault="00D85639" w:rsidP="00B350BF">
      <w:pPr>
        <w:spacing w:after="0"/>
        <w:rPr>
          <w:rFonts w:ascii="Times New Roman" w:hAnsi="Times New Roman" w:cs="Times New Roman"/>
          <w:b/>
          <w:sz w:val="24"/>
          <w:szCs w:val="24"/>
        </w:rPr>
      </w:pPr>
      <w:r w:rsidRPr="004045AD">
        <w:rPr>
          <w:rFonts w:ascii="Times New Roman" w:hAnsi="Times New Roman" w:cs="Times New Roman"/>
          <w:b/>
          <w:sz w:val="24"/>
          <w:szCs w:val="24"/>
        </w:rPr>
        <w:t>HARARE: 5 FEBRUARY</w:t>
      </w:r>
      <w:r w:rsidR="00831608" w:rsidRPr="004045AD">
        <w:rPr>
          <w:rFonts w:ascii="Times New Roman" w:hAnsi="Times New Roman" w:cs="Times New Roman"/>
          <w:b/>
          <w:sz w:val="24"/>
          <w:szCs w:val="24"/>
        </w:rPr>
        <w:t xml:space="preserve"> 2024 </w:t>
      </w:r>
      <w:r w:rsidR="00B350BF" w:rsidRPr="004045AD">
        <w:rPr>
          <w:rFonts w:ascii="Times New Roman" w:hAnsi="Times New Roman" w:cs="Times New Roman"/>
          <w:b/>
          <w:sz w:val="24"/>
          <w:szCs w:val="24"/>
        </w:rPr>
        <w:t>&amp;</w:t>
      </w:r>
      <w:r w:rsidR="00DB0AC7">
        <w:rPr>
          <w:rFonts w:ascii="Times New Roman" w:hAnsi="Times New Roman" w:cs="Times New Roman"/>
          <w:b/>
          <w:sz w:val="24"/>
          <w:szCs w:val="24"/>
        </w:rPr>
        <w:t xml:space="preserve"> </w:t>
      </w:r>
      <w:r w:rsidR="00672D04">
        <w:rPr>
          <w:rFonts w:ascii="Times New Roman" w:hAnsi="Times New Roman" w:cs="Times New Roman"/>
          <w:b/>
          <w:sz w:val="24"/>
          <w:szCs w:val="24"/>
        </w:rPr>
        <w:t>3</w:t>
      </w:r>
      <w:r w:rsidR="00DB0AC7">
        <w:rPr>
          <w:rFonts w:ascii="Times New Roman" w:hAnsi="Times New Roman" w:cs="Times New Roman"/>
          <w:b/>
          <w:sz w:val="24"/>
          <w:szCs w:val="24"/>
        </w:rPr>
        <w:t xml:space="preserve"> </w:t>
      </w:r>
      <w:r w:rsidR="007401D3">
        <w:rPr>
          <w:rFonts w:ascii="Times New Roman" w:hAnsi="Times New Roman" w:cs="Times New Roman"/>
          <w:b/>
          <w:sz w:val="24"/>
          <w:szCs w:val="24"/>
        </w:rPr>
        <w:t>OCTOBER</w:t>
      </w:r>
      <w:r w:rsidR="00B350BF" w:rsidRPr="004045AD">
        <w:rPr>
          <w:rFonts w:ascii="Times New Roman" w:hAnsi="Times New Roman" w:cs="Times New Roman"/>
          <w:b/>
          <w:sz w:val="24"/>
          <w:szCs w:val="24"/>
        </w:rPr>
        <w:t xml:space="preserve"> 2024</w:t>
      </w:r>
    </w:p>
    <w:p w:rsidR="001E4B4E" w:rsidRPr="004045AD" w:rsidRDefault="001E4B4E" w:rsidP="00B350BF">
      <w:pPr>
        <w:spacing w:after="0"/>
        <w:rPr>
          <w:rFonts w:ascii="Times New Roman" w:hAnsi="Times New Roman" w:cs="Times New Roman"/>
          <w:b/>
          <w:sz w:val="24"/>
          <w:szCs w:val="24"/>
        </w:rPr>
      </w:pPr>
    </w:p>
    <w:p w:rsidR="00831608" w:rsidRPr="004045AD" w:rsidRDefault="00831608" w:rsidP="00B350BF">
      <w:pPr>
        <w:spacing w:after="0" w:line="480" w:lineRule="auto"/>
        <w:rPr>
          <w:rFonts w:ascii="Times New Roman" w:hAnsi="Times New Roman" w:cs="Times New Roman"/>
          <w:b/>
          <w:sz w:val="24"/>
          <w:szCs w:val="24"/>
        </w:rPr>
      </w:pPr>
    </w:p>
    <w:p w:rsidR="00831608" w:rsidRPr="004045AD" w:rsidRDefault="00831608" w:rsidP="001E4B4E">
      <w:pPr>
        <w:spacing w:after="0" w:line="480" w:lineRule="auto"/>
        <w:jc w:val="both"/>
        <w:rPr>
          <w:rFonts w:ascii="Times New Roman" w:hAnsi="Times New Roman" w:cs="Times New Roman"/>
          <w:sz w:val="24"/>
          <w:szCs w:val="24"/>
        </w:rPr>
      </w:pPr>
      <w:r w:rsidRPr="004045AD">
        <w:rPr>
          <w:rFonts w:ascii="Times New Roman" w:hAnsi="Times New Roman" w:cs="Times New Roman"/>
          <w:sz w:val="24"/>
          <w:szCs w:val="24"/>
        </w:rPr>
        <w:t xml:space="preserve"> </w:t>
      </w:r>
      <w:r w:rsidR="00432C6D" w:rsidRPr="004045AD">
        <w:rPr>
          <w:rFonts w:ascii="Times New Roman" w:hAnsi="Times New Roman" w:cs="Times New Roman"/>
          <w:sz w:val="24"/>
          <w:szCs w:val="24"/>
        </w:rPr>
        <w:t xml:space="preserve"> </w:t>
      </w:r>
      <w:r w:rsidR="00432C6D" w:rsidRPr="004045AD">
        <w:rPr>
          <w:rFonts w:ascii="Times New Roman" w:hAnsi="Times New Roman" w:cs="Times New Roman"/>
          <w:i/>
          <w:iCs/>
          <w:sz w:val="24"/>
          <w:szCs w:val="24"/>
        </w:rPr>
        <w:t xml:space="preserve">T. L Mapuranga </w:t>
      </w:r>
      <w:r w:rsidRPr="004045AD">
        <w:rPr>
          <w:rFonts w:ascii="Times New Roman" w:hAnsi="Times New Roman" w:cs="Times New Roman"/>
          <w:sz w:val="24"/>
          <w:szCs w:val="24"/>
        </w:rPr>
        <w:t>for the appellant</w:t>
      </w:r>
    </w:p>
    <w:p w:rsidR="00831608" w:rsidRPr="004045AD" w:rsidRDefault="00831608" w:rsidP="00F726C3">
      <w:pPr>
        <w:tabs>
          <w:tab w:val="center" w:pos="4680"/>
        </w:tabs>
        <w:spacing w:after="0" w:line="480" w:lineRule="auto"/>
        <w:jc w:val="both"/>
        <w:rPr>
          <w:rFonts w:ascii="Times New Roman" w:hAnsi="Times New Roman" w:cs="Times New Roman"/>
          <w:sz w:val="24"/>
          <w:szCs w:val="24"/>
        </w:rPr>
      </w:pPr>
      <w:r w:rsidRPr="004045AD">
        <w:rPr>
          <w:rFonts w:ascii="Times New Roman" w:hAnsi="Times New Roman" w:cs="Times New Roman"/>
          <w:sz w:val="24"/>
          <w:szCs w:val="24"/>
        </w:rPr>
        <w:t xml:space="preserve"> </w:t>
      </w:r>
      <w:r w:rsidR="00432C6D" w:rsidRPr="004045AD">
        <w:rPr>
          <w:rFonts w:ascii="Times New Roman" w:hAnsi="Times New Roman" w:cs="Times New Roman"/>
          <w:sz w:val="24"/>
          <w:szCs w:val="24"/>
        </w:rPr>
        <w:t xml:space="preserve"> </w:t>
      </w:r>
      <w:r w:rsidR="00432C6D" w:rsidRPr="004045AD">
        <w:rPr>
          <w:rFonts w:ascii="Times New Roman" w:hAnsi="Times New Roman" w:cs="Times New Roman"/>
          <w:i/>
          <w:iCs/>
          <w:sz w:val="24"/>
          <w:szCs w:val="24"/>
        </w:rPr>
        <w:t xml:space="preserve">T. Magwaliba </w:t>
      </w:r>
      <w:r w:rsidRPr="004045AD">
        <w:rPr>
          <w:rFonts w:ascii="Times New Roman" w:hAnsi="Times New Roman" w:cs="Times New Roman"/>
          <w:sz w:val="24"/>
          <w:szCs w:val="24"/>
        </w:rPr>
        <w:t>for the respondent</w:t>
      </w:r>
      <w:r w:rsidR="00432C6D" w:rsidRPr="004045AD">
        <w:rPr>
          <w:rFonts w:ascii="Times New Roman" w:hAnsi="Times New Roman" w:cs="Times New Roman"/>
          <w:sz w:val="24"/>
          <w:szCs w:val="24"/>
        </w:rPr>
        <w:t>s</w:t>
      </w:r>
    </w:p>
    <w:p w:rsidR="00F726C3" w:rsidRPr="004045AD" w:rsidRDefault="00F726C3" w:rsidP="00CE3F8F">
      <w:pPr>
        <w:spacing w:after="0" w:line="480" w:lineRule="auto"/>
        <w:jc w:val="both"/>
        <w:rPr>
          <w:rFonts w:ascii="Times New Roman" w:hAnsi="Times New Roman" w:cs="Times New Roman"/>
          <w:b/>
          <w:sz w:val="24"/>
          <w:szCs w:val="24"/>
        </w:rPr>
      </w:pPr>
    </w:p>
    <w:p w:rsidR="00C563D9" w:rsidRPr="004045AD" w:rsidRDefault="00C563D9" w:rsidP="00CE3F8F">
      <w:pPr>
        <w:spacing w:after="0" w:line="480" w:lineRule="auto"/>
        <w:jc w:val="both"/>
        <w:rPr>
          <w:rFonts w:ascii="Times New Roman" w:hAnsi="Times New Roman" w:cs="Times New Roman"/>
          <w:b/>
          <w:sz w:val="24"/>
          <w:szCs w:val="24"/>
        </w:rPr>
      </w:pPr>
      <w:r w:rsidRPr="004045AD">
        <w:rPr>
          <w:rFonts w:ascii="Times New Roman" w:hAnsi="Times New Roman" w:cs="Times New Roman"/>
          <w:b/>
          <w:sz w:val="24"/>
          <w:szCs w:val="24"/>
        </w:rPr>
        <w:t>UCHENA JA</w:t>
      </w:r>
      <w:r w:rsidR="00661BF8" w:rsidRPr="004045AD">
        <w:rPr>
          <w:rFonts w:ascii="Times New Roman" w:hAnsi="Times New Roman" w:cs="Times New Roman"/>
          <w:b/>
          <w:sz w:val="24"/>
          <w:szCs w:val="24"/>
        </w:rPr>
        <w:t>:</w:t>
      </w:r>
    </w:p>
    <w:p w:rsidR="00661BF8" w:rsidRPr="004045AD" w:rsidRDefault="00C563D9" w:rsidP="00596D18">
      <w:pPr>
        <w:spacing w:line="480" w:lineRule="auto"/>
        <w:ind w:left="567" w:hanging="567"/>
        <w:jc w:val="both"/>
        <w:rPr>
          <w:rFonts w:ascii="Times New Roman" w:hAnsi="Times New Roman" w:cs="Times New Roman"/>
          <w:sz w:val="24"/>
          <w:szCs w:val="24"/>
        </w:rPr>
      </w:pPr>
      <w:r w:rsidRPr="004045AD">
        <w:rPr>
          <w:rFonts w:ascii="Times New Roman" w:hAnsi="Times New Roman" w:cs="Times New Roman"/>
          <w:sz w:val="24"/>
          <w:szCs w:val="24"/>
        </w:rPr>
        <w:t>[1]</w:t>
      </w:r>
      <w:r w:rsidR="00831608" w:rsidRPr="004045AD">
        <w:rPr>
          <w:rFonts w:ascii="Times New Roman" w:hAnsi="Times New Roman" w:cs="Times New Roman"/>
          <w:b/>
          <w:sz w:val="24"/>
          <w:szCs w:val="24"/>
        </w:rPr>
        <w:t xml:space="preserve"> </w:t>
      </w:r>
      <w:r w:rsidRPr="004045AD">
        <w:rPr>
          <w:rFonts w:ascii="Times New Roman" w:hAnsi="Times New Roman" w:cs="Times New Roman"/>
          <w:b/>
          <w:sz w:val="24"/>
          <w:szCs w:val="24"/>
        </w:rPr>
        <w:t xml:space="preserve"> </w:t>
      </w:r>
      <w:r w:rsidR="00596D18" w:rsidRPr="004045AD">
        <w:rPr>
          <w:rFonts w:ascii="Times New Roman" w:hAnsi="Times New Roman" w:cs="Times New Roman"/>
          <w:b/>
          <w:sz w:val="24"/>
          <w:szCs w:val="24"/>
        </w:rPr>
        <w:t xml:space="preserve"> </w:t>
      </w:r>
      <w:r w:rsidR="00831608" w:rsidRPr="004045AD">
        <w:rPr>
          <w:rFonts w:ascii="Times New Roman" w:hAnsi="Times New Roman" w:cs="Times New Roman"/>
          <w:sz w:val="24"/>
          <w:szCs w:val="24"/>
        </w:rPr>
        <w:t xml:space="preserve">This is an appeal against the decision of the </w:t>
      </w:r>
      <w:r w:rsidR="00DD4070" w:rsidRPr="004045AD">
        <w:rPr>
          <w:rFonts w:ascii="Times New Roman" w:hAnsi="Times New Roman" w:cs="Times New Roman"/>
          <w:sz w:val="24"/>
          <w:szCs w:val="24"/>
        </w:rPr>
        <w:t xml:space="preserve">Administrative </w:t>
      </w:r>
      <w:r w:rsidR="00661BF8" w:rsidRPr="004045AD">
        <w:rPr>
          <w:rFonts w:ascii="Times New Roman" w:hAnsi="Times New Roman" w:cs="Times New Roman"/>
          <w:sz w:val="24"/>
          <w:szCs w:val="24"/>
        </w:rPr>
        <w:t>C</w:t>
      </w:r>
      <w:r w:rsidR="00831608" w:rsidRPr="004045AD">
        <w:rPr>
          <w:rFonts w:ascii="Times New Roman" w:hAnsi="Times New Roman" w:cs="Times New Roman"/>
          <w:sz w:val="24"/>
          <w:szCs w:val="24"/>
        </w:rPr>
        <w:t xml:space="preserve">ourt </w:t>
      </w:r>
      <w:r w:rsidR="00DD4070" w:rsidRPr="004045AD">
        <w:rPr>
          <w:rFonts w:ascii="Times New Roman" w:hAnsi="Times New Roman" w:cs="Times New Roman"/>
          <w:sz w:val="24"/>
          <w:szCs w:val="24"/>
        </w:rPr>
        <w:t xml:space="preserve">(court </w:t>
      </w:r>
      <w:r w:rsidR="00DD4070" w:rsidRPr="004045AD">
        <w:rPr>
          <w:rFonts w:ascii="Times New Roman" w:hAnsi="Times New Roman" w:cs="Times New Roman"/>
          <w:i/>
          <w:sz w:val="24"/>
          <w:szCs w:val="24"/>
        </w:rPr>
        <w:t>a quo</w:t>
      </w:r>
      <w:r w:rsidR="00DD4070" w:rsidRPr="004045AD">
        <w:rPr>
          <w:rFonts w:ascii="Times New Roman" w:hAnsi="Times New Roman" w:cs="Times New Roman"/>
          <w:sz w:val="24"/>
          <w:szCs w:val="24"/>
        </w:rPr>
        <w:t>)</w:t>
      </w:r>
      <w:r w:rsidR="00432C6D" w:rsidRPr="004045AD">
        <w:rPr>
          <w:rFonts w:ascii="Times New Roman" w:hAnsi="Times New Roman" w:cs="Times New Roman"/>
          <w:sz w:val="24"/>
          <w:szCs w:val="24"/>
        </w:rPr>
        <w:t xml:space="preserve"> </w:t>
      </w:r>
      <w:r w:rsidR="00630FC9" w:rsidRPr="004045AD">
        <w:rPr>
          <w:rFonts w:ascii="Times New Roman" w:hAnsi="Times New Roman" w:cs="Times New Roman"/>
          <w:sz w:val="24"/>
          <w:szCs w:val="24"/>
        </w:rPr>
        <w:t xml:space="preserve">in which it </w:t>
      </w:r>
      <w:r w:rsidR="00A65341" w:rsidRPr="004045AD">
        <w:rPr>
          <w:rFonts w:ascii="Times New Roman" w:hAnsi="Times New Roman" w:cs="Times New Roman"/>
          <w:sz w:val="24"/>
          <w:szCs w:val="24"/>
        </w:rPr>
        <w:t xml:space="preserve">set aside the appellant’s decision and </w:t>
      </w:r>
      <w:r w:rsidR="00630FC9" w:rsidRPr="004045AD">
        <w:rPr>
          <w:rFonts w:ascii="Times New Roman" w:hAnsi="Times New Roman" w:cs="Times New Roman"/>
          <w:sz w:val="24"/>
          <w:szCs w:val="24"/>
        </w:rPr>
        <w:t>allowed a merger of the respondents holding that the merger was not contrary to</w:t>
      </w:r>
      <w:r w:rsidR="00946CDF">
        <w:rPr>
          <w:rFonts w:ascii="Times New Roman" w:hAnsi="Times New Roman" w:cs="Times New Roman"/>
          <w:sz w:val="24"/>
          <w:szCs w:val="24"/>
        </w:rPr>
        <w:t xml:space="preserve"> the</w:t>
      </w:r>
      <w:r w:rsidR="00630FC9" w:rsidRPr="004045AD">
        <w:rPr>
          <w:rFonts w:ascii="Times New Roman" w:hAnsi="Times New Roman" w:cs="Times New Roman"/>
          <w:sz w:val="24"/>
          <w:szCs w:val="24"/>
        </w:rPr>
        <w:t xml:space="preserve"> public </w:t>
      </w:r>
      <w:r w:rsidR="00BF2373" w:rsidRPr="004045AD">
        <w:rPr>
          <w:rFonts w:ascii="Times New Roman" w:hAnsi="Times New Roman" w:cs="Times New Roman"/>
          <w:sz w:val="24"/>
          <w:szCs w:val="24"/>
        </w:rPr>
        <w:t>interest</w:t>
      </w:r>
      <w:r w:rsidR="00630FC9" w:rsidRPr="004045AD">
        <w:rPr>
          <w:rFonts w:ascii="Times New Roman" w:hAnsi="Times New Roman" w:cs="Times New Roman"/>
          <w:sz w:val="24"/>
          <w:szCs w:val="24"/>
        </w:rPr>
        <w:t xml:space="preserve"> </w:t>
      </w:r>
      <w:r w:rsidR="00A65341" w:rsidRPr="004045AD">
        <w:rPr>
          <w:rFonts w:ascii="Times New Roman" w:hAnsi="Times New Roman" w:cs="Times New Roman"/>
          <w:sz w:val="24"/>
          <w:szCs w:val="24"/>
        </w:rPr>
        <w:t xml:space="preserve">and </w:t>
      </w:r>
      <w:r w:rsidR="00630FC9" w:rsidRPr="004045AD">
        <w:rPr>
          <w:rFonts w:ascii="Times New Roman" w:hAnsi="Times New Roman" w:cs="Times New Roman"/>
          <w:sz w:val="24"/>
          <w:szCs w:val="24"/>
        </w:rPr>
        <w:t>interfering with the penalty which had been imposed on the respondents by the appellant.</w:t>
      </w:r>
    </w:p>
    <w:p w:rsidR="00661BF8" w:rsidRPr="004045AD" w:rsidRDefault="00661BF8" w:rsidP="00661BF8">
      <w:pPr>
        <w:spacing w:after="0" w:line="240" w:lineRule="auto"/>
        <w:ind w:left="426" w:hanging="426"/>
        <w:jc w:val="both"/>
        <w:rPr>
          <w:rFonts w:ascii="Times New Roman" w:hAnsi="Times New Roman" w:cs="Times New Roman"/>
          <w:sz w:val="24"/>
          <w:szCs w:val="24"/>
        </w:rPr>
      </w:pPr>
    </w:p>
    <w:p w:rsidR="00831608" w:rsidRPr="004045AD" w:rsidRDefault="00831608" w:rsidP="00661BF8">
      <w:pPr>
        <w:spacing w:after="0" w:line="480" w:lineRule="auto"/>
        <w:ind w:left="720" w:hanging="720"/>
        <w:jc w:val="both"/>
        <w:rPr>
          <w:rFonts w:ascii="Times New Roman" w:hAnsi="Times New Roman" w:cs="Times New Roman"/>
          <w:b/>
          <w:sz w:val="24"/>
          <w:szCs w:val="24"/>
          <w:u w:val="single"/>
        </w:rPr>
      </w:pPr>
      <w:r w:rsidRPr="004045AD">
        <w:rPr>
          <w:rFonts w:ascii="Times New Roman" w:hAnsi="Times New Roman" w:cs="Times New Roman"/>
          <w:b/>
          <w:sz w:val="24"/>
          <w:szCs w:val="24"/>
          <w:u w:val="single"/>
        </w:rPr>
        <w:t>BACKGROUND FACTS</w:t>
      </w:r>
    </w:p>
    <w:p w:rsidR="005F49B7" w:rsidRPr="004045AD" w:rsidRDefault="00661BF8" w:rsidP="00F51AA2">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[2</w:t>
      </w:r>
      <w:r w:rsidR="00FD6853" w:rsidRPr="004045AD">
        <w:rPr>
          <w:rFonts w:ascii="Times New Roman" w:eastAsia="Calibri" w:hAnsi="Times New Roman" w:cs="Times New Roman"/>
          <w:sz w:val="24"/>
          <w:szCs w:val="24"/>
        </w:rPr>
        <w:t xml:space="preserve">] </w:t>
      </w:r>
      <w:r w:rsidR="00D546DC" w:rsidRPr="004045AD">
        <w:rPr>
          <w:rFonts w:ascii="Times New Roman" w:eastAsia="Calibri" w:hAnsi="Times New Roman" w:cs="Times New Roman"/>
          <w:sz w:val="24"/>
          <w:szCs w:val="24"/>
        </w:rPr>
        <w:t xml:space="preserve"> </w:t>
      </w:r>
      <w:r w:rsidR="00FD6853" w:rsidRPr="004045AD">
        <w:rPr>
          <w:rFonts w:ascii="Times New Roman" w:eastAsia="Calibri" w:hAnsi="Times New Roman" w:cs="Times New Roman"/>
          <w:sz w:val="24"/>
          <w:szCs w:val="24"/>
        </w:rPr>
        <w:t>The</w:t>
      </w:r>
      <w:r w:rsidR="00432C6D" w:rsidRPr="004045AD">
        <w:rPr>
          <w:rFonts w:ascii="Times New Roman" w:eastAsia="Calibri" w:hAnsi="Times New Roman" w:cs="Times New Roman"/>
          <w:sz w:val="24"/>
          <w:szCs w:val="24"/>
        </w:rPr>
        <w:t xml:space="preserve"> appellant is</w:t>
      </w:r>
      <w:r w:rsidR="00AF1558" w:rsidRPr="004045AD">
        <w:rPr>
          <w:rFonts w:ascii="Times New Roman" w:eastAsia="Calibri" w:hAnsi="Times New Roman" w:cs="Times New Roman"/>
          <w:sz w:val="24"/>
          <w:szCs w:val="24"/>
        </w:rPr>
        <w:t xml:space="preserve"> the Competition Tariff Commission (CTC),</w:t>
      </w:r>
      <w:r w:rsidR="00432C6D" w:rsidRPr="004045AD">
        <w:rPr>
          <w:rFonts w:ascii="Times New Roman" w:eastAsia="Calibri" w:hAnsi="Times New Roman" w:cs="Times New Roman"/>
          <w:sz w:val="24"/>
          <w:szCs w:val="24"/>
        </w:rPr>
        <w:t xml:space="preserve"> a regulator of</w:t>
      </w:r>
      <w:r w:rsidR="00C236B4" w:rsidRPr="004045AD">
        <w:rPr>
          <w:rFonts w:ascii="Times New Roman" w:eastAsia="Calibri" w:hAnsi="Times New Roman" w:cs="Times New Roman"/>
          <w:sz w:val="24"/>
          <w:szCs w:val="24"/>
        </w:rPr>
        <w:t xml:space="preserve"> business</w:t>
      </w:r>
      <w:r w:rsidR="00432C6D" w:rsidRPr="004045AD">
        <w:rPr>
          <w:rFonts w:ascii="Times New Roman" w:eastAsia="Calibri" w:hAnsi="Times New Roman" w:cs="Times New Roman"/>
          <w:sz w:val="24"/>
          <w:szCs w:val="24"/>
        </w:rPr>
        <w:t xml:space="preserve"> comp</w:t>
      </w:r>
      <w:r w:rsidRPr="004045AD">
        <w:rPr>
          <w:rFonts w:ascii="Times New Roman" w:eastAsia="Calibri" w:hAnsi="Times New Roman" w:cs="Times New Roman"/>
          <w:sz w:val="24"/>
          <w:szCs w:val="24"/>
        </w:rPr>
        <w:t>etition in Zimbabwe</w:t>
      </w:r>
      <w:r w:rsidR="00CE5A16">
        <w:rPr>
          <w:rFonts w:ascii="Times New Roman" w:eastAsia="Calibri" w:hAnsi="Times New Roman" w:cs="Times New Roman"/>
          <w:sz w:val="24"/>
          <w:szCs w:val="24"/>
        </w:rPr>
        <w:t xml:space="preserve"> It was constituted</w:t>
      </w:r>
      <w:r w:rsidR="0012278E">
        <w:rPr>
          <w:rFonts w:ascii="Times New Roman" w:eastAsia="Calibri" w:hAnsi="Times New Roman" w:cs="Times New Roman"/>
          <w:sz w:val="24"/>
          <w:szCs w:val="24"/>
        </w:rPr>
        <w:t xml:space="preserve"> in terms of s 5 of the</w:t>
      </w:r>
      <w:r w:rsidR="00CE5A16">
        <w:rPr>
          <w:rFonts w:ascii="Times New Roman" w:eastAsia="Calibri" w:hAnsi="Times New Roman" w:cs="Times New Roman"/>
          <w:sz w:val="24"/>
          <w:szCs w:val="24"/>
        </w:rPr>
        <w:t xml:space="preserve"> Competition Act </w:t>
      </w:r>
      <w:r w:rsidR="00F51AA2">
        <w:rPr>
          <w:rFonts w:ascii="Times New Roman" w:eastAsia="Calibri" w:hAnsi="Times New Roman" w:cs="Times New Roman"/>
          <w:sz w:val="24"/>
          <w:szCs w:val="24"/>
        </w:rPr>
        <w:t xml:space="preserve">                 </w:t>
      </w:r>
      <w:r w:rsidR="00CE5A16">
        <w:rPr>
          <w:rFonts w:ascii="Times New Roman" w:eastAsia="Calibri" w:hAnsi="Times New Roman" w:cs="Times New Roman"/>
          <w:sz w:val="24"/>
          <w:szCs w:val="24"/>
        </w:rPr>
        <w:t>[</w:t>
      </w:r>
      <w:r w:rsidR="00CE5A16" w:rsidRPr="000A7C1B">
        <w:rPr>
          <w:rFonts w:ascii="Times New Roman" w:eastAsia="Calibri" w:hAnsi="Times New Roman" w:cs="Times New Roman"/>
          <w:i/>
          <w:sz w:val="24"/>
          <w:szCs w:val="24"/>
        </w:rPr>
        <w:t>Chapter 14:28</w:t>
      </w:r>
      <w:r w:rsidR="00CE5A16">
        <w:rPr>
          <w:rFonts w:ascii="Times New Roman" w:eastAsia="Calibri" w:hAnsi="Times New Roman" w:cs="Times New Roman"/>
          <w:sz w:val="24"/>
          <w:szCs w:val="24"/>
        </w:rPr>
        <w:t>]  (the Act)</w:t>
      </w:r>
      <w:r w:rsidRPr="004045AD">
        <w:rPr>
          <w:rFonts w:ascii="Times New Roman" w:eastAsia="Calibri" w:hAnsi="Times New Roman" w:cs="Times New Roman"/>
          <w:sz w:val="24"/>
          <w:szCs w:val="24"/>
        </w:rPr>
        <w:t>.  The first</w:t>
      </w:r>
      <w:r w:rsidR="00647570" w:rsidRPr="004045AD">
        <w:rPr>
          <w:rFonts w:ascii="Times New Roman" w:eastAsia="Calibri" w:hAnsi="Times New Roman" w:cs="Times New Roman"/>
          <w:sz w:val="24"/>
          <w:szCs w:val="24"/>
        </w:rPr>
        <w:t xml:space="preserve"> respo</w:t>
      </w:r>
      <w:r w:rsidRPr="004045AD">
        <w:rPr>
          <w:rFonts w:ascii="Times New Roman" w:eastAsia="Calibri" w:hAnsi="Times New Roman" w:cs="Times New Roman"/>
          <w:sz w:val="24"/>
          <w:szCs w:val="24"/>
        </w:rPr>
        <w:t>ndent is Ashram Investments (Private</w:t>
      </w:r>
      <w:r w:rsidR="00493AC1" w:rsidRPr="004045AD">
        <w:rPr>
          <w:rFonts w:ascii="Times New Roman" w:eastAsia="Calibri" w:hAnsi="Times New Roman" w:cs="Times New Roman"/>
          <w:sz w:val="24"/>
          <w:szCs w:val="24"/>
        </w:rPr>
        <w:t>) Limite</w:t>
      </w:r>
      <w:r w:rsidR="00647570" w:rsidRPr="004045AD">
        <w:rPr>
          <w:rFonts w:ascii="Times New Roman" w:eastAsia="Calibri" w:hAnsi="Times New Roman" w:cs="Times New Roman"/>
          <w:sz w:val="24"/>
          <w:szCs w:val="24"/>
        </w:rPr>
        <w:t xml:space="preserve">d, </w:t>
      </w:r>
      <w:r w:rsidR="003C6089" w:rsidRPr="004045AD">
        <w:rPr>
          <w:rFonts w:ascii="Times New Roman" w:eastAsia="Calibri" w:hAnsi="Times New Roman" w:cs="Times New Roman"/>
          <w:sz w:val="24"/>
          <w:szCs w:val="24"/>
        </w:rPr>
        <w:t xml:space="preserve">(Ashram) </w:t>
      </w:r>
      <w:r w:rsidR="00647570" w:rsidRPr="004045AD">
        <w:rPr>
          <w:rFonts w:ascii="Times New Roman" w:eastAsia="Calibri" w:hAnsi="Times New Roman" w:cs="Times New Roman"/>
          <w:sz w:val="24"/>
          <w:szCs w:val="24"/>
        </w:rPr>
        <w:t xml:space="preserve">a company which specializes </w:t>
      </w:r>
      <w:r w:rsidR="00630FC9" w:rsidRPr="004045AD">
        <w:rPr>
          <w:rFonts w:ascii="Times New Roman" w:eastAsia="Calibri" w:hAnsi="Times New Roman" w:cs="Times New Roman"/>
          <w:sz w:val="24"/>
          <w:szCs w:val="24"/>
        </w:rPr>
        <w:t>in</w:t>
      </w:r>
      <w:r w:rsidR="00F279F5" w:rsidRPr="004045AD">
        <w:rPr>
          <w:rFonts w:ascii="Times New Roman" w:eastAsia="Calibri" w:hAnsi="Times New Roman" w:cs="Times New Roman"/>
          <w:sz w:val="24"/>
          <w:szCs w:val="24"/>
        </w:rPr>
        <w:t xml:space="preserve"> only</w:t>
      </w:r>
      <w:r w:rsidR="00630FC9" w:rsidRPr="004045AD">
        <w:rPr>
          <w:rFonts w:ascii="Times New Roman" w:eastAsia="Calibri" w:hAnsi="Times New Roman" w:cs="Times New Roman"/>
          <w:sz w:val="24"/>
          <w:szCs w:val="24"/>
        </w:rPr>
        <w:t xml:space="preserve"> inv</w:t>
      </w:r>
      <w:r w:rsidR="00647570" w:rsidRPr="004045AD">
        <w:rPr>
          <w:rFonts w:ascii="Times New Roman" w:eastAsia="Calibri" w:hAnsi="Times New Roman" w:cs="Times New Roman"/>
          <w:sz w:val="24"/>
          <w:szCs w:val="24"/>
        </w:rPr>
        <w:t xml:space="preserve">esting </w:t>
      </w:r>
      <w:r w:rsidR="00C236B4" w:rsidRPr="004045AD">
        <w:rPr>
          <w:rFonts w:ascii="Times New Roman" w:eastAsia="Calibri" w:hAnsi="Times New Roman" w:cs="Times New Roman"/>
          <w:sz w:val="24"/>
          <w:szCs w:val="24"/>
        </w:rPr>
        <w:t>in</w:t>
      </w:r>
      <w:r w:rsidR="00CC3C16" w:rsidRPr="004045AD">
        <w:rPr>
          <w:rFonts w:ascii="Times New Roman" w:eastAsia="Calibri" w:hAnsi="Times New Roman" w:cs="Times New Roman"/>
          <w:sz w:val="24"/>
          <w:szCs w:val="24"/>
        </w:rPr>
        <w:t xml:space="preserve"> other</w:t>
      </w:r>
      <w:r w:rsidR="00C236B4" w:rsidRPr="004045AD">
        <w:rPr>
          <w:rFonts w:ascii="Times New Roman" w:eastAsia="Calibri" w:hAnsi="Times New Roman" w:cs="Times New Roman"/>
          <w:sz w:val="24"/>
          <w:szCs w:val="24"/>
        </w:rPr>
        <w:t xml:space="preserve"> </w:t>
      </w:r>
      <w:r w:rsidR="00647570" w:rsidRPr="004045AD">
        <w:rPr>
          <w:rFonts w:ascii="Times New Roman" w:eastAsia="Calibri" w:hAnsi="Times New Roman" w:cs="Times New Roman"/>
          <w:sz w:val="24"/>
          <w:szCs w:val="24"/>
        </w:rPr>
        <w:t>firms in Zimbabwe.</w:t>
      </w:r>
      <w:r w:rsidR="00F279F5" w:rsidRPr="004045AD">
        <w:rPr>
          <w:rFonts w:ascii="Times New Roman" w:eastAsia="Calibri" w:hAnsi="Times New Roman" w:cs="Times New Roman"/>
          <w:sz w:val="24"/>
          <w:szCs w:val="24"/>
        </w:rPr>
        <w:t xml:space="preserve"> </w:t>
      </w:r>
      <w:r w:rsidR="00493AC1" w:rsidRPr="004045AD">
        <w:rPr>
          <w:rFonts w:ascii="Times New Roman" w:eastAsia="Calibri" w:hAnsi="Times New Roman" w:cs="Times New Roman"/>
          <w:sz w:val="24"/>
          <w:szCs w:val="24"/>
        </w:rPr>
        <w:t xml:space="preserve"> </w:t>
      </w:r>
      <w:r w:rsidR="00F279F5" w:rsidRPr="004045AD">
        <w:rPr>
          <w:rFonts w:ascii="Times New Roman" w:eastAsia="Calibri" w:hAnsi="Times New Roman" w:cs="Times New Roman"/>
          <w:sz w:val="24"/>
          <w:szCs w:val="24"/>
        </w:rPr>
        <w:t>It is not a trading company.</w:t>
      </w:r>
      <w:r w:rsidR="00493AC1" w:rsidRPr="004045AD">
        <w:rPr>
          <w:rFonts w:ascii="Times New Roman" w:eastAsia="Calibri" w:hAnsi="Times New Roman" w:cs="Times New Roman"/>
          <w:sz w:val="24"/>
          <w:szCs w:val="24"/>
        </w:rPr>
        <w:t xml:space="preserve">  </w:t>
      </w:r>
      <w:r w:rsidR="00647570" w:rsidRPr="004045AD">
        <w:rPr>
          <w:rFonts w:ascii="Times New Roman" w:eastAsia="Calibri" w:hAnsi="Times New Roman" w:cs="Times New Roman"/>
          <w:sz w:val="24"/>
          <w:szCs w:val="24"/>
        </w:rPr>
        <w:t xml:space="preserve">The </w:t>
      </w:r>
      <w:r w:rsidRPr="004045AD">
        <w:rPr>
          <w:rFonts w:ascii="Times New Roman" w:eastAsia="Calibri" w:hAnsi="Times New Roman" w:cs="Times New Roman"/>
          <w:sz w:val="24"/>
          <w:szCs w:val="24"/>
        </w:rPr>
        <w:t>second</w:t>
      </w:r>
      <w:r w:rsidR="00647570" w:rsidRPr="004045AD">
        <w:rPr>
          <w:rFonts w:ascii="Times New Roman" w:eastAsia="Calibri" w:hAnsi="Times New Roman" w:cs="Times New Roman"/>
          <w:sz w:val="24"/>
          <w:szCs w:val="24"/>
        </w:rPr>
        <w:t xml:space="preserve"> respo</w:t>
      </w:r>
      <w:r w:rsidRPr="004045AD">
        <w:rPr>
          <w:rFonts w:ascii="Times New Roman" w:eastAsia="Calibri" w:hAnsi="Times New Roman" w:cs="Times New Roman"/>
          <w:sz w:val="24"/>
          <w:szCs w:val="24"/>
        </w:rPr>
        <w:t>ndent is Profeeds (Private</w:t>
      </w:r>
      <w:r w:rsidR="00493AC1" w:rsidRPr="004045AD">
        <w:rPr>
          <w:rFonts w:ascii="Times New Roman" w:eastAsia="Calibri" w:hAnsi="Times New Roman" w:cs="Times New Roman"/>
          <w:sz w:val="24"/>
          <w:szCs w:val="24"/>
        </w:rPr>
        <w:t>) Limite</w:t>
      </w:r>
      <w:r w:rsidR="00647570" w:rsidRPr="004045AD">
        <w:rPr>
          <w:rFonts w:ascii="Times New Roman" w:eastAsia="Calibri" w:hAnsi="Times New Roman" w:cs="Times New Roman"/>
          <w:sz w:val="24"/>
          <w:szCs w:val="24"/>
        </w:rPr>
        <w:t>d</w:t>
      </w:r>
      <w:r w:rsidR="002822C6" w:rsidRPr="004045AD">
        <w:rPr>
          <w:rFonts w:ascii="Times New Roman" w:eastAsia="Calibri" w:hAnsi="Times New Roman" w:cs="Times New Roman"/>
          <w:sz w:val="24"/>
          <w:szCs w:val="24"/>
        </w:rPr>
        <w:t>,</w:t>
      </w:r>
      <w:r w:rsidR="003C6089" w:rsidRPr="004045AD">
        <w:rPr>
          <w:rFonts w:ascii="Times New Roman" w:eastAsia="Calibri" w:hAnsi="Times New Roman" w:cs="Times New Roman"/>
          <w:sz w:val="24"/>
          <w:szCs w:val="24"/>
        </w:rPr>
        <w:t xml:space="preserve"> (Profeeds)</w:t>
      </w:r>
      <w:r w:rsidR="00647570" w:rsidRPr="004045AD">
        <w:rPr>
          <w:rFonts w:ascii="Times New Roman" w:eastAsia="Calibri" w:hAnsi="Times New Roman" w:cs="Times New Roman"/>
          <w:sz w:val="24"/>
          <w:szCs w:val="24"/>
        </w:rPr>
        <w:t xml:space="preserve"> a </w:t>
      </w:r>
      <w:r w:rsidR="00647570" w:rsidRPr="004045AD">
        <w:rPr>
          <w:rFonts w:ascii="Times New Roman" w:eastAsia="Calibri" w:hAnsi="Times New Roman" w:cs="Times New Roman"/>
          <w:sz w:val="24"/>
          <w:szCs w:val="24"/>
        </w:rPr>
        <w:lastRenderedPageBreak/>
        <w:t xml:space="preserve">company registered in terms of the laws of Zimbabwe which </w:t>
      </w:r>
      <w:r w:rsidR="00C236B4" w:rsidRPr="004045AD">
        <w:rPr>
          <w:rFonts w:ascii="Times New Roman" w:eastAsia="Calibri" w:hAnsi="Times New Roman" w:cs="Times New Roman"/>
          <w:sz w:val="24"/>
          <w:szCs w:val="24"/>
        </w:rPr>
        <w:t>is in the business of</w:t>
      </w:r>
      <w:r w:rsidR="00647570" w:rsidRPr="004045AD">
        <w:rPr>
          <w:rFonts w:ascii="Times New Roman" w:eastAsia="Calibri" w:hAnsi="Times New Roman" w:cs="Times New Roman"/>
          <w:sz w:val="24"/>
          <w:szCs w:val="24"/>
        </w:rPr>
        <w:t xml:space="preserve"> manufacturing</w:t>
      </w:r>
      <w:r w:rsidR="00C236B4" w:rsidRPr="004045AD">
        <w:rPr>
          <w:rFonts w:ascii="Times New Roman" w:eastAsia="Calibri" w:hAnsi="Times New Roman" w:cs="Times New Roman"/>
          <w:sz w:val="24"/>
          <w:szCs w:val="24"/>
        </w:rPr>
        <w:t xml:space="preserve"> and sale</w:t>
      </w:r>
      <w:r w:rsidR="00647570" w:rsidRPr="004045AD">
        <w:rPr>
          <w:rFonts w:ascii="Times New Roman" w:eastAsia="Calibri" w:hAnsi="Times New Roman" w:cs="Times New Roman"/>
          <w:sz w:val="24"/>
          <w:szCs w:val="24"/>
        </w:rPr>
        <w:t xml:space="preserve"> of stock feeds. The </w:t>
      </w:r>
      <w:r w:rsidR="00493AC1" w:rsidRPr="004045AD">
        <w:rPr>
          <w:rFonts w:ascii="Times New Roman" w:eastAsia="Calibri" w:hAnsi="Times New Roman" w:cs="Times New Roman"/>
          <w:sz w:val="24"/>
          <w:szCs w:val="24"/>
        </w:rPr>
        <w:t>third respondent is Produtrade (Private</w:t>
      </w:r>
      <w:r w:rsidR="00647570" w:rsidRPr="004045AD">
        <w:rPr>
          <w:rFonts w:ascii="Times New Roman" w:eastAsia="Calibri" w:hAnsi="Times New Roman" w:cs="Times New Roman"/>
          <w:sz w:val="24"/>
          <w:szCs w:val="24"/>
        </w:rPr>
        <w:t>) L</w:t>
      </w:r>
      <w:r w:rsidR="00493AC1" w:rsidRPr="004045AD">
        <w:rPr>
          <w:rFonts w:ascii="Times New Roman" w:eastAsia="Calibri" w:hAnsi="Times New Roman" w:cs="Times New Roman"/>
          <w:sz w:val="24"/>
          <w:szCs w:val="24"/>
        </w:rPr>
        <w:t>imi</w:t>
      </w:r>
      <w:r w:rsidR="00647570" w:rsidRPr="004045AD">
        <w:rPr>
          <w:rFonts w:ascii="Times New Roman" w:eastAsia="Calibri" w:hAnsi="Times New Roman" w:cs="Times New Roman"/>
          <w:sz w:val="24"/>
          <w:szCs w:val="24"/>
        </w:rPr>
        <w:t>t</w:t>
      </w:r>
      <w:r w:rsidR="00493AC1" w:rsidRPr="004045AD">
        <w:rPr>
          <w:rFonts w:ascii="Times New Roman" w:eastAsia="Calibri" w:hAnsi="Times New Roman" w:cs="Times New Roman"/>
          <w:sz w:val="24"/>
          <w:szCs w:val="24"/>
        </w:rPr>
        <w:t>e</w:t>
      </w:r>
      <w:r w:rsidR="00647570" w:rsidRPr="004045AD">
        <w:rPr>
          <w:rFonts w:ascii="Times New Roman" w:eastAsia="Calibri" w:hAnsi="Times New Roman" w:cs="Times New Roman"/>
          <w:sz w:val="24"/>
          <w:szCs w:val="24"/>
        </w:rPr>
        <w:t>d</w:t>
      </w:r>
      <w:r w:rsidR="002822C6" w:rsidRPr="004045AD">
        <w:rPr>
          <w:rFonts w:ascii="Times New Roman" w:eastAsia="Calibri" w:hAnsi="Times New Roman" w:cs="Times New Roman"/>
          <w:sz w:val="24"/>
          <w:szCs w:val="24"/>
        </w:rPr>
        <w:t>,</w:t>
      </w:r>
      <w:r w:rsidR="003C6089" w:rsidRPr="004045AD">
        <w:rPr>
          <w:rFonts w:ascii="Times New Roman" w:eastAsia="Calibri" w:hAnsi="Times New Roman" w:cs="Times New Roman"/>
          <w:sz w:val="24"/>
          <w:szCs w:val="24"/>
        </w:rPr>
        <w:t xml:space="preserve"> (Produtrade)</w:t>
      </w:r>
      <w:r w:rsidR="00647570" w:rsidRPr="004045AD">
        <w:rPr>
          <w:rFonts w:ascii="Times New Roman" w:eastAsia="Calibri" w:hAnsi="Times New Roman" w:cs="Times New Roman"/>
          <w:sz w:val="24"/>
          <w:szCs w:val="24"/>
        </w:rPr>
        <w:t xml:space="preserve"> a</w:t>
      </w:r>
      <w:r w:rsidR="00F279F5" w:rsidRPr="004045AD">
        <w:rPr>
          <w:rFonts w:ascii="Times New Roman" w:eastAsia="Calibri" w:hAnsi="Times New Roman" w:cs="Times New Roman"/>
          <w:sz w:val="24"/>
          <w:szCs w:val="24"/>
        </w:rPr>
        <w:t xml:space="preserve"> property holding</w:t>
      </w:r>
      <w:r w:rsidR="00647570" w:rsidRPr="004045AD">
        <w:rPr>
          <w:rFonts w:ascii="Times New Roman" w:eastAsia="Calibri" w:hAnsi="Times New Roman" w:cs="Times New Roman"/>
          <w:sz w:val="24"/>
          <w:szCs w:val="24"/>
        </w:rPr>
        <w:t xml:space="preserve"> company registered in terms of the laws of Zimbabwe</w:t>
      </w:r>
      <w:r w:rsidR="00F279F5" w:rsidRPr="004045AD">
        <w:rPr>
          <w:rFonts w:ascii="Times New Roman" w:eastAsia="Calibri" w:hAnsi="Times New Roman" w:cs="Times New Roman"/>
          <w:sz w:val="24"/>
          <w:szCs w:val="24"/>
        </w:rPr>
        <w:t xml:space="preserve">. </w:t>
      </w:r>
      <w:r w:rsidR="00493AC1" w:rsidRPr="004045AD">
        <w:rPr>
          <w:rFonts w:ascii="Times New Roman" w:eastAsia="Calibri" w:hAnsi="Times New Roman" w:cs="Times New Roman"/>
          <w:sz w:val="24"/>
          <w:szCs w:val="24"/>
        </w:rPr>
        <w:t xml:space="preserve"> </w:t>
      </w:r>
      <w:r w:rsidR="00F279F5" w:rsidRPr="004045AD">
        <w:rPr>
          <w:rFonts w:ascii="Times New Roman" w:eastAsia="Calibri" w:hAnsi="Times New Roman" w:cs="Times New Roman"/>
          <w:sz w:val="24"/>
          <w:szCs w:val="24"/>
        </w:rPr>
        <w:t>It was incorporated to hold a factory</w:t>
      </w:r>
      <w:r w:rsidR="00F75D04" w:rsidRPr="004045AD">
        <w:rPr>
          <w:rFonts w:ascii="Times New Roman" w:eastAsia="Calibri" w:hAnsi="Times New Roman" w:cs="Times New Roman"/>
          <w:sz w:val="24"/>
          <w:szCs w:val="24"/>
        </w:rPr>
        <w:t xml:space="preserve"> which </w:t>
      </w:r>
      <w:r w:rsidR="002822C6" w:rsidRPr="004045AD">
        <w:rPr>
          <w:rFonts w:ascii="Times New Roman" w:eastAsia="Calibri" w:hAnsi="Times New Roman" w:cs="Times New Roman"/>
          <w:sz w:val="24"/>
          <w:szCs w:val="24"/>
        </w:rPr>
        <w:t xml:space="preserve">it </w:t>
      </w:r>
      <w:r w:rsidR="00F279F5" w:rsidRPr="004045AD">
        <w:rPr>
          <w:rFonts w:ascii="Times New Roman" w:eastAsia="Calibri" w:hAnsi="Times New Roman" w:cs="Times New Roman"/>
          <w:sz w:val="24"/>
          <w:szCs w:val="24"/>
        </w:rPr>
        <w:t>is</w:t>
      </w:r>
      <w:r w:rsidR="00F75D04" w:rsidRPr="004045AD">
        <w:rPr>
          <w:rFonts w:ascii="Times New Roman" w:eastAsia="Calibri" w:hAnsi="Times New Roman" w:cs="Times New Roman"/>
          <w:sz w:val="24"/>
          <w:szCs w:val="24"/>
        </w:rPr>
        <w:t xml:space="preserve"> </w:t>
      </w:r>
      <w:r w:rsidR="002822C6" w:rsidRPr="004045AD">
        <w:rPr>
          <w:rFonts w:ascii="Times New Roman" w:eastAsia="Calibri" w:hAnsi="Times New Roman" w:cs="Times New Roman"/>
          <w:sz w:val="24"/>
          <w:szCs w:val="24"/>
        </w:rPr>
        <w:t>leasing out to</w:t>
      </w:r>
      <w:r w:rsidR="00F75D04" w:rsidRPr="004045AD">
        <w:rPr>
          <w:rFonts w:ascii="Times New Roman" w:eastAsia="Calibri" w:hAnsi="Times New Roman" w:cs="Times New Roman"/>
          <w:sz w:val="24"/>
          <w:szCs w:val="24"/>
        </w:rPr>
        <w:t xml:space="preserve"> </w:t>
      </w:r>
      <w:r w:rsidR="003C6089" w:rsidRPr="004045AD">
        <w:rPr>
          <w:rFonts w:ascii="Times New Roman" w:eastAsia="Calibri" w:hAnsi="Times New Roman" w:cs="Times New Roman"/>
          <w:sz w:val="24"/>
          <w:szCs w:val="24"/>
        </w:rPr>
        <w:t>Profeeds</w:t>
      </w:r>
      <w:r w:rsidR="00F75D04" w:rsidRPr="004045AD">
        <w:rPr>
          <w:rFonts w:ascii="Times New Roman" w:eastAsia="Calibri" w:hAnsi="Times New Roman" w:cs="Times New Roman"/>
          <w:sz w:val="24"/>
          <w:szCs w:val="24"/>
        </w:rPr>
        <w:t xml:space="preserve">. </w:t>
      </w:r>
      <w:r w:rsidR="00F51AA2">
        <w:rPr>
          <w:rFonts w:ascii="Times New Roman" w:eastAsia="Calibri" w:hAnsi="Times New Roman" w:cs="Times New Roman"/>
          <w:sz w:val="24"/>
          <w:szCs w:val="24"/>
        </w:rPr>
        <w:t xml:space="preserve"> </w:t>
      </w:r>
      <w:r w:rsidR="00372A3A" w:rsidRPr="004045AD">
        <w:rPr>
          <w:rFonts w:ascii="Times New Roman" w:eastAsia="Calibri" w:hAnsi="Times New Roman" w:cs="Times New Roman"/>
          <w:sz w:val="24"/>
          <w:szCs w:val="24"/>
        </w:rPr>
        <w:t>Profeeds</w:t>
      </w:r>
      <w:r w:rsidR="00F75D04" w:rsidRPr="004045AD">
        <w:rPr>
          <w:rFonts w:ascii="Times New Roman" w:eastAsia="Calibri" w:hAnsi="Times New Roman" w:cs="Times New Roman"/>
          <w:sz w:val="24"/>
          <w:szCs w:val="24"/>
        </w:rPr>
        <w:t xml:space="preserve"> manufactures its stock feeds from </w:t>
      </w:r>
      <w:r w:rsidR="00372A3A" w:rsidRPr="004045AD">
        <w:rPr>
          <w:rFonts w:ascii="Times New Roman" w:eastAsia="Calibri" w:hAnsi="Times New Roman" w:cs="Times New Roman"/>
          <w:sz w:val="24"/>
          <w:szCs w:val="24"/>
        </w:rPr>
        <w:t>Produtrade’s</w:t>
      </w:r>
      <w:r w:rsidR="00F75D04" w:rsidRPr="004045AD">
        <w:rPr>
          <w:rFonts w:ascii="Times New Roman" w:eastAsia="Calibri" w:hAnsi="Times New Roman" w:cs="Times New Roman"/>
          <w:sz w:val="24"/>
          <w:szCs w:val="24"/>
        </w:rPr>
        <w:t xml:space="preserve"> </w:t>
      </w:r>
      <w:r w:rsidR="00E53C4D" w:rsidRPr="004045AD">
        <w:rPr>
          <w:rFonts w:ascii="Times New Roman" w:eastAsia="Calibri" w:hAnsi="Times New Roman" w:cs="Times New Roman"/>
          <w:sz w:val="24"/>
          <w:szCs w:val="24"/>
        </w:rPr>
        <w:t>factory</w:t>
      </w:r>
      <w:r w:rsidR="00F75D04" w:rsidRPr="004045AD">
        <w:rPr>
          <w:rFonts w:ascii="Times New Roman" w:eastAsia="Calibri" w:hAnsi="Times New Roman" w:cs="Times New Roman"/>
          <w:sz w:val="24"/>
          <w:szCs w:val="24"/>
        </w:rPr>
        <w:t>.</w:t>
      </w:r>
      <w:r w:rsidR="00647570" w:rsidRPr="004045AD">
        <w:rPr>
          <w:rFonts w:ascii="Times New Roman" w:eastAsia="Calibri" w:hAnsi="Times New Roman" w:cs="Times New Roman"/>
          <w:sz w:val="24"/>
          <w:szCs w:val="24"/>
        </w:rPr>
        <w:t xml:space="preserve"> </w:t>
      </w:r>
      <w:r w:rsidR="00493AC1"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 xml:space="preserve">The </w:t>
      </w:r>
      <w:r w:rsidR="00493AC1" w:rsidRPr="004045AD">
        <w:rPr>
          <w:rFonts w:ascii="Times New Roman" w:eastAsia="Calibri" w:hAnsi="Times New Roman" w:cs="Times New Roman"/>
          <w:sz w:val="24"/>
          <w:szCs w:val="24"/>
        </w:rPr>
        <w:t>fourth respondent</w:t>
      </w:r>
      <w:r w:rsidR="00647570" w:rsidRPr="004045AD">
        <w:rPr>
          <w:rFonts w:ascii="Times New Roman" w:eastAsia="Calibri" w:hAnsi="Times New Roman" w:cs="Times New Roman"/>
          <w:sz w:val="24"/>
          <w:szCs w:val="24"/>
        </w:rPr>
        <w:t xml:space="preserve"> is I</w:t>
      </w:r>
      <w:r w:rsidR="00493AC1" w:rsidRPr="004045AD">
        <w:rPr>
          <w:rFonts w:ascii="Times New Roman" w:eastAsia="Calibri" w:hAnsi="Times New Roman" w:cs="Times New Roman"/>
          <w:sz w:val="24"/>
          <w:szCs w:val="24"/>
        </w:rPr>
        <w:t>n</w:t>
      </w:r>
      <w:r w:rsidR="00372A3A" w:rsidRPr="004045AD">
        <w:rPr>
          <w:rFonts w:ascii="Times New Roman" w:eastAsia="Calibri" w:hAnsi="Times New Roman" w:cs="Times New Roman"/>
          <w:sz w:val="24"/>
          <w:szCs w:val="24"/>
        </w:rPr>
        <w:t>n</w:t>
      </w:r>
      <w:r w:rsidR="00493AC1" w:rsidRPr="004045AD">
        <w:rPr>
          <w:rFonts w:ascii="Times New Roman" w:eastAsia="Calibri" w:hAnsi="Times New Roman" w:cs="Times New Roman"/>
          <w:sz w:val="24"/>
          <w:szCs w:val="24"/>
        </w:rPr>
        <w:t>scor</w:t>
      </w:r>
      <w:r w:rsidR="00647570" w:rsidRPr="004045AD">
        <w:rPr>
          <w:rFonts w:ascii="Times New Roman" w:eastAsia="Calibri" w:hAnsi="Times New Roman" w:cs="Times New Roman"/>
          <w:sz w:val="24"/>
          <w:szCs w:val="24"/>
        </w:rPr>
        <w:t xml:space="preserve"> Africa Limited</w:t>
      </w:r>
      <w:r w:rsidR="00372A3A" w:rsidRPr="004045AD">
        <w:rPr>
          <w:rFonts w:ascii="Times New Roman" w:eastAsia="Calibri" w:hAnsi="Times New Roman" w:cs="Times New Roman"/>
          <w:sz w:val="24"/>
          <w:szCs w:val="24"/>
        </w:rPr>
        <w:t xml:space="preserve"> (Innscor)</w:t>
      </w:r>
      <w:r w:rsidR="00647570" w:rsidRPr="004045AD">
        <w:rPr>
          <w:rFonts w:ascii="Times New Roman" w:eastAsia="Calibri" w:hAnsi="Times New Roman" w:cs="Times New Roman"/>
          <w:sz w:val="24"/>
          <w:szCs w:val="24"/>
        </w:rPr>
        <w:t xml:space="preserve"> a company registered in terms of the laws of Zimbabwe</w:t>
      </w:r>
      <w:r w:rsidR="00C236B4" w:rsidRPr="004045AD">
        <w:rPr>
          <w:rFonts w:ascii="Times New Roman" w:eastAsia="Calibri" w:hAnsi="Times New Roman" w:cs="Times New Roman"/>
          <w:sz w:val="24"/>
          <w:szCs w:val="24"/>
        </w:rPr>
        <w:t xml:space="preserve">. </w:t>
      </w:r>
      <w:r w:rsidR="00493AC1" w:rsidRPr="004045AD">
        <w:rPr>
          <w:rFonts w:ascii="Times New Roman" w:eastAsia="Calibri" w:hAnsi="Times New Roman" w:cs="Times New Roman"/>
          <w:sz w:val="24"/>
          <w:szCs w:val="24"/>
        </w:rPr>
        <w:t xml:space="preserve"> </w:t>
      </w:r>
      <w:r w:rsidR="00C236B4" w:rsidRPr="004045AD">
        <w:rPr>
          <w:rFonts w:ascii="Times New Roman" w:eastAsia="Calibri" w:hAnsi="Times New Roman" w:cs="Times New Roman"/>
          <w:sz w:val="24"/>
          <w:szCs w:val="24"/>
        </w:rPr>
        <w:t>I</w:t>
      </w:r>
      <w:r w:rsidR="00647570" w:rsidRPr="004045AD">
        <w:rPr>
          <w:rFonts w:ascii="Times New Roman" w:eastAsia="Calibri" w:hAnsi="Times New Roman" w:cs="Times New Roman"/>
          <w:sz w:val="24"/>
          <w:szCs w:val="24"/>
        </w:rPr>
        <w:t>t</w:t>
      </w:r>
      <w:r w:rsidR="00432C6D" w:rsidRPr="004045AD">
        <w:rPr>
          <w:rFonts w:ascii="Times New Roman" w:eastAsia="Calibri" w:hAnsi="Times New Roman" w:cs="Times New Roman"/>
          <w:sz w:val="24"/>
          <w:szCs w:val="24"/>
        </w:rPr>
        <w:t xml:space="preserve"> wholly owns </w:t>
      </w:r>
      <w:r w:rsidR="00372A3A" w:rsidRPr="004045AD">
        <w:rPr>
          <w:rFonts w:ascii="Times New Roman" w:eastAsia="Calibri" w:hAnsi="Times New Roman" w:cs="Times New Roman"/>
          <w:sz w:val="24"/>
          <w:szCs w:val="24"/>
        </w:rPr>
        <w:t>Ashram.</w:t>
      </w:r>
    </w:p>
    <w:p w:rsidR="00AB79F2" w:rsidRPr="004045AD" w:rsidRDefault="00AB79F2" w:rsidP="00AB79F2">
      <w:pPr>
        <w:tabs>
          <w:tab w:val="left" w:pos="426"/>
        </w:tabs>
        <w:spacing w:after="0" w:line="240" w:lineRule="auto"/>
        <w:ind w:left="426" w:hanging="426"/>
        <w:jc w:val="both"/>
        <w:rPr>
          <w:rFonts w:ascii="Times New Roman" w:eastAsia="Calibri" w:hAnsi="Times New Roman" w:cs="Times New Roman"/>
          <w:sz w:val="24"/>
          <w:szCs w:val="24"/>
        </w:rPr>
      </w:pPr>
    </w:p>
    <w:p w:rsidR="00432C6D" w:rsidRPr="004045AD" w:rsidRDefault="00AB79F2" w:rsidP="00596D18">
      <w:pPr>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[3</w:t>
      </w:r>
      <w:r w:rsidR="005F49B7" w:rsidRPr="004045AD">
        <w:rPr>
          <w:rFonts w:ascii="Times New Roman" w:eastAsia="Calibri" w:hAnsi="Times New Roman" w:cs="Times New Roman"/>
          <w:sz w:val="24"/>
          <w:szCs w:val="24"/>
        </w:rPr>
        <w:t xml:space="preserve">] </w:t>
      </w:r>
      <w:r w:rsidR="00596D18"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 xml:space="preserve">The respondents formed a merger </w:t>
      </w:r>
      <w:r w:rsidR="0055033D" w:rsidRPr="004045AD">
        <w:rPr>
          <w:rFonts w:ascii="Times New Roman" w:eastAsia="Calibri" w:hAnsi="Times New Roman" w:cs="Times New Roman"/>
          <w:sz w:val="24"/>
          <w:szCs w:val="24"/>
        </w:rPr>
        <w:t>i</w:t>
      </w:r>
      <w:r w:rsidR="00432C6D" w:rsidRPr="004045AD">
        <w:rPr>
          <w:rFonts w:ascii="Times New Roman" w:eastAsia="Calibri" w:hAnsi="Times New Roman" w:cs="Times New Roman"/>
          <w:sz w:val="24"/>
          <w:szCs w:val="24"/>
        </w:rPr>
        <w:t>n</w:t>
      </w:r>
      <w:r w:rsidR="0064351F" w:rsidRPr="004045AD">
        <w:rPr>
          <w:rFonts w:ascii="Times New Roman" w:eastAsia="Calibri" w:hAnsi="Times New Roman" w:cs="Times New Roman"/>
          <w:sz w:val="24"/>
          <w:szCs w:val="24"/>
        </w:rPr>
        <w:t xml:space="preserve"> </w:t>
      </w:r>
      <w:r w:rsidR="0055033D" w:rsidRPr="004045AD">
        <w:rPr>
          <w:rFonts w:ascii="Times New Roman" w:eastAsia="Calibri" w:hAnsi="Times New Roman" w:cs="Times New Roman"/>
          <w:sz w:val="24"/>
          <w:szCs w:val="24"/>
        </w:rPr>
        <w:t>May</w:t>
      </w:r>
      <w:r w:rsidR="00432C6D" w:rsidRPr="004045AD">
        <w:rPr>
          <w:rFonts w:ascii="Times New Roman" w:eastAsia="Calibri" w:hAnsi="Times New Roman" w:cs="Times New Roman"/>
          <w:sz w:val="24"/>
          <w:szCs w:val="24"/>
        </w:rPr>
        <w:t xml:space="preserve"> 2015. </w:t>
      </w:r>
      <w:r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 xml:space="preserve">The respondents ought to have notified the </w:t>
      </w:r>
      <w:r w:rsidR="00630FC9" w:rsidRPr="004045AD">
        <w:rPr>
          <w:rFonts w:ascii="Times New Roman" w:eastAsia="Calibri" w:hAnsi="Times New Roman" w:cs="Times New Roman"/>
          <w:sz w:val="24"/>
          <w:szCs w:val="24"/>
        </w:rPr>
        <w:t xml:space="preserve">appellant of their merger within 30 days of the </w:t>
      </w:r>
      <w:r w:rsidR="00D53E01" w:rsidRPr="004045AD">
        <w:rPr>
          <w:rFonts w:ascii="Times New Roman" w:eastAsia="Calibri" w:hAnsi="Times New Roman" w:cs="Times New Roman"/>
          <w:sz w:val="24"/>
          <w:szCs w:val="24"/>
        </w:rPr>
        <w:t>merger</w:t>
      </w:r>
      <w:r w:rsidR="00630FC9" w:rsidRPr="004045AD">
        <w:rPr>
          <w:rFonts w:ascii="Times New Roman" w:eastAsia="Calibri" w:hAnsi="Times New Roman" w:cs="Times New Roman"/>
          <w:sz w:val="24"/>
          <w:szCs w:val="24"/>
        </w:rPr>
        <w:t>.</w:t>
      </w:r>
      <w:r w:rsidR="00432C6D" w:rsidRPr="004045AD">
        <w:rPr>
          <w:rFonts w:ascii="Times New Roman" w:eastAsia="Calibri" w:hAnsi="Times New Roman" w:cs="Times New Roman"/>
          <w:sz w:val="24"/>
          <w:szCs w:val="24"/>
        </w:rPr>
        <w:t xml:space="preserve"> </w:t>
      </w:r>
      <w:r w:rsidR="00596D18"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 xml:space="preserve">The respondents </w:t>
      </w:r>
      <w:r w:rsidR="00F279F5" w:rsidRPr="004045AD">
        <w:rPr>
          <w:rFonts w:ascii="Times New Roman" w:eastAsia="Calibri" w:hAnsi="Times New Roman" w:cs="Times New Roman"/>
          <w:sz w:val="24"/>
          <w:szCs w:val="24"/>
        </w:rPr>
        <w:t>notified</w:t>
      </w:r>
      <w:r w:rsidR="00432C6D" w:rsidRPr="004045AD">
        <w:rPr>
          <w:rFonts w:ascii="Times New Roman" w:eastAsia="Calibri" w:hAnsi="Times New Roman" w:cs="Times New Roman"/>
          <w:sz w:val="24"/>
          <w:szCs w:val="24"/>
        </w:rPr>
        <w:t xml:space="preserve"> the appellant of the merger in</w:t>
      </w:r>
      <w:r w:rsidR="00F279F5" w:rsidRPr="004045AD">
        <w:rPr>
          <w:rFonts w:ascii="Times New Roman" w:eastAsia="Calibri" w:hAnsi="Times New Roman" w:cs="Times New Roman"/>
          <w:sz w:val="24"/>
          <w:szCs w:val="24"/>
        </w:rPr>
        <w:t xml:space="preserve"> February</w:t>
      </w:r>
      <w:r w:rsidR="00432C6D" w:rsidRPr="004045AD">
        <w:rPr>
          <w:rFonts w:ascii="Times New Roman" w:eastAsia="Calibri" w:hAnsi="Times New Roman" w:cs="Times New Roman"/>
          <w:sz w:val="24"/>
          <w:szCs w:val="24"/>
        </w:rPr>
        <w:t xml:space="preserve"> 2019 after their new legal practitioner</w:t>
      </w:r>
      <w:r w:rsidR="004C6A55" w:rsidRPr="004045AD">
        <w:rPr>
          <w:rFonts w:ascii="Times New Roman" w:eastAsia="Calibri" w:hAnsi="Times New Roman" w:cs="Times New Roman"/>
          <w:sz w:val="24"/>
          <w:szCs w:val="24"/>
        </w:rPr>
        <w:t xml:space="preserve"> </w:t>
      </w:r>
      <w:r w:rsidR="003368E7" w:rsidRPr="004045AD">
        <w:rPr>
          <w:rFonts w:ascii="Times New Roman" w:eastAsia="Calibri" w:hAnsi="Times New Roman" w:cs="Times New Roman"/>
          <w:sz w:val="24"/>
          <w:szCs w:val="24"/>
        </w:rPr>
        <w:t>since</w:t>
      </w:r>
      <w:r w:rsidR="004C6A55" w:rsidRPr="004045AD">
        <w:rPr>
          <w:rFonts w:ascii="Times New Roman" w:eastAsia="Calibri" w:hAnsi="Times New Roman" w:cs="Times New Roman"/>
          <w:sz w:val="24"/>
          <w:szCs w:val="24"/>
        </w:rPr>
        <w:t xml:space="preserve"> </w:t>
      </w:r>
      <w:r w:rsidR="00D546DC" w:rsidRPr="004045AD">
        <w:rPr>
          <w:rFonts w:ascii="Times New Roman" w:eastAsia="Calibri" w:hAnsi="Times New Roman" w:cs="Times New Roman"/>
          <w:sz w:val="24"/>
          <w:szCs w:val="24"/>
        </w:rPr>
        <w:t xml:space="preserve">                      </w:t>
      </w:r>
      <w:r w:rsidR="004C6A55" w:rsidRPr="004045AD">
        <w:rPr>
          <w:rFonts w:ascii="Times New Roman" w:eastAsia="Calibri" w:hAnsi="Times New Roman" w:cs="Times New Roman"/>
          <w:sz w:val="24"/>
          <w:szCs w:val="24"/>
        </w:rPr>
        <w:t>December 2017</w:t>
      </w:r>
      <w:r w:rsidR="003368E7" w:rsidRPr="004045AD">
        <w:rPr>
          <w:rFonts w:ascii="Times New Roman" w:eastAsia="Calibri" w:hAnsi="Times New Roman" w:cs="Times New Roman"/>
          <w:sz w:val="24"/>
          <w:szCs w:val="24"/>
        </w:rPr>
        <w:t xml:space="preserve"> had</w:t>
      </w:r>
      <w:r w:rsidR="00432C6D" w:rsidRPr="004045AD">
        <w:rPr>
          <w:rFonts w:ascii="Times New Roman" w:eastAsia="Calibri" w:hAnsi="Times New Roman" w:cs="Times New Roman"/>
          <w:sz w:val="24"/>
          <w:szCs w:val="24"/>
        </w:rPr>
        <w:t xml:space="preserve"> advised them to do so.</w:t>
      </w:r>
      <w:r w:rsidR="00596D18" w:rsidRPr="004045AD">
        <w:rPr>
          <w:rFonts w:ascii="Times New Roman" w:eastAsia="Calibri" w:hAnsi="Times New Roman" w:cs="Times New Roman"/>
          <w:sz w:val="24"/>
          <w:szCs w:val="24"/>
        </w:rPr>
        <w:t xml:space="preserve">  </w:t>
      </w:r>
      <w:r w:rsidR="0064351F" w:rsidRPr="004045AD">
        <w:rPr>
          <w:rFonts w:ascii="Times New Roman" w:eastAsia="Calibri" w:hAnsi="Times New Roman" w:cs="Times New Roman"/>
          <w:sz w:val="24"/>
          <w:szCs w:val="24"/>
        </w:rPr>
        <w:t>On</w:t>
      </w:r>
      <w:r w:rsidR="004C6A55" w:rsidRPr="004045AD">
        <w:rPr>
          <w:rFonts w:ascii="Times New Roman" w:eastAsia="Calibri" w:hAnsi="Times New Roman" w:cs="Times New Roman"/>
          <w:sz w:val="24"/>
          <w:szCs w:val="24"/>
        </w:rPr>
        <w:t xml:space="preserve"> 5 November 2013</w:t>
      </w:r>
      <w:r w:rsidR="0064351F" w:rsidRPr="004045AD">
        <w:rPr>
          <w:rFonts w:ascii="Times New Roman" w:eastAsia="Calibri" w:hAnsi="Times New Roman" w:cs="Times New Roman"/>
          <w:sz w:val="24"/>
          <w:szCs w:val="24"/>
        </w:rPr>
        <w:t xml:space="preserve"> the respondents had </w:t>
      </w:r>
      <w:r w:rsidR="004C6A55" w:rsidRPr="004045AD">
        <w:rPr>
          <w:rFonts w:ascii="Times New Roman" w:eastAsia="Calibri" w:hAnsi="Times New Roman" w:cs="Times New Roman"/>
          <w:sz w:val="24"/>
          <w:szCs w:val="24"/>
        </w:rPr>
        <w:t>notified the appellant of their</w:t>
      </w:r>
      <w:r w:rsidR="00946678" w:rsidRPr="004045AD">
        <w:rPr>
          <w:rFonts w:ascii="Times New Roman" w:eastAsia="Calibri" w:hAnsi="Times New Roman" w:cs="Times New Roman"/>
          <w:sz w:val="24"/>
          <w:szCs w:val="24"/>
        </w:rPr>
        <w:t xml:space="preserve"> earlier</w:t>
      </w:r>
      <w:r w:rsidR="00596D18" w:rsidRPr="004045AD">
        <w:rPr>
          <w:rFonts w:ascii="Times New Roman" w:eastAsia="Calibri" w:hAnsi="Times New Roman" w:cs="Times New Roman"/>
          <w:sz w:val="24"/>
          <w:szCs w:val="24"/>
        </w:rPr>
        <w:t xml:space="preserve"> merger.  </w:t>
      </w:r>
      <w:r w:rsidR="004C6A55" w:rsidRPr="004045AD">
        <w:rPr>
          <w:rFonts w:ascii="Times New Roman" w:eastAsia="Calibri" w:hAnsi="Times New Roman" w:cs="Times New Roman"/>
          <w:sz w:val="24"/>
          <w:szCs w:val="24"/>
        </w:rPr>
        <w:t xml:space="preserve">That merger involved </w:t>
      </w:r>
      <w:r w:rsidR="00372A3A" w:rsidRPr="004045AD">
        <w:rPr>
          <w:rFonts w:ascii="Times New Roman" w:eastAsia="Calibri" w:hAnsi="Times New Roman" w:cs="Times New Roman"/>
          <w:sz w:val="24"/>
          <w:szCs w:val="24"/>
        </w:rPr>
        <w:t>Ashram’s</w:t>
      </w:r>
      <w:r w:rsidR="004C6A55" w:rsidRPr="004045AD">
        <w:rPr>
          <w:rFonts w:ascii="Times New Roman" w:eastAsia="Calibri" w:hAnsi="Times New Roman" w:cs="Times New Roman"/>
          <w:sz w:val="24"/>
          <w:szCs w:val="24"/>
        </w:rPr>
        <w:t xml:space="preserve"> </w:t>
      </w:r>
      <w:r w:rsidR="008B06B0" w:rsidRPr="004045AD">
        <w:rPr>
          <w:rFonts w:ascii="Times New Roman" w:eastAsia="Calibri" w:hAnsi="Times New Roman" w:cs="Times New Roman"/>
          <w:sz w:val="24"/>
          <w:szCs w:val="24"/>
        </w:rPr>
        <w:t>acqui</w:t>
      </w:r>
      <w:r w:rsidR="00372A3A" w:rsidRPr="004045AD">
        <w:rPr>
          <w:rFonts w:ascii="Times New Roman" w:eastAsia="Calibri" w:hAnsi="Times New Roman" w:cs="Times New Roman"/>
          <w:sz w:val="24"/>
          <w:szCs w:val="24"/>
        </w:rPr>
        <w:t>sition of</w:t>
      </w:r>
      <w:r w:rsidR="004C6A55" w:rsidRPr="004045AD">
        <w:rPr>
          <w:rFonts w:ascii="Times New Roman" w:eastAsia="Calibri" w:hAnsi="Times New Roman" w:cs="Times New Roman"/>
          <w:sz w:val="24"/>
          <w:szCs w:val="24"/>
        </w:rPr>
        <w:t xml:space="preserve"> a 59% shareholding in both Profeeds and Pro</w:t>
      </w:r>
      <w:r w:rsidR="00EB256B">
        <w:rPr>
          <w:rFonts w:ascii="Times New Roman" w:eastAsia="Calibri" w:hAnsi="Times New Roman" w:cs="Times New Roman"/>
          <w:sz w:val="24"/>
          <w:szCs w:val="24"/>
        </w:rPr>
        <w:t>du</w:t>
      </w:r>
      <w:r w:rsidR="004C6A55" w:rsidRPr="004045AD">
        <w:rPr>
          <w:rFonts w:ascii="Times New Roman" w:eastAsia="Calibri" w:hAnsi="Times New Roman" w:cs="Times New Roman"/>
          <w:sz w:val="24"/>
          <w:szCs w:val="24"/>
        </w:rPr>
        <w:t>tr</w:t>
      </w:r>
      <w:r w:rsidR="00167881">
        <w:rPr>
          <w:rFonts w:ascii="Times New Roman" w:eastAsia="Calibri" w:hAnsi="Times New Roman" w:cs="Times New Roman"/>
          <w:sz w:val="24"/>
          <w:szCs w:val="24"/>
        </w:rPr>
        <w:t>a</w:t>
      </w:r>
      <w:r w:rsidR="004C6A55" w:rsidRPr="004045AD">
        <w:rPr>
          <w:rFonts w:ascii="Times New Roman" w:eastAsia="Calibri" w:hAnsi="Times New Roman" w:cs="Times New Roman"/>
          <w:sz w:val="24"/>
          <w:szCs w:val="24"/>
        </w:rPr>
        <w:t xml:space="preserve">de. </w:t>
      </w:r>
      <w:r w:rsidR="00F51AA2">
        <w:rPr>
          <w:rFonts w:ascii="Times New Roman" w:eastAsia="Calibri" w:hAnsi="Times New Roman" w:cs="Times New Roman"/>
          <w:sz w:val="24"/>
          <w:szCs w:val="24"/>
        </w:rPr>
        <w:t xml:space="preserve"> </w:t>
      </w:r>
      <w:r w:rsidR="0034621B" w:rsidRPr="004045AD">
        <w:rPr>
          <w:rFonts w:ascii="Times New Roman" w:eastAsia="Calibri" w:hAnsi="Times New Roman" w:cs="Times New Roman"/>
          <w:sz w:val="24"/>
          <w:szCs w:val="24"/>
        </w:rPr>
        <w:t>They</w:t>
      </w:r>
      <w:r w:rsidR="004C6A55" w:rsidRPr="004045AD">
        <w:rPr>
          <w:rFonts w:ascii="Times New Roman" w:eastAsia="Calibri" w:hAnsi="Times New Roman" w:cs="Times New Roman"/>
          <w:sz w:val="24"/>
          <w:szCs w:val="24"/>
        </w:rPr>
        <w:t xml:space="preserve"> sought</w:t>
      </w:r>
      <w:r w:rsidR="008B5559" w:rsidRPr="004045AD">
        <w:rPr>
          <w:rFonts w:ascii="Times New Roman" w:eastAsia="Calibri" w:hAnsi="Times New Roman" w:cs="Times New Roman"/>
          <w:sz w:val="24"/>
          <w:szCs w:val="24"/>
        </w:rPr>
        <w:t xml:space="preserve"> the appellant’s</w:t>
      </w:r>
      <w:r w:rsidR="0064351F" w:rsidRPr="004045AD">
        <w:rPr>
          <w:rFonts w:ascii="Times New Roman" w:eastAsia="Calibri" w:hAnsi="Times New Roman" w:cs="Times New Roman"/>
          <w:sz w:val="24"/>
          <w:szCs w:val="24"/>
        </w:rPr>
        <w:t xml:space="preserve"> permission for the merger</w:t>
      </w:r>
      <w:r w:rsidR="008B06B0" w:rsidRPr="004045AD">
        <w:rPr>
          <w:rFonts w:ascii="Times New Roman" w:eastAsia="Calibri" w:hAnsi="Times New Roman" w:cs="Times New Roman"/>
          <w:sz w:val="24"/>
          <w:szCs w:val="24"/>
        </w:rPr>
        <w:t>.</w:t>
      </w:r>
      <w:r w:rsidR="0064351F" w:rsidRPr="004045AD">
        <w:rPr>
          <w:rFonts w:ascii="Times New Roman" w:eastAsia="Calibri" w:hAnsi="Times New Roman" w:cs="Times New Roman"/>
          <w:sz w:val="24"/>
          <w:szCs w:val="24"/>
        </w:rPr>
        <w:t xml:space="preserve"> </w:t>
      </w:r>
    </w:p>
    <w:p w:rsidR="00596D18" w:rsidRPr="004045AD" w:rsidRDefault="00596D18" w:rsidP="00596D18">
      <w:pPr>
        <w:spacing w:after="0" w:line="240" w:lineRule="auto"/>
        <w:ind w:left="567" w:hanging="567"/>
        <w:jc w:val="both"/>
        <w:rPr>
          <w:rFonts w:ascii="Times New Roman" w:eastAsia="Calibri" w:hAnsi="Times New Roman" w:cs="Times New Roman"/>
          <w:sz w:val="24"/>
          <w:szCs w:val="24"/>
        </w:rPr>
      </w:pPr>
    </w:p>
    <w:p w:rsidR="00FC1332" w:rsidRPr="004045AD" w:rsidRDefault="00630FC9" w:rsidP="00596D18">
      <w:pPr>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596D18" w:rsidRPr="004045AD">
        <w:rPr>
          <w:rFonts w:ascii="Times New Roman" w:eastAsia="Calibri" w:hAnsi="Times New Roman" w:cs="Times New Roman"/>
          <w:sz w:val="24"/>
          <w:szCs w:val="24"/>
        </w:rPr>
        <w:t>4</w:t>
      </w:r>
      <w:r w:rsidRPr="004045AD">
        <w:rPr>
          <w:rFonts w:ascii="Times New Roman" w:eastAsia="Calibri" w:hAnsi="Times New Roman" w:cs="Times New Roman"/>
          <w:sz w:val="24"/>
          <w:szCs w:val="24"/>
        </w:rPr>
        <w:t xml:space="preserve">] </w:t>
      </w:r>
      <w:r w:rsidR="00596D18"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The appellant examined the merger</w:t>
      </w:r>
      <w:r w:rsidR="002F0C55" w:rsidRPr="004045AD">
        <w:rPr>
          <w:rFonts w:ascii="Times New Roman" w:eastAsia="Calibri" w:hAnsi="Times New Roman" w:cs="Times New Roman"/>
          <w:sz w:val="24"/>
          <w:szCs w:val="24"/>
        </w:rPr>
        <w:t>.</w:t>
      </w:r>
      <w:r w:rsidR="008B5559" w:rsidRPr="004045AD">
        <w:rPr>
          <w:rFonts w:ascii="Times New Roman" w:eastAsia="Calibri" w:hAnsi="Times New Roman" w:cs="Times New Roman"/>
          <w:sz w:val="24"/>
          <w:szCs w:val="24"/>
        </w:rPr>
        <w:t xml:space="preserve"> </w:t>
      </w:r>
      <w:r w:rsidR="00E60DF5" w:rsidRPr="004045AD">
        <w:rPr>
          <w:rFonts w:ascii="Times New Roman" w:eastAsia="Calibri" w:hAnsi="Times New Roman" w:cs="Times New Roman"/>
          <w:sz w:val="24"/>
          <w:szCs w:val="24"/>
        </w:rPr>
        <w:t xml:space="preserve"> </w:t>
      </w:r>
      <w:r w:rsidR="00F869A7" w:rsidRPr="004045AD">
        <w:rPr>
          <w:rFonts w:ascii="Times New Roman" w:eastAsia="Calibri" w:hAnsi="Times New Roman" w:cs="Times New Roman"/>
          <w:sz w:val="24"/>
          <w:szCs w:val="24"/>
        </w:rPr>
        <w:t>O</w:t>
      </w:r>
      <w:r w:rsidR="002F0C55" w:rsidRPr="004045AD">
        <w:rPr>
          <w:rFonts w:ascii="Times New Roman" w:eastAsia="Calibri" w:hAnsi="Times New Roman" w:cs="Times New Roman"/>
          <w:sz w:val="24"/>
          <w:szCs w:val="24"/>
        </w:rPr>
        <w:t xml:space="preserve">n </w:t>
      </w:r>
      <w:r w:rsidR="00800EA4" w:rsidRPr="004045AD">
        <w:rPr>
          <w:rFonts w:ascii="Times New Roman" w:eastAsia="Calibri" w:hAnsi="Times New Roman" w:cs="Times New Roman"/>
          <w:sz w:val="24"/>
          <w:szCs w:val="24"/>
        </w:rPr>
        <w:t>28 October 2014</w:t>
      </w:r>
      <w:r w:rsidR="00F869A7" w:rsidRPr="004045AD">
        <w:rPr>
          <w:rFonts w:ascii="Times New Roman" w:eastAsia="Calibri" w:hAnsi="Times New Roman" w:cs="Times New Roman"/>
          <w:sz w:val="24"/>
          <w:szCs w:val="24"/>
        </w:rPr>
        <w:t xml:space="preserve"> it</w:t>
      </w:r>
      <w:r w:rsidR="003E7E0F" w:rsidRPr="004045AD">
        <w:rPr>
          <w:rFonts w:ascii="Times New Roman" w:eastAsia="Calibri" w:hAnsi="Times New Roman" w:cs="Times New Roman"/>
          <w:sz w:val="24"/>
          <w:szCs w:val="24"/>
        </w:rPr>
        <w:t xml:space="preserve"> </w:t>
      </w:r>
      <w:r w:rsidR="002F0C55" w:rsidRPr="004045AD">
        <w:rPr>
          <w:rFonts w:ascii="Times New Roman" w:eastAsia="Calibri" w:hAnsi="Times New Roman" w:cs="Times New Roman"/>
          <w:sz w:val="24"/>
          <w:szCs w:val="24"/>
        </w:rPr>
        <w:t xml:space="preserve">prohibited </w:t>
      </w:r>
      <w:r w:rsidR="00F869A7" w:rsidRPr="004045AD">
        <w:rPr>
          <w:rFonts w:ascii="Times New Roman" w:eastAsia="Calibri" w:hAnsi="Times New Roman" w:cs="Times New Roman"/>
          <w:sz w:val="24"/>
          <w:szCs w:val="24"/>
        </w:rPr>
        <w:t>the merger</w:t>
      </w:r>
      <w:r w:rsidR="00432C6D" w:rsidRPr="004045AD">
        <w:rPr>
          <w:rFonts w:ascii="Times New Roman" w:eastAsia="Calibri" w:hAnsi="Times New Roman" w:cs="Times New Roman"/>
          <w:sz w:val="24"/>
          <w:szCs w:val="24"/>
        </w:rPr>
        <w:t xml:space="preserve"> </w:t>
      </w:r>
      <w:r w:rsidR="00FC1332" w:rsidRPr="004045AD">
        <w:rPr>
          <w:rFonts w:ascii="Times New Roman" w:eastAsia="Calibri" w:hAnsi="Times New Roman" w:cs="Times New Roman"/>
          <w:sz w:val="24"/>
          <w:szCs w:val="24"/>
        </w:rPr>
        <w:t>on the basis</w:t>
      </w:r>
      <w:r w:rsidR="00432C6D" w:rsidRPr="004045AD">
        <w:rPr>
          <w:rFonts w:ascii="Times New Roman" w:eastAsia="Calibri" w:hAnsi="Times New Roman" w:cs="Times New Roman"/>
          <w:sz w:val="24"/>
          <w:szCs w:val="24"/>
        </w:rPr>
        <w:t xml:space="preserve"> that it was contrary to</w:t>
      </w:r>
      <w:r w:rsidR="00AC2968">
        <w:rPr>
          <w:rFonts w:ascii="Times New Roman" w:eastAsia="Calibri" w:hAnsi="Times New Roman" w:cs="Times New Roman"/>
          <w:sz w:val="24"/>
          <w:szCs w:val="24"/>
        </w:rPr>
        <w:t xml:space="preserve"> the</w:t>
      </w:r>
      <w:r w:rsidR="00432C6D" w:rsidRPr="004045AD">
        <w:rPr>
          <w:rFonts w:ascii="Times New Roman" w:eastAsia="Calibri" w:hAnsi="Times New Roman" w:cs="Times New Roman"/>
          <w:sz w:val="24"/>
          <w:szCs w:val="24"/>
        </w:rPr>
        <w:t xml:space="preserve"> public </w:t>
      </w:r>
      <w:r w:rsidR="002F0C55" w:rsidRPr="004045AD">
        <w:rPr>
          <w:rFonts w:ascii="Times New Roman" w:eastAsia="Calibri" w:hAnsi="Times New Roman" w:cs="Times New Roman"/>
          <w:sz w:val="24"/>
          <w:szCs w:val="24"/>
        </w:rPr>
        <w:t>interest</w:t>
      </w:r>
      <w:r w:rsidR="00B81DEB" w:rsidRPr="004045AD">
        <w:rPr>
          <w:rFonts w:ascii="Times New Roman" w:eastAsia="Calibri" w:hAnsi="Times New Roman" w:cs="Times New Roman"/>
          <w:sz w:val="24"/>
          <w:szCs w:val="24"/>
        </w:rPr>
        <w:t xml:space="preserve"> as the merging of Profeeds and </w:t>
      </w:r>
      <w:r w:rsidR="00F869A7" w:rsidRPr="004045AD">
        <w:rPr>
          <w:rFonts w:ascii="Times New Roman" w:eastAsia="Calibri" w:hAnsi="Times New Roman" w:cs="Times New Roman"/>
          <w:sz w:val="24"/>
          <w:szCs w:val="24"/>
        </w:rPr>
        <w:t>Ashram</w:t>
      </w:r>
      <w:r w:rsidR="00596D18" w:rsidRPr="004045AD">
        <w:rPr>
          <w:rFonts w:ascii="Times New Roman" w:eastAsia="Calibri" w:hAnsi="Times New Roman" w:cs="Times New Roman"/>
          <w:sz w:val="24"/>
          <w:szCs w:val="24"/>
        </w:rPr>
        <w:t xml:space="preserve"> which is wholly owned by </w:t>
      </w:r>
      <w:r w:rsidR="00F869A7" w:rsidRPr="004045AD">
        <w:rPr>
          <w:rFonts w:ascii="Times New Roman" w:eastAsia="Calibri" w:hAnsi="Times New Roman" w:cs="Times New Roman"/>
          <w:sz w:val="24"/>
          <w:szCs w:val="24"/>
        </w:rPr>
        <w:t>Innscor</w:t>
      </w:r>
      <w:r w:rsidR="00B81DEB" w:rsidRPr="004045AD">
        <w:rPr>
          <w:rFonts w:ascii="Times New Roman" w:eastAsia="Calibri" w:hAnsi="Times New Roman" w:cs="Times New Roman"/>
          <w:sz w:val="24"/>
          <w:szCs w:val="24"/>
        </w:rPr>
        <w:t xml:space="preserve"> which ha</w:t>
      </w:r>
      <w:r w:rsidR="00F869A7" w:rsidRPr="004045AD">
        <w:rPr>
          <w:rFonts w:ascii="Times New Roman" w:eastAsia="Calibri" w:hAnsi="Times New Roman" w:cs="Times New Roman"/>
          <w:sz w:val="24"/>
          <w:szCs w:val="24"/>
        </w:rPr>
        <w:t>s</w:t>
      </w:r>
      <w:r w:rsidR="00B81DEB" w:rsidRPr="004045AD">
        <w:rPr>
          <w:rFonts w:ascii="Times New Roman" w:eastAsia="Calibri" w:hAnsi="Times New Roman" w:cs="Times New Roman"/>
          <w:sz w:val="24"/>
          <w:szCs w:val="24"/>
        </w:rPr>
        <w:t xml:space="preserve"> shares in National Foods and Irvines was likely to give Profeeds and National Foods monopoly in the </w:t>
      </w:r>
      <w:r w:rsidR="002F0C55" w:rsidRPr="004045AD">
        <w:rPr>
          <w:rFonts w:ascii="Times New Roman" w:eastAsia="Calibri" w:hAnsi="Times New Roman" w:cs="Times New Roman"/>
          <w:sz w:val="24"/>
          <w:szCs w:val="24"/>
        </w:rPr>
        <w:t>s</w:t>
      </w:r>
      <w:r w:rsidR="00B81DEB" w:rsidRPr="004045AD">
        <w:rPr>
          <w:rFonts w:ascii="Times New Roman" w:eastAsia="Calibri" w:hAnsi="Times New Roman" w:cs="Times New Roman"/>
          <w:sz w:val="24"/>
          <w:szCs w:val="24"/>
        </w:rPr>
        <w:t xml:space="preserve">tock </w:t>
      </w:r>
      <w:r w:rsidR="002F0C55" w:rsidRPr="004045AD">
        <w:rPr>
          <w:rFonts w:ascii="Times New Roman" w:eastAsia="Calibri" w:hAnsi="Times New Roman" w:cs="Times New Roman"/>
          <w:sz w:val="24"/>
          <w:szCs w:val="24"/>
        </w:rPr>
        <w:t>feeds i</w:t>
      </w:r>
      <w:r w:rsidR="00B81DEB" w:rsidRPr="004045AD">
        <w:rPr>
          <w:rFonts w:ascii="Times New Roman" w:eastAsia="Calibri" w:hAnsi="Times New Roman" w:cs="Times New Roman"/>
          <w:sz w:val="24"/>
          <w:szCs w:val="24"/>
        </w:rPr>
        <w:t>ndustry</w:t>
      </w:r>
      <w:r w:rsidR="00432C6D" w:rsidRPr="004045AD">
        <w:rPr>
          <w:rFonts w:ascii="Times New Roman" w:eastAsia="Calibri" w:hAnsi="Times New Roman" w:cs="Times New Roman"/>
          <w:sz w:val="24"/>
          <w:szCs w:val="24"/>
        </w:rPr>
        <w:t xml:space="preserve">. </w:t>
      </w:r>
    </w:p>
    <w:p w:rsidR="00596D18" w:rsidRPr="004045AD" w:rsidRDefault="00596D18" w:rsidP="00596D18">
      <w:pPr>
        <w:spacing w:after="0" w:line="240" w:lineRule="auto"/>
        <w:ind w:left="567" w:hanging="567"/>
        <w:jc w:val="both"/>
        <w:rPr>
          <w:rFonts w:ascii="Times New Roman" w:eastAsia="Calibri" w:hAnsi="Times New Roman" w:cs="Times New Roman"/>
          <w:sz w:val="24"/>
          <w:szCs w:val="24"/>
        </w:rPr>
      </w:pPr>
    </w:p>
    <w:p w:rsidR="00B81DEB" w:rsidRPr="004045AD" w:rsidRDefault="00596D18" w:rsidP="00596D18">
      <w:pPr>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[5</w:t>
      </w:r>
      <w:r w:rsidR="00FC1332"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  </w:t>
      </w:r>
      <w:r w:rsidR="00FC1332" w:rsidRPr="004045AD">
        <w:rPr>
          <w:rFonts w:ascii="Times New Roman" w:eastAsia="Calibri" w:hAnsi="Times New Roman" w:cs="Times New Roman"/>
          <w:sz w:val="24"/>
          <w:szCs w:val="24"/>
        </w:rPr>
        <w:t>Subsequent to the appellant’s refusa</w:t>
      </w:r>
      <w:r w:rsidR="00831AA2" w:rsidRPr="004045AD">
        <w:rPr>
          <w:rFonts w:ascii="Times New Roman" w:eastAsia="Calibri" w:hAnsi="Times New Roman" w:cs="Times New Roman"/>
          <w:sz w:val="24"/>
          <w:szCs w:val="24"/>
        </w:rPr>
        <w:t>l</w:t>
      </w:r>
      <w:r w:rsidR="00FC1332" w:rsidRPr="004045AD">
        <w:rPr>
          <w:rFonts w:ascii="Times New Roman" w:eastAsia="Calibri" w:hAnsi="Times New Roman" w:cs="Times New Roman"/>
          <w:sz w:val="24"/>
          <w:szCs w:val="24"/>
        </w:rPr>
        <w:t xml:space="preserve"> to grant the</w:t>
      </w:r>
      <w:r w:rsidR="00831AA2" w:rsidRPr="004045AD">
        <w:rPr>
          <w:rFonts w:ascii="Times New Roman" w:eastAsia="Calibri" w:hAnsi="Times New Roman" w:cs="Times New Roman"/>
          <w:sz w:val="24"/>
          <w:szCs w:val="24"/>
        </w:rPr>
        <w:t xml:space="preserve"> merger the respondents</w:t>
      </w:r>
      <w:r w:rsidR="008B06B0" w:rsidRPr="004045AD">
        <w:rPr>
          <w:rFonts w:ascii="Times New Roman" w:eastAsia="Calibri" w:hAnsi="Times New Roman" w:cs="Times New Roman"/>
          <w:sz w:val="24"/>
          <w:szCs w:val="24"/>
        </w:rPr>
        <w:t xml:space="preserve"> agreed to form</w:t>
      </w:r>
      <w:r w:rsidR="00831AA2" w:rsidRPr="004045AD">
        <w:rPr>
          <w:rFonts w:ascii="Times New Roman" w:eastAsia="Calibri" w:hAnsi="Times New Roman" w:cs="Times New Roman"/>
          <w:sz w:val="24"/>
          <w:szCs w:val="24"/>
        </w:rPr>
        <w:t xml:space="preserve"> another merger in which the </w:t>
      </w:r>
      <w:r w:rsidRPr="004045AD">
        <w:rPr>
          <w:rFonts w:ascii="Times New Roman" w:eastAsia="Calibri" w:hAnsi="Times New Roman" w:cs="Times New Roman"/>
          <w:sz w:val="24"/>
          <w:szCs w:val="24"/>
        </w:rPr>
        <w:t>first</w:t>
      </w:r>
      <w:r w:rsidR="00831AA2" w:rsidRPr="004045AD">
        <w:rPr>
          <w:rFonts w:ascii="Times New Roman" w:eastAsia="Calibri" w:hAnsi="Times New Roman" w:cs="Times New Roman"/>
          <w:sz w:val="24"/>
          <w:szCs w:val="24"/>
        </w:rPr>
        <w:t xml:space="preserve"> respondent had a 49% shareholding in both </w:t>
      </w:r>
      <w:r w:rsidR="00BF680C" w:rsidRPr="004045AD">
        <w:rPr>
          <w:rFonts w:ascii="Times New Roman" w:eastAsia="Calibri" w:hAnsi="Times New Roman" w:cs="Times New Roman"/>
          <w:sz w:val="24"/>
          <w:szCs w:val="24"/>
        </w:rPr>
        <w:t>Profeeds</w:t>
      </w:r>
      <w:r w:rsidRPr="004045AD">
        <w:rPr>
          <w:rFonts w:ascii="Times New Roman" w:eastAsia="Calibri" w:hAnsi="Times New Roman" w:cs="Times New Roman"/>
          <w:sz w:val="24"/>
          <w:szCs w:val="24"/>
        </w:rPr>
        <w:t xml:space="preserve"> </w:t>
      </w:r>
      <w:r w:rsidR="00831AA2" w:rsidRPr="004045AD">
        <w:rPr>
          <w:rFonts w:ascii="Times New Roman" w:eastAsia="Calibri" w:hAnsi="Times New Roman" w:cs="Times New Roman"/>
          <w:sz w:val="24"/>
          <w:szCs w:val="24"/>
        </w:rPr>
        <w:t xml:space="preserve">and </w:t>
      </w:r>
      <w:r w:rsidR="00BF680C" w:rsidRPr="004045AD">
        <w:rPr>
          <w:rFonts w:ascii="Times New Roman" w:eastAsia="Calibri" w:hAnsi="Times New Roman" w:cs="Times New Roman"/>
          <w:sz w:val="24"/>
          <w:szCs w:val="24"/>
        </w:rPr>
        <w:t>Produtrade</w:t>
      </w:r>
      <w:r w:rsidR="00831AA2"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 </w:t>
      </w:r>
      <w:r w:rsidR="00831AA2" w:rsidRPr="004045AD">
        <w:rPr>
          <w:rFonts w:ascii="Times New Roman" w:eastAsia="Calibri" w:hAnsi="Times New Roman" w:cs="Times New Roman"/>
          <w:sz w:val="24"/>
          <w:szCs w:val="24"/>
        </w:rPr>
        <w:t>Th</w:t>
      </w:r>
      <w:r w:rsidR="00865320" w:rsidRPr="004045AD">
        <w:rPr>
          <w:rFonts w:ascii="Times New Roman" w:eastAsia="Calibri" w:hAnsi="Times New Roman" w:cs="Times New Roman"/>
          <w:sz w:val="24"/>
          <w:szCs w:val="24"/>
        </w:rPr>
        <w:t>is is the merger the respondent</w:t>
      </w:r>
      <w:r w:rsidR="00831AA2" w:rsidRPr="004045AD">
        <w:rPr>
          <w:rFonts w:ascii="Times New Roman" w:eastAsia="Calibri" w:hAnsi="Times New Roman" w:cs="Times New Roman"/>
          <w:sz w:val="24"/>
          <w:szCs w:val="24"/>
        </w:rPr>
        <w:t xml:space="preserve">s did </w:t>
      </w:r>
      <w:r w:rsidR="00B81DEB" w:rsidRPr="004045AD">
        <w:rPr>
          <w:rFonts w:ascii="Times New Roman" w:eastAsia="Calibri" w:hAnsi="Times New Roman" w:cs="Times New Roman"/>
          <w:sz w:val="24"/>
          <w:szCs w:val="24"/>
        </w:rPr>
        <w:t xml:space="preserve">not </w:t>
      </w:r>
      <w:r w:rsidR="00831AA2" w:rsidRPr="004045AD">
        <w:rPr>
          <w:rFonts w:ascii="Times New Roman" w:eastAsia="Calibri" w:hAnsi="Times New Roman" w:cs="Times New Roman"/>
          <w:sz w:val="24"/>
          <w:szCs w:val="24"/>
        </w:rPr>
        <w:t>notify the appellant</w:t>
      </w:r>
      <w:r w:rsidR="0069480A" w:rsidRPr="004045AD">
        <w:rPr>
          <w:rFonts w:ascii="Times New Roman" w:eastAsia="Calibri" w:hAnsi="Times New Roman" w:cs="Times New Roman"/>
          <w:sz w:val="24"/>
          <w:szCs w:val="24"/>
        </w:rPr>
        <w:t xml:space="preserve"> about</w:t>
      </w:r>
      <w:r w:rsidR="00831AA2" w:rsidRPr="004045AD">
        <w:rPr>
          <w:rFonts w:ascii="Times New Roman" w:eastAsia="Calibri" w:hAnsi="Times New Roman" w:cs="Times New Roman"/>
          <w:sz w:val="24"/>
          <w:szCs w:val="24"/>
        </w:rPr>
        <w:t xml:space="preserve"> until it was advised to do so by their new legal practitioners. </w:t>
      </w:r>
      <w:r w:rsidRPr="004045AD">
        <w:rPr>
          <w:rFonts w:ascii="Times New Roman" w:eastAsia="Calibri" w:hAnsi="Times New Roman" w:cs="Times New Roman"/>
          <w:sz w:val="24"/>
          <w:szCs w:val="24"/>
        </w:rPr>
        <w:t xml:space="preserve"> </w:t>
      </w:r>
      <w:r w:rsidR="00831AA2" w:rsidRPr="004045AD">
        <w:rPr>
          <w:rFonts w:ascii="Times New Roman" w:eastAsia="Calibri" w:hAnsi="Times New Roman" w:cs="Times New Roman"/>
          <w:sz w:val="24"/>
          <w:szCs w:val="24"/>
        </w:rPr>
        <w:t>The advice was given</w:t>
      </w:r>
      <w:r w:rsidR="009D4187" w:rsidRPr="004045AD">
        <w:rPr>
          <w:rFonts w:ascii="Times New Roman" w:eastAsia="Calibri" w:hAnsi="Times New Roman" w:cs="Times New Roman"/>
          <w:sz w:val="24"/>
          <w:szCs w:val="24"/>
        </w:rPr>
        <w:t xml:space="preserve"> after the engagement </w:t>
      </w:r>
      <w:r w:rsidR="009D4187" w:rsidRPr="004045AD">
        <w:rPr>
          <w:rFonts w:ascii="Times New Roman" w:eastAsia="Calibri" w:hAnsi="Times New Roman" w:cs="Times New Roman"/>
          <w:sz w:val="24"/>
          <w:szCs w:val="24"/>
        </w:rPr>
        <w:lastRenderedPageBreak/>
        <w:t>of the new legal practitioner</w:t>
      </w:r>
      <w:r w:rsidR="00831AA2" w:rsidRPr="004045AD">
        <w:rPr>
          <w:rFonts w:ascii="Times New Roman" w:eastAsia="Calibri" w:hAnsi="Times New Roman" w:cs="Times New Roman"/>
          <w:sz w:val="24"/>
          <w:szCs w:val="24"/>
        </w:rPr>
        <w:t xml:space="preserve"> in</w:t>
      </w:r>
      <w:r w:rsidR="009D4187" w:rsidRPr="004045AD">
        <w:rPr>
          <w:rFonts w:ascii="Times New Roman" w:eastAsia="Calibri" w:hAnsi="Times New Roman" w:cs="Times New Roman"/>
          <w:sz w:val="24"/>
          <w:szCs w:val="24"/>
        </w:rPr>
        <w:t xml:space="preserve"> December</w:t>
      </w:r>
      <w:r w:rsidR="00831AA2" w:rsidRPr="004045AD">
        <w:rPr>
          <w:rFonts w:ascii="Times New Roman" w:eastAsia="Calibri" w:hAnsi="Times New Roman" w:cs="Times New Roman"/>
          <w:sz w:val="24"/>
          <w:szCs w:val="24"/>
        </w:rPr>
        <w:t xml:space="preserve"> 2017</w:t>
      </w:r>
      <w:r w:rsidR="009D4187" w:rsidRPr="004045AD">
        <w:rPr>
          <w:rFonts w:ascii="Times New Roman" w:eastAsia="Calibri" w:hAnsi="Times New Roman" w:cs="Times New Roman"/>
          <w:sz w:val="24"/>
          <w:szCs w:val="24"/>
        </w:rPr>
        <w:t>,</w:t>
      </w:r>
      <w:r w:rsidR="00831AA2" w:rsidRPr="004045AD">
        <w:rPr>
          <w:rFonts w:ascii="Times New Roman" w:eastAsia="Calibri" w:hAnsi="Times New Roman" w:cs="Times New Roman"/>
          <w:sz w:val="24"/>
          <w:szCs w:val="24"/>
        </w:rPr>
        <w:t xml:space="preserve"> but the respondents only notified the appellant of the merger in February 2019.</w:t>
      </w:r>
      <w:r w:rsidR="00FC1332" w:rsidRPr="004045AD">
        <w:rPr>
          <w:rFonts w:ascii="Times New Roman" w:eastAsia="Calibri" w:hAnsi="Times New Roman" w:cs="Times New Roman"/>
          <w:sz w:val="24"/>
          <w:szCs w:val="24"/>
        </w:rPr>
        <w:t xml:space="preserve"> </w:t>
      </w:r>
    </w:p>
    <w:p w:rsidR="00891BFA" w:rsidRPr="004045AD" w:rsidRDefault="00891BFA" w:rsidP="00891BFA">
      <w:pPr>
        <w:spacing w:after="0" w:line="240" w:lineRule="auto"/>
        <w:ind w:left="567" w:hanging="567"/>
        <w:jc w:val="both"/>
        <w:rPr>
          <w:rFonts w:ascii="Times New Roman" w:eastAsia="Calibri" w:hAnsi="Times New Roman" w:cs="Times New Roman"/>
          <w:sz w:val="24"/>
          <w:szCs w:val="24"/>
        </w:rPr>
      </w:pPr>
    </w:p>
    <w:p w:rsidR="00916277" w:rsidRPr="004045AD" w:rsidRDefault="00596D18" w:rsidP="00F51AA2">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[6</w:t>
      </w:r>
      <w:r w:rsidR="008B06B0"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   </w:t>
      </w:r>
      <w:r w:rsidR="008B06B0" w:rsidRPr="004045AD">
        <w:rPr>
          <w:rFonts w:ascii="Times New Roman" w:eastAsia="Calibri" w:hAnsi="Times New Roman" w:cs="Times New Roman"/>
          <w:sz w:val="24"/>
          <w:szCs w:val="24"/>
        </w:rPr>
        <w:t>After further communication and submission of further documents the appellant in terms of s</w:t>
      </w:r>
      <w:r w:rsidR="00E77785" w:rsidRPr="004045AD">
        <w:rPr>
          <w:rFonts w:ascii="Times New Roman" w:eastAsia="Calibri" w:hAnsi="Times New Roman" w:cs="Times New Roman"/>
          <w:sz w:val="24"/>
          <w:szCs w:val="24"/>
        </w:rPr>
        <w:t xml:space="preserve"> 31 (5) of the </w:t>
      </w:r>
      <w:r w:rsidR="00957D31" w:rsidRPr="004045AD">
        <w:rPr>
          <w:rFonts w:ascii="Times New Roman" w:eastAsia="Calibri" w:hAnsi="Times New Roman" w:cs="Times New Roman"/>
          <w:sz w:val="24"/>
          <w:szCs w:val="24"/>
        </w:rPr>
        <w:t>Act, advised</w:t>
      </w:r>
      <w:r w:rsidR="008B06B0" w:rsidRPr="004045AD">
        <w:rPr>
          <w:rFonts w:ascii="Times New Roman" w:eastAsia="Calibri" w:hAnsi="Times New Roman" w:cs="Times New Roman"/>
          <w:sz w:val="24"/>
          <w:szCs w:val="24"/>
        </w:rPr>
        <w:t xml:space="preserve"> the respondents that it intended to prohibit the merger and order </w:t>
      </w:r>
      <w:r w:rsidR="0033723C" w:rsidRPr="004045AD">
        <w:rPr>
          <w:rFonts w:ascii="Times New Roman" w:eastAsia="Calibri" w:hAnsi="Times New Roman" w:cs="Times New Roman"/>
          <w:sz w:val="24"/>
          <w:szCs w:val="24"/>
        </w:rPr>
        <w:t xml:space="preserve">Ashram </w:t>
      </w:r>
      <w:r w:rsidR="008B06B0" w:rsidRPr="004045AD">
        <w:rPr>
          <w:rFonts w:ascii="Times New Roman" w:eastAsia="Calibri" w:hAnsi="Times New Roman" w:cs="Times New Roman"/>
          <w:sz w:val="24"/>
          <w:szCs w:val="24"/>
        </w:rPr>
        <w:t>to</w:t>
      </w:r>
      <w:r w:rsidR="00916277" w:rsidRPr="004045AD">
        <w:rPr>
          <w:rFonts w:ascii="Times New Roman" w:eastAsia="Calibri" w:hAnsi="Times New Roman" w:cs="Times New Roman"/>
          <w:sz w:val="24"/>
          <w:szCs w:val="24"/>
        </w:rPr>
        <w:t xml:space="preserve"> divest from </w:t>
      </w:r>
      <w:r w:rsidR="0033723C" w:rsidRPr="004045AD">
        <w:rPr>
          <w:rFonts w:ascii="Times New Roman" w:eastAsia="Calibri" w:hAnsi="Times New Roman" w:cs="Times New Roman"/>
          <w:sz w:val="24"/>
          <w:szCs w:val="24"/>
        </w:rPr>
        <w:t>Profeeds</w:t>
      </w:r>
      <w:r w:rsidR="00916277"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 </w:t>
      </w:r>
      <w:r w:rsidR="00916277" w:rsidRPr="004045AD">
        <w:rPr>
          <w:rFonts w:ascii="Times New Roman" w:eastAsia="Calibri" w:hAnsi="Times New Roman" w:cs="Times New Roman"/>
          <w:sz w:val="24"/>
          <w:szCs w:val="24"/>
        </w:rPr>
        <w:t>It also advised the respondents that it intended to impose a penalty of ZWL $ 40</w:t>
      </w:r>
      <w:r w:rsidR="0033723C" w:rsidRPr="004045AD">
        <w:rPr>
          <w:rFonts w:ascii="Times New Roman" w:eastAsia="Calibri" w:hAnsi="Times New Roman" w:cs="Times New Roman"/>
          <w:sz w:val="24"/>
          <w:szCs w:val="24"/>
        </w:rPr>
        <w:t xml:space="preserve"> </w:t>
      </w:r>
      <w:r w:rsidR="00916277" w:rsidRPr="004045AD">
        <w:rPr>
          <w:rFonts w:ascii="Times New Roman" w:eastAsia="Calibri" w:hAnsi="Times New Roman" w:cs="Times New Roman"/>
          <w:sz w:val="24"/>
          <w:szCs w:val="24"/>
        </w:rPr>
        <w:t>591</w:t>
      </w:r>
      <w:r w:rsidR="0033723C" w:rsidRPr="004045AD">
        <w:rPr>
          <w:rFonts w:ascii="Times New Roman" w:eastAsia="Calibri" w:hAnsi="Times New Roman" w:cs="Times New Roman"/>
          <w:sz w:val="24"/>
          <w:szCs w:val="24"/>
        </w:rPr>
        <w:t xml:space="preserve"> </w:t>
      </w:r>
      <w:r w:rsidR="00916277" w:rsidRPr="004045AD">
        <w:rPr>
          <w:rFonts w:ascii="Times New Roman" w:eastAsia="Calibri" w:hAnsi="Times New Roman" w:cs="Times New Roman"/>
          <w:sz w:val="24"/>
          <w:szCs w:val="24"/>
        </w:rPr>
        <w:t>483</w:t>
      </w:r>
      <w:r w:rsidR="0033723C" w:rsidRPr="004045AD">
        <w:rPr>
          <w:rFonts w:ascii="Times New Roman" w:eastAsia="Calibri" w:hAnsi="Times New Roman" w:cs="Times New Roman"/>
          <w:sz w:val="24"/>
          <w:szCs w:val="24"/>
        </w:rPr>
        <w:t>-</w:t>
      </w:r>
      <w:r w:rsidR="00916277" w:rsidRPr="004045AD">
        <w:rPr>
          <w:rFonts w:ascii="Times New Roman" w:eastAsia="Calibri" w:hAnsi="Times New Roman" w:cs="Times New Roman"/>
          <w:sz w:val="24"/>
          <w:szCs w:val="24"/>
        </w:rPr>
        <w:t>40</w:t>
      </w:r>
      <w:r w:rsidR="00E77785" w:rsidRPr="004045AD">
        <w:rPr>
          <w:rFonts w:ascii="Times New Roman" w:eastAsia="Calibri" w:hAnsi="Times New Roman" w:cs="Times New Roman"/>
          <w:sz w:val="24"/>
          <w:szCs w:val="24"/>
        </w:rPr>
        <w:t xml:space="preserve"> on </w:t>
      </w:r>
      <w:r w:rsidR="0033723C" w:rsidRPr="004045AD">
        <w:rPr>
          <w:rFonts w:ascii="Times New Roman" w:eastAsia="Calibri" w:hAnsi="Times New Roman" w:cs="Times New Roman"/>
          <w:sz w:val="24"/>
          <w:szCs w:val="24"/>
        </w:rPr>
        <w:t>Innscor</w:t>
      </w:r>
      <w:r w:rsidR="00E77785" w:rsidRPr="004045AD">
        <w:rPr>
          <w:rFonts w:ascii="Times New Roman" w:eastAsia="Calibri" w:hAnsi="Times New Roman" w:cs="Times New Roman"/>
          <w:sz w:val="24"/>
          <w:szCs w:val="24"/>
        </w:rPr>
        <w:t xml:space="preserve"> through whose annual returns </w:t>
      </w:r>
      <w:r w:rsidR="0033723C" w:rsidRPr="004045AD">
        <w:rPr>
          <w:rFonts w:ascii="Times New Roman" w:eastAsia="Calibri" w:hAnsi="Times New Roman" w:cs="Times New Roman"/>
          <w:sz w:val="24"/>
          <w:szCs w:val="24"/>
        </w:rPr>
        <w:t>Profeed’s</w:t>
      </w:r>
      <w:r w:rsidR="00FC404A">
        <w:rPr>
          <w:rFonts w:ascii="Times New Roman" w:eastAsia="Calibri" w:hAnsi="Times New Roman" w:cs="Times New Roman"/>
          <w:sz w:val="24"/>
          <w:szCs w:val="24"/>
        </w:rPr>
        <w:t xml:space="preserve"> </w:t>
      </w:r>
      <w:r w:rsidR="00E77785" w:rsidRPr="004045AD">
        <w:rPr>
          <w:rFonts w:ascii="Times New Roman" w:eastAsia="Calibri" w:hAnsi="Times New Roman" w:cs="Times New Roman"/>
          <w:sz w:val="24"/>
          <w:szCs w:val="24"/>
        </w:rPr>
        <w:t xml:space="preserve"> returns were being declared.</w:t>
      </w:r>
    </w:p>
    <w:p w:rsidR="004113B1" w:rsidRPr="004045AD" w:rsidRDefault="004113B1" w:rsidP="004113B1">
      <w:pPr>
        <w:tabs>
          <w:tab w:val="left" w:pos="567"/>
        </w:tabs>
        <w:spacing w:after="0" w:line="240" w:lineRule="auto"/>
        <w:ind w:left="567" w:hanging="567"/>
        <w:jc w:val="both"/>
        <w:rPr>
          <w:rFonts w:ascii="Times New Roman" w:eastAsia="Calibri" w:hAnsi="Times New Roman" w:cs="Times New Roman"/>
          <w:sz w:val="24"/>
          <w:szCs w:val="24"/>
        </w:rPr>
      </w:pPr>
    </w:p>
    <w:p w:rsidR="008B06B0" w:rsidRPr="004045AD" w:rsidRDefault="004113B1" w:rsidP="00F51AA2">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[7</w:t>
      </w:r>
      <w:r w:rsidR="00916277" w:rsidRPr="004045AD">
        <w:rPr>
          <w:rFonts w:ascii="Times New Roman" w:eastAsia="Calibri" w:hAnsi="Times New Roman" w:cs="Times New Roman"/>
          <w:sz w:val="24"/>
          <w:szCs w:val="24"/>
        </w:rPr>
        <w:t xml:space="preserve">] </w:t>
      </w:r>
      <w:r w:rsidR="005320F7" w:rsidRPr="004045AD">
        <w:rPr>
          <w:rFonts w:ascii="Times New Roman" w:eastAsia="Calibri" w:hAnsi="Times New Roman" w:cs="Times New Roman"/>
          <w:sz w:val="24"/>
          <w:szCs w:val="24"/>
        </w:rPr>
        <w:t xml:space="preserve">  </w:t>
      </w:r>
      <w:r w:rsidR="00916277" w:rsidRPr="004045AD">
        <w:rPr>
          <w:rFonts w:ascii="Times New Roman" w:eastAsia="Calibri" w:hAnsi="Times New Roman" w:cs="Times New Roman"/>
          <w:sz w:val="24"/>
          <w:szCs w:val="24"/>
        </w:rPr>
        <w:t>The respondents</w:t>
      </w:r>
      <w:r w:rsidR="00B1405A" w:rsidRPr="004045AD">
        <w:rPr>
          <w:rFonts w:ascii="Times New Roman" w:eastAsia="Calibri" w:hAnsi="Times New Roman" w:cs="Times New Roman"/>
          <w:sz w:val="24"/>
          <w:szCs w:val="24"/>
        </w:rPr>
        <w:t xml:space="preserve"> through their lawyers,</w:t>
      </w:r>
      <w:r w:rsidR="00916277" w:rsidRPr="004045AD">
        <w:rPr>
          <w:rFonts w:ascii="Times New Roman" w:eastAsia="Calibri" w:hAnsi="Times New Roman" w:cs="Times New Roman"/>
          <w:sz w:val="24"/>
          <w:szCs w:val="24"/>
        </w:rPr>
        <w:t xml:space="preserve"> made detailed submissions</w:t>
      </w:r>
      <w:r w:rsidR="00A107F2" w:rsidRPr="004045AD">
        <w:rPr>
          <w:rFonts w:ascii="Times New Roman" w:eastAsia="Calibri" w:hAnsi="Times New Roman" w:cs="Times New Roman"/>
          <w:sz w:val="24"/>
          <w:szCs w:val="24"/>
        </w:rPr>
        <w:t xml:space="preserve"> against the proposed decision</w:t>
      </w:r>
      <w:r w:rsidR="00916277" w:rsidRPr="004045AD">
        <w:rPr>
          <w:rFonts w:ascii="Times New Roman" w:eastAsia="Calibri" w:hAnsi="Times New Roman" w:cs="Times New Roman"/>
          <w:sz w:val="24"/>
          <w:szCs w:val="24"/>
        </w:rPr>
        <w:t xml:space="preserve"> </w:t>
      </w:r>
      <w:r w:rsidR="00166A27" w:rsidRPr="004045AD">
        <w:rPr>
          <w:rFonts w:ascii="Times New Roman" w:eastAsia="Calibri" w:hAnsi="Times New Roman" w:cs="Times New Roman"/>
          <w:sz w:val="24"/>
          <w:szCs w:val="24"/>
        </w:rPr>
        <w:t>to the appellant</w:t>
      </w:r>
      <w:r w:rsidRPr="004045AD">
        <w:rPr>
          <w:rFonts w:ascii="Times New Roman" w:eastAsia="Calibri" w:hAnsi="Times New Roman" w:cs="Times New Roman"/>
          <w:sz w:val="24"/>
          <w:szCs w:val="24"/>
        </w:rPr>
        <w:t>.</w:t>
      </w:r>
      <w:r w:rsidR="008B06B0" w:rsidRPr="004045AD">
        <w:rPr>
          <w:rFonts w:ascii="Times New Roman" w:eastAsia="Calibri" w:hAnsi="Times New Roman" w:cs="Times New Roman"/>
          <w:sz w:val="24"/>
          <w:szCs w:val="24"/>
        </w:rPr>
        <w:t xml:space="preserve"> </w:t>
      </w:r>
    </w:p>
    <w:p w:rsidR="004113B1" w:rsidRPr="004045AD" w:rsidRDefault="004113B1" w:rsidP="004113B1">
      <w:pPr>
        <w:tabs>
          <w:tab w:val="left" w:pos="567"/>
        </w:tabs>
        <w:spacing w:after="0" w:line="240" w:lineRule="auto"/>
        <w:ind w:left="142" w:hanging="142"/>
        <w:jc w:val="both"/>
        <w:rPr>
          <w:rFonts w:ascii="Times New Roman" w:eastAsia="Calibri" w:hAnsi="Times New Roman" w:cs="Times New Roman"/>
          <w:sz w:val="24"/>
          <w:szCs w:val="24"/>
        </w:rPr>
      </w:pPr>
    </w:p>
    <w:p w:rsidR="00432C6D" w:rsidRPr="004045AD" w:rsidRDefault="00BB6A32" w:rsidP="00651407">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4113B1" w:rsidRPr="004045AD">
        <w:rPr>
          <w:rFonts w:ascii="Times New Roman" w:eastAsia="Calibri" w:hAnsi="Times New Roman" w:cs="Times New Roman"/>
          <w:sz w:val="24"/>
          <w:szCs w:val="24"/>
        </w:rPr>
        <w:t>8</w:t>
      </w:r>
      <w:r w:rsidRPr="004045AD">
        <w:rPr>
          <w:rFonts w:ascii="Times New Roman" w:eastAsia="Calibri" w:hAnsi="Times New Roman" w:cs="Times New Roman"/>
          <w:sz w:val="24"/>
          <w:szCs w:val="24"/>
        </w:rPr>
        <w:t xml:space="preserve">] </w:t>
      </w:r>
      <w:r w:rsidR="004113B1"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On considering the belated notification</w:t>
      </w:r>
      <w:r w:rsidR="00916277" w:rsidRPr="004045AD">
        <w:rPr>
          <w:rFonts w:ascii="Times New Roman" w:eastAsia="Calibri" w:hAnsi="Times New Roman" w:cs="Times New Roman"/>
          <w:sz w:val="24"/>
          <w:szCs w:val="24"/>
        </w:rPr>
        <w:t xml:space="preserve"> together with the respondent’s submissions,</w:t>
      </w:r>
      <w:r w:rsidRPr="004045AD">
        <w:rPr>
          <w:rFonts w:ascii="Times New Roman" w:eastAsia="Calibri" w:hAnsi="Times New Roman" w:cs="Times New Roman"/>
          <w:sz w:val="24"/>
          <w:szCs w:val="24"/>
        </w:rPr>
        <w:t xml:space="preserve"> the appellant held that the merger was not in the public interest and was likely to create a monopoly by the respondents in the stock feeds industry. </w:t>
      </w:r>
      <w:r w:rsidR="004113B1"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It </w:t>
      </w:r>
      <w:r w:rsidR="00C5172B" w:rsidRPr="004045AD">
        <w:rPr>
          <w:rFonts w:ascii="Times New Roman" w:eastAsia="Calibri" w:hAnsi="Times New Roman" w:cs="Times New Roman"/>
          <w:sz w:val="24"/>
          <w:szCs w:val="24"/>
        </w:rPr>
        <w:t>prohibited</w:t>
      </w:r>
      <w:r w:rsidRPr="004045AD">
        <w:rPr>
          <w:rFonts w:ascii="Times New Roman" w:eastAsia="Calibri" w:hAnsi="Times New Roman" w:cs="Times New Roman"/>
          <w:sz w:val="24"/>
          <w:szCs w:val="24"/>
        </w:rPr>
        <w:t xml:space="preserve"> the merger and </w:t>
      </w:r>
      <w:r w:rsidR="00432C6D" w:rsidRPr="004045AD">
        <w:rPr>
          <w:rFonts w:ascii="Times New Roman" w:eastAsia="Calibri" w:hAnsi="Times New Roman" w:cs="Times New Roman"/>
          <w:sz w:val="24"/>
          <w:szCs w:val="24"/>
        </w:rPr>
        <w:t xml:space="preserve">ordered </w:t>
      </w:r>
      <w:r w:rsidR="005F4801" w:rsidRPr="004045AD">
        <w:rPr>
          <w:rFonts w:ascii="Times New Roman" w:eastAsia="Calibri" w:hAnsi="Times New Roman" w:cs="Times New Roman"/>
          <w:sz w:val="24"/>
          <w:szCs w:val="24"/>
        </w:rPr>
        <w:t>Ashram</w:t>
      </w:r>
      <w:r w:rsidR="00432C6D" w:rsidRPr="004045AD">
        <w:rPr>
          <w:rFonts w:ascii="Times New Roman" w:eastAsia="Calibri" w:hAnsi="Times New Roman" w:cs="Times New Roman"/>
          <w:sz w:val="24"/>
          <w:szCs w:val="24"/>
        </w:rPr>
        <w:t xml:space="preserve"> to divest its interest in </w:t>
      </w:r>
      <w:r w:rsidR="005F4801" w:rsidRPr="004045AD">
        <w:rPr>
          <w:rFonts w:ascii="Times New Roman" w:eastAsia="Calibri" w:hAnsi="Times New Roman" w:cs="Times New Roman"/>
          <w:sz w:val="24"/>
          <w:szCs w:val="24"/>
        </w:rPr>
        <w:t>Profeeds</w:t>
      </w:r>
      <w:r w:rsidR="00432C6D" w:rsidRPr="004045AD">
        <w:rPr>
          <w:rFonts w:ascii="Times New Roman" w:eastAsia="Calibri" w:hAnsi="Times New Roman" w:cs="Times New Roman"/>
          <w:sz w:val="24"/>
          <w:szCs w:val="24"/>
        </w:rPr>
        <w:t xml:space="preserve"> and imposed a monetary penalty in the sum of ZWL$40</w:t>
      </w:r>
      <w:r w:rsidR="008C4367"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591</w:t>
      </w:r>
      <w:r w:rsidR="008C4367"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483</w:t>
      </w:r>
      <w:r w:rsidR="008C4367" w:rsidRPr="004045AD">
        <w:rPr>
          <w:rFonts w:ascii="Times New Roman" w:eastAsia="Calibri" w:hAnsi="Times New Roman" w:cs="Times New Roman"/>
          <w:sz w:val="24"/>
          <w:szCs w:val="24"/>
        </w:rPr>
        <w:t>-</w:t>
      </w:r>
      <w:r w:rsidR="00432C6D" w:rsidRPr="004045AD">
        <w:rPr>
          <w:rFonts w:ascii="Times New Roman" w:eastAsia="Calibri" w:hAnsi="Times New Roman" w:cs="Times New Roman"/>
          <w:sz w:val="24"/>
          <w:szCs w:val="24"/>
        </w:rPr>
        <w:t xml:space="preserve">40 on </w:t>
      </w:r>
      <w:r w:rsidR="008C4367" w:rsidRPr="004045AD">
        <w:rPr>
          <w:rFonts w:ascii="Times New Roman" w:eastAsia="Calibri" w:hAnsi="Times New Roman" w:cs="Times New Roman"/>
          <w:sz w:val="24"/>
          <w:szCs w:val="24"/>
        </w:rPr>
        <w:t>Innscor</w:t>
      </w:r>
      <w:r w:rsidR="00432C6D" w:rsidRPr="004045AD">
        <w:rPr>
          <w:rFonts w:ascii="Times New Roman" w:eastAsia="Calibri" w:hAnsi="Times New Roman" w:cs="Times New Roman"/>
          <w:sz w:val="24"/>
          <w:szCs w:val="24"/>
        </w:rPr>
        <w:t>.</w:t>
      </w:r>
    </w:p>
    <w:p w:rsidR="004113B1" w:rsidRPr="004045AD" w:rsidRDefault="004113B1" w:rsidP="004113B1">
      <w:pPr>
        <w:tabs>
          <w:tab w:val="left" w:pos="567"/>
        </w:tabs>
        <w:spacing w:after="0" w:line="240" w:lineRule="auto"/>
        <w:ind w:left="567" w:hanging="567"/>
        <w:jc w:val="both"/>
        <w:rPr>
          <w:rFonts w:ascii="Times New Roman" w:eastAsia="Calibri" w:hAnsi="Times New Roman" w:cs="Times New Roman"/>
          <w:sz w:val="24"/>
          <w:szCs w:val="24"/>
        </w:rPr>
      </w:pPr>
    </w:p>
    <w:p w:rsidR="00940076" w:rsidRPr="004045AD" w:rsidRDefault="00630FC9" w:rsidP="00E60DF5">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4113B1" w:rsidRPr="004045AD">
        <w:rPr>
          <w:rFonts w:ascii="Times New Roman" w:eastAsia="Calibri" w:hAnsi="Times New Roman" w:cs="Times New Roman"/>
          <w:sz w:val="24"/>
          <w:szCs w:val="24"/>
        </w:rPr>
        <w:t>9</w:t>
      </w:r>
      <w:r w:rsidR="00FD6853" w:rsidRPr="004045AD">
        <w:rPr>
          <w:rFonts w:ascii="Times New Roman" w:eastAsia="Calibri" w:hAnsi="Times New Roman" w:cs="Times New Roman"/>
          <w:sz w:val="24"/>
          <w:szCs w:val="24"/>
        </w:rPr>
        <w:t xml:space="preserve">] </w:t>
      </w:r>
      <w:r w:rsidR="00E60DF5" w:rsidRPr="004045AD">
        <w:rPr>
          <w:rFonts w:ascii="Times New Roman" w:eastAsia="Calibri" w:hAnsi="Times New Roman" w:cs="Times New Roman"/>
          <w:sz w:val="24"/>
          <w:szCs w:val="24"/>
        </w:rPr>
        <w:t xml:space="preserve">   </w:t>
      </w:r>
      <w:r w:rsidR="00FD6853" w:rsidRPr="004045AD">
        <w:rPr>
          <w:rFonts w:ascii="Times New Roman" w:eastAsia="Calibri" w:hAnsi="Times New Roman" w:cs="Times New Roman"/>
          <w:sz w:val="24"/>
          <w:szCs w:val="24"/>
        </w:rPr>
        <w:t>Aggrieved</w:t>
      </w:r>
      <w:r w:rsidR="00432C6D" w:rsidRPr="004045AD">
        <w:rPr>
          <w:rFonts w:ascii="Times New Roman" w:eastAsia="Calibri" w:hAnsi="Times New Roman" w:cs="Times New Roman"/>
          <w:sz w:val="24"/>
          <w:szCs w:val="24"/>
        </w:rPr>
        <w:t xml:space="preserve"> by the decision of the appellant, the respondents noted an appeal </w:t>
      </w:r>
      <w:r w:rsidR="008F465A" w:rsidRPr="004045AD">
        <w:rPr>
          <w:rFonts w:ascii="Times New Roman" w:eastAsia="Calibri" w:hAnsi="Times New Roman" w:cs="Times New Roman"/>
          <w:sz w:val="24"/>
          <w:szCs w:val="24"/>
        </w:rPr>
        <w:t>to</w:t>
      </w:r>
      <w:r w:rsidR="00FE1C78" w:rsidRPr="004045AD">
        <w:rPr>
          <w:rFonts w:ascii="Times New Roman" w:eastAsia="Calibri" w:hAnsi="Times New Roman" w:cs="Times New Roman"/>
          <w:sz w:val="24"/>
          <w:szCs w:val="24"/>
        </w:rPr>
        <w:t xml:space="preserve"> the </w:t>
      </w:r>
      <w:r w:rsidR="00F023BF" w:rsidRPr="004045AD">
        <w:rPr>
          <w:rFonts w:ascii="Times New Roman" w:eastAsia="Calibri" w:hAnsi="Times New Roman" w:cs="Times New Roman"/>
          <w:sz w:val="24"/>
          <w:szCs w:val="24"/>
        </w:rPr>
        <w:t xml:space="preserve">court </w:t>
      </w:r>
      <w:r w:rsidR="00E60DF5" w:rsidRPr="004045AD">
        <w:rPr>
          <w:rFonts w:ascii="Times New Roman" w:eastAsia="Calibri" w:hAnsi="Times New Roman" w:cs="Times New Roman"/>
          <w:sz w:val="24"/>
          <w:szCs w:val="24"/>
        </w:rPr>
        <w:t xml:space="preserve">                    </w:t>
      </w:r>
      <w:r w:rsidR="00F023BF" w:rsidRPr="004045AD">
        <w:rPr>
          <w:rFonts w:ascii="Times New Roman" w:eastAsia="Calibri" w:hAnsi="Times New Roman" w:cs="Times New Roman"/>
          <w:i/>
          <w:sz w:val="24"/>
          <w:szCs w:val="24"/>
        </w:rPr>
        <w:t>a quo</w:t>
      </w:r>
      <w:r w:rsidR="00432C6D" w:rsidRPr="004045AD">
        <w:rPr>
          <w:rFonts w:ascii="Times New Roman" w:eastAsia="Calibri" w:hAnsi="Times New Roman" w:cs="Times New Roman"/>
          <w:sz w:val="24"/>
          <w:szCs w:val="24"/>
        </w:rPr>
        <w:t>.</w:t>
      </w:r>
      <w:r w:rsidR="009D5317" w:rsidRPr="004045AD">
        <w:rPr>
          <w:rFonts w:ascii="Times New Roman" w:eastAsia="Calibri" w:hAnsi="Times New Roman" w:cs="Times New Roman"/>
          <w:sz w:val="24"/>
          <w:szCs w:val="24"/>
        </w:rPr>
        <w:t xml:space="preserve"> </w:t>
      </w:r>
      <w:r w:rsidR="004113B1"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The respondents averred that the appellant erred in finding that the transactions between them constituted a</w:t>
      </w:r>
      <w:r w:rsidR="003F3345" w:rsidRPr="004045AD">
        <w:rPr>
          <w:rFonts w:ascii="Times New Roman" w:eastAsia="Calibri" w:hAnsi="Times New Roman" w:cs="Times New Roman"/>
          <w:sz w:val="24"/>
          <w:szCs w:val="24"/>
        </w:rPr>
        <w:t xml:space="preserve"> notifiable</w:t>
      </w:r>
      <w:r w:rsidR="00432C6D" w:rsidRPr="004045AD">
        <w:rPr>
          <w:rFonts w:ascii="Times New Roman" w:eastAsia="Calibri" w:hAnsi="Times New Roman" w:cs="Times New Roman"/>
          <w:sz w:val="24"/>
          <w:szCs w:val="24"/>
        </w:rPr>
        <w:t xml:space="preserve"> merger as defined in terms of </w:t>
      </w:r>
      <w:r w:rsidR="008F4F0A" w:rsidRPr="004045AD">
        <w:rPr>
          <w:rFonts w:ascii="Times New Roman" w:eastAsia="Calibri" w:hAnsi="Times New Roman" w:cs="Times New Roman"/>
          <w:sz w:val="24"/>
          <w:szCs w:val="24"/>
        </w:rPr>
        <w:t>s</w:t>
      </w:r>
      <w:r w:rsidR="00432C6D" w:rsidRPr="004045AD">
        <w:rPr>
          <w:rFonts w:ascii="Times New Roman" w:eastAsia="Calibri" w:hAnsi="Times New Roman" w:cs="Times New Roman"/>
          <w:sz w:val="24"/>
          <w:szCs w:val="24"/>
        </w:rPr>
        <w:t xml:space="preserve"> 2 of the Act. </w:t>
      </w:r>
      <w:r w:rsidR="008F4F0A"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They argued that the appellant erred in finding that the transaction was contrary to</w:t>
      </w:r>
      <w:r w:rsidR="0096164C">
        <w:rPr>
          <w:rFonts w:ascii="Times New Roman" w:eastAsia="Calibri" w:hAnsi="Times New Roman" w:cs="Times New Roman"/>
          <w:sz w:val="24"/>
          <w:szCs w:val="24"/>
        </w:rPr>
        <w:t xml:space="preserve"> the</w:t>
      </w:r>
      <w:r w:rsidR="00432C6D" w:rsidRPr="004045AD">
        <w:rPr>
          <w:rFonts w:ascii="Times New Roman" w:eastAsia="Calibri" w:hAnsi="Times New Roman" w:cs="Times New Roman"/>
          <w:sz w:val="24"/>
          <w:szCs w:val="24"/>
        </w:rPr>
        <w:t xml:space="preserve"> public </w:t>
      </w:r>
      <w:r w:rsidR="00D83AF9" w:rsidRPr="004045AD">
        <w:rPr>
          <w:rFonts w:ascii="Times New Roman" w:eastAsia="Calibri" w:hAnsi="Times New Roman" w:cs="Times New Roman"/>
          <w:sz w:val="24"/>
          <w:szCs w:val="24"/>
        </w:rPr>
        <w:t>interest</w:t>
      </w:r>
      <w:r w:rsidR="00432C6D" w:rsidRPr="004045AD">
        <w:rPr>
          <w:rFonts w:ascii="Times New Roman" w:eastAsia="Calibri" w:hAnsi="Times New Roman" w:cs="Times New Roman"/>
          <w:sz w:val="24"/>
          <w:szCs w:val="24"/>
        </w:rPr>
        <w:t xml:space="preserve">. </w:t>
      </w:r>
      <w:r w:rsidR="008F4F0A"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They argued that the transaction was not contrary to</w:t>
      </w:r>
      <w:r w:rsidR="0096164C">
        <w:rPr>
          <w:rFonts w:ascii="Times New Roman" w:eastAsia="Calibri" w:hAnsi="Times New Roman" w:cs="Times New Roman"/>
          <w:sz w:val="24"/>
          <w:szCs w:val="24"/>
        </w:rPr>
        <w:t xml:space="preserve"> the</w:t>
      </w:r>
      <w:r w:rsidR="00432C6D" w:rsidRPr="004045AD">
        <w:rPr>
          <w:rFonts w:ascii="Times New Roman" w:eastAsia="Calibri" w:hAnsi="Times New Roman" w:cs="Times New Roman"/>
          <w:sz w:val="24"/>
          <w:szCs w:val="24"/>
        </w:rPr>
        <w:t xml:space="preserve"> public </w:t>
      </w:r>
      <w:r w:rsidR="009D7CAF" w:rsidRPr="004045AD">
        <w:rPr>
          <w:rFonts w:ascii="Times New Roman" w:eastAsia="Calibri" w:hAnsi="Times New Roman" w:cs="Times New Roman"/>
          <w:sz w:val="24"/>
          <w:szCs w:val="24"/>
        </w:rPr>
        <w:t>interest</w:t>
      </w:r>
      <w:r w:rsidR="00432C6D" w:rsidRPr="004045AD">
        <w:rPr>
          <w:rFonts w:ascii="Times New Roman" w:eastAsia="Calibri" w:hAnsi="Times New Roman" w:cs="Times New Roman"/>
          <w:sz w:val="24"/>
          <w:szCs w:val="24"/>
        </w:rPr>
        <w:t xml:space="preserve"> as it boosted </w:t>
      </w:r>
      <w:r w:rsidR="00432C6D" w:rsidRPr="004045AD">
        <w:rPr>
          <w:rFonts w:ascii="Times New Roman" w:eastAsia="Calibri" w:hAnsi="Times New Roman" w:cs="Times New Roman"/>
          <w:sz w:val="24"/>
          <w:szCs w:val="24"/>
        </w:rPr>
        <w:lastRenderedPageBreak/>
        <w:t xml:space="preserve">the economic fabric of the nation. </w:t>
      </w:r>
      <w:r w:rsidR="008F4F0A"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 xml:space="preserve">The respondents further stated that the imposition of a monetary penalty was </w:t>
      </w:r>
      <w:r w:rsidR="00BC4208" w:rsidRPr="004045AD">
        <w:rPr>
          <w:rFonts w:ascii="Times New Roman" w:eastAsia="Calibri" w:hAnsi="Times New Roman" w:cs="Times New Roman"/>
          <w:sz w:val="24"/>
          <w:szCs w:val="24"/>
        </w:rPr>
        <w:t>inappropriate in the circumstances of their case</w:t>
      </w:r>
      <w:r w:rsidR="00432C6D" w:rsidRPr="004045AD">
        <w:rPr>
          <w:rFonts w:ascii="Times New Roman" w:eastAsia="Calibri" w:hAnsi="Times New Roman" w:cs="Times New Roman"/>
          <w:sz w:val="24"/>
          <w:szCs w:val="24"/>
        </w:rPr>
        <w:t xml:space="preserve">. </w:t>
      </w:r>
    </w:p>
    <w:p w:rsidR="00940076" w:rsidRPr="004045AD" w:rsidRDefault="00940076" w:rsidP="008F4F0A">
      <w:pPr>
        <w:spacing w:after="0" w:line="240" w:lineRule="auto"/>
        <w:jc w:val="both"/>
        <w:rPr>
          <w:rFonts w:ascii="Times New Roman" w:eastAsia="Calibri" w:hAnsi="Times New Roman" w:cs="Times New Roman"/>
          <w:sz w:val="24"/>
          <w:szCs w:val="24"/>
        </w:rPr>
      </w:pPr>
    </w:p>
    <w:p w:rsidR="00432C6D" w:rsidRPr="004045AD" w:rsidRDefault="00940076" w:rsidP="008F4F0A">
      <w:pPr>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8F4F0A" w:rsidRPr="004045AD">
        <w:rPr>
          <w:rFonts w:ascii="Times New Roman" w:eastAsia="Calibri" w:hAnsi="Times New Roman" w:cs="Times New Roman"/>
          <w:sz w:val="24"/>
          <w:szCs w:val="24"/>
        </w:rPr>
        <w:t>10</w:t>
      </w:r>
      <w:r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i/>
          <w:sz w:val="24"/>
          <w:szCs w:val="24"/>
        </w:rPr>
        <w:t>Per contra</w:t>
      </w:r>
      <w:r w:rsidR="00432C6D" w:rsidRPr="004045AD">
        <w:rPr>
          <w:rFonts w:ascii="Times New Roman" w:eastAsia="Calibri" w:hAnsi="Times New Roman" w:cs="Times New Roman"/>
          <w:sz w:val="24"/>
          <w:szCs w:val="24"/>
        </w:rPr>
        <w:t xml:space="preserve">, the appellant maintained that there was a </w:t>
      </w:r>
      <w:r w:rsidRPr="004045AD">
        <w:rPr>
          <w:rFonts w:ascii="Times New Roman" w:eastAsia="Calibri" w:hAnsi="Times New Roman" w:cs="Times New Roman"/>
          <w:sz w:val="24"/>
          <w:szCs w:val="24"/>
        </w:rPr>
        <w:t xml:space="preserve">notifiable </w:t>
      </w:r>
      <w:r w:rsidR="00432C6D" w:rsidRPr="004045AD">
        <w:rPr>
          <w:rFonts w:ascii="Times New Roman" w:eastAsia="Calibri" w:hAnsi="Times New Roman" w:cs="Times New Roman"/>
          <w:sz w:val="24"/>
          <w:szCs w:val="24"/>
        </w:rPr>
        <w:t xml:space="preserve">merger between the respondents. </w:t>
      </w:r>
      <w:r w:rsidR="008F4F0A"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It stated that, th</w:t>
      </w:r>
      <w:r w:rsidR="009A1EE9" w:rsidRPr="004045AD">
        <w:rPr>
          <w:rFonts w:ascii="Times New Roman" w:eastAsia="Calibri" w:hAnsi="Times New Roman" w:cs="Times New Roman"/>
          <w:sz w:val="24"/>
          <w:szCs w:val="24"/>
        </w:rPr>
        <w:t>e</w:t>
      </w:r>
      <w:r w:rsidR="00432C6D" w:rsidRPr="004045AD">
        <w:rPr>
          <w:rFonts w:ascii="Times New Roman" w:eastAsia="Calibri" w:hAnsi="Times New Roman" w:cs="Times New Roman"/>
          <w:sz w:val="24"/>
          <w:szCs w:val="24"/>
        </w:rPr>
        <w:t xml:space="preserve"> merger is contrary to</w:t>
      </w:r>
      <w:r w:rsidR="00A22282">
        <w:rPr>
          <w:rFonts w:ascii="Times New Roman" w:eastAsia="Calibri" w:hAnsi="Times New Roman" w:cs="Times New Roman"/>
          <w:sz w:val="24"/>
          <w:szCs w:val="24"/>
        </w:rPr>
        <w:t xml:space="preserve"> the</w:t>
      </w:r>
      <w:r w:rsidR="00432C6D" w:rsidRPr="004045AD">
        <w:rPr>
          <w:rFonts w:ascii="Times New Roman" w:eastAsia="Calibri" w:hAnsi="Times New Roman" w:cs="Times New Roman"/>
          <w:sz w:val="24"/>
          <w:szCs w:val="24"/>
        </w:rPr>
        <w:t xml:space="preserve"> public </w:t>
      </w:r>
      <w:r w:rsidR="004C25CB" w:rsidRPr="004045AD">
        <w:rPr>
          <w:rFonts w:ascii="Times New Roman" w:eastAsia="Calibri" w:hAnsi="Times New Roman" w:cs="Times New Roman"/>
          <w:sz w:val="24"/>
          <w:szCs w:val="24"/>
        </w:rPr>
        <w:t>interest</w:t>
      </w:r>
      <w:r w:rsidR="009D5317" w:rsidRPr="004045AD">
        <w:rPr>
          <w:rFonts w:ascii="Times New Roman" w:eastAsia="Calibri" w:hAnsi="Times New Roman" w:cs="Times New Roman"/>
          <w:sz w:val="24"/>
          <w:szCs w:val="24"/>
          <w:vertAlign w:val="superscript"/>
        </w:rPr>
        <w:t xml:space="preserve"> </w:t>
      </w:r>
      <w:r w:rsidR="00432C6D" w:rsidRPr="004045AD">
        <w:rPr>
          <w:rFonts w:ascii="Times New Roman" w:eastAsia="Calibri" w:hAnsi="Times New Roman" w:cs="Times New Roman"/>
          <w:sz w:val="24"/>
          <w:szCs w:val="24"/>
        </w:rPr>
        <w:t xml:space="preserve">and that the penalty was warranted since the respondents failed to notify it of the merger </w:t>
      </w:r>
      <w:r w:rsidR="00FE1C78" w:rsidRPr="004045AD">
        <w:rPr>
          <w:rFonts w:ascii="Times New Roman" w:eastAsia="Calibri" w:hAnsi="Times New Roman" w:cs="Times New Roman"/>
          <w:sz w:val="24"/>
          <w:szCs w:val="24"/>
        </w:rPr>
        <w:t>within the prescribed period</w:t>
      </w:r>
      <w:r w:rsidR="00123E42" w:rsidRPr="004045AD">
        <w:rPr>
          <w:rFonts w:ascii="Times New Roman" w:eastAsia="Calibri" w:hAnsi="Times New Roman" w:cs="Times New Roman"/>
          <w:sz w:val="24"/>
          <w:szCs w:val="24"/>
        </w:rPr>
        <w:t xml:space="preserve"> and only did so 3 years 9 months after its consummation.</w:t>
      </w:r>
    </w:p>
    <w:p w:rsidR="00891BFA" w:rsidRPr="004045AD" w:rsidRDefault="00891BFA" w:rsidP="00891BFA">
      <w:pPr>
        <w:spacing w:after="0" w:line="240" w:lineRule="auto"/>
        <w:ind w:left="567" w:hanging="567"/>
        <w:jc w:val="both"/>
        <w:rPr>
          <w:rFonts w:ascii="Times New Roman" w:eastAsia="Calibri" w:hAnsi="Times New Roman" w:cs="Times New Roman"/>
          <w:sz w:val="24"/>
          <w:szCs w:val="24"/>
        </w:rPr>
      </w:pPr>
    </w:p>
    <w:p w:rsidR="00432C6D" w:rsidRPr="004045AD" w:rsidRDefault="00630FC9" w:rsidP="00F51AA2">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8F4F0A" w:rsidRPr="004045AD">
        <w:rPr>
          <w:rFonts w:ascii="Times New Roman" w:eastAsia="Calibri" w:hAnsi="Times New Roman" w:cs="Times New Roman"/>
          <w:sz w:val="24"/>
          <w:szCs w:val="24"/>
        </w:rPr>
        <w:t>11</w:t>
      </w:r>
      <w:r w:rsidR="000A7C1B" w:rsidRPr="004045AD">
        <w:rPr>
          <w:rFonts w:ascii="Times New Roman" w:eastAsia="Calibri" w:hAnsi="Times New Roman" w:cs="Times New Roman"/>
          <w:sz w:val="24"/>
          <w:szCs w:val="24"/>
        </w:rPr>
        <w:t xml:space="preserve">] </w:t>
      </w:r>
      <w:r w:rsidR="000A7C1B">
        <w:rPr>
          <w:rFonts w:ascii="Times New Roman" w:eastAsia="Calibri" w:hAnsi="Times New Roman" w:cs="Times New Roman"/>
          <w:sz w:val="24"/>
          <w:szCs w:val="24"/>
        </w:rPr>
        <w:t xml:space="preserve">  </w:t>
      </w:r>
      <w:r w:rsidR="000A7C1B" w:rsidRPr="004045AD">
        <w:rPr>
          <w:rFonts w:ascii="Times New Roman" w:eastAsia="Calibri" w:hAnsi="Times New Roman" w:cs="Times New Roman"/>
          <w:sz w:val="24"/>
          <w:szCs w:val="24"/>
        </w:rPr>
        <w:t>The</w:t>
      </w:r>
      <w:r w:rsidR="00432C6D" w:rsidRPr="004045AD">
        <w:rPr>
          <w:rFonts w:ascii="Times New Roman" w:eastAsia="Calibri" w:hAnsi="Times New Roman" w:cs="Times New Roman"/>
          <w:sz w:val="24"/>
          <w:szCs w:val="24"/>
        </w:rPr>
        <w:t xml:space="preserve"> court </w:t>
      </w:r>
      <w:r w:rsidR="00432C6D" w:rsidRPr="004045AD">
        <w:rPr>
          <w:rFonts w:ascii="Times New Roman" w:eastAsia="Calibri" w:hAnsi="Times New Roman" w:cs="Times New Roman"/>
          <w:i/>
          <w:sz w:val="24"/>
          <w:szCs w:val="24"/>
        </w:rPr>
        <w:t>a quo</w:t>
      </w:r>
      <w:r w:rsidR="00432C6D" w:rsidRPr="004045AD">
        <w:rPr>
          <w:rFonts w:ascii="Times New Roman" w:eastAsia="Calibri" w:hAnsi="Times New Roman" w:cs="Times New Roman"/>
          <w:sz w:val="24"/>
          <w:szCs w:val="24"/>
        </w:rPr>
        <w:t xml:space="preserve"> found that there was a</w:t>
      </w:r>
      <w:r w:rsidR="00940076" w:rsidRPr="004045AD">
        <w:rPr>
          <w:rFonts w:ascii="Times New Roman" w:eastAsia="Calibri" w:hAnsi="Times New Roman" w:cs="Times New Roman"/>
          <w:sz w:val="24"/>
          <w:szCs w:val="24"/>
        </w:rPr>
        <w:t xml:space="preserve"> notifiable</w:t>
      </w:r>
      <w:r w:rsidR="00432C6D" w:rsidRPr="004045AD">
        <w:rPr>
          <w:rFonts w:ascii="Times New Roman" w:eastAsia="Calibri" w:hAnsi="Times New Roman" w:cs="Times New Roman"/>
          <w:sz w:val="24"/>
          <w:szCs w:val="24"/>
        </w:rPr>
        <w:t xml:space="preserve"> merger between the respondents as defined under </w:t>
      </w:r>
      <w:r w:rsidR="008F4F0A" w:rsidRPr="004045AD">
        <w:rPr>
          <w:rFonts w:ascii="Times New Roman" w:eastAsia="Calibri" w:hAnsi="Times New Roman" w:cs="Times New Roman"/>
          <w:sz w:val="24"/>
          <w:szCs w:val="24"/>
        </w:rPr>
        <w:t>s</w:t>
      </w:r>
      <w:r w:rsidR="00432C6D" w:rsidRPr="004045AD">
        <w:rPr>
          <w:rFonts w:ascii="Times New Roman" w:eastAsia="Calibri" w:hAnsi="Times New Roman" w:cs="Times New Roman"/>
          <w:sz w:val="24"/>
          <w:szCs w:val="24"/>
        </w:rPr>
        <w:t xml:space="preserve"> 2 of the Act. It found that after the merger, </w:t>
      </w:r>
      <w:r w:rsidR="000818C0" w:rsidRPr="004045AD">
        <w:rPr>
          <w:rFonts w:ascii="Times New Roman" w:eastAsia="Calibri" w:hAnsi="Times New Roman" w:cs="Times New Roman"/>
          <w:sz w:val="24"/>
          <w:szCs w:val="24"/>
        </w:rPr>
        <w:t>Profeed’s</w:t>
      </w:r>
      <w:r w:rsidR="00432C6D" w:rsidRPr="004045AD">
        <w:rPr>
          <w:rFonts w:ascii="Times New Roman" w:eastAsia="Calibri" w:hAnsi="Times New Roman" w:cs="Times New Roman"/>
          <w:sz w:val="24"/>
          <w:szCs w:val="24"/>
        </w:rPr>
        <w:t xml:space="preserve"> shops increased</w:t>
      </w:r>
      <w:r w:rsidR="00BD3AA2" w:rsidRPr="004045AD">
        <w:rPr>
          <w:rFonts w:ascii="Times New Roman" w:eastAsia="Calibri" w:hAnsi="Times New Roman" w:cs="Times New Roman"/>
          <w:sz w:val="24"/>
          <w:szCs w:val="24"/>
        </w:rPr>
        <w:t xml:space="preserve"> from 19</w:t>
      </w:r>
      <w:r w:rsidR="00432C6D" w:rsidRPr="004045AD">
        <w:rPr>
          <w:rFonts w:ascii="Times New Roman" w:eastAsia="Calibri" w:hAnsi="Times New Roman" w:cs="Times New Roman"/>
          <w:sz w:val="24"/>
          <w:szCs w:val="24"/>
        </w:rPr>
        <w:t xml:space="preserve"> to 4</w:t>
      </w:r>
      <w:r w:rsidR="0064307F" w:rsidRPr="004045AD">
        <w:rPr>
          <w:rFonts w:ascii="Times New Roman" w:eastAsia="Calibri" w:hAnsi="Times New Roman" w:cs="Times New Roman"/>
          <w:sz w:val="24"/>
          <w:szCs w:val="24"/>
        </w:rPr>
        <w:t>0</w:t>
      </w:r>
      <w:r w:rsidR="00432C6D" w:rsidRPr="004045AD">
        <w:rPr>
          <w:rFonts w:ascii="Times New Roman" w:eastAsia="Calibri" w:hAnsi="Times New Roman" w:cs="Times New Roman"/>
          <w:sz w:val="24"/>
          <w:szCs w:val="24"/>
        </w:rPr>
        <w:t xml:space="preserve"> because</w:t>
      </w:r>
      <w:r w:rsidR="0064307F" w:rsidRPr="004045AD">
        <w:rPr>
          <w:rFonts w:ascii="Times New Roman" w:eastAsia="Calibri" w:hAnsi="Times New Roman" w:cs="Times New Roman"/>
          <w:sz w:val="24"/>
          <w:szCs w:val="24"/>
        </w:rPr>
        <w:t xml:space="preserve"> of </w:t>
      </w:r>
      <w:r w:rsidR="000818C0" w:rsidRPr="004045AD">
        <w:rPr>
          <w:rFonts w:ascii="Times New Roman" w:eastAsia="Calibri" w:hAnsi="Times New Roman" w:cs="Times New Roman"/>
          <w:sz w:val="24"/>
          <w:szCs w:val="24"/>
        </w:rPr>
        <w:t>Innscor</w:t>
      </w:r>
      <w:r w:rsidR="000B19F5">
        <w:rPr>
          <w:rFonts w:ascii="Times New Roman" w:eastAsia="Calibri" w:hAnsi="Times New Roman" w:cs="Times New Roman"/>
          <w:sz w:val="24"/>
          <w:szCs w:val="24"/>
        </w:rPr>
        <w:t>’s influence in its business,</w:t>
      </w:r>
      <w:r w:rsidR="0064307F" w:rsidRPr="004045AD">
        <w:rPr>
          <w:rFonts w:ascii="Times New Roman" w:eastAsia="Calibri" w:hAnsi="Times New Roman" w:cs="Times New Roman"/>
          <w:sz w:val="24"/>
          <w:szCs w:val="24"/>
        </w:rPr>
        <w:t xml:space="preserve"> which enabled it to</w:t>
      </w:r>
      <w:r w:rsidR="00432C6D" w:rsidRPr="004045AD">
        <w:rPr>
          <w:rFonts w:ascii="Times New Roman" w:eastAsia="Calibri" w:hAnsi="Times New Roman" w:cs="Times New Roman"/>
          <w:sz w:val="24"/>
          <w:szCs w:val="24"/>
        </w:rPr>
        <w:t xml:space="preserve"> access loans</w:t>
      </w:r>
      <w:r w:rsidR="0064307F" w:rsidRPr="004045AD">
        <w:rPr>
          <w:rFonts w:ascii="Times New Roman" w:eastAsia="Calibri" w:hAnsi="Times New Roman" w:cs="Times New Roman"/>
          <w:sz w:val="24"/>
          <w:szCs w:val="24"/>
        </w:rPr>
        <w:t xml:space="preserve"> and other services at concessional</w:t>
      </w:r>
      <w:r w:rsidR="00432C6D" w:rsidRPr="004045AD">
        <w:rPr>
          <w:rFonts w:ascii="Times New Roman" w:eastAsia="Calibri" w:hAnsi="Times New Roman" w:cs="Times New Roman"/>
          <w:sz w:val="24"/>
          <w:szCs w:val="24"/>
        </w:rPr>
        <w:t xml:space="preserve"> rates</w:t>
      </w:r>
      <w:r w:rsidR="00CC50C2" w:rsidRPr="004045AD">
        <w:rPr>
          <w:rFonts w:ascii="Times New Roman" w:eastAsia="Calibri" w:hAnsi="Times New Roman" w:cs="Times New Roman"/>
          <w:sz w:val="24"/>
          <w:szCs w:val="24"/>
        </w:rPr>
        <w:t>.</w:t>
      </w:r>
      <w:r w:rsidR="00432C6D" w:rsidRPr="004045AD">
        <w:rPr>
          <w:rFonts w:ascii="Times New Roman" w:eastAsia="Calibri" w:hAnsi="Times New Roman" w:cs="Times New Roman"/>
          <w:sz w:val="24"/>
          <w:szCs w:val="24"/>
        </w:rPr>
        <w:t xml:space="preserve"> </w:t>
      </w:r>
      <w:r w:rsidR="008F4F0A"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The court</w:t>
      </w:r>
      <w:r w:rsidR="00D24260" w:rsidRPr="004045AD">
        <w:rPr>
          <w:rFonts w:ascii="Times New Roman" w:eastAsia="Calibri" w:hAnsi="Times New Roman" w:cs="Times New Roman"/>
          <w:sz w:val="24"/>
          <w:szCs w:val="24"/>
        </w:rPr>
        <w:t xml:space="preserve"> </w:t>
      </w:r>
      <w:r w:rsidR="00D24260" w:rsidRPr="004045AD">
        <w:rPr>
          <w:rFonts w:ascii="Times New Roman" w:eastAsia="Calibri" w:hAnsi="Times New Roman" w:cs="Times New Roman"/>
          <w:i/>
          <w:sz w:val="24"/>
          <w:szCs w:val="24"/>
        </w:rPr>
        <w:t>a quo</w:t>
      </w:r>
      <w:r w:rsidR="00432C6D" w:rsidRPr="004045AD">
        <w:rPr>
          <w:rFonts w:ascii="Times New Roman" w:eastAsia="Calibri" w:hAnsi="Times New Roman" w:cs="Times New Roman"/>
          <w:sz w:val="24"/>
          <w:szCs w:val="24"/>
        </w:rPr>
        <w:t xml:space="preserve"> ruled that after the merger in 2015, </w:t>
      </w:r>
      <w:r w:rsidR="000C62E9" w:rsidRPr="004045AD">
        <w:rPr>
          <w:rFonts w:ascii="Times New Roman" w:eastAsia="Calibri" w:hAnsi="Times New Roman" w:cs="Times New Roman"/>
          <w:sz w:val="24"/>
          <w:szCs w:val="24"/>
        </w:rPr>
        <w:t>Ashram</w:t>
      </w:r>
      <w:r w:rsidR="00432C6D" w:rsidRPr="004045AD">
        <w:rPr>
          <w:rFonts w:ascii="Times New Roman" w:eastAsia="Calibri" w:hAnsi="Times New Roman" w:cs="Times New Roman"/>
          <w:sz w:val="24"/>
          <w:szCs w:val="24"/>
        </w:rPr>
        <w:t xml:space="preserve"> owned 49% </w:t>
      </w:r>
      <w:r w:rsidR="006D04A3" w:rsidRPr="004045AD">
        <w:rPr>
          <w:rFonts w:ascii="Times New Roman" w:eastAsia="Calibri" w:hAnsi="Times New Roman" w:cs="Times New Roman"/>
          <w:sz w:val="24"/>
          <w:szCs w:val="24"/>
        </w:rPr>
        <w:t xml:space="preserve">shares </w:t>
      </w:r>
      <w:r w:rsidR="00432C6D" w:rsidRPr="004045AD">
        <w:rPr>
          <w:rFonts w:ascii="Times New Roman" w:eastAsia="Calibri" w:hAnsi="Times New Roman" w:cs="Times New Roman"/>
          <w:sz w:val="24"/>
          <w:szCs w:val="24"/>
        </w:rPr>
        <w:t xml:space="preserve">in </w:t>
      </w:r>
      <w:r w:rsidR="000C62E9" w:rsidRPr="004045AD">
        <w:rPr>
          <w:rFonts w:ascii="Times New Roman" w:eastAsia="Calibri" w:hAnsi="Times New Roman" w:cs="Times New Roman"/>
          <w:sz w:val="24"/>
          <w:szCs w:val="24"/>
        </w:rPr>
        <w:t>Profeeds</w:t>
      </w:r>
      <w:r w:rsidR="00432C6D" w:rsidRPr="004045AD">
        <w:rPr>
          <w:rFonts w:ascii="Times New Roman" w:eastAsia="Calibri" w:hAnsi="Times New Roman" w:cs="Times New Roman"/>
          <w:sz w:val="24"/>
          <w:szCs w:val="24"/>
        </w:rPr>
        <w:t xml:space="preserve"> and 49% shares</w:t>
      </w:r>
      <w:r w:rsidR="00234B8F" w:rsidRPr="004045AD">
        <w:rPr>
          <w:rFonts w:ascii="Times New Roman" w:eastAsia="Calibri" w:hAnsi="Times New Roman" w:cs="Times New Roman"/>
          <w:sz w:val="24"/>
          <w:szCs w:val="24"/>
        </w:rPr>
        <w:t xml:space="preserve"> in</w:t>
      </w:r>
      <w:r w:rsidR="00432C6D" w:rsidRPr="004045AD">
        <w:rPr>
          <w:rFonts w:ascii="Times New Roman" w:eastAsia="Calibri" w:hAnsi="Times New Roman" w:cs="Times New Roman"/>
          <w:sz w:val="24"/>
          <w:szCs w:val="24"/>
        </w:rPr>
        <w:t xml:space="preserve"> </w:t>
      </w:r>
      <w:r w:rsidR="000C62E9" w:rsidRPr="004045AD">
        <w:rPr>
          <w:rFonts w:ascii="Times New Roman" w:eastAsia="Calibri" w:hAnsi="Times New Roman" w:cs="Times New Roman"/>
          <w:sz w:val="24"/>
          <w:szCs w:val="24"/>
        </w:rPr>
        <w:t>Produtrade</w:t>
      </w:r>
      <w:r w:rsidR="00432C6D" w:rsidRPr="004045AD">
        <w:rPr>
          <w:rFonts w:ascii="Times New Roman" w:eastAsia="Calibri" w:hAnsi="Times New Roman" w:cs="Times New Roman"/>
          <w:sz w:val="24"/>
          <w:szCs w:val="24"/>
        </w:rPr>
        <w:t>.</w:t>
      </w:r>
      <w:r w:rsidR="008F4F0A" w:rsidRPr="004045AD">
        <w:rPr>
          <w:rFonts w:ascii="Times New Roman" w:eastAsia="Calibri" w:hAnsi="Times New Roman" w:cs="Times New Roman"/>
          <w:sz w:val="24"/>
          <w:szCs w:val="24"/>
        </w:rPr>
        <w:t xml:space="preserve">  </w:t>
      </w:r>
      <w:r w:rsidR="0004758F" w:rsidRPr="004045AD">
        <w:rPr>
          <w:rFonts w:ascii="Times New Roman" w:eastAsia="Calibri" w:hAnsi="Times New Roman" w:cs="Times New Roman"/>
          <w:sz w:val="24"/>
          <w:szCs w:val="24"/>
        </w:rPr>
        <w:t xml:space="preserve">It found that </w:t>
      </w:r>
      <w:r w:rsidR="00F9090A" w:rsidRPr="004045AD">
        <w:rPr>
          <w:rFonts w:ascii="Times New Roman" w:eastAsia="Calibri" w:hAnsi="Times New Roman" w:cs="Times New Roman"/>
          <w:sz w:val="24"/>
          <w:szCs w:val="24"/>
        </w:rPr>
        <w:t>Ashram</w:t>
      </w:r>
      <w:r w:rsidR="00432C6D" w:rsidRPr="004045AD">
        <w:rPr>
          <w:rFonts w:ascii="Times New Roman" w:eastAsia="Calibri" w:hAnsi="Times New Roman" w:cs="Times New Roman"/>
          <w:sz w:val="24"/>
          <w:szCs w:val="24"/>
        </w:rPr>
        <w:t xml:space="preserve"> acquired direct interest in the businesses </w:t>
      </w:r>
      <w:r w:rsidR="0004758F" w:rsidRPr="004045AD">
        <w:rPr>
          <w:rFonts w:ascii="Times New Roman" w:eastAsia="Calibri" w:hAnsi="Times New Roman" w:cs="Times New Roman"/>
          <w:sz w:val="24"/>
          <w:szCs w:val="24"/>
        </w:rPr>
        <w:t>of Profeeds</w:t>
      </w:r>
      <w:r w:rsidR="008F4F0A" w:rsidRPr="004045AD">
        <w:rPr>
          <w:rFonts w:ascii="Times New Roman" w:eastAsia="Calibri" w:hAnsi="Times New Roman" w:cs="Times New Roman"/>
          <w:sz w:val="24"/>
          <w:szCs w:val="24"/>
        </w:rPr>
        <w:t xml:space="preserve"> and </w:t>
      </w:r>
      <w:r w:rsidR="00F9090A" w:rsidRPr="004045AD">
        <w:rPr>
          <w:rFonts w:ascii="Times New Roman" w:eastAsia="Calibri" w:hAnsi="Times New Roman" w:cs="Times New Roman"/>
          <w:sz w:val="24"/>
          <w:szCs w:val="24"/>
        </w:rPr>
        <w:t>Produtrade</w:t>
      </w:r>
      <w:r w:rsidR="00FD7C2A" w:rsidRPr="004045AD">
        <w:rPr>
          <w:rFonts w:ascii="Times New Roman" w:eastAsia="Calibri" w:hAnsi="Times New Roman" w:cs="Times New Roman"/>
          <w:sz w:val="24"/>
          <w:szCs w:val="24"/>
        </w:rPr>
        <w:t xml:space="preserve"> while </w:t>
      </w:r>
      <w:r w:rsidR="00F9090A" w:rsidRPr="004045AD">
        <w:rPr>
          <w:rFonts w:ascii="Times New Roman" w:eastAsia="Calibri" w:hAnsi="Times New Roman" w:cs="Times New Roman"/>
          <w:sz w:val="24"/>
          <w:szCs w:val="24"/>
        </w:rPr>
        <w:t>Innscor</w:t>
      </w:r>
      <w:r w:rsidR="00FD7C2A" w:rsidRPr="004045AD">
        <w:rPr>
          <w:rFonts w:ascii="Times New Roman" w:eastAsia="Calibri" w:hAnsi="Times New Roman" w:cs="Times New Roman"/>
          <w:sz w:val="24"/>
          <w:szCs w:val="24"/>
        </w:rPr>
        <w:t xml:space="preserve"> acquired indirect interest and influence </w:t>
      </w:r>
      <w:r w:rsidR="00B00920" w:rsidRPr="004045AD">
        <w:rPr>
          <w:rFonts w:ascii="Times New Roman" w:eastAsia="Calibri" w:hAnsi="Times New Roman" w:cs="Times New Roman"/>
          <w:sz w:val="24"/>
          <w:szCs w:val="24"/>
        </w:rPr>
        <w:t>in</w:t>
      </w:r>
      <w:r w:rsidR="00FD7C2A" w:rsidRPr="004045AD">
        <w:rPr>
          <w:rFonts w:ascii="Times New Roman" w:eastAsia="Calibri" w:hAnsi="Times New Roman" w:cs="Times New Roman"/>
          <w:sz w:val="24"/>
          <w:szCs w:val="24"/>
        </w:rPr>
        <w:t xml:space="preserve"> </w:t>
      </w:r>
      <w:r w:rsidR="00F9090A" w:rsidRPr="004045AD">
        <w:rPr>
          <w:rFonts w:ascii="Times New Roman" w:eastAsia="Calibri" w:hAnsi="Times New Roman" w:cs="Times New Roman"/>
          <w:sz w:val="24"/>
          <w:szCs w:val="24"/>
        </w:rPr>
        <w:t>Profeeds</w:t>
      </w:r>
      <w:r w:rsidR="00FD7C2A" w:rsidRPr="004045AD">
        <w:rPr>
          <w:rFonts w:ascii="Times New Roman" w:eastAsia="Calibri" w:hAnsi="Times New Roman" w:cs="Times New Roman"/>
          <w:sz w:val="24"/>
          <w:szCs w:val="24"/>
        </w:rPr>
        <w:t xml:space="preserve"> through its 100% ownership of </w:t>
      </w:r>
      <w:r w:rsidR="00F9090A" w:rsidRPr="004045AD">
        <w:rPr>
          <w:rFonts w:ascii="Times New Roman" w:eastAsia="Calibri" w:hAnsi="Times New Roman" w:cs="Times New Roman"/>
          <w:sz w:val="24"/>
          <w:szCs w:val="24"/>
        </w:rPr>
        <w:t>Ashram</w:t>
      </w:r>
      <w:r w:rsidR="00432C6D" w:rsidRPr="004045AD">
        <w:rPr>
          <w:rFonts w:ascii="Times New Roman" w:eastAsia="Calibri" w:hAnsi="Times New Roman" w:cs="Times New Roman"/>
          <w:sz w:val="24"/>
          <w:szCs w:val="24"/>
        </w:rPr>
        <w:t xml:space="preserve">. </w:t>
      </w:r>
      <w:r w:rsidR="008F4F0A" w:rsidRPr="004045AD">
        <w:rPr>
          <w:rFonts w:ascii="Times New Roman" w:eastAsia="Calibri" w:hAnsi="Times New Roman" w:cs="Times New Roman"/>
          <w:sz w:val="24"/>
          <w:szCs w:val="24"/>
        </w:rPr>
        <w:t xml:space="preserve"> </w:t>
      </w:r>
      <w:r w:rsidR="00FF72CD" w:rsidRPr="004045AD">
        <w:rPr>
          <w:rFonts w:ascii="Times New Roman" w:eastAsia="Calibri" w:hAnsi="Times New Roman" w:cs="Times New Roman"/>
          <w:sz w:val="24"/>
          <w:szCs w:val="24"/>
        </w:rPr>
        <w:t>It further</w:t>
      </w:r>
      <w:r w:rsidR="00432C6D" w:rsidRPr="004045AD">
        <w:rPr>
          <w:rFonts w:ascii="Times New Roman" w:eastAsia="Calibri" w:hAnsi="Times New Roman" w:cs="Times New Roman"/>
          <w:sz w:val="24"/>
          <w:szCs w:val="24"/>
        </w:rPr>
        <w:t xml:space="preserve"> noted that when the respondents notified the appellant of their merger</w:t>
      </w:r>
      <w:r w:rsidR="00480249" w:rsidRPr="004045AD">
        <w:rPr>
          <w:rFonts w:ascii="Times New Roman" w:eastAsia="Calibri" w:hAnsi="Times New Roman" w:cs="Times New Roman"/>
          <w:sz w:val="24"/>
          <w:szCs w:val="24"/>
        </w:rPr>
        <w:t xml:space="preserve"> in 2019</w:t>
      </w:r>
      <w:r w:rsidR="00432C6D" w:rsidRPr="004045AD">
        <w:rPr>
          <w:rFonts w:ascii="Times New Roman" w:eastAsia="Calibri" w:hAnsi="Times New Roman" w:cs="Times New Roman"/>
          <w:sz w:val="24"/>
          <w:szCs w:val="24"/>
        </w:rPr>
        <w:t xml:space="preserve">, </w:t>
      </w:r>
      <w:r w:rsidR="009D7AF8" w:rsidRPr="004045AD">
        <w:rPr>
          <w:rFonts w:ascii="Times New Roman" w:eastAsia="Calibri" w:hAnsi="Times New Roman" w:cs="Times New Roman"/>
          <w:sz w:val="24"/>
          <w:szCs w:val="24"/>
        </w:rPr>
        <w:t xml:space="preserve">Profeeds was </w:t>
      </w:r>
      <w:r w:rsidR="00432C6D" w:rsidRPr="004045AD">
        <w:rPr>
          <w:rFonts w:ascii="Times New Roman" w:eastAsia="Calibri" w:hAnsi="Times New Roman" w:cs="Times New Roman"/>
          <w:sz w:val="24"/>
          <w:szCs w:val="24"/>
        </w:rPr>
        <w:t>operating profitably.</w:t>
      </w:r>
    </w:p>
    <w:p w:rsidR="00943F8A" w:rsidRPr="004045AD" w:rsidRDefault="00943F8A" w:rsidP="008F4F0A">
      <w:pPr>
        <w:spacing w:after="0" w:line="240" w:lineRule="auto"/>
        <w:jc w:val="both"/>
        <w:rPr>
          <w:rFonts w:ascii="Times New Roman" w:eastAsia="Calibri" w:hAnsi="Times New Roman" w:cs="Times New Roman"/>
          <w:sz w:val="24"/>
          <w:szCs w:val="24"/>
        </w:rPr>
      </w:pPr>
    </w:p>
    <w:p w:rsidR="00943F8A" w:rsidRPr="004045AD" w:rsidRDefault="00630FC9" w:rsidP="00F51AA2">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8F4F0A" w:rsidRPr="004045AD">
        <w:rPr>
          <w:rFonts w:ascii="Times New Roman" w:eastAsia="Calibri" w:hAnsi="Times New Roman" w:cs="Times New Roman"/>
          <w:sz w:val="24"/>
          <w:szCs w:val="24"/>
        </w:rPr>
        <w:t>12</w:t>
      </w:r>
      <w:r w:rsidRPr="004045AD">
        <w:rPr>
          <w:rFonts w:ascii="Times New Roman" w:eastAsia="Calibri" w:hAnsi="Times New Roman" w:cs="Times New Roman"/>
          <w:sz w:val="24"/>
          <w:szCs w:val="24"/>
        </w:rPr>
        <w:t xml:space="preserve">] </w:t>
      </w:r>
      <w:r w:rsidR="0004758F" w:rsidRPr="004045AD">
        <w:rPr>
          <w:rFonts w:ascii="Times New Roman" w:eastAsia="Calibri" w:hAnsi="Times New Roman" w:cs="Times New Roman"/>
          <w:sz w:val="24"/>
          <w:szCs w:val="24"/>
        </w:rPr>
        <w:t xml:space="preserve"> </w:t>
      </w:r>
      <w:r w:rsidR="004202CA">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 xml:space="preserve">It ruled that </w:t>
      </w:r>
      <w:r w:rsidR="0060274E" w:rsidRPr="004045AD">
        <w:rPr>
          <w:rFonts w:ascii="Times New Roman" w:eastAsia="Calibri" w:hAnsi="Times New Roman" w:cs="Times New Roman"/>
          <w:sz w:val="24"/>
          <w:szCs w:val="24"/>
        </w:rPr>
        <w:t>Ashram</w:t>
      </w:r>
      <w:r w:rsidR="00432C6D" w:rsidRPr="004045AD">
        <w:rPr>
          <w:rFonts w:ascii="Times New Roman" w:eastAsia="Calibri" w:hAnsi="Times New Roman" w:cs="Times New Roman"/>
          <w:sz w:val="24"/>
          <w:szCs w:val="24"/>
        </w:rPr>
        <w:t xml:space="preserve"> acquired a controlling interest in </w:t>
      </w:r>
      <w:r w:rsidR="0060274E" w:rsidRPr="004045AD">
        <w:rPr>
          <w:rFonts w:ascii="Times New Roman" w:eastAsia="Calibri" w:hAnsi="Times New Roman" w:cs="Times New Roman"/>
          <w:sz w:val="24"/>
          <w:szCs w:val="24"/>
        </w:rPr>
        <w:t>Profeeds</w:t>
      </w:r>
      <w:r w:rsidR="008F4F0A" w:rsidRPr="004045AD">
        <w:rPr>
          <w:rFonts w:ascii="Times New Roman" w:eastAsia="Calibri" w:hAnsi="Times New Roman" w:cs="Times New Roman"/>
          <w:sz w:val="24"/>
          <w:szCs w:val="24"/>
        </w:rPr>
        <w:t xml:space="preserve"> and </w:t>
      </w:r>
      <w:r w:rsidR="0060274E" w:rsidRPr="004045AD">
        <w:rPr>
          <w:rFonts w:ascii="Times New Roman" w:eastAsia="Calibri" w:hAnsi="Times New Roman" w:cs="Times New Roman"/>
          <w:sz w:val="24"/>
          <w:szCs w:val="24"/>
        </w:rPr>
        <w:t>Produtrade</w:t>
      </w:r>
      <w:r w:rsidR="00432C6D" w:rsidRPr="004045AD">
        <w:rPr>
          <w:rFonts w:ascii="Times New Roman" w:eastAsia="Calibri" w:hAnsi="Times New Roman" w:cs="Times New Roman"/>
          <w:sz w:val="24"/>
          <w:szCs w:val="24"/>
        </w:rPr>
        <w:t xml:space="preserve">. </w:t>
      </w:r>
    </w:p>
    <w:p w:rsidR="00943F8A" w:rsidRPr="004045AD" w:rsidRDefault="00943F8A" w:rsidP="008F4F0A">
      <w:pPr>
        <w:tabs>
          <w:tab w:val="left" w:pos="567"/>
        </w:tabs>
        <w:spacing w:after="0" w:line="240" w:lineRule="auto"/>
        <w:jc w:val="both"/>
        <w:rPr>
          <w:rFonts w:ascii="Times New Roman" w:eastAsia="Calibri" w:hAnsi="Times New Roman" w:cs="Times New Roman"/>
          <w:sz w:val="24"/>
          <w:szCs w:val="24"/>
        </w:rPr>
      </w:pPr>
    </w:p>
    <w:p w:rsidR="00432C6D" w:rsidRPr="004045AD" w:rsidRDefault="008F4F0A" w:rsidP="0004758F">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[13</w:t>
      </w:r>
      <w:r w:rsidR="00943F8A" w:rsidRPr="004045AD">
        <w:rPr>
          <w:rFonts w:ascii="Times New Roman" w:eastAsia="Calibri" w:hAnsi="Times New Roman" w:cs="Times New Roman"/>
          <w:sz w:val="24"/>
          <w:szCs w:val="24"/>
        </w:rPr>
        <w:t xml:space="preserve">] </w:t>
      </w:r>
      <w:r w:rsidR="004202CA">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The court</w:t>
      </w:r>
      <w:r w:rsidR="002B3A41" w:rsidRPr="004045AD">
        <w:rPr>
          <w:rFonts w:ascii="Times New Roman" w:eastAsia="Calibri" w:hAnsi="Times New Roman" w:cs="Times New Roman"/>
          <w:sz w:val="24"/>
          <w:szCs w:val="24"/>
        </w:rPr>
        <w:t xml:space="preserve"> </w:t>
      </w:r>
      <w:r w:rsidR="002B3A41" w:rsidRPr="004045AD">
        <w:rPr>
          <w:rFonts w:ascii="Times New Roman" w:eastAsia="Calibri" w:hAnsi="Times New Roman" w:cs="Times New Roman"/>
          <w:i/>
          <w:sz w:val="24"/>
          <w:szCs w:val="24"/>
        </w:rPr>
        <w:t>a quo</w:t>
      </w:r>
      <w:r w:rsidR="00432C6D" w:rsidRPr="004045AD">
        <w:rPr>
          <w:rFonts w:ascii="Times New Roman" w:eastAsia="Calibri" w:hAnsi="Times New Roman" w:cs="Times New Roman"/>
          <w:sz w:val="24"/>
          <w:szCs w:val="24"/>
        </w:rPr>
        <w:t xml:space="preserve"> found that when the appellant made its decision, it did not invite the respondents to make representations. </w:t>
      </w:r>
      <w:r w:rsidRPr="004045AD">
        <w:rPr>
          <w:rFonts w:ascii="Times New Roman" w:eastAsia="Calibri" w:hAnsi="Times New Roman" w:cs="Times New Roman"/>
          <w:sz w:val="24"/>
          <w:szCs w:val="24"/>
        </w:rPr>
        <w:t xml:space="preserve"> </w:t>
      </w:r>
      <w:r w:rsidR="00D83A4C" w:rsidRPr="004045AD">
        <w:rPr>
          <w:rFonts w:ascii="Times New Roman" w:eastAsia="Calibri" w:hAnsi="Times New Roman" w:cs="Times New Roman"/>
          <w:sz w:val="24"/>
          <w:szCs w:val="24"/>
        </w:rPr>
        <w:t>It</w:t>
      </w:r>
      <w:r w:rsidR="00943F8A" w:rsidRPr="004045AD">
        <w:rPr>
          <w:rFonts w:ascii="Times New Roman" w:eastAsia="Calibri" w:hAnsi="Times New Roman" w:cs="Times New Roman"/>
          <w:sz w:val="24"/>
          <w:szCs w:val="24"/>
        </w:rPr>
        <w:t xml:space="preserve"> also</w:t>
      </w:r>
      <w:r w:rsidR="00432C6D" w:rsidRPr="004045AD">
        <w:rPr>
          <w:rFonts w:ascii="Times New Roman" w:eastAsia="Calibri" w:hAnsi="Times New Roman" w:cs="Times New Roman"/>
          <w:sz w:val="24"/>
          <w:szCs w:val="24"/>
        </w:rPr>
        <w:t xml:space="preserve"> found that the evidence on record, </w:t>
      </w:r>
      <w:r w:rsidR="00FF72CD" w:rsidRPr="004045AD">
        <w:rPr>
          <w:rFonts w:ascii="Times New Roman" w:eastAsia="Calibri" w:hAnsi="Times New Roman" w:cs="Times New Roman"/>
          <w:sz w:val="24"/>
          <w:szCs w:val="24"/>
        </w:rPr>
        <w:t>established</w:t>
      </w:r>
      <w:r w:rsidR="00432C6D" w:rsidRPr="004045AD">
        <w:rPr>
          <w:rFonts w:ascii="Times New Roman" w:eastAsia="Calibri" w:hAnsi="Times New Roman" w:cs="Times New Roman"/>
          <w:sz w:val="24"/>
          <w:szCs w:val="24"/>
        </w:rPr>
        <w:t xml:space="preserve"> that there were at least 20 other players in the stock-feeds market whereas previously only Profeeds a</w:t>
      </w:r>
      <w:r w:rsidR="00630FC9" w:rsidRPr="004045AD">
        <w:rPr>
          <w:rFonts w:ascii="Times New Roman" w:eastAsia="Calibri" w:hAnsi="Times New Roman" w:cs="Times New Roman"/>
          <w:sz w:val="24"/>
          <w:szCs w:val="24"/>
        </w:rPr>
        <w:t>nd N</w:t>
      </w:r>
      <w:r w:rsidR="00D83A4C" w:rsidRPr="004045AD">
        <w:rPr>
          <w:rFonts w:ascii="Times New Roman" w:eastAsia="Calibri" w:hAnsi="Times New Roman" w:cs="Times New Roman"/>
          <w:sz w:val="24"/>
          <w:szCs w:val="24"/>
        </w:rPr>
        <w:t xml:space="preserve">ational </w:t>
      </w:r>
      <w:r w:rsidR="00630FC9" w:rsidRPr="004045AD">
        <w:rPr>
          <w:rFonts w:ascii="Times New Roman" w:eastAsia="Calibri" w:hAnsi="Times New Roman" w:cs="Times New Roman"/>
          <w:sz w:val="24"/>
          <w:szCs w:val="24"/>
        </w:rPr>
        <w:t>F</w:t>
      </w:r>
      <w:r w:rsidR="00D83A4C" w:rsidRPr="004045AD">
        <w:rPr>
          <w:rFonts w:ascii="Times New Roman" w:eastAsia="Calibri" w:hAnsi="Times New Roman" w:cs="Times New Roman"/>
          <w:sz w:val="24"/>
          <w:szCs w:val="24"/>
        </w:rPr>
        <w:t>oods</w:t>
      </w:r>
      <w:r w:rsidR="00630FC9" w:rsidRPr="004045AD">
        <w:rPr>
          <w:rFonts w:ascii="Times New Roman" w:eastAsia="Calibri" w:hAnsi="Times New Roman" w:cs="Times New Roman"/>
          <w:sz w:val="24"/>
          <w:szCs w:val="24"/>
        </w:rPr>
        <w:t xml:space="preserve"> were the dominant ones. It </w:t>
      </w:r>
      <w:r w:rsidR="00F822D5" w:rsidRPr="004045AD">
        <w:rPr>
          <w:rFonts w:ascii="Times New Roman" w:eastAsia="Calibri" w:hAnsi="Times New Roman" w:cs="Times New Roman"/>
          <w:sz w:val="24"/>
          <w:szCs w:val="24"/>
        </w:rPr>
        <w:t xml:space="preserve">found that the merger had a </w:t>
      </w:r>
      <w:r w:rsidR="00F51AA2">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lastRenderedPageBreak/>
        <w:t>pro-competitive effect which is in the public interest as opposed to the appellant</w:t>
      </w:r>
      <w:r w:rsidR="008F465A" w:rsidRPr="004045AD">
        <w:rPr>
          <w:rFonts w:ascii="Times New Roman" w:eastAsia="Calibri" w:hAnsi="Times New Roman" w:cs="Times New Roman"/>
          <w:sz w:val="24"/>
          <w:szCs w:val="24"/>
        </w:rPr>
        <w:t>’</w:t>
      </w:r>
      <w:r w:rsidR="00432C6D" w:rsidRPr="004045AD">
        <w:rPr>
          <w:rFonts w:ascii="Times New Roman" w:eastAsia="Calibri" w:hAnsi="Times New Roman" w:cs="Times New Roman"/>
          <w:sz w:val="24"/>
          <w:szCs w:val="24"/>
        </w:rPr>
        <w:t>s finding that the merger is against</w:t>
      </w:r>
      <w:r w:rsidR="004025AE">
        <w:rPr>
          <w:rFonts w:ascii="Times New Roman" w:eastAsia="Calibri" w:hAnsi="Times New Roman" w:cs="Times New Roman"/>
          <w:sz w:val="24"/>
          <w:szCs w:val="24"/>
        </w:rPr>
        <w:t xml:space="preserve"> the</w:t>
      </w:r>
      <w:r w:rsidR="009B7304">
        <w:rPr>
          <w:rFonts w:ascii="Times New Roman" w:eastAsia="Calibri" w:hAnsi="Times New Roman" w:cs="Times New Roman"/>
          <w:sz w:val="24"/>
          <w:szCs w:val="24"/>
        </w:rPr>
        <w:t xml:space="preserve"> public interest.  </w:t>
      </w:r>
      <w:r w:rsidR="00432C6D" w:rsidRPr="004045AD">
        <w:rPr>
          <w:rFonts w:ascii="Times New Roman" w:eastAsia="Calibri" w:hAnsi="Times New Roman" w:cs="Times New Roman"/>
          <w:sz w:val="24"/>
          <w:szCs w:val="24"/>
        </w:rPr>
        <w:t>Regarding the issue of imposing a monetary penalty, the court</w:t>
      </w:r>
      <w:r w:rsidR="00D83A4C" w:rsidRPr="004045AD">
        <w:rPr>
          <w:rFonts w:ascii="Times New Roman" w:eastAsia="Calibri" w:hAnsi="Times New Roman" w:cs="Times New Roman"/>
          <w:i/>
          <w:sz w:val="24"/>
          <w:szCs w:val="24"/>
        </w:rPr>
        <w:t xml:space="preserve"> a quo</w:t>
      </w:r>
      <w:r w:rsidR="00D83A4C" w:rsidRPr="004045AD">
        <w:rPr>
          <w:rFonts w:ascii="Times New Roman" w:eastAsia="Calibri" w:hAnsi="Times New Roman" w:cs="Times New Roman"/>
          <w:sz w:val="24"/>
          <w:szCs w:val="24"/>
        </w:rPr>
        <w:t xml:space="preserve"> ruled that the respondent</w:t>
      </w:r>
      <w:r w:rsidRPr="004045AD">
        <w:rPr>
          <w:rFonts w:ascii="Times New Roman" w:eastAsia="Calibri" w:hAnsi="Times New Roman" w:cs="Times New Roman"/>
          <w:sz w:val="24"/>
          <w:szCs w:val="24"/>
        </w:rPr>
        <w:t xml:space="preserve">s contravened s </w:t>
      </w:r>
      <w:r w:rsidR="00432C6D" w:rsidRPr="004045AD">
        <w:rPr>
          <w:rFonts w:ascii="Times New Roman" w:eastAsia="Calibri" w:hAnsi="Times New Roman" w:cs="Times New Roman"/>
          <w:sz w:val="24"/>
          <w:szCs w:val="24"/>
        </w:rPr>
        <w:t xml:space="preserve">34 (A) (3) (a) of the Act. </w:t>
      </w:r>
      <w:r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It ruled that</w:t>
      </w:r>
      <w:r w:rsidR="00D83A4C" w:rsidRPr="004045AD">
        <w:rPr>
          <w:rFonts w:ascii="Times New Roman" w:eastAsia="Calibri" w:hAnsi="Times New Roman" w:cs="Times New Roman"/>
          <w:sz w:val="24"/>
          <w:szCs w:val="24"/>
        </w:rPr>
        <w:t xml:space="preserve"> the penalty</w:t>
      </w:r>
      <w:r w:rsidR="00432C6D" w:rsidRPr="004045AD">
        <w:rPr>
          <w:rFonts w:ascii="Times New Roman" w:eastAsia="Calibri" w:hAnsi="Times New Roman" w:cs="Times New Roman"/>
          <w:sz w:val="24"/>
          <w:szCs w:val="24"/>
        </w:rPr>
        <w:t xml:space="preserve"> impos</w:t>
      </w:r>
      <w:r w:rsidR="00D83A4C" w:rsidRPr="004045AD">
        <w:rPr>
          <w:rFonts w:ascii="Times New Roman" w:eastAsia="Calibri" w:hAnsi="Times New Roman" w:cs="Times New Roman"/>
          <w:sz w:val="24"/>
          <w:szCs w:val="24"/>
        </w:rPr>
        <w:t>ed</w:t>
      </w:r>
      <w:r w:rsidR="00432C6D" w:rsidRPr="004045AD">
        <w:rPr>
          <w:rFonts w:ascii="Times New Roman" w:eastAsia="Calibri" w:hAnsi="Times New Roman" w:cs="Times New Roman"/>
          <w:sz w:val="24"/>
          <w:szCs w:val="24"/>
        </w:rPr>
        <w:t xml:space="preserve"> on </w:t>
      </w:r>
      <w:r w:rsidR="00E2128C" w:rsidRPr="004045AD">
        <w:rPr>
          <w:rFonts w:ascii="Times New Roman" w:eastAsia="Calibri" w:hAnsi="Times New Roman" w:cs="Times New Roman"/>
          <w:sz w:val="24"/>
          <w:szCs w:val="24"/>
        </w:rPr>
        <w:t>Innscor</w:t>
      </w:r>
      <w:r w:rsidR="00432C6D" w:rsidRPr="004045AD">
        <w:rPr>
          <w:rFonts w:ascii="Times New Roman" w:eastAsia="Calibri" w:hAnsi="Times New Roman" w:cs="Times New Roman"/>
          <w:sz w:val="24"/>
          <w:szCs w:val="24"/>
        </w:rPr>
        <w:t xml:space="preserve"> was irregular </w:t>
      </w:r>
      <w:r w:rsidR="00D83A4C" w:rsidRPr="004045AD">
        <w:rPr>
          <w:rFonts w:ascii="Times New Roman" w:eastAsia="Calibri" w:hAnsi="Times New Roman" w:cs="Times New Roman"/>
          <w:sz w:val="24"/>
          <w:szCs w:val="24"/>
        </w:rPr>
        <w:t>because</w:t>
      </w:r>
      <w:r w:rsidR="00D53D93" w:rsidRPr="004045AD">
        <w:rPr>
          <w:rFonts w:ascii="Times New Roman" w:eastAsia="Calibri" w:hAnsi="Times New Roman" w:cs="Times New Roman"/>
          <w:sz w:val="24"/>
          <w:szCs w:val="24"/>
        </w:rPr>
        <w:t xml:space="preserve"> Innscor</w:t>
      </w:r>
      <w:r w:rsidR="00432C6D" w:rsidRPr="004045AD">
        <w:rPr>
          <w:rFonts w:ascii="Times New Roman" w:eastAsia="Calibri" w:hAnsi="Times New Roman" w:cs="Times New Roman"/>
          <w:sz w:val="24"/>
          <w:szCs w:val="24"/>
        </w:rPr>
        <w:t xml:space="preserve"> also comprises of innocent companies. </w:t>
      </w:r>
      <w:r w:rsidR="00861CBA"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 xml:space="preserve">The court </w:t>
      </w:r>
      <w:r w:rsidR="00D83A4C" w:rsidRPr="004045AD">
        <w:rPr>
          <w:rFonts w:ascii="Times New Roman" w:eastAsia="Calibri" w:hAnsi="Times New Roman" w:cs="Times New Roman"/>
          <w:i/>
          <w:sz w:val="24"/>
          <w:szCs w:val="24"/>
        </w:rPr>
        <w:t>a quo</w:t>
      </w:r>
      <w:r w:rsidR="00D83A4C"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 xml:space="preserve">found that a penalty </w:t>
      </w:r>
      <w:r w:rsidR="00D83A4C" w:rsidRPr="004045AD">
        <w:rPr>
          <w:rFonts w:ascii="Times New Roman" w:eastAsia="Calibri" w:hAnsi="Times New Roman" w:cs="Times New Roman"/>
          <w:sz w:val="24"/>
          <w:szCs w:val="24"/>
        </w:rPr>
        <w:t>of</w:t>
      </w:r>
      <w:r w:rsidR="00432C6D" w:rsidRPr="004045AD">
        <w:rPr>
          <w:rFonts w:ascii="Times New Roman" w:eastAsia="Calibri" w:hAnsi="Times New Roman" w:cs="Times New Roman"/>
          <w:sz w:val="24"/>
          <w:szCs w:val="24"/>
        </w:rPr>
        <w:t xml:space="preserve"> a caution and discharge </w:t>
      </w:r>
      <w:r w:rsidR="00D83A4C" w:rsidRPr="004045AD">
        <w:rPr>
          <w:rFonts w:ascii="Times New Roman" w:eastAsia="Calibri" w:hAnsi="Times New Roman" w:cs="Times New Roman"/>
          <w:sz w:val="24"/>
          <w:szCs w:val="24"/>
        </w:rPr>
        <w:t>was appropriate</w:t>
      </w:r>
      <w:r w:rsidR="00432C6D" w:rsidRPr="004045AD">
        <w:rPr>
          <w:rFonts w:ascii="Times New Roman" w:eastAsia="Calibri" w:hAnsi="Times New Roman" w:cs="Times New Roman"/>
          <w:sz w:val="24"/>
          <w:szCs w:val="24"/>
        </w:rPr>
        <w:t xml:space="preserve">. </w:t>
      </w:r>
      <w:r w:rsidR="00861CBA" w:rsidRPr="004045AD">
        <w:rPr>
          <w:rFonts w:ascii="Times New Roman" w:eastAsia="Calibri" w:hAnsi="Times New Roman" w:cs="Times New Roman"/>
          <w:sz w:val="24"/>
          <w:szCs w:val="24"/>
        </w:rPr>
        <w:t xml:space="preserve"> </w:t>
      </w:r>
      <w:r w:rsidR="00EF17AF" w:rsidRPr="004045AD">
        <w:rPr>
          <w:rFonts w:ascii="Times New Roman" w:eastAsia="Calibri" w:hAnsi="Times New Roman" w:cs="Times New Roman"/>
          <w:sz w:val="24"/>
          <w:szCs w:val="24"/>
        </w:rPr>
        <w:t>It held</w:t>
      </w:r>
      <w:r w:rsidR="00432C6D" w:rsidRPr="004045AD">
        <w:rPr>
          <w:rFonts w:ascii="Times New Roman" w:eastAsia="Calibri" w:hAnsi="Times New Roman" w:cs="Times New Roman"/>
          <w:sz w:val="24"/>
          <w:szCs w:val="24"/>
        </w:rPr>
        <w:t xml:space="preserve"> that competition law exist</w:t>
      </w:r>
      <w:r w:rsidR="006752A3">
        <w:rPr>
          <w:rFonts w:ascii="Times New Roman" w:eastAsia="Calibri" w:hAnsi="Times New Roman" w:cs="Times New Roman"/>
          <w:sz w:val="24"/>
          <w:szCs w:val="24"/>
        </w:rPr>
        <w:t>s</w:t>
      </w:r>
      <w:r w:rsidR="00432C6D" w:rsidRPr="004045AD">
        <w:rPr>
          <w:rFonts w:ascii="Times New Roman" w:eastAsia="Calibri" w:hAnsi="Times New Roman" w:cs="Times New Roman"/>
          <w:sz w:val="24"/>
          <w:szCs w:val="24"/>
        </w:rPr>
        <w:t xml:space="preserve"> to promote the welfare of the citizens. </w:t>
      </w:r>
      <w:r w:rsidR="00861CBA" w:rsidRPr="004045AD">
        <w:rPr>
          <w:rFonts w:ascii="Times New Roman" w:eastAsia="Calibri" w:hAnsi="Times New Roman" w:cs="Times New Roman"/>
          <w:sz w:val="24"/>
          <w:szCs w:val="24"/>
        </w:rPr>
        <w:t xml:space="preserve"> </w:t>
      </w:r>
      <w:r w:rsidR="00432C6D" w:rsidRPr="004045AD">
        <w:rPr>
          <w:rFonts w:ascii="Times New Roman" w:eastAsia="Calibri" w:hAnsi="Times New Roman" w:cs="Times New Roman"/>
          <w:sz w:val="24"/>
          <w:szCs w:val="24"/>
        </w:rPr>
        <w:t>The court</w:t>
      </w:r>
      <w:r w:rsidR="00EF17AF" w:rsidRPr="004045AD">
        <w:rPr>
          <w:rFonts w:ascii="Times New Roman" w:eastAsia="Calibri" w:hAnsi="Times New Roman" w:cs="Times New Roman"/>
          <w:sz w:val="24"/>
          <w:szCs w:val="24"/>
        </w:rPr>
        <w:t xml:space="preserve"> </w:t>
      </w:r>
      <w:r w:rsidR="00EF17AF" w:rsidRPr="004045AD">
        <w:rPr>
          <w:rFonts w:ascii="Times New Roman" w:eastAsia="Calibri" w:hAnsi="Times New Roman" w:cs="Times New Roman"/>
          <w:i/>
          <w:sz w:val="24"/>
          <w:szCs w:val="24"/>
        </w:rPr>
        <w:t>a quo</w:t>
      </w:r>
      <w:r w:rsidR="00432C6D" w:rsidRPr="004045AD">
        <w:rPr>
          <w:rFonts w:ascii="Times New Roman" w:eastAsia="Calibri" w:hAnsi="Times New Roman" w:cs="Times New Roman"/>
          <w:sz w:val="24"/>
          <w:szCs w:val="24"/>
        </w:rPr>
        <w:t xml:space="preserve"> therefore </w:t>
      </w:r>
      <w:r w:rsidR="00EF17AF" w:rsidRPr="004045AD">
        <w:rPr>
          <w:rFonts w:ascii="Times New Roman" w:eastAsia="Calibri" w:hAnsi="Times New Roman" w:cs="Times New Roman"/>
          <w:sz w:val="24"/>
          <w:szCs w:val="24"/>
        </w:rPr>
        <w:t>allowed</w:t>
      </w:r>
      <w:r w:rsidR="00432C6D" w:rsidRPr="004045AD">
        <w:rPr>
          <w:rFonts w:ascii="Times New Roman" w:eastAsia="Calibri" w:hAnsi="Times New Roman" w:cs="Times New Roman"/>
          <w:sz w:val="24"/>
          <w:szCs w:val="24"/>
        </w:rPr>
        <w:t xml:space="preserve"> the appeal in part thereby a</w:t>
      </w:r>
      <w:r w:rsidR="00EF17AF" w:rsidRPr="004045AD">
        <w:rPr>
          <w:rFonts w:ascii="Times New Roman" w:eastAsia="Calibri" w:hAnsi="Times New Roman" w:cs="Times New Roman"/>
          <w:sz w:val="24"/>
          <w:szCs w:val="24"/>
        </w:rPr>
        <w:t>llowing</w:t>
      </w:r>
      <w:r w:rsidR="00432C6D" w:rsidRPr="004045AD">
        <w:rPr>
          <w:rFonts w:ascii="Times New Roman" w:eastAsia="Calibri" w:hAnsi="Times New Roman" w:cs="Times New Roman"/>
          <w:sz w:val="24"/>
          <w:szCs w:val="24"/>
        </w:rPr>
        <w:t xml:space="preserve"> the respondent’s merger</w:t>
      </w:r>
      <w:r w:rsidR="00EF17AF" w:rsidRPr="004045AD">
        <w:rPr>
          <w:rFonts w:ascii="Times New Roman" w:eastAsia="Calibri" w:hAnsi="Times New Roman" w:cs="Times New Roman"/>
          <w:sz w:val="24"/>
          <w:szCs w:val="24"/>
        </w:rPr>
        <w:t xml:space="preserve"> and</w:t>
      </w:r>
      <w:r w:rsidR="00432C6D" w:rsidRPr="004045AD">
        <w:rPr>
          <w:rFonts w:ascii="Times New Roman" w:eastAsia="Calibri" w:hAnsi="Times New Roman" w:cs="Times New Roman"/>
          <w:sz w:val="24"/>
          <w:szCs w:val="24"/>
        </w:rPr>
        <w:t xml:space="preserve"> caution</w:t>
      </w:r>
      <w:r w:rsidR="00EF17AF" w:rsidRPr="004045AD">
        <w:rPr>
          <w:rFonts w:ascii="Times New Roman" w:eastAsia="Calibri" w:hAnsi="Times New Roman" w:cs="Times New Roman"/>
          <w:sz w:val="24"/>
          <w:szCs w:val="24"/>
        </w:rPr>
        <w:t>ing</w:t>
      </w:r>
      <w:r w:rsidR="00432C6D" w:rsidRPr="004045AD">
        <w:rPr>
          <w:rFonts w:ascii="Times New Roman" w:eastAsia="Calibri" w:hAnsi="Times New Roman" w:cs="Times New Roman"/>
          <w:sz w:val="24"/>
          <w:szCs w:val="24"/>
        </w:rPr>
        <w:t xml:space="preserve"> and discharg</w:t>
      </w:r>
      <w:r w:rsidR="00EF17AF" w:rsidRPr="004045AD">
        <w:rPr>
          <w:rFonts w:ascii="Times New Roman" w:eastAsia="Calibri" w:hAnsi="Times New Roman" w:cs="Times New Roman"/>
          <w:sz w:val="24"/>
          <w:szCs w:val="24"/>
        </w:rPr>
        <w:t>ing</w:t>
      </w:r>
      <w:r w:rsidR="00432C6D" w:rsidRPr="004045AD">
        <w:rPr>
          <w:rFonts w:ascii="Times New Roman" w:eastAsia="Calibri" w:hAnsi="Times New Roman" w:cs="Times New Roman"/>
          <w:sz w:val="24"/>
          <w:szCs w:val="24"/>
        </w:rPr>
        <w:t xml:space="preserve"> the respondents.</w:t>
      </w:r>
    </w:p>
    <w:p w:rsidR="00891BFA" w:rsidRPr="004045AD" w:rsidRDefault="00891BFA" w:rsidP="00891BFA">
      <w:pPr>
        <w:tabs>
          <w:tab w:val="left" w:pos="567"/>
        </w:tabs>
        <w:spacing w:after="0" w:line="240" w:lineRule="auto"/>
        <w:ind w:left="567" w:hanging="567"/>
        <w:jc w:val="both"/>
        <w:rPr>
          <w:rFonts w:ascii="Times New Roman" w:eastAsia="Calibri" w:hAnsi="Times New Roman" w:cs="Times New Roman"/>
          <w:sz w:val="24"/>
          <w:szCs w:val="24"/>
        </w:rPr>
      </w:pPr>
    </w:p>
    <w:p w:rsidR="008E031E" w:rsidRPr="004045AD" w:rsidRDefault="00630FC9" w:rsidP="0004758F">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EF17AF" w:rsidRPr="004045AD">
        <w:rPr>
          <w:rFonts w:ascii="Times New Roman" w:eastAsia="Calibri" w:hAnsi="Times New Roman" w:cs="Times New Roman"/>
          <w:sz w:val="24"/>
          <w:szCs w:val="24"/>
        </w:rPr>
        <w:t>1</w:t>
      </w:r>
      <w:r w:rsidR="003D2B4C" w:rsidRPr="004045AD">
        <w:rPr>
          <w:rFonts w:ascii="Times New Roman" w:eastAsia="Calibri" w:hAnsi="Times New Roman" w:cs="Times New Roman"/>
          <w:sz w:val="24"/>
          <w:szCs w:val="24"/>
        </w:rPr>
        <w:t>4</w:t>
      </w:r>
      <w:r w:rsidR="00FD6853" w:rsidRPr="004045AD">
        <w:rPr>
          <w:rFonts w:ascii="Times New Roman" w:eastAsia="Calibri" w:hAnsi="Times New Roman" w:cs="Times New Roman"/>
          <w:sz w:val="24"/>
          <w:szCs w:val="24"/>
        </w:rPr>
        <w:t xml:space="preserve">] </w:t>
      </w:r>
      <w:r w:rsidR="004202CA">
        <w:rPr>
          <w:rFonts w:ascii="Times New Roman" w:eastAsia="Calibri" w:hAnsi="Times New Roman" w:cs="Times New Roman"/>
          <w:sz w:val="24"/>
          <w:szCs w:val="24"/>
        </w:rPr>
        <w:t xml:space="preserve"> </w:t>
      </w:r>
      <w:r w:rsidR="0004758F" w:rsidRPr="004045AD">
        <w:rPr>
          <w:rFonts w:ascii="Times New Roman" w:eastAsia="Calibri" w:hAnsi="Times New Roman" w:cs="Times New Roman"/>
          <w:sz w:val="24"/>
          <w:szCs w:val="24"/>
        </w:rPr>
        <w:t xml:space="preserve"> </w:t>
      </w:r>
      <w:r w:rsidR="00FD6853" w:rsidRPr="004045AD">
        <w:rPr>
          <w:rFonts w:ascii="Times New Roman" w:eastAsia="Calibri" w:hAnsi="Times New Roman" w:cs="Times New Roman"/>
          <w:sz w:val="24"/>
          <w:szCs w:val="24"/>
        </w:rPr>
        <w:t>Aggrieved</w:t>
      </w:r>
      <w:r w:rsidR="008E031E" w:rsidRPr="004045AD">
        <w:rPr>
          <w:rFonts w:ascii="Times New Roman" w:eastAsia="Calibri" w:hAnsi="Times New Roman" w:cs="Times New Roman"/>
          <w:sz w:val="24"/>
          <w:szCs w:val="24"/>
        </w:rPr>
        <w:t xml:space="preserve"> by the decision of the court </w:t>
      </w:r>
      <w:r w:rsidR="008E031E" w:rsidRPr="004045AD">
        <w:rPr>
          <w:rFonts w:ascii="Times New Roman" w:eastAsia="Calibri" w:hAnsi="Times New Roman" w:cs="Times New Roman"/>
          <w:i/>
          <w:sz w:val="24"/>
          <w:szCs w:val="24"/>
        </w:rPr>
        <w:t>a quo,</w:t>
      </w:r>
      <w:r w:rsidR="008E031E" w:rsidRPr="004045AD">
        <w:rPr>
          <w:rFonts w:ascii="Times New Roman" w:eastAsia="Calibri" w:hAnsi="Times New Roman" w:cs="Times New Roman"/>
          <w:sz w:val="24"/>
          <w:szCs w:val="24"/>
        </w:rPr>
        <w:t xml:space="preserve"> the appellant noted the present appeal on the following grounds:</w:t>
      </w:r>
    </w:p>
    <w:p w:rsidR="003D2B4C" w:rsidRPr="004045AD" w:rsidRDefault="003D2B4C" w:rsidP="003D2B4C">
      <w:pPr>
        <w:tabs>
          <w:tab w:val="left" w:pos="567"/>
        </w:tabs>
        <w:spacing w:after="0" w:line="240" w:lineRule="auto"/>
        <w:ind w:left="567" w:hanging="567"/>
        <w:jc w:val="both"/>
        <w:rPr>
          <w:rFonts w:ascii="Times New Roman" w:eastAsia="Calibri" w:hAnsi="Times New Roman" w:cs="Times New Roman"/>
          <w:sz w:val="24"/>
          <w:szCs w:val="24"/>
        </w:rPr>
      </w:pPr>
    </w:p>
    <w:p w:rsidR="008E031E" w:rsidRPr="004045AD" w:rsidRDefault="008E031E" w:rsidP="008E031E">
      <w:pPr>
        <w:spacing w:line="360" w:lineRule="auto"/>
        <w:jc w:val="both"/>
        <w:rPr>
          <w:rFonts w:ascii="Times New Roman" w:eastAsia="Calibri" w:hAnsi="Times New Roman" w:cs="Times New Roman"/>
          <w:b/>
          <w:sz w:val="24"/>
          <w:szCs w:val="24"/>
          <w:u w:val="single"/>
        </w:rPr>
      </w:pPr>
      <w:r w:rsidRPr="004045AD">
        <w:rPr>
          <w:rFonts w:ascii="Times New Roman" w:eastAsia="Calibri" w:hAnsi="Times New Roman" w:cs="Times New Roman"/>
          <w:b/>
          <w:sz w:val="24"/>
          <w:szCs w:val="24"/>
          <w:u w:val="single"/>
        </w:rPr>
        <w:t>GROUNDS OF APPEAL</w:t>
      </w:r>
    </w:p>
    <w:p w:rsidR="008E031E" w:rsidRPr="004045AD" w:rsidRDefault="003D2B4C" w:rsidP="0004758F">
      <w:pPr>
        <w:tabs>
          <w:tab w:val="left" w:pos="567"/>
        </w:tabs>
        <w:spacing w:line="360" w:lineRule="auto"/>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[15</w:t>
      </w:r>
      <w:r w:rsidR="009234C9"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  </w:t>
      </w:r>
      <w:r w:rsidR="001606EE" w:rsidRPr="004045AD">
        <w:rPr>
          <w:rFonts w:ascii="Times New Roman" w:eastAsia="Calibri" w:hAnsi="Times New Roman" w:cs="Times New Roman"/>
          <w:sz w:val="24"/>
          <w:szCs w:val="24"/>
        </w:rPr>
        <w:t>The c</w:t>
      </w:r>
      <w:r w:rsidR="008E031E" w:rsidRPr="004045AD">
        <w:rPr>
          <w:rFonts w:ascii="Times New Roman" w:eastAsia="Calibri" w:hAnsi="Times New Roman" w:cs="Times New Roman"/>
          <w:sz w:val="24"/>
          <w:szCs w:val="24"/>
        </w:rPr>
        <w:t xml:space="preserve">ourt </w:t>
      </w:r>
      <w:r w:rsidR="008E031E" w:rsidRPr="004045AD">
        <w:rPr>
          <w:rFonts w:ascii="Times New Roman" w:eastAsia="Calibri" w:hAnsi="Times New Roman" w:cs="Times New Roman"/>
          <w:i/>
          <w:sz w:val="24"/>
          <w:szCs w:val="24"/>
        </w:rPr>
        <w:t>a quo</w:t>
      </w:r>
      <w:r w:rsidR="008E031E" w:rsidRPr="004045AD">
        <w:rPr>
          <w:rFonts w:ascii="Times New Roman" w:eastAsia="Calibri" w:hAnsi="Times New Roman" w:cs="Times New Roman"/>
          <w:sz w:val="24"/>
          <w:szCs w:val="24"/>
        </w:rPr>
        <w:t xml:space="preserve"> erred and misdirected itself by –  </w:t>
      </w:r>
    </w:p>
    <w:p w:rsidR="008E031E" w:rsidRPr="004045AD" w:rsidRDefault="008E031E" w:rsidP="003D2B4C">
      <w:pPr>
        <w:pStyle w:val="ListParagraph"/>
        <w:numPr>
          <w:ilvl w:val="0"/>
          <w:numId w:val="2"/>
        </w:numPr>
        <w:tabs>
          <w:tab w:val="left" w:pos="1701"/>
        </w:tabs>
        <w:spacing w:line="360" w:lineRule="auto"/>
        <w:ind w:left="1560" w:hanging="426"/>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Setting aside the Appellant’s findings of fact and its findings on the applicable principles of competition law without holding that such findings were grossly unreasonable or irrational. </w:t>
      </w:r>
    </w:p>
    <w:p w:rsidR="001606EE" w:rsidRPr="004045AD" w:rsidRDefault="008E031E" w:rsidP="001606EE">
      <w:pPr>
        <w:numPr>
          <w:ilvl w:val="0"/>
          <w:numId w:val="2"/>
        </w:numPr>
        <w:spacing w:line="360" w:lineRule="auto"/>
        <w:ind w:left="1560" w:hanging="426"/>
        <w:contextualSpacing/>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Failing </w:t>
      </w:r>
      <w:r w:rsidR="001606EE" w:rsidRPr="004045AD">
        <w:rPr>
          <w:rFonts w:ascii="Times New Roman" w:eastAsia="Calibri" w:hAnsi="Times New Roman" w:cs="Times New Roman"/>
          <w:sz w:val="24"/>
          <w:szCs w:val="24"/>
        </w:rPr>
        <w:t>to find that the merger of the a</w:t>
      </w:r>
      <w:r w:rsidRPr="004045AD">
        <w:rPr>
          <w:rFonts w:ascii="Times New Roman" w:eastAsia="Calibri" w:hAnsi="Times New Roman" w:cs="Times New Roman"/>
          <w:sz w:val="24"/>
          <w:szCs w:val="24"/>
        </w:rPr>
        <w:t>ppellants was contrary to the public interes</w:t>
      </w:r>
      <w:r w:rsidR="001606EE" w:rsidRPr="004045AD">
        <w:rPr>
          <w:rFonts w:ascii="Times New Roman" w:eastAsia="Calibri" w:hAnsi="Times New Roman" w:cs="Times New Roman"/>
          <w:sz w:val="24"/>
          <w:szCs w:val="24"/>
        </w:rPr>
        <w:t>t as it resulted in the fourth r</w:t>
      </w:r>
      <w:r w:rsidRPr="004045AD">
        <w:rPr>
          <w:rFonts w:ascii="Times New Roman" w:eastAsia="Calibri" w:hAnsi="Times New Roman" w:cs="Times New Roman"/>
          <w:sz w:val="24"/>
          <w:szCs w:val="24"/>
        </w:rPr>
        <w:t>espondent having overwhelming control and concentrated market power over the stock feed market as well as the whole livestock produce industry by virtue of the merger under consideration being approved.</w:t>
      </w:r>
    </w:p>
    <w:p w:rsidR="008E031E" w:rsidRPr="004045AD" w:rsidRDefault="008E031E" w:rsidP="001606EE">
      <w:pPr>
        <w:spacing w:after="0" w:line="240" w:lineRule="auto"/>
        <w:ind w:left="1560"/>
        <w:contextualSpacing/>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w:t>
      </w:r>
    </w:p>
    <w:p w:rsidR="008E031E" w:rsidRPr="004045AD" w:rsidRDefault="008E031E" w:rsidP="001606EE">
      <w:pPr>
        <w:numPr>
          <w:ilvl w:val="0"/>
          <w:numId w:val="2"/>
        </w:numPr>
        <w:spacing w:line="360" w:lineRule="auto"/>
        <w:ind w:left="1560" w:hanging="426"/>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Giving undue weight to matters arising after the </w:t>
      </w:r>
      <w:r w:rsidR="00EF17AF" w:rsidRPr="004045AD">
        <w:rPr>
          <w:rFonts w:ascii="Times New Roman" w:eastAsia="Calibri" w:hAnsi="Times New Roman" w:cs="Times New Roman"/>
          <w:sz w:val="24"/>
          <w:szCs w:val="24"/>
        </w:rPr>
        <w:t>r</w:t>
      </w:r>
      <w:r w:rsidRPr="004045AD">
        <w:rPr>
          <w:rFonts w:ascii="Times New Roman" w:eastAsia="Calibri" w:hAnsi="Times New Roman" w:cs="Times New Roman"/>
          <w:sz w:val="24"/>
          <w:szCs w:val="24"/>
        </w:rPr>
        <w:t xml:space="preserve">espondents had consummated the merger without notifying the </w:t>
      </w:r>
      <w:r w:rsidR="00EF17AF" w:rsidRPr="004045AD">
        <w:rPr>
          <w:rFonts w:ascii="Times New Roman" w:eastAsia="Calibri" w:hAnsi="Times New Roman" w:cs="Times New Roman"/>
          <w:sz w:val="24"/>
          <w:szCs w:val="24"/>
        </w:rPr>
        <w:t>a</w:t>
      </w:r>
      <w:r w:rsidRPr="004045AD">
        <w:rPr>
          <w:rFonts w:ascii="Times New Roman" w:eastAsia="Calibri" w:hAnsi="Times New Roman" w:cs="Times New Roman"/>
          <w:sz w:val="24"/>
          <w:szCs w:val="24"/>
        </w:rPr>
        <w:t xml:space="preserve">ppellant thereby allowing the </w:t>
      </w:r>
      <w:r w:rsidR="00EF17AF" w:rsidRPr="004045AD">
        <w:rPr>
          <w:rFonts w:ascii="Times New Roman" w:eastAsia="Calibri" w:hAnsi="Times New Roman" w:cs="Times New Roman"/>
          <w:sz w:val="24"/>
          <w:szCs w:val="24"/>
        </w:rPr>
        <w:t>r</w:t>
      </w:r>
      <w:r w:rsidRPr="004045AD">
        <w:rPr>
          <w:rFonts w:ascii="Times New Roman" w:eastAsia="Calibri" w:hAnsi="Times New Roman" w:cs="Times New Roman"/>
          <w:sz w:val="24"/>
          <w:szCs w:val="24"/>
        </w:rPr>
        <w:t>espondents to obtain maximum benefit from their unlawful conduct.</w:t>
      </w:r>
    </w:p>
    <w:p w:rsidR="008E031E" w:rsidRPr="004045AD" w:rsidRDefault="008E031E" w:rsidP="001606EE">
      <w:pPr>
        <w:numPr>
          <w:ilvl w:val="0"/>
          <w:numId w:val="2"/>
        </w:numPr>
        <w:spacing w:line="360" w:lineRule="auto"/>
        <w:ind w:left="1560" w:hanging="426"/>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lastRenderedPageBreak/>
        <w:t xml:space="preserve">Failing to take into consideration the fact that the </w:t>
      </w:r>
      <w:r w:rsidR="00EF17AF" w:rsidRPr="004045AD">
        <w:rPr>
          <w:rFonts w:ascii="Times New Roman" w:eastAsia="Calibri" w:hAnsi="Times New Roman" w:cs="Times New Roman"/>
          <w:sz w:val="24"/>
          <w:szCs w:val="24"/>
        </w:rPr>
        <w:t>r</w:t>
      </w:r>
      <w:r w:rsidRPr="004045AD">
        <w:rPr>
          <w:rFonts w:ascii="Times New Roman" w:eastAsia="Calibri" w:hAnsi="Times New Roman" w:cs="Times New Roman"/>
          <w:sz w:val="24"/>
          <w:szCs w:val="24"/>
        </w:rPr>
        <w:t xml:space="preserve">espondents previously notified the </w:t>
      </w:r>
      <w:r w:rsidR="00EF17AF" w:rsidRPr="004045AD">
        <w:rPr>
          <w:rFonts w:ascii="Times New Roman" w:eastAsia="Calibri" w:hAnsi="Times New Roman" w:cs="Times New Roman"/>
          <w:sz w:val="24"/>
          <w:szCs w:val="24"/>
        </w:rPr>
        <w:t>a</w:t>
      </w:r>
      <w:r w:rsidRPr="004045AD">
        <w:rPr>
          <w:rFonts w:ascii="Times New Roman" w:eastAsia="Calibri" w:hAnsi="Times New Roman" w:cs="Times New Roman"/>
          <w:sz w:val="24"/>
          <w:szCs w:val="24"/>
        </w:rPr>
        <w:t xml:space="preserve">ppellant of this merger and they were prohibited by the </w:t>
      </w:r>
      <w:r w:rsidR="00EF17AF" w:rsidRPr="004045AD">
        <w:rPr>
          <w:rFonts w:ascii="Times New Roman" w:eastAsia="Calibri" w:hAnsi="Times New Roman" w:cs="Times New Roman"/>
          <w:sz w:val="24"/>
          <w:szCs w:val="24"/>
        </w:rPr>
        <w:t>a</w:t>
      </w:r>
      <w:r w:rsidRPr="004045AD">
        <w:rPr>
          <w:rFonts w:ascii="Times New Roman" w:eastAsia="Calibri" w:hAnsi="Times New Roman" w:cs="Times New Roman"/>
          <w:sz w:val="24"/>
          <w:szCs w:val="24"/>
        </w:rPr>
        <w:t xml:space="preserve">ppellant from consummating it, thereby warranting a penalty and a prohibition when the merger was subsequently consummated without the </w:t>
      </w:r>
      <w:r w:rsidR="00EF17AF" w:rsidRPr="004045AD">
        <w:rPr>
          <w:rFonts w:ascii="Times New Roman" w:eastAsia="Calibri" w:hAnsi="Times New Roman" w:cs="Times New Roman"/>
          <w:sz w:val="24"/>
          <w:szCs w:val="24"/>
        </w:rPr>
        <w:t>a</w:t>
      </w:r>
      <w:r w:rsidRPr="004045AD">
        <w:rPr>
          <w:rFonts w:ascii="Times New Roman" w:eastAsia="Calibri" w:hAnsi="Times New Roman" w:cs="Times New Roman"/>
          <w:sz w:val="24"/>
          <w:szCs w:val="24"/>
        </w:rPr>
        <w:t xml:space="preserve">ppellant’s approval. </w:t>
      </w:r>
    </w:p>
    <w:p w:rsidR="008E031E" w:rsidRPr="004045AD" w:rsidRDefault="008E031E" w:rsidP="001606EE">
      <w:pPr>
        <w:numPr>
          <w:ilvl w:val="0"/>
          <w:numId w:val="2"/>
        </w:numPr>
        <w:tabs>
          <w:tab w:val="left" w:pos="1560"/>
        </w:tabs>
        <w:spacing w:line="360" w:lineRule="auto"/>
        <w:ind w:left="1560" w:hanging="426"/>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Holding that the “preceding financial year” for the purposes of calculating the penalty in terms of s 34</w:t>
      </w:r>
      <w:r w:rsidR="00630FC9"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A</w:t>
      </w:r>
      <w:r w:rsidR="00630FC9"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(A) of the Act was the year preceding the merger instead of the year preceding the notification of the merger. </w:t>
      </w:r>
    </w:p>
    <w:p w:rsidR="008E031E" w:rsidRPr="004045AD" w:rsidRDefault="008E031E" w:rsidP="008E031E">
      <w:pPr>
        <w:numPr>
          <w:ilvl w:val="0"/>
          <w:numId w:val="2"/>
        </w:numPr>
        <w:tabs>
          <w:tab w:val="left" w:pos="1560"/>
        </w:tabs>
        <w:spacing w:line="360" w:lineRule="auto"/>
        <w:ind w:left="1560" w:hanging="426"/>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Applying only one factor to determine the appropriate penalty when it was supposed to consider all seven (7) factors as dictated by s 34A</w:t>
      </w:r>
      <w:r w:rsidR="009C5DE0"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(5) of the </w:t>
      </w:r>
      <w:r w:rsidR="009C5DE0" w:rsidRPr="004045AD">
        <w:rPr>
          <w:rFonts w:ascii="Times New Roman" w:eastAsia="Calibri" w:hAnsi="Times New Roman" w:cs="Times New Roman"/>
          <w:sz w:val="24"/>
          <w:szCs w:val="24"/>
        </w:rPr>
        <w:t>Act</w:t>
      </w:r>
      <w:r w:rsidRPr="004045AD">
        <w:rPr>
          <w:rFonts w:ascii="Times New Roman" w:eastAsia="Calibri" w:hAnsi="Times New Roman" w:cs="Times New Roman"/>
          <w:b/>
          <w:sz w:val="24"/>
          <w:szCs w:val="24"/>
        </w:rPr>
        <w:t xml:space="preserve"> </w:t>
      </w:r>
      <w:r w:rsidRPr="004045AD">
        <w:rPr>
          <w:rFonts w:ascii="Times New Roman" w:eastAsia="Calibri" w:hAnsi="Times New Roman" w:cs="Times New Roman"/>
          <w:sz w:val="24"/>
          <w:szCs w:val="24"/>
        </w:rPr>
        <w:t>thereby giving a less deterrent, and ineffective penalty. (sic)</w:t>
      </w:r>
    </w:p>
    <w:p w:rsidR="001606EE" w:rsidRPr="004045AD" w:rsidRDefault="001606EE" w:rsidP="001606EE">
      <w:pPr>
        <w:numPr>
          <w:ilvl w:val="0"/>
          <w:numId w:val="2"/>
        </w:numPr>
        <w:spacing w:line="360" w:lineRule="auto"/>
        <w:ind w:left="1560" w:hanging="426"/>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Directing that the fourth r</w:t>
      </w:r>
      <w:r w:rsidR="008E031E" w:rsidRPr="004045AD">
        <w:rPr>
          <w:rFonts w:ascii="Times New Roman" w:eastAsia="Calibri" w:hAnsi="Times New Roman" w:cs="Times New Roman"/>
          <w:sz w:val="24"/>
          <w:szCs w:val="24"/>
        </w:rPr>
        <w:t xml:space="preserve">espondent’s revenue affected by the merger had to be isolated and the penalty had to be calculated on that revenue alone when this is not required by the provisions of the </w:t>
      </w:r>
      <w:r w:rsidR="009C5DE0" w:rsidRPr="004045AD">
        <w:rPr>
          <w:rFonts w:ascii="Times New Roman" w:eastAsia="Calibri" w:hAnsi="Times New Roman" w:cs="Times New Roman"/>
          <w:sz w:val="24"/>
          <w:szCs w:val="24"/>
        </w:rPr>
        <w:t>Act</w:t>
      </w:r>
      <w:r w:rsidR="008E031E" w:rsidRPr="004045AD">
        <w:rPr>
          <w:rFonts w:ascii="Times New Roman" w:eastAsia="Calibri" w:hAnsi="Times New Roman" w:cs="Times New Roman"/>
          <w:sz w:val="24"/>
          <w:szCs w:val="24"/>
        </w:rPr>
        <w:t xml:space="preserve">. </w:t>
      </w:r>
    </w:p>
    <w:p w:rsidR="008E031E" w:rsidRPr="004045AD" w:rsidRDefault="008E031E" w:rsidP="00891BFA">
      <w:pPr>
        <w:spacing w:after="0" w:line="480" w:lineRule="auto"/>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w:t>
      </w:r>
    </w:p>
    <w:p w:rsidR="008E031E" w:rsidRPr="004045AD" w:rsidRDefault="008E031E" w:rsidP="00F943CC">
      <w:pPr>
        <w:spacing w:after="0" w:line="480" w:lineRule="auto"/>
        <w:jc w:val="both"/>
        <w:rPr>
          <w:rFonts w:ascii="Times New Roman" w:eastAsia="Calibri" w:hAnsi="Times New Roman" w:cs="Times New Roman"/>
          <w:b/>
          <w:sz w:val="24"/>
          <w:szCs w:val="24"/>
          <w:u w:val="single"/>
        </w:rPr>
      </w:pPr>
      <w:r w:rsidRPr="004045AD">
        <w:rPr>
          <w:rFonts w:ascii="Times New Roman" w:eastAsia="Calibri" w:hAnsi="Times New Roman" w:cs="Times New Roman"/>
          <w:b/>
          <w:sz w:val="24"/>
          <w:szCs w:val="24"/>
          <w:u w:val="single"/>
        </w:rPr>
        <w:t>RELIEF SOUGHT</w:t>
      </w:r>
      <w:r w:rsidRPr="004045AD">
        <w:rPr>
          <w:rFonts w:ascii="Times New Roman" w:eastAsia="Calibri" w:hAnsi="Times New Roman" w:cs="Times New Roman"/>
          <w:b/>
          <w:sz w:val="24"/>
          <w:szCs w:val="24"/>
        </w:rPr>
        <w:t xml:space="preserve"> </w:t>
      </w:r>
    </w:p>
    <w:p w:rsidR="008E031E" w:rsidRPr="004045AD" w:rsidRDefault="001606EE" w:rsidP="00F943CC">
      <w:pPr>
        <w:spacing w:after="0"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[16</w:t>
      </w:r>
      <w:r w:rsidR="009234C9" w:rsidRPr="004045AD">
        <w:rPr>
          <w:rFonts w:ascii="Times New Roman" w:eastAsia="Calibri" w:hAnsi="Times New Roman" w:cs="Times New Roman"/>
          <w:sz w:val="24"/>
          <w:szCs w:val="24"/>
        </w:rPr>
        <w:t xml:space="preserve">] </w:t>
      </w:r>
      <w:r w:rsidR="008E031E" w:rsidRPr="004045AD">
        <w:rPr>
          <w:rFonts w:ascii="Times New Roman" w:eastAsia="Calibri" w:hAnsi="Times New Roman" w:cs="Times New Roman"/>
          <w:sz w:val="24"/>
          <w:szCs w:val="24"/>
        </w:rPr>
        <w:t>T</w:t>
      </w:r>
      <w:r w:rsidR="007E20E3" w:rsidRPr="004045AD">
        <w:rPr>
          <w:rFonts w:ascii="Times New Roman" w:eastAsia="Calibri" w:hAnsi="Times New Roman" w:cs="Times New Roman"/>
          <w:sz w:val="24"/>
          <w:szCs w:val="24"/>
        </w:rPr>
        <w:t>ake further notice that</w:t>
      </w:r>
      <w:r w:rsidR="008E031E" w:rsidRPr="004045AD">
        <w:rPr>
          <w:rFonts w:ascii="Times New Roman" w:eastAsia="Calibri" w:hAnsi="Times New Roman" w:cs="Times New Roman"/>
          <w:sz w:val="24"/>
          <w:szCs w:val="24"/>
        </w:rPr>
        <w:t xml:space="preserve"> consequent upon the grounds of appeal, the appellant seeks the following relief: </w:t>
      </w:r>
    </w:p>
    <w:p w:rsidR="008E031E" w:rsidRPr="004045AD" w:rsidRDefault="008E031E" w:rsidP="001606EE">
      <w:pPr>
        <w:numPr>
          <w:ilvl w:val="0"/>
          <w:numId w:val="1"/>
        </w:numPr>
        <w:spacing w:line="360" w:lineRule="auto"/>
        <w:ind w:firstLine="429"/>
        <w:contextualSpacing/>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T</w:t>
      </w:r>
      <w:r w:rsidR="007E20E3" w:rsidRPr="004045AD">
        <w:rPr>
          <w:rFonts w:ascii="Times New Roman" w:eastAsia="Calibri" w:hAnsi="Times New Roman" w:cs="Times New Roman"/>
          <w:sz w:val="24"/>
          <w:szCs w:val="24"/>
        </w:rPr>
        <w:t xml:space="preserve">hat </w:t>
      </w:r>
      <w:r w:rsidRPr="004045AD">
        <w:rPr>
          <w:rFonts w:ascii="Times New Roman" w:eastAsia="Calibri" w:hAnsi="Times New Roman" w:cs="Times New Roman"/>
          <w:sz w:val="24"/>
          <w:szCs w:val="24"/>
        </w:rPr>
        <w:t xml:space="preserve">the appeal succeeds with costs. </w:t>
      </w:r>
    </w:p>
    <w:p w:rsidR="008E031E" w:rsidRPr="004045AD" w:rsidRDefault="008E031E" w:rsidP="001606EE">
      <w:pPr>
        <w:numPr>
          <w:ilvl w:val="0"/>
          <w:numId w:val="1"/>
        </w:numPr>
        <w:spacing w:before="240" w:line="240" w:lineRule="auto"/>
        <w:ind w:left="1418" w:hanging="284"/>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T</w:t>
      </w:r>
      <w:r w:rsidR="007E20E3" w:rsidRPr="004045AD">
        <w:rPr>
          <w:rFonts w:ascii="Times New Roman" w:eastAsia="Calibri" w:hAnsi="Times New Roman" w:cs="Times New Roman"/>
          <w:sz w:val="24"/>
          <w:szCs w:val="24"/>
        </w:rPr>
        <w:t>hat</w:t>
      </w:r>
      <w:r w:rsidR="001606EE" w:rsidRPr="004045AD">
        <w:rPr>
          <w:rFonts w:ascii="Times New Roman" w:eastAsia="Calibri" w:hAnsi="Times New Roman" w:cs="Times New Roman"/>
          <w:sz w:val="24"/>
          <w:szCs w:val="24"/>
        </w:rPr>
        <w:t xml:space="preserve"> para</w:t>
      </w:r>
      <w:r w:rsidRPr="004045AD">
        <w:rPr>
          <w:rFonts w:ascii="Times New Roman" w:eastAsia="Calibri" w:hAnsi="Times New Roman" w:cs="Times New Roman"/>
          <w:sz w:val="24"/>
          <w:szCs w:val="24"/>
        </w:rPr>
        <w:t xml:space="preserve">s 2 and 3 of the disposition in the judgment of the </w:t>
      </w:r>
      <w:r w:rsidR="006A119A" w:rsidRPr="004045AD">
        <w:rPr>
          <w:rFonts w:ascii="Times New Roman" w:eastAsia="Calibri" w:hAnsi="Times New Roman" w:cs="Times New Roman"/>
          <w:sz w:val="24"/>
          <w:szCs w:val="24"/>
        </w:rPr>
        <w:t>c</w:t>
      </w:r>
      <w:r w:rsidRPr="004045AD">
        <w:rPr>
          <w:rFonts w:ascii="Times New Roman" w:eastAsia="Calibri" w:hAnsi="Times New Roman" w:cs="Times New Roman"/>
          <w:sz w:val="24"/>
          <w:szCs w:val="24"/>
        </w:rPr>
        <w:t xml:space="preserve">ourt </w:t>
      </w:r>
      <w:r w:rsidRPr="004045AD">
        <w:rPr>
          <w:rFonts w:ascii="Times New Roman" w:eastAsia="Calibri" w:hAnsi="Times New Roman" w:cs="Times New Roman"/>
          <w:i/>
          <w:sz w:val="24"/>
          <w:szCs w:val="24"/>
        </w:rPr>
        <w:t>a quo</w:t>
      </w:r>
      <w:r w:rsidRPr="004045AD">
        <w:rPr>
          <w:rFonts w:ascii="Times New Roman" w:eastAsia="Calibri" w:hAnsi="Times New Roman" w:cs="Times New Roman"/>
          <w:sz w:val="24"/>
          <w:szCs w:val="24"/>
        </w:rPr>
        <w:t xml:space="preserve"> be</w:t>
      </w:r>
      <w:r w:rsidR="007E20E3"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set aside in their entirety. </w:t>
      </w:r>
    </w:p>
    <w:p w:rsidR="008E031E" w:rsidRPr="004045AD" w:rsidRDefault="008E031E" w:rsidP="001606EE">
      <w:pPr>
        <w:numPr>
          <w:ilvl w:val="0"/>
          <w:numId w:val="1"/>
        </w:numPr>
        <w:spacing w:line="360" w:lineRule="auto"/>
        <w:ind w:left="1418" w:hanging="284"/>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T</w:t>
      </w:r>
      <w:r w:rsidR="007E20E3" w:rsidRPr="004045AD">
        <w:rPr>
          <w:rFonts w:ascii="Times New Roman" w:eastAsia="Calibri" w:hAnsi="Times New Roman" w:cs="Times New Roman"/>
          <w:sz w:val="24"/>
          <w:szCs w:val="24"/>
        </w:rPr>
        <w:t>hat</w:t>
      </w:r>
      <w:r w:rsidRPr="004045AD">
        <w:rPr>
          <w:rFonts w:ascii="Times New Roman" w:eastAsia="Calibri" w:hAnsi="Times New Roman" w:cs="Times New Roman"/>
          <w:sz w:val="24"/>
          <w:szCs w:val="24"/>
        </w:rPr>
        <w:t xml:space="preserve"> the portion of para</w:t>
      </w:r>
      <w:r w:rsidR="001606EE"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1 of the disposition of the judgment of the </w:t>
      </w:r>
      <w:r w:rsidR="006A119A" w:rsidRPr="004045AD">
        <w:rPr>
          <w:rFonts w:ascii="Times New Roman" w:eastAsia="Calibri" w:hAnsi="Times New Roman" w:cs="Times New Roman"/>
          <w:sz w:val="24"/>
          <w:szCs w:val="24"/>
        </w:rPr>
        <w:t>c</w:t>
      </w:r>
      <w:r w:rsidRPr="004045AD">
        <w:rPr>
          <w:rFonts w:ascii="Times New Roman" w:eastAsia="Calibri" w:hAnsi="Times New Roman" w:cs="Times New Roman"/>
          <w:sz w:val="24"/>
          <w:szCs w:val="24"/>
        </w:rPr>
        <w:t xml:space="preserve">ourt </w:t>
      </w:r>
      <w:r w:rsidRPr="004045AD">
        <w:rPr>
          <w:rFonts w:ascii="Times New Roman" w:eastAsia="Calibri" w:hAnsi="Times New Roman" w:cs="Times New Roman"/>
          <w:i/>
          <w:sz w:val="24"/>
          <w:szCs w:val="24"/>
        </w:rPr>
        <w:t>a quo</w:t>
      </w:r>
      <w:r w:rsidRPr="004045AD">
        <w:rPr>
          <w:rFonts w:ascii="Times New Roman" w:eastAsia="Calibri" w:hAnsi="Times New Roman" w:cs="Times New Roman"/>
          <w:sz w:val="24"/>
          <w:szCs w:val="24"/>
        </w:rPr>
        <w:t xml:space="preserve"> which allowed the </w:t>
      </w:r>
      <w:r w:rsidR="00365CE0" w:rsidRPr="004045AD">
        <w:rPr>
          <w:rFonts w:ascii="Times New Roman" w:eastAsia="Calibri" w:hAnsi="Times New Roman" w:cs="Times New Roman"/>
          <w:sz w:val="24"/>
          <w:szCs w:val="24"/>
        </w:rPr>
        <w:t>r</w:t>
      </w:r>
      <w:r w:rsidRPr="004045AD">
        <w:rPr>
          <w:rFonts w:ascii="Times New Roman" w:eastAsia="Calibri" w:hAnsi="Times New Roman" w:cs="Times New Roman"/>
          <w:sz w:val="24"/>
          <w:szCs w:val="24"/>
        </w:rPr>
        <w:t>espondent</w:t>
      </w:r>
      <w:r w:rsidR="003607E5" w:rsidRPr="004045AD">
        <w:rPr>
          <w:rFonts w:ascii="Times New Roman" w:eastAsia="Calibri" w:hAnsi="Times New Roman" w:cs="Times New Roman"/>
          <w:sz w:val="24"/>
          <w:szCs w:val="24"/>
        </w:rPr>
        <w:t>’</w:t>
      </w:r>
      <w:r w:rsidRPr="004045AD">
        <w:rPr>
          <w:rFonts w:ascii="Times New Roman" w:eastAsia="Calibri" w:hAnsi="Times New Roman" w:cs="Times New Roman"/>
          <w:sz w:val="24"/>
          <w:szCs w:val="24"/>
        </w:rPr>
        <w:t xml:space="preserve">s appeal in part be set aside. </w:t>
      </w:r>
    </w:p>
    <w:p w:rsidR="008E031E" w:rsidRPr="004045AD" w:rsidRDefault="008E031E" w:rsidP="001606EE">
      <w:pPr>
        <w:numPr>
          <w:ilvl w:val="0"/>
          <w:numId w:val="1"/>
        </w:numPr>
        <w:spacing w:line="360" w:lineRule="auto"/>
        <w:ind w:left="1418" w:hanging="284"/>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T</w:t>
      </w:r>
      <w:r w:rsidR="00E653A9" w:rsidRPr="004045AD">
        <w:rPr>
          <w:rFonts w:ascii="Times New Roman" w:eastAsia="Calibri" w:hAnsi="Times New Roman" w:cs="Times New Roman"/>
          <w:sz w:val="24"/>
          <w:szCs w:val="24"/>
        </w:rPr>
        <w:t>hat</w:t>
      </w:r>
      <w:r w:rsidRPr="004045AD">
        <w:rPr>
          <w:rFonts w:ascii="Times New Roman" w:eastAsia="Calibri" w:hAnsi="Times New Roman" w:cs="Times New Roman"/>
          <w:sz w:val="24"/>
          <w:szCs w:val="24"/>
        </w:rPr>
        <w:t xml:space="preserve"> the remaining portion of para 1 of the disposition of the judgment of the </w:t>
      </w:r>
      <w:r w:rsidR="00225738" w:rsidRPr="004045AD">
        <w:rPr>
          <w:rFonts w:ascii="Times New Roman" w:eastAsia="Calibri" w:hAnsi="Times New Roman" w:cs="Times New Roman"/>
          <w:sz w:val="24"/>
          <w:szCs w:val="24"/>
        </w:rPr>
        <w:t>c</w:t>
      </w:r>
      <w:r w:rsidRPr="004045AD">
        <w:rPr>
          <w:rFonts w:ascii="Times New Roman" w:eastAsia="Calibri" w:hAnsi="Times New Roman" w:cs="Times New Roman"/>
          <w:sz w:val="24"/>
          <w:szCs w:val="24"/>
        </w:rPr>
        <w:t xml:space="preserve">ourt </w:t>
      </w:r>
      <w:r w:rsidRPr="004045AD">
        <w:rPr>
          <w:rFonts w:ascii="Times New Roman" w:eastAsia="Calibri" w:hAnsi="Times New Roman" w:cs="Times New Roman"/>
          <w:i/>
          <w:sz w:val="24"/>
          <w:szCs w:val="24"/>
        </w:rPr>
        <w:t>a quo</w:t>
      </w:r>
      <w:r w:rsidRPr="004045AD">
        <w:rPr>
          <w:rFonts w:ascii="Times New Roman" w:eastAsia="Calibri" w:hAnsi="Times New Roman" w:cs="Times New Roman"/>
          <w:sz w:val="24"/>
          <w:szCs w:val="24"/>
        </w:rPr>
        <w:t xml:space="preserve"> is amended to read as stipulated in the substitution </w:t>
      </w:r>
      <w:r w:rsidR="00E653A9" w:rsidRPr="004045AD">
        <w:rPr>
          <w:rFonts w:ascii="Times New Roman" w:eastAsia="Calibri" w:hAnsi="Times New Roman" w:cs="Times New Roman"/>
          <w:sz w:val="24"/>
          <w:szCs w:val="24"/>
        </w:rPr>
        <w:t>o</w:t>
      </w:r>
      <w:r w:rsidRPr="004045AD">
        <w:rPr>
          <w:rFonts w:ascii="Times New Roman" w:eastAsia="Calibri" w:hAnsi="Times New Roman" w:cs="Times New Roman"/>
          <w:sz w:val="24"/>
          <w:szCs w:val="24"/>
        </w:rPr>
        <w:t xml:space="preserve">rder below. </w:t>
      </w:r>
    </w:p>
    <w:p w:rsidR="008E031E" w:rsidRPr="004045AD" w:rsidRDefault="008E031E" w:rsidP="001606EE">
      <w:pPr>
        <w:numPr>
          <w:ilvl w:val="0"/>
          <w:numId w:val="1"/>
        </w:numPr>
        <w:spacing w:line="360" w:lineRule="auto"/>
        <w:ind w:firstLine="429"/>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T</w:t>
      </w:r>
      <w:r w:rsidR="00E653A9" w:rsidRPr="004045AD">
        <w:rPr>
          <w:rFonts w:ascii="Times New Roman" w:eastAsia="Calibri" w:hAnsi="Times New Roman" w:cs="Times New Roman"/>
          <w:sz w:val="24"/>
          <w:szCs w:val="24"/>
        </w:rPr>
        <w:t>hat</w:t>
      </w:r>
      <w:r w:rsidRPr="004045AD">
        <w:rPr>
          <w:rFonts w:ascii="Times New Roman" w:eastAsia="Calibri" w:hAnsi="Times New Roman" w:cs="Times New Roman"/>
          <w:sz w:val="24"/>
          <w:szCs w:val="24"/>
        </w:rPr>
        <w:t xml:space="preserve"> the judgment of the </w:t>
      </w:r>
      <w:r w:rsidR="00E653A9" w:rsidRPr="004045AD">
        <w:rPr>
          <w:rFonts w:ascii="Times New Roman" w:eastAsia="Calibri" w:hAnsi="Times New Roman" w:cs="Times New Roman"/>
          <w:sz w:val="24"/>
          <w:szCs w:val="24"/>
        </w:rPr>
        <w:t>c</w:t>
      </w:r>
      <w:r w:rsidRPr="004045AD">
        <w:rPr>
          <w:rFonts w:ascii="Times New Roman" w:eastAsia="Calibri" w:hAnsi="Times New Roman" w:cs="Times New Roman"/>
          <w:sz w:val="24"/>
          <w:szCs w:val="24"/>
        </w:rPr>
        <w:t xml:space="preserve">ourt </w:t>
      </w:r>
      <w:r w:rsidRPr="004045AD">
        <w:rPr>
          <w:rFonts w:ascii="Times New Roman" w:eastAsia="Calibri" w:hAnsi="Times New Roman" w:cs="Times New Roman"/>
          <w:i/>
          <w:sz w:val="24"/>
          <w:szCs w:val="24"/>
        </w:rPr>
        <w:t>a quo</w:t>
      </w:r>
      <w:r w:rsidRPr="004045AD">
        <w:rPr>
          <w:rFonts w:ascii="Times New Roman" w:eastAsia="Calibri" w:hAnsi="Times New Roman" w:cs="Times New Roman"/>
          <w:sz w:val="24"/>
          <w:szCs w:val="24"/>
        </w:rPr>
        <w:t xml:space="preserve"> is substituted with an </w:t>
      </w:r>
      <w:r w:rsidR="00E653A9" w:rsidRPr="004045AD">
        <w:rPr>
          <w:rFonts w:ascii="Times New Roman" w:eastAsia="Calibri" w:hAnsi="Times New Roman" w:cs="Times New Roman"/>
          <w:sz w:val="24"/>
          <w:szCs w:val="24"/>
        </w:rPr>
        <w:t>o</w:t>
      </w:r>
      <w:r w:rsidRPr="004045AD">
        <w:rPr>
          <w:rFonts w:ascii="Times New Roman" w:eastAsia="Calibri" w:hAnsi="Times New Roman" w:cs="Times New Roman"/>
          <w:sz w:val="24"/>
          <w:szCs w:val="24"/>
        </w:rPr>
        <w:t xml:space="preserve">rder that –  </w:t>
      </w:r>
    </w:p>
    <w:p w:rsidR="008E031E" w:rsidRPr="004045AD" w:rsidRDefault="00FD6853" w:rsidP="00FD6853">
      <w:pPr>
        <w:spacing w:after="0" w:line="240" w:lineRule="auto"/>
        <w:ind w:left="2160" w:hanging="459"/>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w:t>
      </w:r>
      <w:r w:rsidR="008E031E" w:rsidRPr="004045AD">
        <w:rPr>
          <w:rFonts w:ascii="Times New Roman" w:eastAsia="Calibri" w:hAnsi="Times New Roman" w:cs="Times New Roman"/>
          <w:sz w:val="24"/>
          <w:szCs w:val="24"/>
        </w:rPr>
        <w:t xml:space="preserve">“1. The appeal is dismissed. </w:t>
      </w:r>
    </w:p>
    <w:p w:rsidR="008E031E" w:rsidRPr="004045AD" w:rsidRDefault="008E031E" w:rsidP="00FD6853">
      <w:pPr>
        <w:spacing w:after="0" w:line="240" w:lineRule="auto"/>
        <w:ind w:left="1440" w:firstLine="403"/>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2. The </w:t>
      </w:r>
      <w:r w:rsidR="000001C8" w:rsidRPr="004045AD">
        <w:rPr>
          <w:rFonts w:ascii="Times New Roman" w:eastAsia="Calibri" w:hAnsi="Times New Roman" w:cs="Times New Roman"/>
          <w:sz w:val="24"/>
          <w:szCs w:val="24"/>
        </w:rPr>
        <w:t>a</w:t>
      </w:r>
      <w:r w:rsidRPr="004045AD">
        <w:rPr>
          <w:rFonts w:ascii="Times New Roman" w:eastAsia="Calibri" w:hAnsi="Times New Roman" w:cs="Times New Roman"/>
          <w:sz w:val="24"/>
          <w:szCs w:val="24"/>
        </w:rPr>
        <w:t xml:space="preserve">ppellants shall pay the </w:t>
      </w:r>
      <w:r w:rsidR="000001C8" w:rsidRPr="004045AD">
        <w:rPr>
          <w:rFonts w:ascii="Times New Roman" w:eastAsia="Calibri" w:hAnsi="Times New Roman" w:cs="Times New Roman"/>
          <w:sz w:val="24"/>
          <w:szCs w:val="24"/>
        </w:rPr>
        <w:t>r</w:t>
      </w:r>
      <w:r w:rsidRPr="004045AD">
        <w:rPr>
          <w:rFonts w:ascii="Times New Roman" w:eastAsia="Calibri" w:hAnsi="Times New Roman" w:cs="Times New Roman"/>
          <w:sz w:val="24"/>
          <w:szCs w:val="24"/>
        </w:rPr>
        <w:t>espondent’s costs” (sic)</w:t>
      </w:r>
    </w:p>
    <w:p w:rsidR="008E031E" w:rsidRPr="004045AD" w:rsidRDefault="008E031E" w:rsidP="001606EE">
      <w:pPr>
        <w:spacing w:after="0" w:line="480" w:lineRule="auto"/>
        <w:jc w:val="both"/>
        <w:rPr>
          <w:rFonts w:ascii="Times New Roman" w:eastAsia="Calibri" w:hAnsi="Times New Roman" w:cs="Times New Roman"/>
          <w:sz w:val="24"/>
          <w:szCs w:val="24"/>
        </w:rPr>
      </w:pPr>
    </w:p>
    <w:p w:rsidR="008E031E" w:rsidRPr="004045AD" w:rsidRDefault="008E031E" w:rsidP="008E031E">
      <w:pPr>
        <w:rPr>
          <w:rFonts w:ascii="Times New Roman" w:hAnsi="Times New Roman" w:cs="Times New Roman"/>
          <w:b/>
          <w:sz w:val="24"/>
          <w:szCs w:val="24"/>
          <w:u w:val="single"/>
        </w:rPr>
      </w:pPr>
      <w:r w:rsidRPr="004045AD">
        <w:rPr>
          <w:rFonts w:ascii="Times New Roman" w:hAnsi="Times New Roman" w:cs="Times New Roman"/>
          <w:b/>
          <w:sz w:val="24"/>
          <w:szCs w:val="24"/>
          <w:u w:val="single"/>
        </w:rPr>
        <w:lastRenderedPageBreak/>
        <w:t>SUBMISSIONS BEFORE THIS COURT</w:t>
      </w:r>
    </w:p>
    <w:p w:rsidR="00767A6E" w:rsidRPr="004045AD" w:rsidRDefault="00767A6E" w:rsidP="001606EE">
      <w:pPr>
        <w:spacing w:after="0"/>
        <w:rPr>
          <w:rFonts w:ascii="Times New Roman" w:hAnsi="Times New Roman" w:cs="Times New Roman"/>
          <w:b/>
          <w:sz w:val="24"/>
          <w:szCs w:val="24"/>
          <w:u w:val="single"/>
        </w:rPr>
      </w:pPr>
    </w:p>
    <w:p w:rsidR="00767A6E" w:rsidRPr="004045AD" w:rsidRDefault="008806F5" w:rsidP="007E119F">
      <w:pPr>
        <w:tabs>
          <w:tab w:val="center" w:pos="4680"/>
        </w:tabs>
        <w:spacing w:after="0" w:line="480" w:lineRule="auto"/>
        <w:jc w:val="both"/>
        <w:rPr>
          <w:rFonts w:ascii="Times New Roman" w:hAnsi="Times New Roman" w:cs="Times New Roman"/>
          <w:b/>
          <w:iCs/>
          <w:sz w:val="24"/>
          <w:szCs w:val="24"/>
        </w:rPr>
      </w:pPr>
      <w:r w:rsidRPr="004045AD">
        <w:rPr>
          <w:rFonts w:ascii="Times New Roman" w:hAnsi="Times New Roman" w:cs="Times New Roman"/>
          <w:b/>
          <w:iCs/>
          <w:sz w:val="24"/>
          <w:szCs w:val="24"/>
        </w:rPr>
        <w:t>ON THE PR</w:t>
      </w:r>
      <w:r w:rsidR="00767A6E" w:rsidRPr="004045AD">
        <w:rPr>
          <w:rFonts w:ascii="Times New Roman" w:hAnsi="Times New Roman" w:cs="Times New Roman"/>
          <w:b/>
          <w:iCs/>
          <w:sz w:val="24"/>
          <w:szCs w:val="24"/>
        </w:rPr>
        <w:t>ELIMINARY ISSUE</w:t>
      </w:r>
    </w:p>
    <w:p w:rsidR="00620FBE" w:rsidRPr="004045AD" w:rsidRDefault="00630FC9" w:rsidP="001606EE">
      <w:pPr>
        <w:spacing w:line="480" w:lineRule="auto"/>
        <w:ind w:left="567" w:hanging="567"/>
        <w:jc w:val="both"/>
        <w:rPr>
          <w:rFonts w:ascii="Times New Roman" w:hAnsi="Times New Roman" w:cs="Times New Roman"/>
          <w:iCs/>
          <w:sz w:val="24"/>
          <w:szCs w:val="24"/>
        </w:rPr>
      </w:pPr>
      <w:r w:rsidRPr="004045AD">
        <w:rPr>
          <w:rFonts w:ascii="Times New Roman" w:hAnsi="Times New Roman" w:cs="Times New Roman"/>
          <w:iCs/>
          <w:sz w:val="24"/>
          <w:szCs w:val="24"/>
        </w:rPr>
        <w:t>[</w:t>
      </w:r>
      <w:r w:rsidR="00C640C0" w:rsidRPr="004045AD">
        <w:rPr>
          <w:rFonts w:ascii="Times New Roman" w:hAnsi="Times New Roman" w:cs="Times New Roman"/>
          <w:iCs/>
          <w:sz w:val="24"/>
          <w:szCs w:val="24"/>
        </w:rPr>
        <w:t>1</w:t>
      </w:r>
      <w:r w:rsidR="001606EE" w:rsidRPr="004045AD">
        <w:rPr>
          <w:rFonts w:ascii="Times New Roman" w:hAnsi="Times New Roman" w:cs="Times New Roman"/>
          <w:iCs/>
          <w:sz w:val="24"/>
          <w:szCs w:val="24"/>
        </w:rPr>
        <w:t>7</w:t>
      </w:r>
      <w:r w:rsidRPr="004045AD">
        <w:rPr>
          <w:rFonts w:ascii="Times New Roman" w:hAnsi="Times New Roman" w:cs="Times New Roman"/>
          <w:iCs/>
          <w:sz w:val="24"/>
          <w:szCs w:val="24"/>
        </w:rPr>
        <w:t xml:space="preserve">] </w:t>
      </w:r>
      <w:r w:rsidR="009A758F">
        <w:rPr>
          <w:rFonts w:ascii="Times New Roman" w:hAnsi="Times New Roman" w:cs="Times New Roman"/>
          <w:iCs/>
          <w:sz w:val="24"/>
          <w:szCs w:val="24"/>
        </w:rPr>
        <w:t xml:space="preserve"> </w:t>
      </w:r>
      <w:r w:rsidR="004202CA">
        <w:rPr>
          <w:rFonts w:ascii="Times New Roman" w:hAnsi="Times New Roman" w:cs="Times New Roman"/>
          <w:iCs/>
          <w:sz w:val="24"/>
          <w:szCs w:val="24"/>
        </w:rPr>
        <w:t xml:space="preserve"> </w:t>
      </w:r>
      <w:r w:rsidR="003607E5" w:rsidRPr="004045AD">
        <w:rPr>
          <w:rFonts w:ascii="Times New Roman" w:hAnsi="Times New Roman" w:cs="Times New Roman"/>
          <w:iCs/>
          <w:sz w:val="24"/>
          <w:szCs w:val="24"/>
        </w:rPr>
        <w:t>Mr</w:t>
      </w:r>
      <w:r w:rsidR="003607E5" w:rsidRPr="004045AD">
        <w:rPr>
          <w:rFonts w:ascii="Times New Roman" w:hAnsi="Times New Roman" w:cs="Times New Roman"/>
          <w:i/>
          <w:iCs/>
          <w:sz w:val="24"/>
          <w:szCs w:val="24"/>
        </w:rPr>
        <w:t xml:space="preserve"> Magwaliba</w:t>
      </w:r>
      <w:r w:rsidR="003607E5" w:rsidRPr="004045AD">
        <w:rPr>
          <w:rFonts w:ascii="Times New Roman" w:hAnsi="Times New Roman" w:cs="Times New Roman"/>
          <w:iCs/>
          <w:sz w:val="24"/>
          <w:szCs w:val="24"/>
        </w:rPr>
        <w:t xml:space="preserve"> c</w:t>
      </w:r>
      <w:r w:rsidR="008E031E" w:rsidRPr="004045AD">
        <w:rPr>
          <w:rFonts w:ascii="Times New Roman" w:hAnsi="Times New Roman" w:cs="Times New Roman"/>
          <w:iCs/>
          <w:sz w:val="24"/>
          <w:szCs w:val="24"/>
        </w:rPr>
        <w:t>ounsel for the respondent</w:t>
      </w:r>
      <w:r w:rsidR="00D513A6" w:rsidRPr="004045AD">
        <w:rPr>
          <w:rFonts w:ascii="Times New Roman" w:hAnsi="Times New Roman" w:cs="Times New Roman"/>
          <w:iCs/>
          <w:sz w:val="24"/>
          <w:szCs w:val="24"/>
        </w:rPr>
        <w:t>s</w:t>
      </w:r>
      <w:r w:rsidR="008E031E" w:rsidRPr="004045AD">
        <w:rPr>
          <w:rFonts w:ascii="Times New Roman" w:hAnsi="Times New Roman" w:cs="Times New Roman"/>
          <w:iCs/>
          <w:sz w:val="24"/>
          <w:szCs w:val="24"/>
        </w:rPr>
        <w:t xml:space="preserve"> raised a preliminary issue to the effect that the appellant’s grounds of appeal number</w:t>
      </w:r>
      <w:r w:rsidR="003607E5" w:rsidRPr="004045AD">
        <w:rPr>
          <w:rFonts w:ascii="Times New Roman" w:hAnsi="Times New Roman" w:cs="Times New Roman"/>
          <w:iCs/>
          <w:sz w:val="24"/>
          <w:szCs w:val="24"/>
        </w:rPr>
        <w:t>s</w:t>
      </w:r>
      <w:r w:rsidR="008E031E" w:rsidRPr="004045AD">
        <w:rPr>
          <w:rFonts w:ascii="Times New Roman" w:hAnsi="Times New Roman" w:cs="Times New Roman"/>
          <w:iCs/>
          <w:sz w:val="24"/>
          <w:szCs w:val="24"/>
        </w:rPr>
        <w:t xml:space="preserve"> 1, 3 and 6 are not concise and</w:t>
      </w:r>
      <w:r w:rsidR="003607E5" w:rsidRPr="004045AD">
        <w:rPr>
          <w:rFonts w:ascii="Times New Roman" w:hAnsi="Times New Roman" w:cs="Times New Roman"/>
          <w:iCs/>
          <w:sz w:val="24"/>
          <w:szCs w:val="24"/>
        </w:rPr>
        <w:t xml:space="preserve"> are</w:t>
      </w:r>
      <w:r w:rsidR="008E031E" w:rsidRPr="004045AD">
        <w:rPr>
          <w:rFonts w:ascii="Times New Roman" w:hAnsi="Times New Roman" w:cs="Times New Roman"/>
          <w:iCs/>
          <w:sz w:val="24"/>
          <w:szCs w:val="24"/>
        </w:rPr>
        <w:t xml:space="preserve"> vague</w:t>
      </w:r>
      <w:r w:rsidR="003607E5" w:rsidRPr="004045AD">
        <w:rPr>
          <w:rFonts w:ascii="Times New Roman" w:hAnsi="Times New Roman" w:cs="Times New Roman"/>
          <w:iCs/>
          <w:sz w:val="24"/>
          <w:szCs w:val="24"/>
        </w:rPr>
        <w:t xml:space="preserve"> and </w:t>
      </w:r>
      <w:r w:rsidR="00C640C0" w:rsidRPr="004045AD">
        <w:rPr>
          <w:rFonts w:ascii="Times New Roman" w:hAnsi="Times New Roman" w:cs="Times New Roman"/>
          <w:iCs/>
          <w:sz w:val="24"/>
          <w:szCs w:val="24"/>
        </w:rPr>
        <w:t>embarrassing</w:t>
      </w:r>
      <w:r w:rsidR="001606EE" w:rsidRPr="004045AD">
        <w:rPr>
          <w:rFonts w:ascii="Times New Roman" w:hAnsi="Times New Roman" w:cs="Times New Roman"/>
          <w:iCs/>
          <w:sz w:val="24"/>
          <w:szCs w:val="24"/>
        </w:rPr>
        <w:t xml:space="preserve">.  </w:t>
      </w:r>
      <w:r w:rsidR="008E031E" w:rsidRPr="004045AD">
        <w:rPr>
          <w:rFonts w:ascii="Times New Roman" w:hAnsi="Times New Roman" w:cs="Times New Roman"/>
          <w:iCs/>
          <w:sz w:val="24"/>
          <w:szCs w:val="24"/>
        </w:rPr>
        <w:t>Counsel submitted that the offending grounds ought to be struck o</w:t>
      </w:r>
      <w:r w:rsidR="003607E5" w:rsidRPr="004045AD">
        <w:rPr>
          <w:rFonts w:ascii="Times New Roman" w:hAnsi="Times New Roman" w:cs="Times New Roman"/>
          <w:iCs/>
          <w:sz w:val="24"/>
          <w:szCs w:val="24"/>
        </w:rPr>
        <w:t>ut</w:t>
      </w:r>
      <w:r w:rsidR="008E031E" w:rsidRPr="004045AD">
        <w:rPr>
          <w:rFonts w:ascii="Times New Roman" w:hAnsi="Times New Roman" w:cs="Times New Roman"/>
          <w:iCs/>
          <w:sz w:val="24"/>
          <w:szCs w:val="24"/>
        </w:rPr>
        <w:t xml:space="preserve"> with costs.</w:t>
      </w:r>
      <w:r w:rsidRPr="004045AD">
        <w:rPr>
          <w:rFonts w:ascii="Times New Roman" w:hAnsi="Times New Roman" w:cs="Times New Roman"/>
          <w:iCs/>
          <w:sz w:val="24"/>
          <w:szCs w:val="24"/>
        </w:rPr>
        <w:t xml:space="preserve"> </w:t>
      </w:r>
    </w:p>
    <w:p w:rsidR="00F4423E" w:rsidRPr="004045AD" w:rsidRDefault="00F4423E" w:rsidP="00F4423E">
      <w:pPr>
        <w:spacing w:after="0" w:line="240" w:lineRule="auto"/>
        <w:ind w:left="567" w:hanging="567"/>
        <w:jc w:val="both"/>
        <w:rPr>
          <w:rFonts w:ascii="Times New Roman" w:hAnsi="Times New Roman" w:cs="Times New Roman"/>
          <w:iCs/>
          <w:sz w:val="24"/>
          <w:szCs w:val="24"/>
        </w:rPr>
      </w:pPr>
    </w:p>
    <w:p w:rsidR="008E031E" w:rsidRPr="004045AD" w:rsidRDefault="00620FBE" w:rsidP="007E119F">
      <w:pPr>
        <w:spacing w:line="480" w:lineRule="auto"/>
        <w:ind w:left="567" w:hanging="567"/>
        <w:jc w:val="both"/>
        <w:rPr>
          <w:rFonts w:ascii="Times New Roman" w:hAnsi="Times New Roman" w:cs="Times New Roman"/>
          <w:iCs/>
          <w:sz w:val="24"/>
          <w:szCs w:val="24"/>
        </w:rPr>
      </w:pPr>
      <w:r w:rsidRPr="004045AD">
        <w:rPr>
          <w:rFonts w:ascii="Times New Roman" w:hAnsi="Times New Roman" w:cs="Times New Roman"/>
          <w:iCs/>
          <w:sz w:val="24"/>
          <w:szCs w:val="24"/>
        </w:rPr>
        <w:t>[1</w:t>
      </w:r>
      <w:r w:rsidR="001606EE" w:rsidRPr="004045AD">
        <w:rPr>
          <w:rFonts w:ascii="Times New Roman" w:hAnsi="Times New Roman" w:cs="Times New Roman"/>
          <w:iCs/>
          <w:sz w:val="24"/>
          <w:szCs w:val="24"/>
        </w:rPr>
        <w:t>8</w:t>
      </w:r>
      <w:r w:rsidRPr="004045AD">
        <w:rPr>
          <w:rFonts w:ascii="Times New Roman" w:hAnsi="Times New Roman" w:cs="Times New Roman"/>
          <w:iCs/>
          <w:sz w:val="24"/>
          <w:szCs w:val="24"/>
        </w:rPr>
        <w:t xml:space="preserve">] </w:t>
      </w:r>
      <w:r w:rsidR="00E43B5F" w:rsidRPr="004045AD">
        <w:rPr>
          <w:rFonts w:ascii="Times New Roman" w:hAnsi="Times New Roman" w:cs="Times New Roman"/>
          <w:iCs/>
          <w:sz w:val="24"/>
          <w:szCs w:val="24"/>
        </w:rPr>
        <w:t xml:space="preserve"> </w:t>
      </w:r>
      <w:r w:rsidR="004202CA">
        <w:rPr>
          <w:rFonts w:ascii="Times New Roman" w:hAnsi="Times New Roman" w:cs="Times New Roman"/>
          <w:iCs/>
          <w:sz w:val="24"/>
          <w:szCs w:val="24"/>
        </w:rPr>
        <w:t xml:space="preserve"> </w:t>
      </w:r>
      <w:r w:rsidR="00704400" w:rsidRPr="004045AD">
        <w:rPr>
          <w:rFonts w:ascii="Times New Roman" w:hAnsi="Times New Roman" w:cs="Times New Roman"/>
          <w:iCs/>
          <w:sz w:val="24"/>
          <w:szCs w:val="24"/>
        </w:rPr>
        <w:t>Mr</w:t>
      </w:r>
      <w:r w:rsidR="00704400" w:rsidRPr="004045AD">
        <w:rPr>
          <w:rFonts w:ascii="Times New Roman" w:hAnsi="Times New Roman" w:cs="Times New Roman"/>
          <w:i/>
          <w:iCs/>
          <w:sz w:val="24"/>
          <w:szCs w:val="24"/>
        </w:rPr>
        <w:t xml:space="preserve"> Mapuranga</w:t>
      </w:r>
      <w:r w:rsidR="00704400" w:rsidRPr="004045AD">
        <w:rPr>
          <w:rFonts w:ascii="Times New Roman" w:hAnsi="Times New Roman" w:cs="Times New Roman"/>
          <w:iCs/>
          <w:sz w:val="24"/>
          <w:szCs w:val="24"/>
        </w:rPr>
        <w:t xml:space="preserve"> c</w:t>
      </w:r>
      <w:r w:rsidR="008E031E" w:rsidRPr="004045AD">
        <w:rPr>
          <w:rFonts w:ascii="Times New Roman" w:hAnsi="Times New Roman" w:cs="Times New Roman"/>
          <w:iCs/>
          <w:sz w:val="24"/>
          <w:szCs w:val="24"/>
        </w:rPr>
        <w:t>ounsel for the appellant submitted that the grounds of appea</w:t>
      </w:r>
      <w:r w:rsidR="00E43B5F" w:rsidRPr="004045AD">
        <w:rPr>
          <w:rFonts w:ascii="Times New Roman" w:hAnsi="Times New Roman" w:cs="Times New Roman"/>
          <w:iCs/>
          <w:sz w:val="24"/>
          <w:szCs w:val="24"/>
        </w:rPr>
        <w:t>l are clear as they inform the c</w:t>
      </w:r>
      <w:r w:rsidR="008E031E" w:rsidRPr="004045AD">
        <w:rPr>
          <w:rFonts w:ascii="Times New Roman" w:hAnsi="Times New Roman" w:cs="Times New Roman"/>
          <w:iCs/>
          <w:sz w:val="24"/>
          <w:szCs w:val="24"/>
        </w:rPr>
        <w:t>ou</w:t>
      </w:r>
      <w:r w:rsidR="00E43B5F" w:rsidRPr="004045AD">
        <w:rPr>
          <w:rFonts w:ascii="Times New Roman" w:hAnsi="Times New Roman" w:cs="Times New Roman"/>
          <w:iCs/>
          <w:sz w:val="24"/>
          <w:szCs w:val="24"/>
        </w:rPr>
        <w:t xml:space="preserve">rt of what is being challenged.  </w:t>
      </w:r>
      <w:r w:rsidRPr="004045AD">
        <w:rPr>
          <w:rFonts w:ascii="Times New Roman" w:hAnsi="Times New Roman" w:cs="Times New Roman"/>
          <w:iCs/>
          <w:sz w:val="24"/>
          <w:szCs w:val="24"/>
        </w:rPr>
        <w:t>He</w:t>
      </w:r>
      <w:r w:rsidR="008E031E" w:rsidRPr="004045AD">
        <w:rPr>
          <w:rFonts w:ascii="Times New Roman" w:hAnsi="Times New Roman" w:cs="Times New Roman"/>
          <w:iCs/>
          <w:sz w:val="24"/>
          <w:szCs w:val="24"/>
        </w:rPr>
        <w:t xml:space="preserve"> objected to the respondent being awarded costs</w:t>
      </w:r>
      <w:r w:rsidRPr="004045AD">
        <w:rPr>
          <w:rFonts w:ascii="Times New Roman" w:hAnsi="Times New Roman" w:cs="Times New Roman"/>
          <w:iCs/>
          <w:sz w:val="24"/>
          <w:szCs w:val="24"/>
        </w:rPr>
        <w:t xml:space="preserve"> on the preliminary issue</w:t>
      </w:r>
      <w:r w:rsidR="008E031E" w:rsidRPr="004045AD">
        <w:rPr>
          <w:rFonts w:ascii="Times New Roman" w:hAnsi="Times New Roman" w:cs="Times New Roman"/>
          <w:iCs/>
          <w:sz w:val="24"/>
          <w:szCs w:val="24"/>
        </w:rPr>
        <w:t xml:space="preserve"> arguing that the appe</w:t>
      </w:r>
      <w:r w:rsidR="00E43B5F" w:rsidRPr="004045AD">
        <w:rPr>
          <w:rFonts w:ascii="Times New Roman" w:hAnsi="Times New Roman" w:cs="Times New Roman"/>
          <w:iCs/>
          <w:sz w:val="24"/>
          <w:szCs w:val="24"/>
        </w:rPr>
        <w:t>al is still pending before the c</w:t>
      </w:r>
      <w:r w:rsidR="008E031E" w:rsidRPr="004045AD">
        <w:rPr>
          <w:rFonts w:ascii="Times New Roman" w:hAnsi="Times New Roman" w:cs="Times New Roman"/>
          <w:iCs/>
          <w:sz w:val="24"/>
          <w:szCs w:val="24"/>
        </w:rPr>
        <w:t>ourt.</w:t>
      </w:r>
    </w:p>
    <w:p w:rsidR="00E43B5F" w:rsidRPr="004045AD" w:rsidRDefault="00E43B5F" w:rsidP="00E43B5F">
      <w:pPr>
        <w:spacing w:after="0" w:line="240" w:lineRule="auto"/>
        <w:ind w:left="567" w:hanging="567"/>
        <w:jc w:val="both"/>
        <w:rPr>
          <w:rFonts w:ascii="Times New Roman" w:hAnsi="Times New Roman" w:cs="Times New Roman"/>
          <w:iCs/>
          <w:sz w:val="24"/>
          <w:szCs w:val="24"/>
        </w:rPr>
      </w:pPr>
    </w:p>
    <w:p w:rsidR="005D1AA7" w:rsidRPr="004045AD" w:rsidRDefault="00630FC9" w:rsidP="00E43B5F">
      <w:pPr>
        <w:spacing w:line="480" w:lineRule="auto"/>
        <w:ind w:left="567" w:hanging="567"/>
        <w:jc w:val="both"/>
        <w:rPr>
          <w:rFonts w:ascii="Times New Roman" w:hAnsi="Times New Roman" w:cs="Times New Roman"/>
          <w:iCs/>
          <w:sz w:val="24"/>
          <w:szCs w:val="24"/>
        </w:rPr>
      </w:pPr>
      <w:r w:rsidRPr="004045AD">
        <w:rPr>
          <w:rFonts w:ascii="Times New Roman" w:hAnsi="Times New Roman" w:cs="Times New Roman"/>
          <w:iCs/>
          <w:sz w:val="24"/>
          <w:szCs w:val="24"/>
        </w:rPr>
        <w:t>[</w:t>
      </w:r>
      <w:r w:rsidR="00256153" w:rsidRPr="004045AD">
        <w:rPr>
          <w:rFonts w:ascii="Times New Roman" w:hAnsi="Times New Roman" w:cs="Times New Roman"/>
          <w:iCs/>
          <w:sz w:val="24"/>
          <w:szCs w:val="24"/>
        </w:rPr>
        <w:t>1</w:t>
      </w:r>
      <w:r w:rsidR="00E43B5F" w:rsidRPr="004045AD">
        <w:rPr>
          <w:rFonts w:ascii="Times New Roman" w:hAnsi="Times New Roman" w:cs="Times New Roman"/>
          <w:iCs/>
          <w:sz w:val="24"/>
          <w:szCs w:val="24"/>
        </w:rPr>
        <w:t>9</w:t>
      </w:r>
      <w:r w:rsidRPr="004045AD">
        <w:rPr>
          <w:rFonts w:ascii="Times New Roman" w:hAnsi="Times New Roman" w:cs="Times New Roman"/>
          <w:iCs/>
          <w:sz w:val="24"/>
          <w:szCs w:val="24"/>
        </w:rPr>
        <w:t xml:space="preserve">] </w:t>
      </w:r>
      <w:r w:rsidR="00E43B5F" w:rsidRPr="004045AD">
        <w:rPr>
          <w:rFonts w:ascii="Times New Roman" w:hAnsi="Times New Roman" w:cs="Times New Roman"/>
          <w:iCs/>
          <w:sz w:val="24"/>
          <w:szCs w:val="24"/>
        </w:rPr>
        <w:t xml:space="preserve"> </w:t>
      </w:r>
      <w:r w:rsidR="00A7698F" w:rsidRPr="004045AD">
        <w:rPr>
          <w:rFonts w:ascii="Times New Roman" w:hAnsi="Times New Roman" w:cs="Times New Roman"/>
          <w:iCs/>
          <w:sz w:val="24"/>
          <w:szCs w:val="24"/>
        </w:rPr>
        <w:t xml:space="preserve"> </w:t>
      </w:r>
      <w:r w:rsidR="00767A6E" w:rsidRPr="004045AD">
        <w:rPr>
          <w:rFonts w:ascii="Times New Roman" w:hAnsi="Times New Roman" w:cs="Times New Roman"/>
          <w:iCs/>
          <w:sz w:val="24"/>
          <w:szCs w:val="24"/>
        </w:rPr>
        <w:t>After hearing the parties’ submissions on the preliminary issue t</w:t>
      </w:r>
      <w:r w:rsidR="00852EFC" w:rsidRPr="004045AD">
        <w:rPr>
          <w:rFonts w:ascii="Times New Roman" w:hAnsi="Times New Roman" w:cs="Times New Roman"/>
          <w:iCs/>
          <w:sz w:val="24"/>
          <w:szCs w:val="24"/>
        </w:rPr>
        <w:t>he</w:t>
      </w:r>
      <w:r w:rsidR="00E43B5F" w:rsidRPr="004045AD">
        <w:rPr>
          <w:rFonts w:ascii="Times New Roman" w:hAnsi="Times New Roman" w:cs="Times New Roman"/>
          <w:iCs/>
          <w:sz w:val="24"/>
          <w:szCs w:val="24"/>
        </w:rPr>
        <w:t xml:space="preserve"> c</w:t>
      </w:r>
      <w:r w:rsidR="00852EFC" w:rsidRPr="004045AD">
        <w:rPr>
          <w:rFonts w:ascii="Times New Roman" w:hAnsi="Times New Roman" w:cs="Times New Roman"/>
          <w:iCs/>
          <w:sz w:val="24"/>
          <w:szCs w:val="24"/>
        </w:rPr>
        <w:t xml:space="preserve">ourt </w:t>
      </w:r>
      <w:r w:rsidR="009B274F" w:rsidRPr="004045AD">
        <w:rPr>
          <w:rFonts w:ascii="Times New Roman" w:hAnsi="Times New Roman" w:cs="Times New Roman"/>
          <w:iCs/>
          <w:sz w:val="24"/>
          <w:szCs w:val="24"/>
        </w:rPr>
        <w:t>order</w:t>
      </w:r>
      <w:r w:rsidR="00852EFC" w:rsidRPr="004045AD">
        <w:rPr>
          <w:rFonts w:ascii="Times New Roman" w:hAnsi="Times New Roman" w:cs="Times New Roman"/>
          <w:iCs/>
          <w:sz w:val="24"/>
          <w:szCs w:val="24"/>
        </w:rPr>
        <w:t>ed</w:t>
      </w:r>
      <w:r w:rsidR="009B274F" w:rsidRPr="004045AD">
        <w:rPr>
          <w:rFonts w:ascii="Times New Roman" w:hAnsi="Times New Roman" w:cs="Times New Roman"/>
          <w:iCs/>
          <w:sz w:val="24"/>
          <w:szCs w:val="24"/>
        </w:rPr>
        <w:t xml:space="preserve"> that ground of appeal number 1</w:t>
      </w:r>
      <w:r w:rsidR="00852EFC" w:rsidRPr="004045AD">
        <w:rPr>
          <w:rFonts w:ascii="Times New Roman" w:hAnsi="Times New Roman" w:cs="Times New Roman"/>
          <w:iCs/>
          <w:sz w:val="24"/>
          <w:szCs w:val="24"/>
        </w:rPr>
        <w:t xml:space="preserve"> be struck out</w:t>
      </w:r>
      <w:r w:rsidR="00767A6E" w:rsidRPr="004045AD">
        <w:rPr>
          <w:rFonts w:ascii="Times New Roman" w:hAnsi="Times New Roman" w:cs="Times New Roman"/>
          <w:iCs/>
          <w:sz w:val="24"/>
          <w:szCs w:val="24"/>
        </w:rPr>
        <w:t>.</w:t>
      </w:r>
      <w:r w:rsidR="009B274F" w:rsidRPr="004045AD">
        <w:rPr>
          <w:rFonts w:ascii="Times New Roman" w:hAnsi="Times New Roman" w:cs="Times New Roman"/>
          <w:iCs/>
          <w:sz w:val="24"/>
          <w:szCs w:val="24"/>
        </w:rPr>
        <w:t xml:space="preserve"> </w:t>
      </w:r>
      <w:r w:rsidR="00E43B5F" w:rsidRPr="004045AD">
        <w:rPr>
          <w:rFonts w:ascii="Times New Roman" w:hAnsi="Times New Roman" w:cs="Times New Roman"/>
          <w:iCs/>
          <w:sz w:val="24"/>
          <w:szCs w:val="24"/>
        </w:rPr>
        <w:t xml:space="preserve"> </w:t>
      </w:r>
      <w:r w:rsidR="009B274F" w:rsidRPr="004045AD">
        <w:rPr>
          <w:rFonts w:ascii="Times New Roman" w:hAnsi="Times New Roman" w:cs="Times New Roman"/>
          <w:iCs/>
          <w:sz w:val="24"/>
          <w:szCs w:val="24"/>
        </w:rPr>
        <w:t xml:space="preserve">With regards grounds of appeal 3 and 6, the </w:t>
      </w:r>
      <w:r w:rsidR="00E43B5F" w:rsidRPr="004045AD">
        <w:rPr>
          <w:rFonts w:ascii="Times New Roman" w:hAnsi="Times New Roman" w:cs="Times New Roman"/>
          <w:iCs/>
          <w:sz w:val="24"/>
          <w:szCs w:val="24"/>
        </w:rPr>
        <w:t>c</w:t>
      </w:r>
      <w:r w:rsidR="009B274F" w:rsidRPr="004045AD">
        <w:rPr>
          <w:rFonts w:ascii="Times New Roman" w:hAnsi="Times New Roman" w:cs="Times New Roman"/>
          <w:iCs/>
          <w:sz w:val="24"/>
          <w:szCs w:val="24"/>
        </w:rPr>
        <w:t>ourt ruled that though they were not elegantly formulated they could be related to.</w:t>
      </w:r>
    </w:p>
    <w:p w:rsidR="00767A6E" w:rsidRPr="004045AD" w:rsidRDefault="003607E5" w:rsidP="00A7698F">
      <w:pPr>
        <w:spacing w:after="0" w:line="240" w:lineRule="auto"/>
        <w:jc w:val="both"/>
        <w:rPr>
          <w:rFonts w:ascii="Times New Roman" w:hAnsi="Times New Roman" w:cs="Times New Roman"/>
          <w:iCs/>
          <w:sz w:val="24"/>
          <w:szCs w:val="24"/>
        </w:rPr>
      </w:pPr>
      <w:r w:rsidRPr="004045AD">
        <w:rPr>
          <w:rFonts w:ascii="Times New Roman" w:hAnsi="Times New Roman" w:cs="Times New Roman"/>
          <w:iCs/>
          <w:sz w:val="24"/>
          <w:szCs w:val="24"/>
        </w:rPr>
        <w:t xml:space="preserve"> </w:t>
      </w:r>
    </w:p>
    <w:p w:rsidR="00767A6E" w:rsidRPr="004045AD" w:rsidRDefault="00767A6E" w:rsidP="00E43B5F">
      <w:pPr>
        <w:spacing w:after="0" w:line="480" w:lineRule="auto"/>
        <w:jc w:val="both"/>
        <w:rPr>
          <w:rFonts w:ascii="Times New Roman" w:hAnsi="Times New Roman" w:cs="Times New Roman"/>
          <w:iCs/>
          <w:sz w:val="24"/>
          <w:szCs w:val="24"/>
          <w:u w:val="single"/>
        </w:rPr>
      </w:pPr>
      <w:r w:rsidRPr="004045AD">
        <w:rPr>
          <w:rFonts w:ascii="Times New Roman" w:hAnsi="Times New Roman" w:cs="Times New Roman"/>
          <w:b/>
          <w:iCs/>
          <w:sz w:val="24"/>
          <w:szCs w:val="24"/>
          <w:u w:val="single"/>
        </w:rPr>
        <w:t>ON THE MERITS</w:t>
      </w:r>
    </w:p>
    <w:p w:rsidR="009B274F" w:rsidRPr="004045AD" w:rsidRDefault="00E43B5F" w:rsidP="00E43B5F">
      <w:pPr>
        <w:spacing w:line="480" w:lineRule="auto"/>
        <w:ind w:left="567" w:hanging="567"/>
        <w:jc w:val="both"/>
        <w:rPr>
          <w:rFonts w:ascii="Times New Roman" w:hAnsi="Times New Roman" w:cs="Times New Roman"/>
          <w:iCs/>
          <w:sz w:val="24"/>
          <w:szCs w:val="24"/>
        </w:rPr>
      </w:pPr>
      <w:r w:rsidRPr="004045AD">
        <w:rPr>
          <w:rFonts w:ascii="Times New Roman" w:hAnsi="Times New Roman" w:cs="Times New Roman"/>
          <w:iCs/>
          <w:sz w:val="24"/>
          <w:szCs w:val="24"/>
        </w:rPr>
        <w:t>[20</w:t>
      </w:r>
      <w:r w:rsidR="002B707B" w:rsidRPr="004045AD">
        <w:rPr>
          <w:rFonts w:ascii="Times New Roman" w:hAnsi="Times New Roman" w:cs="Times New Roman"/>
          <w:iCs/>
          <w:sz w:val="24"/>
          <w:szCs w:val="24"/>
        </w:rPr>
        <w:t xml:space="preserve">] </w:t>
      </w:r>
      <w:r w:rsidRPr="004045AD">
        <w:rPr>
          <w:rFonts w:ascii="Times New Roman" w:hAnsi="Times New Roman" w:cs="Times New Roman"/>
          <w:iCs/>
          <w:sz w:val="24"/>
          <w:szCs w:val="24"/>
        </w:rPr>
        <w:t xml:space="preserve"> </w:t>
      </w:r>
      <w:r w:rsidR="00A7698F" w:rsidRPr="004045AD">
        <w:rPr>
          <w:rFonts w:ascii="Times New Roman" w:hAnsi="Times New Roman" w:cs="Times New Roman"/>
          <w:iCs/>
          <w:sz w:val="24"/>
          <w:szCs w:val="24"/>
        </w:rPr>
        <w:t xml:space="preserve"> </w:t>
      </w:r>
      <w:r w:rsidR="009B274F" w:rsidRPr="004045AD">
        <w:rPr>
          <w:rFonts w:ascii="Times New Roman" w:hAnsi="Times New Roman" w:cs="Times New Roman"/>
          <w:iCs/>
          <w:sz w:val="24"/>
          <w:szCs w:val="24"/>
        </w:rPr>
        <w:t>Mr</w:t>
      </w:r>
      <w:r w:rsidR="009B274F" w:rsidRPr="004045AD">
        <w:rPr>
          <w:rFonts w:ascii="Times New Roman" w:hAnsi="Times New Roman" w:cs="Times New Roman"/>
          <w:i/>
          <w:iCs/>
          <w:sz w:val="24"/>
          <w:szCs w:val="24"/>
        </w:rPr>
        <w:t xml:space="preserve"> Mapuranga</w:t>
      </w:r>
      <w:r w:rsidR="009B274F" w:rsidRPr="004045AD">
        <w:rPr>
          <w:rFonts w:ascii="Times New Roman" w:hAnsi="Times New Roman" w:cs="Times New Roman"/>
          <w:iCs/>
          <w:sz w:val="24"/>
          <w:szCs w:val="24"/>
        </w:rPr>
        <w:t xml:space="preserve"> argued that after the merger, the market share shows scary </w:t>
      </w:r>
      <w:r w:rsidR="00C15020" w:rsidRPr="004045AD">
        <w:rPr>
          <w:rFonts w:ascii="Times New Roman" w:hAnsi="Times New Roman" w:cs="Times New Roman"/>
          <w:iCs/>
          <w:sz w:val="24"/>
          <w:szCs w:val="24"/>
        </w:rPr>
        <w:t>figures</w:t>
      </w:r>
      <w:r w:rsidR="009B274F" w:rsidRPr="004045AD">
        <w:rPr>
          <w:rFonts w:ascii="Times New Roman" w:hAnsi="Times New Roman" w:cs="Times New Roman"/>
          <w:iCs/>
          <w:sz w:val="24"/>
          <w:szCs w:val="24"/>
        </w:rPr>
        <w:t xml:space="preserve"> which indicates that</w:t>
      </w:r>
      <w:r w:rsidR="005D1AA7" w:rsidRPr="004045AD">
        <w:rPr>
          <w:rFonts w:ascii="Times New Roman" w:hAnsi="Times New Roman" w:cs="Times New Roman"/>
          <w:iCs/>
          <w:sz w:val="24"/>
          <w:szCs w:val="24"/>
        </w:rPr>
        <w:t xml:space="preserve"> </w:t>
      </w:r>
      <w:r w:rsidR="00AD2C67" w:rsidRPr="004045AD">
        <w:rPr>
          <w:rFonts w:ascii="Times New Roman" w:hAnsi="Times New Roman" w:cs="Times New Roman"/>
          <w:iCs/>
          <w:sz w:val="24"/>
          <w:szCs w:val="24"/>
        </w:rPr>
        <w:t>Innscor’s</w:t>
      </w:r>
      <w:r w:rsidR="005D1AA7" w:rsidRPr="004045AD">
        <w:rPr>
          <w:rFonts w:ascii="Times New Roman" w:hAnsi="Times New Roman" w:cs="Times New Roman"/>
          <w:iCs/>
          <w:sz w:val="24"/>
          <w:szCs w:val="24"/>
        </w:rPr>
        <w:t xml:space="preserve"> share in the market had risen to 57% when the next biggest </w:t>
      </w:r>
      <w:r w:rsidRPr="004045AD">
        <w:rPr>
          <w:rFonts w:ascii="Times New Roman" w:hAnsi="Times New Roman" w:cs="Times New Roman"/>
          <w:iCs/>
          <w:sz w:val="24"/>
          <w:szCs w:val="24"/>
        </w:rPr>
        <w:t>competitor’s</w:t>
      </w:r>
      <w:r w:rsidR="005D1AA7" w:rsidRPr="004045AD">
        <w:rPr>
          <w:rFonts w:ascii="Times New Roman" w:hAnsi="Times New Roman" w:cs="Times New Roman"/>
          <w:iCs/>
          <w:sz w:val="24"/>
          <w:szCs w:val="24"/>
        </w:rPr>
        <w:t xml:space="preserve"> share was 11%. </w:t>
      </w:r>
      <w:r w:rsidRPr="004045AD">
        <w:rPr>
          <w:rFonts w:ascii="Times New Roman" w:hAnsi="Times New Roman" w:cs="Times New Roman"/>
          <w:iCs/>
          <w:sz w:val="24"/>
          <w:szCs w:val="24"/>
        </w:rPr>
        <w:t xml:space="preserve"> </w:t>
      </w:r>
      <w:r w:rsidR="005D1AA7" w:rsidRPr="004045AD">
        <w:rPr>
          <w:rFonts w:ascii="Times New Roman" w:hAnsi="Times New Roman" w:cs="Times New Roman"/>
          <w:iCs/>
          <w:sz w:val="24"/>
          <w:szCs w:val="24"/>
        </w:rPr>
        <w:t xml:space="preserve">He submitted that the merger had </w:t>
      </w:r>
      <w:r w:rsidR="00C00284">
        <w:rPr>
          <w:rFonts w:ascii="Times New Roman" w:hAnsi="Times New Roman" w:cs="Times New Roman"/>
          <w:iCs/>
          <w:sz w:val="24"/>
          <w:szCs w:val="24"/>
        </w:rPr>
        <w:t>intergrated</w:t>
      </w:r>
      <w:r w:rsidR="005D1AA7" w:rsidRPr="004045AD">
        <w:rPr>
          <w:rFonts w:ascii="Times New Roman" w:hAnsi="Times New Roman" w:cs="Times New Roman"/>
          <w:iCs/>
          <w:sz w:val="24"/>
          <w:szCs w:val="24"/>
        </w:rPr>
        <w:t xml:space="preserve"> Profeeds and National Foods wh</w:t>
      </w:r>
      <w:r w:rsidR="002C6B6C" w:rsidRPr="004045AD">
        <w:rPr>
          <w:rFonts w:ascii="Times New Roman" w:hAnsi="Times New Roman" w:cs="Times New Roman"/>
          <w:iCs/>
          <w:sz w:val="24"/>
          <w:szCs w:val="24"/>
        </w:rPr>
        <w:t>ich</w:t>
      </w:r>
      <w:r w:rsidR="005D1AA7" w:rsidRPr="004045AD">
        <w:rPr>
          <w:rFonts w:ascii="Times New Roman" w:hAnsi="Times New Roman" w:cs="Times New Roman"/>
          <w:iCs/>
          <w:sz w:val="24"/>
          <w:szCs w:val="24"/>
        </w:rPr>
        <w:t xml:space="preserve"> were the second biggest and biggest producers of stock feeds. </w:t>
      </w:r>
      <w:r w:rsidRPr="004045AD">
        <w:rPr>
          <w:rFonts w:ascii="Times New Roman" w:hAnsi="Times New Roman" w:cs="Times New Roman"/>
          <w:iCs/>
          <w:sz w:val="24"/>
          <w:szCs w:val="24"/>
        </w:rPr>
        <w:t xml:space="preserve"> </w:t>
      </w:r>
      <w:r w:rsidR="005D1AA7" w:rsidRPr="004045AD">
        <w:rPr>
          <w:rFonts w:ascii="Times New Roman" w:hAnsi="Times New Roman" w:cs="Times New Roman"/>
          <w:iCs/>
          <w:sz w:val="24"/>
          <w:szCs w:val="24"/>
        </w:rPr>
        <w:t>He further submitted that the merger had resulted in Profeeds and National Foods having concentrated power and control of the stock fee</w:t>
      </w:r>
      <w:r w:rsidR="0094418C" w:rsidRPr="004045AD">
        <w:rPr>
          <w:rFonts w:ascii="Times New Roman" w:hAnsi="Times New Roman" w:cs="Times New Roman"/>
          <w:iCs/>
          <w:sz w:val="24"/>
          <w:szCs w:val="24"/>
        </w:rPr>
        <w:t xml:space="preserve">ds industry. </w:t>
      </w:r>
      <w:r w:rsidRPr="004045AD">
        <w:rPr>
          <w:rFonts w:ascii="Times New Roman" w:hAnsi="Times New Roman" w:cs="Times New Roman"/>
          <w:iCs/>
          <w:sz w:val="24"/>
          <w:szCs w:val="24"/>
        </w:rPr>
        <w:t xml:space="preserve"> </w:t>
      </w:r>
      <w:r w:rsidR="0094418C" w:rsidRPr="004045AD">
        <w:rPr>
          <w:rFonts w:ascii="Times New Roman" w:hAnsi="Times New Roman" w:cs="Times New Roman"/>
          <w:iCs/>
          <w:sz w:val="24"/>
          <w:szCs w:val="24"/>
        </w:rPr>
        <w:t xml:space="preserve">He further submitted that the merger created a monopoly and is </w:t>
      </w:r>
      <w:r w:rsidR="009B274F" w:rsidRPr="004045AD">
        <w:rPr>
          <w:rFonts w:ascii="Times New Roman" w:hAnsi="Times New Roman" w:cs="Times New Roman"/>
          <w:iCs/>
          <w:sz w:val="24"/>
          <w:szCs w:val="24"/>
        </w:rPr>
        <w:t xml:space="preserve">contrary to public </w:t>
      </w:r>
      <w:r w:rsidR="00D65236" w:rsidRPr="004045AD">
        <w:rPr>
          <w:rFonts w:ascii="Times New Roman" w:hAnsi="Times New Roman" w:cs="Times New Roman"/>
          <w:iCs/>
          <w:sz w:val="24"/>
          <w:szCs w:val="24"/>
        </w:rPr>
        <w:t>interest</w:t>
      </w:r>
      <w:r w:rsidR="009B274F" w:rsidRPr="004045AD">
        <w:rPr>
          <w:rFonts w:ascii="Times New Roman" w:hAnsi="Times New Roman" w:cs="Times New Roman"/>
          <w:iCs/>
          <w:sz w:val="24"/>
          <w:szCs w:val="24"/>
        </w:rPr>
        <w:t xml:space="preserve">. </w:t>
      </w:r>
      <w:r w:rsidRPr="004045AD">
        <w:rPr>
          <w:rFonts w:ascii="Times New Roman" w:hAnsi="Times New Roman" w:cs="Times New Roman"/>
          <w:iCs/>
          <w:sz w:val="24"/>
          <w:szCs w:val="24"/>
        </w:rPr>
        <w:t xml:space="preserve"> </w:t>
      </w:r>
      <w:r w:rsidR="009B274F" w:rsidRPr="004045AD">
        <w:rPr>
          <w:rFonts w:ascii="Times New Roman" w:hAnsi="Times New Roman" w:cs="Times New Roman"/>
          <w:iCs/>
          <w:sz w:val="24"/>
          <w:szCs w:val="24"/>
        </w:rPr>
        <w:t xml:space="preserve">Counsel </w:t>
      </w:r>
      <w:r w:rsidR="0094418C" w:rsidRPr="004045AD">
        <w:rPr>
          <w:rFonts w:ascii="Times New Roman" w:hAnsi="Times New Roman" w:cs="Times New Roman"/>
          <w:iCs/>
          <w:sz w:val="24"/>
          <w:szCs w:val="24"/>
        </w:rPr>
        <w:t>submitted</w:t>
      </w:r>
      <w:r w:rsidR="009B274F" w:rsidRPr="004045AD">
        <w:rPr>
          <w:rFonts w:ascii="Times New Roman" w:hAnsi="Times New Roman" w:cs="Times New Roman"/>
          <w:iCs/>
          <w:sz w:val="24"/>
          <w:szCs w:val="24"/>
        </w:rPr>
        <w:t xml:space="preserve"> that too </w:t>
      </w:r>
      <w:r w:rsidR="009B274F" w:rsidRPr="004045AD">
        <w:rPr>
          <w:rFonts w:ascii="Times New Roman" w:hAnsi="Times New Roman" w:cs="Times New Roman"/>
          <w:iCs/>
          <w:sz w:val="24"/>
          <w:szCs w:val="24"/>
        </w:rPr>
        <w:lastRenderedPageBreak/>
        <w:t xml:space="preserve">much control in one entity is contrary to public interest. </w:t>
      </w:r>
      <w:r w:rsidRPr="004045AD">
        <w:rPr>
          <w:rFonts w:ascii="Times New Roman" w:hAnsi="Times New Roman" w:cs="Times New Roman"/>
          <w:iCs/>
          <w:sz w:val="24"/>
          <w:szCs w:val="24"/>
        </w:rPr>
        <w:t xml:space="preserve"> </w:t>
      </w:r>
      <w:r w:rsidR="009B274F" w:rsidRPr="004045AD">
        <w:rPr>
          <w:rFonts w:ascii="Times New Roman" w:hAnsi="Times New Roman" w:cs="Times New Roman"/>
          <w:iCs/>
          <w:sz w:val="24"/>
          <w:szCs w:val="24"/>
        </w:rPr>
        <w:t>He s</w:t>
      </w:r>
      <w:r w:rsidR="0094418C" w:rsidRPr="004045AD">
        <w:rPr>
          <w:rFonts w:ascii="Times New Roman" w:hAnsi="Times New Roman" w:cs="Times New Roman"/>
          <w:iCs/>
          <w:sz w:val="24"/>
          <w:szCs w:val="24"/>
        </w:rPr>
        <w:t>ubmitted</w:t>
      </w:r>
      <w:r w:rsidR="009B274F" w:rsidRPr="004045AD">
        <w:rPr>
          <w:rFonts w:ascii="Times New Roman" w:hAnsi="Times New Roman" w:cs="Times New Roman"/>
          <w:iCs/>
          <w:sz w:val="24"/>
          <w:szCs w:val="24"/>
        </w:rPr>
        <w:t xml:space="preserve"> that the respondent</w:t>
      </w:r>
      <w:r w:rsidR="0094418C" w:rsidRPr="004045AD">
        <w:rPr>
          <w:rFonts w:ascii="Times New Roman" w:hAnsi="Times New Roman" w:cs="Times New Roman"/>
          <w:iCs/>
          <w:sz w:val="24"/>
          <w:szCs w:val="24"/>
        </w:rPr>
        <w:t>s’ merger</w:t>
      </w:r>
      <w:r w:rsidR="009B274F" w:rsidRPr="004045AD">
        <w:rPr>
          <w:rFonts w:ascii="Times New Roman" w:hAnsi="Times New Roman" w:cs="Times New Roman"/>
          <w:iCs/>
          <w:sz w:val="24"/>
          <w:szCs w:val="24"/>
        </w:rPr>
        <w:t xml:space="preserve"> </w:t>
      </w:r>
      <w:r w:rsidR="0094418C" w:rsidRPr="004045AD">
        <w:rPr>
          <w:rFonts w:ascii="Times New Roman" w:hAnsi="Times New Roman" w:cs="Times New Roman"/>
          <w:iCs/>
          <w:sz w:val="24"/>
          <w:szCs w:val="24"/>
        </w:rPr>
        <w:t xml:space="preserve">having been consummated without notification for three </w:t>
      </w:r>
      <w:r w:rsidR="00B70086" w:rsidRPr="004045AD">
        <w:rPr>
          <w:rFonts w:ascii="Times New Roman" w:hAnsi="Times New Roman" w:cs="Times New Roman"/>
          <w:iCs/>
          <w:sz w:val="24"/>
          <w:szCs w:val="24"/>
        </w:rPr>
        <w:t>years and</w:t>
      </w:r>
      <w:r w:rsidR="002F03C4" w:rsidRPr="004045AD">
        <w:rPr>
          <w:rFonts w:ascii="Times New Roman" w:hAnsi="Times New Roman" w:cs="Times New Roman"/>
          <w:iCs/>
          <w:sz w:val="24"/>
          <w:szCs w:val="24"/>
        </w:rPr>
        <w:t xml:space="preserve"> nine months</w:t>
      </w:r>
      <w:r w:rsidR="00F02D66">
        <w:rPr>
          <w:rFonts w:ascii="Times New Roman" w:hAnsi="Times New Roman" w:cs="Times New Roman"/>
          <w:iCs/>
          <w:sz w:val="24"/>
          <w:szCs w:val="24"/>
        </w:rPr>
        <w:t>,</w:t>
      </w:r>
      <w:r w:rsidR="002F03C4" w:rsidRPr="004045AD">
        <w:rPr>
          <w:rFonts w:ascii="Times New Roman" w:hAnsi="Times New Roman" w:cs="Times New Roman"/>
          <w:iCs/>
          <w:sz w:val="24"/>
          <w:szCs w:val="24"/>
        </w:rPr>
        <w:t xml:space="preserve"> </w:t>
      </w:r>
      <w:r w:rsidR="009B274F" w:rsidRPr="004045AD">
        <w:rPr>
          <w:rFonts w:ascii="Times New Roman" w:hAnsi="Times New Roman" w:cs="Times New Roman"/>
          <w:iCs/>
          <w:sz w:val="24"/>
          <w:szCs w:val="24"/>
        </w:rPr>
        <w:t xml:space="preserve">violated </w:t>
      </w:r>
      <w:r w:rsidR="0094418C" w:rsidRPr="004045AD">
        <w:rPr>
          <w:rFonts w:ascii="Times New Roman" w:hAnsi="Times New Roman" w:cs="Times New Roman"/>
          <w:iCs/>
          <w:sz w:val="24"/>
          <w:szCs w:val="24"/>
        </w:rPr>
        <w:t>the</w:t>
      </w:r>
      <w:r w:rsidR="009B274F" w:rsidRPr="004045AD">
        <w:rPr>
          <w:rFonts w:ascii="Times New Roman" w:hAnsi="Times New Roman" w:cs="Times New Roman"/>
          <w:iCs/>
          <w:sz w:val="24"/>
          <w:szCs w:val="24"/>
        </w:rPr>
        <w:t xml:space="preserve"> provision</w:t>
      </w:r>
      <w:r w:rsidR="0094418C" w:rsidRPr="004045AD">
        <w:rPr>
          <w:rFonts w:ascii="Times New Roman" w:hAnsi="Times New Roman" w:cs="Times New Roman"/>
          <w:iCs/>
          <w:sz w:val="24"/>
          <w:szCs w:val="24"/>
        </w:rPr>
        <w:t xml:space="preserve">s of the Act. </w:t>
      </w:r>
      <w:r w:rsidRPr="004045AD">
        <w:rPr>
          <w:rFonts w:ascii="Times New Roman" w:hAnsi="Times New Roman" w:cs="Times New Roman"/>
          <w:iCs/>
          <w:sz w:val="24"/>
          <w:szCs w:val="24"/>
        </w:rPr>
        <w:t xml:space="preserve"> </w:t>
      </w:r>
      <w:r w:rsidR="0094418C" w:rsidRPr="004045AD">
        <w:rPr>
          <w:rFonts w:ascii="Times New Roman" w:hAnsi="Times New Roman" w:cs="Times New Roman"/>
          <w:iCs/>
          <w:sz w:val="24"/>
          <w:szCs w:val="24"/>
        </w:rPr>
        <w:t xml:space="preserve">He further submitted that the court </w:t>
      </w:r>
      <w:r w:rsidR="0094418C" w:rsidRPr="004045AD">
        <w:rPr>
          <w:rFonts w:ascii="Times New Roman" w:hAnsi="Times New Roman" w:cs="Times New Roman"/>
          <w:i/>
          <w:iCs/>
          <w:sz w:val="24"/>
          <w:szCs w:val="24"/>
        </w:rPr>
        <w:t>a quo</w:t>
      </w:r>
      <w:r w:rsidR="0094418C" w:rsidRPr="004045AD">
        <w:rPr>
          <w:rFonts w:ascii="Times New Roman" w:hAnsi="Times New Roman" w:cs="Times New Roman"/>
          <w:iCs/>
          <w:sz w:val="24"/>
          <w:szCs w:val="24"/>
        </w:rPr>
        <w:t xml:space="preserve"> erred when it interfered with the penalty imposed by the appellant on the basis of only one of the factors provided in s</w:t>
      </w:r>
      <w:r w:rsidR="00D65236" w:rsidRPr="004045AD">
        <w:rPr>
          <w:rFonts w:ascii="Times New Roman" w:hAnsi="Times New Roman" w:cs="Times New Roman"/>
          <w:iCs/>
          <w:sz w:val="24"/>
          <w:szCs w:val="24"/>
        </w:rPr>
        <w:t xml:space="preserve"> </w:t>
      </w:r>
      <w:r w:rsidR="00D65236" w:rsidRPr="004045AD">
        <w:rPr>
          <w:rFonts w:ascii="Times New Roman" w:hAnsi="Times New Roman" w:cs="Times New Roman"/>
          <w:b/>
          <w:iCs/>
          <w:sz w:val="24"/>
          <w:szCs w:val="24"/>
        </w:rPr>
        <w:t>3</w:t>
      </w:r>
      <w:r w:rsidR="00D65236" w:rsidRPr="004045AD">
        <w:rPr>
          <w:rFonts w:ascii="Times New Roman" w:hAnsi="Times New Roman" w:cs="Times New Roman"/>
          <w:iCs/>
          <w:sz w:val="24"/>
          <w:szCs w:val="24"/>
        </w:rPr>
        <w:t>4A (5)</w:t>
      </w:r>
      <w:r w:rsidR="0094418C" w:rsidRPr="004045AD">
        <w:rPr>
          <w:rFonts w:ascii="Times New Roman" w:hAnsi="Times New Roman" w:cs="Times New Roman"/>
          <w:iCs/>
          <w:sz w:val="24"/>
          <w:szCs w:val="24"/>
        </w:rPr>
        <w:t xml:space="preserve"> of the</w:t>
      </w:r>
      <w:r w:rsidR="001B55FB" w:rsidRPr="004045AD">
        <w:rPr>
          <w:rFonts w:ascii="Times New Roman" w:hAnsi="Times New Roman" w:cs="Times New Roman"/>
          <w:iCs/>
          <w:sz w:val="24"/>
          <w:szCs w:val="24"/>
        </w:rPr>
        <w:t xml:space="preserve"> Act.</w:t>
      </w:r>
      <w:r w:rsidR="0094418C" w:rsidRPr="004045AD">
        <w:rPr>
          <w:rFonts w:ascii="Times New Roman" w:hAnsi="Times New Roman" w:cs="Times New Roman"/>
          <w:iCs/>
          <w:sz w:val="24"/>
          <w:szCs w:val="24"/>
        </w:rPr>
        <w:t xml:space="preserve"> </w:t>
      </w:r>
      <w:r w:rsidRPr="004045AD">
        <w:rPr>
          <w:rFonts w:ascii="Times New Roman" w:hAnsi="Times New Roman" w:cs="Times New Roman"/>
          <w:iCs/>
          <w:sz w:val="24"/>
          <w:szCs w:val="24"/>
        </w:rPr>
        <w:t xml:space="preserve"> </w:t>
      </w:r>
      <w:r w:rsidR="001B55FB" w:rsidRPr="004045AD">
        <w:rPr>
          <w:rFonts w:ascii="Times New Roman" w:hAnsi="Times New Roman" w:cs="Times New Roman"/>
          <w:iCs/>
          <w:sz w:val="24"/>
          <w:szCs w:val="24"/>
        </w:rPr>
        <w:t xml:space="preserve">He concluded his submissions by stating that the court </w:t>
      </w:r>
      <w:r w:rsidR="00AC38BA" w:rsidRPr="004045AD">
        <w:rPr>
          <w:rFonts w:ascii="Times New Roman" w:hAnsi="Times New Roman" w:cs="Times New Roman"/>
          <w:iCs/>
          <w:sz w:val="24"/>
          <w:szCs w:val="24"/>
        </w:rPr>
        <w:t xml:space="preserve">         </w:t>
      </w:r>
      <w:r w:rsidR="001B55FB" w:rsidRPr="004045AD">
        <w:rPr>
          <w:rFonts w:ascii="Times New Roman" w:hAnsi="Times New Roman" w:cs="Times New Roman"/>
          <w:i/>
          <w:iCs/>
          <w:sz w:val="24"/>
          <w:szCs w:val="24"/>
        </w:rPr>
        <w:t xml:space="preserve">a quo </w:t>
      </w:r>
      <w:r w:rsidR="001B55FB" w:rsidRPr="004045AD">
        <w:rPr>
          <w:rFonts w:ascii="Times New Roman" w:hAnsi="Times New Roman" w:cs="Times New Roman"/>
          <w:iCs/>
          <w:sz w:val="24"/>
          <w:szCs w:val="24"/>
        </w:rPr>
        <w:t>erred when it interfered with the penalty imposed by the appellant without considering all of the seven factors provided in</w:t>
      </w:r>
      <w:r w:rsidRPr="004045AD">
        <w:rPr>
          <w:rFonts w:ascii="Times New Roman" w:hAnsi="Times New Roman" w:cs="Times New Roman"/>
          <w:iCs/>
          <w:sz w:val="24"/>
          <w:szCs w:val="24"/>
        </w:rPr>
        <w:t xml:space="preserve"> </w:t>
      </w:r>
      <w:r w:rsidR="001B55FB" w:rsidRPr="004045AD">
        <w:rPr>
          <w:rFonts w:ascii="Times New Roman" w:hAnsi="Times New Roman" w:cs="Times New Roman"/>
          <w:iCs/>
          <w:sz w:val="24"/>
          <w:szCs w:val="24"/>
        </w:rPr>
        <w:t xml:space="preserve">s </w:t>
      </w:r>
      <w:r w:rsidR="00865F95" w:rsidRPr="004045AD">
        <w:rPr>
          <w:rFonts w:ascii="Times New Roman" w:hAnsi="Times New Roman" w:cs="Times New Roman"/>
          <w:iCs/>
          <w:sz w:val="24"/>
          <w:szCs w:val="24"/>
        </w:rPr>
        <w:t>34A (5)</w:t>
      </w:r>
      <w:r w:rsidR="001B55FB" w:rsidRPr="004045AD">
        <w:rPr>
          <w:rFonts w:ascii="Times New Roman" w:hAnsi="Times New Roman" w:cs="Times New Roman"/>
          <w:iCs/>
          <w:sz w:val="24"/>
          <w:szCs w:val="24"/>
        </w:rPr>
        <w:t xml:space="preserve"> of the Act.</w:t>
      </w:r>
      <w:r w:rsidR="00E9007B" w:rsidRPr="004045AD">
        <w:rPr>
          <w:rFonts w:ascii="Times New Roman" w:hAnsi="Times New Roman" w:cs="Times New Roman"/>
          <w:iCs/>
          <w:sz w:val="24"/>
          <w:szCs w:val="24"/>
        </w:rPr>
        <w:t xml:space="preserve"> </w:t>
      </w:r>
      <w:r w:rsidRPr="004045AD">
        <w:rPr>
          <w:rFonts w:ascii="Times New Roman" w:hAnsi="Times New Roman" w:cs="Times New Roman"/>
          <w:iCs/>
          <w:sz w:val="24"/>
          <w:szCs w:val="24"/>
        </w:rPr>
        <w:t xml:space="preserve"> </w:t>
      </w:r>
      <w:r w:rsidR="00E9007B" w:rsidRPr="004045AD">
        <w:rPr>
          <w:rFonts w:ascii="Times New Roman" w:hAnsi="Times New Roman" w:cs="Times New Roman"/>
          <w:iCs/>
          <w:sz w:val="24"/>
          <w:szCs w:val="24"/>
        </w:rPr>
        <w:t xml:space="preserve">On the meaning of </w:t>
      </w:r>
      <w:r w:rsidR="00AB222C" w:rsidRPr="004045AD">
        <w:rPr>
          <w:rFonts w:ascii="Times New Roman" w:hAnsi="Times New Roman" w:cs="Times New Roman"/>
          <w:iCs/>
          <w:sz w:val="24"/>
          <w:szCs w:val="24"/>
        </w:rPr>
        <w:t>“</w:t>
      </w:r>
      <w:r w:rsidR="00E9007B" w:rsidRPr="004045AD">
        <w:rPr>
          <w:rFonts w:ascii="Times New Roman" w:hAnsi="Times New Roman" w:cs="Times New Roman"/>
          <w:iCs/>
          <w:sz w:val="24"/>
          <w:szCs w:val="24"/>
        </w:rPr>
        <w:t>the year preceding</w:t>
      </w:r>
      <w:r w:rsidR="00AB222C" w:rsidRPr="004045AD">
        <w:rPr>
          <w:rFonts w:ascii="Times New Roman" w:hAnsi="Times New Roman" w:cs="Times New Roman"/>
          <w:iCs/>
          <w:sz w:val="24"/>
          <w:szCs w:val="24"/>
        </w:rPr>
        <w:t>”</w:t>
      </w:r>
      <w:r w:rsidR="00E9007B" w:rsidRPr="004045AD">
        <w:rPr>
          <w:rFonts w:ascii="Times New Roman" w:hAnsi="Times New Roman" w:cs="Times New Roman"/>
          <w:iCs/>
          <w:sz w:val="24"/>
          <w:szCs w:val="24"/>
        </w:rPr>
        <w:t xml:space="preserve"> he submitted that in terms of s </w:t>
      </w:r>
      <w:r w:rsidR="00CE3516" w:rsidRPr="004045AD">
        <w:rPr>
          <w:rFonts w:ascii="Times New Roman" w:hAnsi="Times New Roman" w:cs="Times New Roman"/>
          <w:iCs/>
          <w:sz w:val="24"/>
          <w:szCs w:val="24"/>
        </w:rPr>
        <w:t>34A (4)</w:t>
      </w:r>
      <w:r w:rsidR="00E9007B" w:rsidRPr="004045AD">
        <w:rPr>
          <w:rFonts w:ascii="Times New Roman" w:hAnsi="Times New Roman" w:cs="Times New Roman"/>
          <w:iCs/>
          <w:sz w:val="24"/>
          <w:szCs w:val="24"/>
        </w:rPr>
        <w:t xml:space="preserve"> it means the year preceding the </w:t>
      </w:r>
      <w:r w:rsidR="0003531C" w:rsidRPr="004045AD">
        <w:rPr>
          <w:rFonts w:ascii="Times New Roman" w:hAnsi="Times New Roman" w:cs="Times New Roman"/>
          <w:iCs/>
          <w:sz w:val="24"/>
          <w:szCs w:val="24"/>
        </w:rPr>
        <w:t>imposition</w:t>
      </w:r>
      <w:r w:rsidR="00E9007B" w:rsidRPr="004045AD">
        <w:rPr>
          <w:rFonts w:ascii="Times New Roman" w:hAnsi="Times New Roman" w:cs="Times New Roman"/>
          <w:iCs/>
          <w:sz w:val="24"/>
          <w:szCs w:val="24"/>
        </w:rPr>
        <w:t xml:space="preserve"> of the </w:t>
      </w:r>
      <w:r w:rsidR="00AB222C" w:rsidRPr="004045AD">
        <w:rPr>
          <w:rFonts w:ascii="Times New Roman" w:hAnsi="Times New Roman" w:cs="Times New Roman"/>
          <w:iCs/>
          <w:sz w:val="24"/>
          <w:szCs w:val="24"/>
        </w:rPr>
        <w:t>penalty</w:t>
      </w:r>
      <w:r w:rsidR="00E9007B" w:rsidRPr="004045AD">
        <w:rPr>
          <w:rFonts w:ascii="Times New Roman" w:hAnsi="Times New Roman" w:cs="Times New Roman"/>
          <w:iCs/>
          <w:sz w:val="24"/>
          <w:szCs w:val="24"/>
        </w:rPr>
        <w:t>.</w:t>
      </w:r>
      <w:r w:rsidR="00F92963" w:rsidRPr="004045AD">
        <w:rPr>
          <w:rFonts w:ascii="Times New Roman" w:hAnsi="Times New Roman" w:cs="Times New Roman"/>
          <w:iCs/>
          <w:sz w:val="24"/>
          <w:szCs w:val="24"/>
        </w:rPr>
        <w:t xml:space="preserve"> In conclusion he prayed that the appeal be allowed with costs.</w:t>
      </w:r>
    </w:p>
    <w:p w:rsidR="00E43B5F" w:rsidRPr="004045AD" w:rsidRDefault="00E43B5F" w:rsidP="00E43B5F">
      <w:pPr>
        <w:spacing w:after="0" w:line="240" w:lineRule="auto"/>
        <w:ind w:left="426" w:hanging="426"/>
        <w:jc w:val="both"/>
        <w:rPr>
          <w:rFonts w:ascii="Times New Roman" w:hAnsi="Times New Roman" w:cs="Times New Roman"/>
          <w:iCs/>
          <w:sz w:val="24"/>
          <w:szCs w:val="24"/>
        </w:rPr>
      </w:pPr>
    </w:p>
    <w:p w:rsidR="00AC38BA" w:rsidRPr="007E358A" w:rsidRDefault="00C95AE9" w:rsidP="007E358A">
      <w:pPr>
        <w:spacing w:after="0" w:line="480" w:lineRule="auto"/>
        <w:ind w:left="567" w:hanging="567"/>
        <w:jc w:val="both"/>
        <w:rPr>
          <w:rFonts w:ascii="Times New Roman" w:hAnsi="Times New Roman" w:cs="Times New Roman"/>
          <w:iCs/>
          <w:sz w:val="24"/>
          <w:szCs w:val="24"/>
        </w:rPr>
      </w:pPr>
      <w:r w:rsidRPr="004045AD">
        <w:rPr>
          <w:rFonts w:ascii="Times New Roman" w:hAnsi="Times New Roman" w:cs="Times New Roman"/>
          <w:iCs/>
          <w:sz w:val="24"/>
          <w:szCs w:val="24"/>
        </w:rPr>
        <w:t>[</w:t>
      </w:r>
      <w:r w:rsidR="00E43B5F" w:rsidRPr="004045AD">
        <w:rPr>
          <w:rFonts w:ascii="Times New Roman" w:hAnsi="Times New Roman" w:cs="Times New Roman"/>
          <w:iCs/>
          <w:sz w:val="24"/>
          <w:szCs w:val="24"/>
        </w:rPr>
        <w:t>21</w:t>
      </w:r>
      <w:r w:rsidRPr="004045AD">
        <w:rPr>
          <w:rFonts w:ascii="Times New Roman" w:hAnsi="Times New Roman" w:cs="Times New Roman"/>
          <w:iCs/>
          <w:sz w:val="24"/>
          <w:szCs w:val="24"/>
        </w:rPr>
        <w:t xml:space="preserve">] </w:t>
      </w:r>
      <w:r w:rsidR="00E43B5F" w:rsidRPr="004045AD">
        <w:rPr>
          <w:rFonts w:ascii="Times New Roman" w:hAnsi="Times New Roman" w:cs="Times New Roman"/>
          <w:iCs/>
          <w:sz w:val="24"/>
          <w:szCs w:val="24"/>
        </w:rPr>
        <w:t xml:space="preserve"> </w:t>
      </w:r>
      <w:r w:rsidR="004202CA">
        <w:rPr>
          <w:rFonts w:ascii="Times New Roman" w:hAnsi="Times New Roman" w:cs="Times New Roman"/>
          <w:iCs/>
          <w:sz w:val="24"/>
          <w:szCs w:val="24"/>
        </w:rPr>
        <w:t xml:space="preserve"> </w:t>
      </w:r>
      <w:r w:rsidR="00986DD1" w:rsidRPr="004045AD">
        <w:rPr>
          <w:rFonts w:ascii="Times New Roman" w:hAnsi="Times New Roman" w:cs="Times New Roman"/>
          <w:iCs/>
          <w:sz w:val="24"/>
          <w:szCs w:val="24"/>
        </w:rPr>
        <w:t xml:space="preserve">Per </w:t>
      </w:r>
      <w:r w:rsidR="00986DD1" w:rsidRPr="004045AD">
        <w:rPr>
          <w:rFonts w:ascii="Times New Roman" w:hAnsi="Times New Roman" w:cs="Times New Roman"/>
          <w:i/>
          <w:iCs/>
          <w:sz w:val="24"/>
          <w:szCs w:val="24"/>
        </w:rPr>
        <w:t>contra</w:t>
      </w:r>
      <w:r w:rsidR="00986DD1" w:rsidRPr="004045AD">
        <w:rPr>
          <w:rFonts w:ascii="Times New Roman" w:hAnsi="Times New Roman" w:cs="Times New Roman"/>
          <w:iCs/>
          <w:sz w:val="24"/>
          <w:szCs w:val="24"/>
        </w:rPr>
        <w:t>,</w:t>
      </w:r>
      <w:r w:rsidR="003607E5" w:rsidRPr="004045AD">
        <w:rPr>
          <w:rFonts w:ascii="Times New Roman" w:hAnsi="Times New Roman" w:cs="Times New Roman"/>
          <w:iCs/>
          <w:sz w:val="24"/>
          <w:szCs w:val="24"/>
        </w:rPr>
        <w:t xml:space="preserve"> </w:t>
      </w:r>
      <w:r w:rsidR="002B707B" w:rsidRPr="004045AD">
        <w:rPr>
          <w:rFonts w:ascii="Times New Roman" w:hAnsi="Times New Roman" w:cs="Times New Roman"/>
          <w:iCs/>
          <w:sz w:val="24"/>
          <w:szCs w:val="24"/>
        </w:rPr>
        <w:t>Mr</w:t>
      </w:r>
      <w:r w:rsidR="002B707B" w:rsidRPr="004045AD">
        <w:rPr>
          <w:rFonts w:ascii="Times New Roman" w:hAnsi="Times New Roman" w:cs="Times New Roman"/>
          <w:i/>
          <w:iCs/>
          <w:sz w:val="24"/>
          <w:szCs w:val="24"/>
        </w:rPr>
        <w:t xml:space="preserve"> Magwaliba</w:t>
      </w:r>
      <w:r w:rsidR="002B707B" w:rsidRPr="004045AD">
        <w:rPr>
          <w:rFonts w:ascii="Times New Roman" w:hAnsi="Times New Roman" w:cs="Times New Roman"/>
          <w:iCs/>
          <w:sz w:val="24"/>
          <w:szCs w:val="24"/>
        </w:rPr>
        <w:t xml:space="preserve"> </w:t>
      </w:r>
      <w:r w:rsidR="00986DD1" w:rsidRPr="004045AD">
        <w:rPr>
          <w:rFonts w:ascii="Times New Roman" w:hAnsi="Times New Roman" w:cs="Times New Roman"/>
          <w:iCs/>
          <w:sz w:val="24"/>
          <w:szCs w:val="24"/>
        </w:rPr>
        <w:t>s</w:t>
      </w:r>
      <w:r w:rsidR="002B707B" w:rsidRPr="004045AD">
        <w:rPr>
          <w:rFonts w:ascii="Times New Roman" w:hAnsi="Times New Roman" w:cs="Times New Roman"/>
          <w:iCs/>
          <w:sz w:val="24"/>
          <w:szCs w:val="24"/>
        </w:rPr>
        <w:t>ubmitted</w:t>
      </w:r>
      <w:r w:rsidR="00986DD1" w:rsidRPr="004045AD">
        <w:rPr>
          <w:rFonts w:ascii="Times New Roman" w:hAnsi="Times New Roman" w:cs="Times New Roman"/>
          <w:iCs/>
          <w:sz w:val="24"/>
          <w:szCs w:val="24"/>
        </w:rPr>
        <w:t xml:space="preserve"> that before the court </w:t>
      </w:r>
      <w:r w:rsidR="00986DD1" w:rsidRPr="004045AD">
        <w:rPr>
          <w:rFonts w:ascii="Times New Roman" w:hAnsi="Times New Roman" w:cs="Times New Roman"/>
          <w:i/>
          <w:iCs/>
          <w:sz w:val="24"/>
          <w:szCs w:val="24"/>
        </w:rPr>
        <w:t>a quo</w:t>
      </w:r>
      <w:r w:rsidR="00986DD1" w:rsidRPr="004045AD">
        <w:rPr>
          <w:rFonts w:ascii="Times New Roman" w:hAnsi="Times New Roman" w:cs="Times New Roman"/>
          <w:iCs/>
          <w:sz w:val="24"/>
          <w:szCs w:val="24"/>
        </w:rPr>
        <w:t xml:space="preserve">, the appellant had to lead evidence which it failed to do. </w:t>
      </w:r>
      <w:r w:rsidR="00E43B5F" w:rsidRPr="004045AD">
        <w:rPr>
          <w:rFonts w:ascii="Times New Roman" w:hAnsi="Times New Roman" w:cs="Times New Roman"/>
          <w:iCs/>
          <w:sz w:val="24"/>
          <w:szCs w:val="24"/>
        </w:rPr>
        <w:t xml:space="preserve"> </w:t>
      </w:r>
      <w:r w:rsidR="00865F95" w:rsidRPr="004045AD">
        <w:rPr>
          <w:rFonts w:ascii="Times New Roman" w:hAnsi="Times New Roman" w:cs="Times New Roman"/>
          <w:iCs/>
          <w:sz w:val="24"/>
          <w:szCs w:val="24"/>
        </w:rPr>
        <w:t>He submitted that appellant should have led evidence because an appeal in the Administrative Court is an appeal in a wide sense.</w:t>
      </w:r>
      <w:r w:rsidR="007E358A">
        <w:rPr>
          <w:rFonts w:ascii="Times New Roman" w:hAnsi="Times New Roman" w:cs="Times New Roman"/>
          <w:iCs/>
          <w:sz w:val="24"/>
          <w:szCs w:val="24"/>
        </w:rPr>
        <w:t xml:space="preserve"> </w:t>
      </w:r>
      <w:r w:rsidR="00865F95" w:rsidRPr="004045AD">
        <w:rPr>
          <w:rFonts w:ascii="Times New Roman" w:hAnsi="Times New Roman" w:cs="Times New Roman"/>
          <w:iCs/>
          <w:sz w:val="24"/>
          <w:szCs w:val="24"/>
        </w:rPr>
        <w:t xml:space="preserve"> </w:t>
      </w:r>
      <w:r w:rsidR="00986DD1" w:rsidRPr="004045AD">
        <w:rPr>
          <w:rFonts w:ascii="Times New Roman" w:hAnsi="Times New Roman" w:cs="Times New Roman"/>
          <w:iCs/>
          <w:sz w:val="24"/>
          <w:szCs w:val="24"/>
        </w:rPr>
        <w:t xml:space="preserve">He </w:t>
      </w:r>
      <w:r w:rsidR="002B707B" w:rsidRPr="004045AD">
        <w:rPr>
          <w:rFonts w:ascii="Times New Roman" w:hAnsi="Times New Roman" w:cs="Times New Roman"/>
          <w:iCs/>
          <w:sz w:val="24"/>
          <w:szCs w:val="24"/>
        </w:rPr>
        <w:t xml:space="preserve">further submitted that </w:t>
      </w:r>
      <w:r w:rsidR="008136E4" w:rsidRPr="004045AD">
        <w:rPr>
          <w:rFonts w:ascii="Times New Roman" w:hAnsi="Times New Roman" w:cs="Times New Roman"/>
          <w:iCs/>
          <w:sz w:val="24"/>
          <w:szCs w:val="24"/>
        </w:rPr>
        <w:t xml:space="preserve">the court </w:t>
      </w:r>
      <w:r w:rsidR="008136E4" w:rsidRPr="004045AD">
        <w:rPr>
          <w:rFonts w:ascii="Times New Roman" w:hAnsi="Times New Roman" w:cs="Times New Roman"/>
          <w:i/>
          <w:iCs/>
          <w:sz w:val="24"/>
          <w:szCs w:val="24"/>
        </w:rPr>
        <w:t xml:space="preserve">a quo </w:t>
      </w:r>
      <w:r w:rsidR="008136E4" w:rsidRPr="004045AD">
        <w:rPr>
          <w:rFonts w:ascii="Times New Roman" w:hAnsi="Times New Roman" w:cs="Times New Roman"/>
          <w:iCs/>
          <w:sz w:val="24"/>
          <w:szCs w:val="24"/>
        </w:rPr>
        <w:t>correctly</w:t>
      </w:r>
      <w:r w:rsidR="002B707B" w:rsidRPr="004045AD">
        <w:rPr>
          <w:rFonts w:ascii="Times New Roman" w:hAnsi="Times New Roman" w:cs="Times New Roman"/>
          <w:iCs/>
          <w:sz w:val="24"/>
          <w:szCs w:val="24"/>
        </w:rPr>
        <w:t xml:space="preserve"> </w:t>
      </w:r>
      <w:r w:rsidR="008136E4" w:rsidRPr="004045AD">
        <w:rPr>
          <w:rFonts w:ascii="Times New Roman" w:hAnsi="Times New Roman" w:cs="Times New Roman"/>
          <w:iCs/>
          <w:sz w:val="24"/>
          <w:szCs w:val="24"/>
        </w:rPr>
        <w:t>interfered with the decision of the</w:t>
      </w:r>
      <w:r w:rsidR="0036461B" w:rsidRPr="004045AD">
        <w:rPr>
          <w:rFonts w:ascii="Times New Roman" w:hAnsi="Times New Roman" w:cs="Times New Roman"/>
          <w:iCs/>
          <w:sz w:val="24"/>
          <w:szCs w:val="24"/>
        </w:rPr>
        <w:t xml:space="preserve"> </w:t>
      </w:r>
      <w:r w:rsidR="008136E4" w:rsidRPr="004045AD">
        <w:rPr>
          <w:rFonts w:ascii="Times New Roman" w:hAnsi="Times New Roman" w:cs="Times New Roman"/>
          <w:iCs/>
          <w:sz w:val="24"/>
          <w:szCs w:val="24"/>
        </w:rPr>
        <w:t>appellant that the merger was contrary to</w:t>
      </w:r>
      <w:r w:rsidR="00411A20">
        <w:rPr>
          <w:rFonts w:ascii="Times New Roman" w:hAnsi="Times New Roman" w:cs="Times New Roman"/>
          <w:iCs/>
          <w:sz w:val="24"/>
          <w:szCs w:val="24"/>
        </w:rPr>
        <w:t xml:space="preserve"> the</w:t>
      </w:r>
      <w:r w:rsidR="008136E4" w:rsidRPr="004045AD">
        <w:rPr>
          <w:rFonts w:ascii="Times New Roman" w:hAnsi="Times New Roman" w:cs="Times New Roman"/>
          <w:iCs/>
          <w:sz w:val="24"/>
          <w:szCs w:val="24"/>
        </w:rPr>
        <w:t xml:space="preserve"> public </w:t>
      </w:r>
      <w:r w:rsidR="0036461B" w:rsidRPr="004045AD">
        <w:rPr>
          <w:rFonts w:ascii="Times New Roman" w:hAnsi="Times New Roman" w:cs="Times New Roman"/>
          <w:iCs/>
          <w:sz w:val="24"/>
          <w:szCs w:val="24"/>
        </w:rPr>
        <w:t>interest</w:t>
      </w:r>
      <w:r w:rsidR="008136E4" w:rsidRPr="004045AD">
        <w:rPr>
          <w:rFonts w:ascii="Times New Roman" w:hAnsi="Times New Roman" w:cs="Times New Roman"/>
          <w:iCs/>
          <w:sz w:val="24"/>
          <w:szCs w:val="24"/>
        </w:rPr>
        <w:t xml:space="preserve"> because i</w:t>
      </w:r>
      <w:r w:rsidR="00865F95" w:rsidRPr="004045AD">
        <w:rPr>
          <w:rFonts w:ascii="Times New Roman" w:hAnsi="Times New Roman" w:cs="Times New Roman"/>
          <w:iCs/>
          <w:sz w:val="24"/>
          <w:szCs w:val="24"/>
        </w:rPr>
        <w:t>t</w:t>
      </w:r>
      <w:r w:rsidR="008136E4" w:rsidRPr="004045AD">
        <w:rPr>
          <w:rFonts w:ascii="Times New Roman" w:hAnsi="Times New Roman" w:cs="Times New Roman"/>
          <w:iCs/>
          <w:sz w:val="24"/>
          <w:szCs w:val="24"/>
        </w:rPr>
        <w:t xml:space="preserve"> pointed out the benefits the merger gave to consumers</w:t>
      </w:r>
      <w:r w:rsidR="007313E2" w:rsidRPr="004045AD">
        <w:rPr>
          <w:rFonts w:ascii="Times New Roman" w:hAnsi="Times New Roman" w:cs="Times New Roman"/>
          <w:iCs/>
          <w:sz w:val="24"/>
          <w:szCs w:val="24"/>
        </w:rPr>
        <w:t xml:space="preserve"> such as the introduction by Profeeds of the training of farmers</w:t>
      </w:r>
      <w:r w:rsidR="008136E4" w:rsidRPr="004045AD">
        <w:rPr>
          <w:rFonts w:ascii="Times New Roman" w:hAnsi="Times New Roman" w:cs="Times New Roman"/>
          <w:iCs/>
          <w:sz w:val="24"/>
          <w:szCs w:val="24"/>
        </w:rPr>
        <w:t>. On the interference with the penalty imposed by the appellant he</w:t>
      </w:r>
      <w:r w:rsidR="00F02D66">
        <w:rPr>
          <w:rFonts w:ascii="Times New Roman" w:hAnsi="Times New Roman" w:cs="Times New Roman"/>
          <w:iCs/>
          <w:sz w:val="24"/>
          <w:szCs w:val="24"/>
        </w:rPr>
        <w:t>,</w:t>
      </w:r>
      <w:r w:rsidR="008136E4" w:rsidRPr="004045AD">
        <w:rPr>
          <w:rFonts w:ascii="Times New Roman" w:hAnsi="Times New Roman" w:cs="Times New Roman"/>
          <w:iCs/>
          <w:sz w:val="24"/>
          <w:szCs w:val="24"/>
        </w:rPr>
        <w:t xml:space="preserve"> without disputing that the court </w:t>
      </w:r>
      <w:r w:rsidR="008136E4" w:rsidRPr="004045AD">
        <w:rPr>
          <w:rFonts w:ascii="Times New Roman" w:hAnsi="Times New Roman" w:cs="Times New Roman"/>
          <w:i/>
          <w:iCs/>
          <w:sz w:val="24"/>
          <w:szCs w:val="24"/>
        </w:rPr>
        <w:t>a quo</w:t>
      </w:r>
      <w:r w:rsidR="008136E4" w:rsidRPr="004045AD">
        <w:rPr>
          <w:rFonts w:ascii="Times New Roman" w:hAnsi="Times New Roman" w:cs="Times New Roman"/>
          <w:iCs/>
          <w:sz w:val="24"/>
          <w:szCs w:val="24"/>
        </w:rPr>
        <w:t xml:space="preserve"> relied on only one</w:t>
      </w:r>
      <w:r w:rsidR="007313E2" w:rsidRPr="004045AD">
        <w:rPr>
          <w:rFonts w:ascii="Times New Roman" w:hAnsi="Times New Roman" w:cs="Times New Roman"/>
          <w:iCs/>
          <w:sz w:val="24"/>
          <w:szCs w:val="24"/>
        </w:rPr>
        <w:t xml:space="preserve"> of the</w:t>
      </w:r>
      <w:r w:rsidR="008136E4" w:rsidRPr="004045AD">
        <w:rPr>
          <w:rFonts w:ascii="Times New Roman" w:hAnsi="Times New Roman" w:cs="Times New Roman"/>
          <w:iCs/>
          <w:sz w:val="24"/>
          <w:szCs w:val="24"/>
        </w:rPr>
        <w:t xml:space="preserve"> factor</w:t>
      </w:r>
      <w:r w:rsidR="007313E2" w:rsidRPr="004045AD">
        <w:rPr>
          <w:rFonts w:ascii="Times New Roman" w:hAnsi="Times New Roman" w:cs="Times New Roman"/>
          <w:iCs/>
          <w:sz w:val="24"/>
          <w:szCs w:val="24"/>
        </w:rPr>
        <w:t>s</w:t>
      </w:r>
      <w:r w:rsidR="008136E4" w:rsidRPr="004045AD">
        <w:rPr>
          <w:rFonts w:ascii="Times New Roman" w:hAnsi="Times New Roman" w:cs="Times New Roman"/>
          <w:iCs/>
          <w:sz w:val="24"/>
          <w:szCs w:val="24"/>
        </w:rPr>
        <w:t xml:space="preserve"> provided by</w:t>
      </w:r>
      <w:r w:rsidR="007313E2" w:rsidRPr="004045AD">
        <w:rPr>
          <w:rFonts w:ascii="Times New Roman" w:hAnsi="Times New Roman" w:cs="Times New Roman"/>
          <w:iCs/>
          <w:sz w:val="24"/>
          <w:szCs w:val="24"/>
        </w:rPr>
        <w:t xml:space="preserve"> s</w:t>
      </w:r>
      <w:r w:rsidR="00865F95" w:rsidRPr="004045AD">
        <w:rPr>
          <w:rFonts w:ascii="Times New Roman" w:hAnsi="Times New Roman" w:cs="Times New Roman"/>
          <w:iCs/>
          <w:sz w:val="24"/>
          <w:szCs w:val="24"/>
        </w:rPr>
        <w:t xml:space="preserve"> 34A (5) of the Act</w:t>
      </w:r>
      <w:r w:rsidR="00F02D66">
        <w:rPr>
          <w:rFonts w:ascii="Times New Roman" w:hAnsi="Times New Roman" w:cs="Times New Roman"/>
          <w:iCs/>
          <w:sz w:val="24"/>
          <w:szCs w:val="24"/>
        </w:rPr>
        <w:t>,</w:t>
      </w:r>
      <w:r w:rsidR="007313E2" w:rsidRPr="004045AD">
        <w:rPr>
          <w:rFonts w:ascii="Times New Roman" w:hAnsi="Times New Roman" w:cs="Times New Roman"/>
          <w:iCs/>
          <w:sz w:val="24"/>
          <w:szCs w:val="24"/>
        </w:rPr>
        <w:t xml:space="preserve"> submitted that</w:t>
      </w:r>
      <w:r w:rsidR="008136E4" w:rsidRPr="004045AD">
        <w:rPr>
          <w:rFonts w:ascii="Times New Roman" w:hAnsi="Times New Roman" w:cs="Times New Roman"/>
          <w:iCs/>
          <w:sz w:val="24"/>
          <w:szCs w:val="24"/>
        </w:rPr>
        <w:t xml:space="preserve"> </w:t>
      </w:r>
      <w:r w:rsidR="00865F95" w:rsidRPr="004045AD">
        <w:rPr>
          <w:rFonts w:ascii="Times New Roman" w:hAnsi="Times New Roman" w:cs="Times New Roman"/>
          <w:iCs/>
          <w:sz w:val="24"/>
          <w:szCs w:val="24"/>
        </w:rPr>
        <w:t xml:space="preserve">the phrase </w:t>
      </w:r>
      <w:r w:rsidR="00E82C86" w:rsidRPr="004045AD">
        <w:rPr>
          <w:rFonts w:ascii="Times New Roman" w:hAnsi="Times New Roman" w:cs="Times New Roman"/>
          <w:iCs/>
          <w:sz w:val="24"/>
          <w:szCs w:val="24"/>
        </w:rPr>
        <w:t>“</w:t>
      </w:r>
      <w:r w:rsidR="00865F95" w:rsidRPr="004045AD">
        <w:rPr>
          <w:rFonts w:ascii="Times New Roman" w:hAnsi="Times New Roman" w:cs="Times New Roman"/>
          <w:iCs/>
          <w:sz w:val="24"/>
          <w:szCs w:val="24"/>
        </w:rPr>
        <w:t>the year preceding</w:t>
      </w:r>
      <w:r w:rsidR="00E82C86" w:rsidRPr="004045AD">
        <w:rPr>
          <w:rFonts w:ascii="Times New Roman" w:hAnsi="Times New Roman" w:cs="Times New Roman"/>
          <w:iCs/>
          <w:sz w:val="24"/>
          <w:szCs w:val="24"/>
        </w:rPr>
        <w:t>”</w:t>
      </w:r>
      <w:r w:rsidR="00865F95" w:rsidRPr="004045AD">
        <w:rPr>
          <w:rFonts w:ascii="Times New Roman" w:hAnsi="Times New Roman" w:cs="Times New Roman"/>
          <w:iCs/>
          <w:sz w:val="24"/>
          <w:szCs w:val="24"/>
        </w:rPr>
        <w:t xml:space="preserve"> refers to the year preceding the merger and not the year precedin</w:t>
      </w:r>
      <w:r w:rsidR="009575DC" w:rsidRPr="004045AD">
        <w:rPr>
          <w:rFonts w:ascii="Times New Roman" w:hAnsi="Times New Roman" w:cs="Times New Roman"/>
          <w:iCs/>
          <w:sz w:val="24"/>
          <w:szCs w:val="24"/>
        </w:rPr>
        <w:t xml:space="preserve">g the </w:t>
      </w:r>
      <w:r w:rsidR="00A307EC" w:rsidRPr="004045AD">
        <w:rPr>
          <w:rFonts w:ascii="Times New Roman" w:hAnsi="Times New Roman" w:cs="Times New Roman"/>
          <w:iCs/>
          <w:sz w:val="24"/>
          <w:szCs w:val="24"/>
        </w:rPr>
        <w:t>imposition of the penalty.</w:t>
      </w:r>
      <w:r w:rsidR="00ED6680" w:rsidRPr="004045AD">
        <w:rPr>
          <w:rFonts w:ascii="Times New Roman" w:hAnsi="Times New Roman" w:cs="Times New Roman"/>
          <w:iCs/>
          <w:sz w:val="24"/>
          <w:szCs w:val="24"/>
        </w:rPr>
        <w:t xml:space="preserve"> </w:t>
      </w:r>
      <w:r w:rsidR="007E358A">
        <w:rPr>
          <w:rFonts w:ascii="Times New Roman" w:hAnsi="Times New Roman" w:cs="Times New Roman"/>
          <w:iCs/>
          <w:sz w:val="24"/>
          <w:szCs w:val="24"/>
        </w:rPr>
        <w:t xml:space="preserve"> </w:t>
      </w:r>
      <w:r w:rsidR="00ED6680" w:rsidRPr="004045AD">
        <w:rPr>
          <w:rFonts w:ascii="Times New Roman" w:hAnsi="Times New Roman" w:cs="Times New Roman"/>
          <w:iCs/>
          <w:sz w:val="24"/>
          <w:szCs w:val="24"/>
        </w:rPr>
        <w:t>He, further submitted that</w:t>
      </w:r>
      <w:r w:rsidR="007313E2" w:rsidRPr="004045AD">
        <w:rPr>
          <w:rFonts w:ascii="Times New Roman" w:hAnsi="Times New Roman" w:cs="Times New Roman"/>
          <w:iCs/>
          <w:sz w:val="24"/>
          <w:szCs w:val="24"/>
        </w:rPr>
        <w:t xml:space="preserve"> </w:t>
      </w:r>
      <w:r w:rsidR="00986DD1" w:rsidRPr="004045AD">
        <w:rPr>
          <w:rFonts w:ascii="Times New Roman" w:hAnsi="Times New Roman" w:cs="Times New Roman"/>
          <w:iCs/>
          <w:sz w:val="24"/>
          <w:szCs w:val="24"/>
        </w:rPr>
        <w:t xml:space="preserve">the court </w:t>
      </w:r>
      <w:r w:rsidR="00986DD1" w:rsidRPr="004045AD">
        <w:rPr>
          <w:rFonts w:ascii="Times New Roman" w:hAnsi="Times New Roman" w:cs="Times New Roman"/>
          <w:i/>
          <w:iCs/>
          <w:sz w:val="24"/>
          <w:szCs w:val="24"/>
        </w:rPr>
        <w:t>a quo</w:t>
      </w:r>
      <w:r w:rsidR="00986DD1" w:rsidRPr="004045AD">
        <w:rPr>
          <w:rFonts w:ascii="Times New Roman" w:hAnsi="Times New Roman" w:cs="Times New Roman"/>
          <w:iCs/>
          <w:sz w:val="24"/>
          <w:szCs w:val="24"/>
        </w:rPr>
        <w:t xml:space="preserve"> did not only consider the benefits of the merger to the respondents</w:t>
      </w:r>
      <w:r w:rsidR="00ED6680" w:rsidRPr="004045AD">
        <w:rPr>
          <w:rFonts w:ascii="Times New Roman" w:hAnsi="Times New Roman" w:cs="Times New Roman"/>
          <w:iCs/>
          <w:sz w:val="24"/>
          <w:szCs w:val="24"/>
        </w:rPr>
        <w:t xml:space="preserve"> as it also considered its benefits to consumers of the respondent’s products.</w:t>
      </w:r>
      <w:r w:rsidR="00E43B5F" w:rsidRPr="004045AD">
        <w:rPr>
          <w:rFonts w:ascii="Times New Roman" w:hAnsi="Times New Roman" w:cs="Times New Roman"/>
          <w:iCs/>
          <w:sz w:val="24"/>
          <w:szCs w:val="24"/>
        </w:rPr>
        <w:t xml:space="preserve"> </w:t>
      </w:r>
      <w:r w:rsidR="00986DD1" w:rsidRPr="004045AD">
        <w:rPr>
          <w:rFonts w:ascii="Times New Roman" w:hAnsi="Times New Roman" w:cs="Times New Roman"/>
          <w:iCs/>
          <w:sz w:val="24"/>
          <w:szCs w:val="24"/>
        </w:rPr>
        <w:t xml:space="preserve"> </w:t>
      </w:r>
      <w:r w:rsidR="00D65236" w:rsidRPr="004045AD">
        <w:rPr>
          <w:rFonts w:ascii="Times New Roman" w:hAnsi="Times New Roman" w:cs="Times New Roman"/>
          <w:iCs/>
          <w:sz w:val="24"/>
          <w:szCs w:val="24"/>
        </w:rPr>
        <w:t>He therefore</w:t>
      </w:r>
      <w:r w:rsidR="00986DD1" w:rsidRPr="004045AD">
        <w:rPr>
          <w:rFonts w:ascii="Times New Roman" w:hAnsi="Times New Roman" w:cs="Times New Roman"/>
          <w:iCs/>
          <w:sz w:val="24"/>
          <w:szCs w:val="24"/>
        </w:rPr>
        <w:t xml:space="preserve"> submitted that the merger was not contrary to </w:t>
      </w:r>
      <w:r w:rsidR="00DD39A7">
        <w:rPr>
          <w:rFonts w:ascii="Times New Roman" w:hAnsi="Times New Roman" w:cs="Times New Roman"/>
          <w:iCs/>
          <w:sz w:val="24"/>
          <w:szCs w:val="24"/>
        </w:rPr>
        <w:t xml:space="preserve">the </w:t>
      </w:r>
      <w:r w:rsidR="00986DD1" w:rsidRPr="004045AD">
        <w:rPr>
          <w:rFonts w:ascii="Times New Roman" w:hAnsi="Times New Roman" w:cs="Times New Roman"/>
          <w:iCs/>
          <w:sz w:val="24"/>
          <w:szCs w:val="24"/>
        </w:rPr>
        <w:t xml:space="preserve">public </w:t>
      </w:r>
      <w:r w:rsidR="00C656A7" w:rsidRPr="004045AD">
        <w:rPr>
          <w:rFonts w:ascii="Times New Roman" w:hAnsi="Times New Roman" w:cs="Times New Roman"/>
          <w:iCs/>
          <w:sz w:val="24"/>
          <w:szCs w:val="24"/>
        </w:rPr>
        <w:t>interest</w:t>
      </w:r>
      <w:r w:rsidR="00986DD1" w:rsidRPr="004045AD">
        <w:rPr>
          <w:rFonts w:ascii="Times New Roman" w:hAnsi="Times New Roman" w:cs="Times New Roman"/>
          <w:iCs/>
          <w:sz w:val="24"/>
          <w:szCs w:val="24"/>
        </w:rPr>
        <w:t>.</w:t>
      </w:r>
      <w:r w:rsidR="00121DE4" w:rsidRPr="004045AD">
        <w:rPr>
          <w:rFonts w:ascii="Times New Roman" w:hAnsi="Times New Roman" w:cs="Times New Roman"/>
          <w:iCs/>
          <w:sz w:val="24"/>
          <w:szCs w:val="24"/>
        </w:rPr>
        <w:t xml:space="preserve"> In conclusion he prayed</w:t>
      </w:r>
      <w:r w:rsidR="00323F51" w:rsidRPr="004045AD">
        <w:rPr>
          <w:rFonts w:ascii="Times New Roman" w:hAnsi="Times New Roman" w:cs="Times New Roman"/>
          <w:iCs/>
          <w:sz w:val="24"/>
          <w:szCs w:val="24"/>
        </w:rPr>
        <w:t xml:space="preserve"> that</w:t>
      </w:r>
      <w:r w:rsidR="00121DE4" w:rsidRPr="004045AD">
        <w:rPr>
          <w:rFonts w:ascii="Times New Roman" w:hAnsi="Times New Roman" w:cs="Times New Roman"/>
          <w:iCs/>
          <w:sz w:val="24"/>
          <w:szCs w:val="24"/>
        </w:rPr>
        <w:t xml:space="preserve"> </w:t>
      </w:r>
      <w:r w:rsidR="00523ED2" w:rsidRPr="004045AD">
        <w:rPr>
          <w:rFonts w:ascii="Times New Roman" w:hAnsi="Times New Roman" w:cs="Times New Roman"/>
          <w:iCs/>
          <w:sz w:val="24"/>
          <w:szCs w:val="24"/>
        </w:rPr>
        <w:t>the appeal</w:t>
      </w:r>
      <w:r w:rsidR="00ED6680" w:rsidRPr="004045AD">
        <w:rPr>
          <w:rFonts w:ascii="Times New Roman" w:hAnsi="Times New Roman" w:cs="Times New Roman"/>
          <w:iCs/>
          <w:sz w:val="24"/>
          <w:szCs w:val="24"/>
        </w:rPr>
        <w:t xml:space="preserve"> be dismissed wit</w:t>
      </w:r>
      <w:r w:rsidR="00D05D81" w:rsidRPr="004045AD">
        <w:rPr>
          <w:rFonts w:ascii="Times New Roman" w:hAnsi="Times New Roman" w:cs="Times New Roman"/>
          <w:iCs/>
          <w:sz w:val="24"/>
          <w:szCs w:val="24"/>
        </w:rPr>
        <w:t>h</w:t>
      </w:r>
      <w:r w:rsidR="007E358A">
        <w:rPr>
          <w:rFonts w:ascii="Times New Roman" w:hAnsi="Times New Roman" w:cs="Times New Roman"/>
          <w:iCs/>
          <w:sz w:val="24"/>
          <w:szCs w:val="24"/>
        </w:rPr>
        <w:t xml:space="preserve"> costs.</w:t>
      </w:r>
    </w:p>
    <w:p w:rsidR="00986DD1" w:rsidRPr="004045AD" w:rsidRDefault="00C95AE9" w:rsidP="00C95AE9">
      <w:pPr>
        <w:tabs>
          <w:tab w:val="center" w:pos="4680"/>
        </w:tabs>
        <w:spacing w:line="360" w:lineRule="auto"/>
        <w:jc w:val="both"/>
        <w:rPr>
          <w:rFonts w:ascii="Times New Roman" w:hAnsi="Times New Roman" w:cs="Times New Roman"/>
          <w:b/>
          <w:iCs/>
          <w:sz w:val="24"/>
          <w:szCs w:val="24"/>
          <w:u w:val="single"/>
        </w:rPr>
      </w:pPr>
      <w:r w:rsidRPr="004045AD">
        <w:rPr>
          <w:rFonts w:ascii="Times New Roman" w:hAnsi="Times New Roman" w:cs="Times New Roman"/>
          <w:b/>
          <w:iCs/>
          <w:sz w:val="24"/>
          <w:szCs w:val="24"/>
          <w:u w:val="single"/>
        </w:rPr>
        <w:lastRenderedPageBreak/>
        <w:t>ISSUES FOR DETERMINATION</w:t>
      </w:r>
    </w:p>
    <w:p w:rsidR="00AC38B0" w:rsidRPr="004045AD" w:rsidRDefault="00767A6E" w:rsidP="00523ED2">
      <w:pPr>
        <w:tabs>
          <w:tab w:val="left" w:pos="567"/>
          <w:tab w:val="center" w:pos="4680"/>
        </w:tabs>
        <w:spacing w:line="360" w:lineRule="auto"/>
        <w:jc w:val="both"/>
        <w:rPr>
          <w:rFonts w:ascii="Times New Roman" w:hAnsi="Times New Roman" w:cs="Times New Roman"/>
          <w:iCs/>
          <w:sz w:val="24"/>
          <w:szCs w:val="24"/>
        </w:rPr>
      </w:pPr>
      <w:r w:rsidRPr="004045AD">
        <w:rPr>
          <w:rFonts w:ascii="Times New Roman" w:hAnsi="Times New Roman" w:cs="Times New Roman"/>
          <w:iCs/>
          <w:sz w:val="24"/>
          <w:szCs w:val="24"/>
        </w:rPr>
        <w:t xml:space="preserve"> </w:t>
      </w:r>
      <w:r w:rsidR="00AC38B0" w:rsidRPr="004045AD">
        <w:rPr>
          <w:rFonts w:ascii="Times New Roman" w:hAnsi="Times New Roman" w:cs="Times New Roman"/>
          <w:iCs/>
          <w:sz w:val="24"/>
          <w:szCs w:val="24"/>
        </w:rPr>
        <w:t>[</w:t>
      </w:r>
      <w:r w:rsidR="000B5FEB" w:rsidRPr="004045AD">
        <w:rPr>
          <w:rFonts w:ascii="Times New Roman" w:hAnsi="Times New Roman" w:cs="Times New Roman"/>
          <w:iCs/>
          <w:sz w:val="24"/>
          <w:szCs w:val="24"/>
        </w:rPr>
        <w:t>2</w:t>
      </w:r>
      <w:r w:rsidR="00E43B5F" w:rsidRPr="004045AD">
        <w:rPr>
          <w:rFonts w:ascii="Times New Roman" w:hAnsi="Times New Roman" w:cs="Times New Roman"/>
          <w:iCs/>
          <w:sz w:val="24"/>
          <w:szCs w:val="24"/>
        </w:rPr>
        <w:t>2</w:t>
      </w:r>
      <w:r w:rsidR="00AC38B0" w:rsidRPr="004045AD">
        <w:rPr>
          <w:rFonts w:ascii="Times New Roman" w:hAnsi="Times New Roman" w:cs="Times New Roman"/>
          <w:iCs/>
          <w:sz w:val="24"/>
          <w:szCs w:val="24"/>
        </w:rPr>
        <w:t>] The following issues a</w:t>
      </w:r>
      <w:r w:rsidR="00AD7261" w:rsidRPr="004045AD">
        <w:rPr>
          <w:rFonts w:ascii="Times New Roman" w:hAnsi="Times New Roman" w:cs="Times New Roman"/>
          <w:iCs/>
          <w:sz w:val="24"/>
          <w:szCs w:val="24"/>
        </w:rPr>
        <w:t>rise for determination by this C</w:t>
      </w:r>
      <w:r w:rsidR="00AC38B0" w:rsidRPr="004045AD">
        <w:rPr>
          <w:rFonts w:ascii="Times New Roman" w:hAnsi="Times New Roman" w:cs="Times New Roman"/>
          <w:iCs/>
          <w:sz w:val="24"/>
          <w:szCs w:val="24"/>
        </w:rPr>
        <w:t>ourt:</w:t>
      </w:r>
    </w:p>
    <w:p w:rsidR="00074585" w:rsidRPr="004045AD" w:rsidRDefault="00074585" w:rsidP="00E43B5F">
      <w:pPr>
        <w:pStyle w:val="ListParagraph"/>
        <w:numPr>
          <w:ilvl w:val="0"/>
          <w:numId w:val="3"/>
        </w:numPr>
        <w:spacing w:line="480" w:lineRule="auto"/>
        <w:ind w:left="1418" w:hanging="284"/>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Whether or not the court </w:t>
      </w:r>
      <w:r w:rsidRPr="004045AD">
        <w:rPr>
          <w:rFonts w:ascii="Times New Roman" w:eastAsia="Calibri" w:hAnsi="Times New Roman" w:cs="Times New Roman"/>
          <w:i/>
          <w:sz w:val="24"/>
          <w:szCs w:val="24"/>
        </w:rPr>
        <w:t>a quo</w:t>
      </w:r>
      <w:r w:rsidRPr="004045AD">
        <w:rPr>
          <w:rFonts w:ascii="Times New Roman" w:eastAsia="Calibri" w:hAnsi="Times New Roman" w:cs="Times New Roman"/>
          <w:sz w:val="24"/>
          <w:szCs w:val="24"/>
        </w:rPr>
        <w:t xml:space="preserve"> erred in finding that the merger was not contrary to</w:t>
      </w:r>
      <w:r w:rsidR="006D65C2">
        <w:rPr>
          <w:rFonts w:ascii="Times New Roman" w:eastAsia="Calibri" w:hAnsi="Times New Roman" w:cs="Times New Roman"/>
          <w:sz w:val="24"/>
          <w:szCs w:val="24"/>
        </w:rPr>
        <w:t xml:space="preserve"> the</w:t>
      </w:r>
      <w:r w:rsidRPr="004045AD">
        <w:rPr>
          <w:rFonts w:ascii="Times New Roman" w:eastAsia="Calibri" w:hAnsi="Times New Roman" w:cs="Times New Roman"/>
          <w:sz w:val="24"/>
          <w:szCs w:val="24"/>
        </w:rPr>
        <w:t xml:space="preserve"> public </w:t>
      </w:r>
      <w:r w:rsidR="000B5FEB" w:rsidRPr="004045AD">
        <w:rPr>
          <w:rFonts w:ascii="Times New Roman" w:eastAsia="Calibri" w:hAnsi="Times New Roman" w:cs="Times New Roman"/>
          <w:sz w:val="24"/>
          <w:szCs w:val="24"/>
        </w:rPr>
        <w:t>interest</w:t>
      </w:r>
      <w:r w:rsidRPr="004045AD">
        <w:rPr>
          <w:rFonts w:ascii="Times New Roman" w:eastAsia="Calibri" w:hAnsi="Times New Roman" w:cs="Times New Roman"/>
          <w:sz w:val="24"/>
          <w:szCs w:val="24"/>
        </w:rPr>
        <w:t>.</w:t>
      </w:r>
    </w:p>
    <w:p w:rsidR="00074585" w:rsidRPr="004045AD" w:rsidRDefault="00074585" w:rsidP="00E43B5F">
      <w:pPr>
        <w:pStyle w:val="ListParagraph"/>
        <w:numPr>
          <w:ilvl w:val="0"/>
          <w:numId w:val="3"/>
        </w:numPr>
        <w:spacing w:line="360" w:lineRule="auto"/>
        <w:ind w:left="1418" w:hanging="284"/>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Whether or not the court </w:t>
      </w:r>
      <w:r w:rsidRPr="004045AD">
        <w:rPr>
          <w:rFonts w:ascii="Times New Roman" w:eastAsia="Calibri" w:hAnsi="Times New Roman" w:cs="Times New Roman"/>
          <w:i/>
          <w:sz w:val="24"/>
          <w:szCs w:val="24"/>
        </w:rPr>
        <w:t>a quo</w:t>
      </w:r>
      <w:r w:rsidRPr="004045AD">
        <w:rPr>
          <w:rFonts w:ascii="Times New Roman" w:eastAsia="Calibri" w:hAnsi="Times New Roman" w:cs="Times New Roman"/>
          <w:sz w:val="24"/>
          <w:szCs w:val="24"/>
        </w:rPr>
        <w:t xml:space="preserve"> erred in holding that the monetary penalty was </w:t>
      </w:r>
      <w:r w:rsidR="00BB7D54" w:rsidRPr="004045AD">
        <w:rPr>
          <w:rFonts w:ascii="Times New Roman" w:eastAsia="Calibri" w:hAnsi="Times New Roman" w:cs="Times New Roman"/>
          <w:sz w:val="24"/>
          <w:szCs w:val="24"/>
        </w:rPr>
        <w:t>not justified</w:t>
      </w:r>
      <w:r w:rsidRPr="004045AD">
        <w:rPr>
          <w:rFonts w:ascii="Times New Roman" w:eastAsia="Calibri" w:hAnsi="Times New Roman" w:cs="Times New Roman"/>
          <w:sz w:val="24"/>
          <w:szCs w:val="24"/>
        </w:rPr>
        <w:t>.</w:t>
      </w:r>
    </w:p>
    <w:p w:rsidR="00AC38B0" w:rsidRPr="004045AD" w:rsidRDefault="00DA4836" w:rsidP="00E43B5F">
      <w:pPr>
        <w:tabs>
          <w:tab w:val="left" w:pos="3135"/>
        </w:tabs>
        <w:spacing w:after="0" w:line="480" w:lineRule="auto"/>
        <w:jc w:val="both"/>
        <w:rPr>
          <w:rFonts w:ascii="Times New Roman" w:hAnsi="Times New Roman" w:cs="Times New Roman"/>
          <w:iCs/>
          <w:sz w:val="24"/>
          <w:szCs w:val="24"/>
        </w:rPr>
      </w:pPr>
      <w:r w:rsidRPr="004045AD">
        <w:rPr>
          <w:rFonts w:ascii="Times New Roman" w:hAnsi="Times New Roman" w:cs="Times New Roman"/>
          <w:iCs/>
          <w:sz w:val="24"/>
          <w:szCs w:val="24"/>
        </w:rPr>
        <w:t xml:space="preserve"> </w:t>
      </w:r>
    </w:p>
    <w:p w:rsidR="00986DD1" w:rsidRPr="004045AD" w:rsidRDefault="00986DD1" w:rsidP="009B274F">
      <w:pPr>
        <w:spacing w:line="360" w:lineRule="auto"/>
        <w:jc w:val="both"/>
        <w:rPr>
          <w:rFonts w:ascii="Times New Roman" w:hAnsi="Times New Roman" w:cs="Times New Roman"/>
          <w:b/>
          <w:iCs/>
          <w:sz w:val="24"/>
          <w:szCs w:val="24"/>
          <w:u w:val="single"/>
        </w:rPr>
      </w:pPr>
      <w:r w:rsidRPr="004045AD">
        <w:rPr>
          <w:rFonts w:ascii="Times New Roman" w:hAnsi="Times New Roman" w:cs="Times New Roman"/>
          <w:b/>
          <w:iCs/>
          <w:sz w:val="24"/>
          <w:szCs w:val="24"/>
          <w:u w:val="single"/>
        </w:rPr>
        <w:t xml:space="preserve">APPLICATION OF THE LAW TO THE FACTS </w:t>
      </w:r>
    </w:p>
    <w:p w:rsidR="00E43B5F" w:rsidRPr="004045AD" w:rsidRDefault="00074585" w:rsidP="00BE5788">
      <w:pPr>
        <w:spacing w:after="0" w:line="240" w:lineRule="auto"/>
        <w:jc w:val="both"/>
        <w:rPr>
          <w:rFonts w:ascii="Times New Roman" w:eastAsia="Calibri" w:hAnsi="Times New Roman" w:cs="Times New Roman"/>
          <w:b/>
          <w:sz w:val="24"/>
          <w:szCs w:val="24"/>
        </w:rPr>
      </w:pPr>
      <w:r w:rsidRPr="004045AD">
        <w:rPr>
          <w:rFonts w:ascii="Times New Roman" w:eastAsia="Calibri" w:hAnsi="Times New Roman" w:cs="Times New Roman"/>
          <w:b/>
          <w:sz w:val="24"/>
          <w:szCs w:val="24"/>
        </w:rPr>
        <w:t xml:space="preserve">Whether or not the court </w:t>
      </w:r>
      <w:r w:rsidRPr="004045AD">
        <w:rPr>
          <w:rFonts w:ascii="Times New Roman" w:eastAsia="Calibri" w:hAnsi="Times New Roman" w:cs="Times New Roman"/>
          <w:b/>
          <w:i/>
          <w:sz w:val="24"/>
          <w:szCs w:val="24"/>
        </w:rPr>
        <w:t>a quo</w:t>
      </w:r>
      <w:r w:rsidRPr="004045AD">
        <w:rPr>
          <w:rFonts w:ascii="Times New Roman" w:eastAsia="Calibri" w:hAnsi="Times New Roman" w:cs="Times New Roman"/>
          <w:b/>
          <w:sz w:val="24"/>
          <w:szCs w:val="24"/>
        </w:rPr>
        <w:t xml:space="preserve"> erred in finding that the merger was not contrary to </w:t>
      </w:r>
      <w:r w:rsidR="003C23D0">
        <w:rPr>
          <w:rFonts w:ascii="Times New Roman" w:eastAsia="Calibri" w:hAnsi="Times New Roman" w:cs="Times New Roman"/>
          <w:b/>
          <w:sz w:val="24"/>
          <w:szCs w:val="24"/>
        </w:rPr>
        <w:t xml:space="preserve">the </w:t>
      </w:r>
      <w:r w:rsidRPr="004045AD">
        <w:rPr>
          <w:rFonts w:ascii="Times New Roman" w:eastAsia="Calibri" w:hAnsi="Times New Roman" w:cs="Times New Roman"/>
          <w:b/>
          <w:sz w:val="24"/>
          <w:szCs w:val="24"/>
        </w:rPr>
        <w:t xml:space="preserve">public </w:t>
      </w:r>
      <w:r w:rsidR="00BA098F" w:rsidRPr="004045AD">
        <w:rPr>
          <w:rFonts w:ascii="Times New Roman" w:eastAsia="Calibri" w:hAnsi="Times New Roman" w:cs="Times New Roman"/>
          <w:b/>
          <w:sz w:val="24"/>
          <w:szCs w:val="24"/>
        </w:rPr>
        <w:t>interest</w:t>
      </w:r>
      <w:r w:rsidRPr="004045AD">
        <w:rPr>
          <w:rFonts w:ascii="Times New Roman" w:eastAsia="Calibri" w:hAnsi="Times New Roman" w:cs="Times New Roman"/>
          <w:b/>
          <w:sz w:val="24"/>
          <w:szCs w:val="24"/>
        </w:rPr>
        <w:t>.</w:t>
      </w:r>
    </w:p>
    <w:p w:rsidR="00A7698F" w:rsidRPr="004045AD" w:rsidRDefault="00A7698F" w:rsidP="00A7698F">
      <w:pPr>
        <w:pStyle w:val="ListParagraph"/>
        <w:spacing w:after="0" w:line="240" w:lineRule="auto"/>
        <w:jc w:val="both"/>
        <w:rPr>
          <w:rFonts w:ascii="Times New Roman" w:eastAsia="Calibri" w:hAnsi="Times New Roman" w:cs="Times New Roman"/>
          <w:b/>
          <w:sz w:val="24"/>
          <w:szCs w:val="24"/>
        </w:rPr>
      </w:pPr>
    </w:p>
    <w:p w:rsidR="00074585" w:rsidRDefault="00C95AE9" w:rsidP="00E43B5F">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E43B5F" w:rsidRPr="004045AD">
        <w:rPr>
          <w:rFonts w:ascii="Times New Roman" w:eastAsia="Calibri" w:hAnsi="Times New Roman" w:cs="Times New Roman"/>
          <w:sz w:val="24"/>
          <w:szCs w:val="24"/>
        </w:rPr>
        <w:t>23</w:t>
      </w:r>
      <w:r w:rsidRPr="004045AD">
        <w:rPr>
          <w:rFonts w:ascii="Times New Roman" w:eastAsia="Calibri" w:hAnsi="Times New Roman" w:cs="Times New Roman"/>
          <w:sz w:val="24"/>
          <w:szCs w:val="24"/>
        </w:rPr>
        <w:t>]</w:t>
      </w:r>
      <w:r w:rsidR="00074585" w:rsidRPr="004045AD">
        <w:rPr>
          <w:rFonts w:ascii="Times New Roman" w:eastAsia="Calibri" w:hAnsi="Times New Roman" w:cs="Times New Roman"/>
          <w:sz w:val="24"/>
          <w:szCs w:val="24"/>
        </w:rPr>
        <w:t xml:space="preserve"> </w:t>
      </w:r>
      <w:r w:rsidR="00E43B5F" w:rsidRPr="004045AD">
        <w:rPr>
          <w:rFonts w:ascii="Times New Roman" w:eastAsia="Calibri" w:hAnsi="Times New Roman" w:cs="Times New Roman"/>
          <w:sz w:val="24"/>
          <w:szCs w:val="24"/>
        </w:rPr>
        <w:t xml:space="preserve"> </w:t>
      </w:r>
      <w:r w:rsidR="0026692C" w:rsidRPr="004045AD">
        <w:rPr>
          <w:rFonts w:ascii="Times New Roman" w:eastAsia="Calibri" w:hAnsi="Times New Roman" w:cs="Times New Roman"/>
          <w:sz w:val="24"/>
          <w:szCs w:val="24"/>
        </w:rPr>
        <w:t xml:space="preserve"> </w:t>
      </w:r>
      <w:r w:rsidR="00FE067F" w:rsidRPr="004045AD">
        <w:rPr>
          <w:rFonts w:ascii="Times New Roman" w:eastAsia="Calibri" w:hAnsi="Times New Roman" w:cs="Times New Roman"/>
          <w:sz w:val="24"/>
          <w:szCs w:val="24"/>
        </w:rPr>
        <w:t>It was submitted by the a</w:t>
      </w:r>
      <w:r w:rsidR="00074585" w:rsidRPr="004045AD">
        <w:rPr>
          <w:rFonts w:ascii="Times New Roman" w:eastAsia="Calibri" w:hAnsi="Times New Roman" w:cs="Times New Roman"/>
          <w:sz w:val="24"/>
          <w:szCs w:val="24"/>
        </w:rPr>
        <w:t>ppellant</w:t>
      </w:r>
      <w:r w:rsidR="00FE067F" w:rsidRPr="004045AD">
        <w:rPr>
          <w:rFonts w:ascii="Times New Roman" w:eastAsia="Calibri" w:hAnsi="Times New Roman" w:cs="Times New Roman"/>
          <w:sz w:val="24"/>
          <w:szCs w:val="24"/>
        </w:rPr>
        <w:t>’s counsel</w:t>
      </w:r>
      <w:r w:rsidR="00074585" w:rsidRPr="004045AD">
        <w:rPr>
          <w:rFonts w:ascii="Times New Roman" w:eastAsia="Calibri" w:hAnsi="Times New Roman" w:cs="Times New Roman"/>
          <w:sz w:val="24"/>
          <w:szCs w:val="24"/>
        </w:rPr>
        <w:t xml:space="preserve"> that the court </w:t>
      </w:r>
      <w:r w:rsidR="00074585" w:rsidRPr="004045AD">
        <w:rPr>
          <w:rFonts w:ascii="Times New Roman" w:eastAsia="Calibri" w:hAnsi="Times New Roman" w:cs="Times New Roman"/>
          <w:i/>
          <w:sz w:val="24"/>
          <w:szCs w:val="24"/>
        </w:rPr>
        <w:t>a quo</w:t>
      </w:r>
      <w:r w:rsidR="00074585" w:rsidRPr="004045AD">
        <w:rPr>
          <w:rFonts w:ascii="Times New Roman" w:eastAsia="Calibri" w:hAnsi="Times New Roman" w:cs="Times New Roman"/>
          <w:sz w:val="24"/>
          <w:szCs w:val="24"/>
        </w:rPr>
        <w:t xml:space="preserve"> considered public interest in the wrong context as it </w:t>
      </w:r>
      <w:r w:rsidR="000B5FEB" w:rsidRPr="004045AD">
        <w:rPr>
          <w:rFonts w:ascii="Times New Roman" w:eastAsia="Calibri" w:hAnsi="Times New Roman" w:cs="Times New Roman"/>
          <w:sz w:val="24"/>
          <w:szCs w:val="24"/>
        </w:rPr>
        <w:t xml:space="preserve">mainly </w:t>
      </w:r>
      <w:r w:rsidR="00074585" w:rsidRPr="004045AD">
        <w:rPr>
          <w:rFonts w:ascii="Times New Roman" w:eastAsia="Calibri" w:hAnsi="Times New Roman" w:cs="Times New Roman"/>
          <w:sz w:val="24"/>
          <w:szCs w:val="24"/>
        </w:rPr>
        <w:t>considered it in the context of economic benefit to the merging parties and not in terms of competition law and policy.</w:t>
      </w:r>
      <w:r w:rsidR="00E43B5F" w:rsidRPr="004045AD">
        <w:rPr>
          <w:rFonts w:ascii="Times New Roman" w:eastAsia="Calibri" w:hAnsi="Times New Roman" w:cs="Times New Roman"/>
          <w:sz w:val="24"/>
          <w:szCs w:val="24"/>
        </w:rPr>
        <w:t xml:space="preserve">  </w:t>
      </w:r>
      <w:r w:rsidR="00074585" w:rsidRPr="004045AD">
        <w:rPr>
          <w:rFonts w:ascii="Times New Roman" w:eastAsia="Calibri" w:hAnsi="Times New Roman" w:cs="Times New Roman"/>
          <w:sz w:val="24"/>
          <w:szCs w:val="24"/>
        </w:rPr>
        <w:t xml:space="preserve">On the other hand the respondents are of the view that the court </w:t>
      </w:r>
      <w:r w:rsidR="00074585" w:rsidRPr="004045AD">
        <w:rPr>
          <w:rFonts w:ascii="Times New Roman" w:eastAsia="Calibri" w:hAnsi="Times New Roman" w:cs="Times New Roman"/>
          <w:i/>
          <w:sz w:val="24"/>
          <w:szCs w:val="24"/>
        </w:rPr>
        <w:t>a quo</w:t>
      </w:r>
      <w:r w:rsidR="00074585" w:rsidRPr="004045AD">
        <w:rPr>
          <w:rFonts w:ascii="Times New Roman" w:eastAsia="Calibri" w:hAnsi="Times New Roman" w:cs="Times New Roman"/>
          <w:sz w:val="24"/>
          <w:szCs w:val="24"/>
        </w:rPr>
        <w:t xml:space="preserve"> correctly found that the merger was not against</w:t>
      </w:r>
      <w:r w:rsidR="00936AB5">
        <w:rPr>
          <w:rFonts w:ascii="Times New Roman" w:eastAsia="Calibri" w:hAnsi="Times New Roman" w:cs="Times New Roman"/>
          <w:sz w:val="24"/>
          <w:szCs w:val="24"/>
        </w:rPr>
        <w:t xml:space="preserve"> the</w:t>
      </w:r>
      <w:r w:rsidR="00074585" w:rsidRPr="004045AD">
        <w:rPr>
          <w:rFonts w:ascii="Times New Roman" w:eastAsia="Calibri" w:hAnsi="Times New Roman" w:cs="Times New Roman"/>
          <w:sz w:val="24"/>
          <w:szCs w:val="24"/>
        </w:rPr>
        <w:t xml:space="preserve"> public</w:t>
      </w:r>
      <w:r w:rsidR="000B5FEB" w:rsidRPr="004045AD">
        <w:rPr>
          <w:rFonts w:ascii="Times New Roman" w:eastAsia="Calibri" w:hAnsi="Times New Roman" w:cs="Times New Roman"/>
          <w:sz w:val="24"/>
          <w:szCs w:val="24"/>
        </w:rPr>
        <w:t xml:space="preserve"> interest</w:t>
      </w:r>
      <w:r w:rsidR="00074585" w:rsidRPr="004045AD">
        <w:rPr>
          <w:rFonts w:ascii="Times New Roman" w:eastAsia="Calibri" w:hAnsi="Times New Roman" w:cs="Times New Roman"/>
          <w:sz w:val="24"/>
          <w:szCs w:val="24"/>
        </w:rPr>
        <w:t>.</w:t>
      </w:r>
    </w:p>
    <w:p w:rsidR="007E358A" w:rsidRPr="004045AD" w:rsidRDefault="007E358A" w:rsidP="007E358A">
      <w:pPr>
        <w:tabs>
          <w:tab w:val="left" w:pos="567"/>
        </w:tabs>
        <w:spacing w:after="0" w:line="240" w:lineRule="auto"/>
        <w:ind w:left="567" w:hanging="567"/>
        <w:jc w:val="both"/>
        <w:rPr>
          <w:rFonts w:ascii="Times New Roman" w:eastAsia="Calibri" w:hAnsi="Times New Roman" w:cs="Times New Roman"/>
          <w:sz w:val="24"/>
          <w:szCs w:val="24"/>
        </w:rPr>
      </w:pPr>
    </w:p>
    <w:p w:rsidR="007F7919" w:rsidRPr="004045AD" w:rsidRDefault="00C95AE9" w:rsidP="007E358A">
      <w:pPr>
        <w:tabs>
          <w:tab w:val="left" w:pos="567"/>
        </w:tabs>
        <w:spacing w:after="0"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E43B5F" w:rsidRPr="004045AD">
        <w:rPr>
          <w:rFonts w:ascii="Times New Roman" w:eastAsia="Calibri" w:hAnsi="Times New Roman" w:cs="Times New Roman"/>
          <w:sz w:val="24"/>
          <w:szCs w:val="24"/>
        </w:rPr>
        <w:t>24</w:t>
      </w:r>
      <w:r w:rsidRPr="004045AD">
        <w:rPr>
          <w:rFonts w:ascii="Times New Roman" w:eastAsia="Calibri" w:hAnsi="Times New Roman" w:cs="Times New Roman"/>
          <w:sz w:val="24"/>
          <w:szCs w:val="24"/>
        </w:rPr>
        <w:t xml:space="preserve">] </w:t>
      </w:r>
      <w:r w:rsidR="00E43B5F" w:rsidRPr="004045AD">
        <w:rPr>
          <w:rFonts w:ascii="Times New Roman" w:eastAsia="Calibri" w:hAnsi="Times New Roman" w:cs="Times New Roman"/>
          <w:sz w:val="24"/>
          <w:szCs w:val="24"/>
        </w:rPr>
        <w:t xml:space="preserve"> </w:t>
      </w:r>
      <w:r w:rsidR="0026692C" w:rsidRPr="004045AD">
        <w:rPr>
          <w:rFonts w:ascii="Times New Roman" w:eastAsia="Calibri" w:hAnsi="Times New Roman" w:cs="Times New Roman"/>
          <w:sz w:val="24"/>
          <w:szCs w:val="24"/>
        </w:rPr>
        <w:t xml:space="preserve"> </w:t>
      </w:r>
      <w:r w:rsidR="007F7919" w:rsidRPr="004045AD">
        <w:rPr>
          <w:rFonts w:ascii="Times New Roman" w:eastAsia="Calibri" w:hAnsi="Times New Roman" w:cs="Times New Roman"/>
          <w:sz w:val="24"/>
          <w:szCs w:val="24"/>
        </w:rPr>
        <w:t>The Competition and Tariff Commission</w:t>
      </w:r>
      <w:r w:rsidR="00AE4A0C" w:rsidRPr="004045AD">
        <w:rPr>
          <w:rFonts w:ascii="Times New Roman" w:eastAsia="Calibri" w:hAnsi="Times New Roman" w:cs="Times New Roman"/>
          <w:sz w:val="24"/>
          <w:szCs w:val="24"/>
        </w:rPr>
        <w:t xml:space="preserve"> (the appellant)</w:t>
      </w:r>
      <w:r w:rsidR="007F7919" w:rsidRPr="004045AD">
        <w:rPr>
          <w:rFonts w:ascii="Times New Roman" w:eastAsia="Calibri" w:hAnsi="Times New Roman" w:cs="Times New Roman"/>
          <w:sz w:val="24"/>
          <w:szCs w:val="24"/>
        </w:rPr>
        <w:t xml:space="preserve"> is a statutory body established under the Act</w:t>
      </w:r>
      <w:r w:rsidR="000F724B" w:rsidRPr="004045AD">
        <w:rPr>
          <w:rFonts w:ascii="Times New Roman" w:eastAsia="Calibri" w:hAnsi="Times New Roman" w:cs="Times New Roman"/>
          <w:sz w:val="24"/>
          <w:szCs w:val="24"/>
        </w:rPr>
        <w:t>.</w:t>
      </w:r>
      <w:r w:rsidRPr="004045AD">
        <w:rPr>
          <w:rFonts w:ascii="Times New Roman" w:eastAsia="Calibri" w:hAnsi="Times New Roman" w:cs="Times New Roman"/>
          <w:sz w:val="24"/>
          <w:szCs w:val="24"/>
        </w:rPr>
        <w:t xml:space="preserve">  </w:t>
      </w:r>
      <w:r w:rsidR="00FD13A4" w:rsidRPr="004045AD">
        <w:rPr>
          <w:rFonts w:ascii="Times New Roman" w:eastAsia="Calibri" w:hAnsi="Times New Roman" w:cs="Times New Roman"/>
          <w:sz w:val="24"/>
          <w:szCs w:val="24"/>
        </w:rPr>
        <w:t>T</w:t>
      </w:r>
      <w:r w:rsidR="007F7919" w:rsidRPr="004045AD">
        <w:rPr>
          <w:rFonts w:ascii="Times New Roman" w:eastAsia="Calibri" w:hAnsi="Times New Roman" w:cs="Times New Roman"/>
          <w:sz w:val="24"/>
          <w:szCs w:val="24"/>
        </w:rPr>
        <w:t xml:space="preserve">he preamble to the Act </w:t>
      </w:r>
      <w:r w:rsidR="00FD13A4" w:rsidRPr="004045AD">
        <w:rPr>
          <w:rFonts w:ascii="Times New Roman" w:eastAsia="Calibri" w:hAnsi="Times New Roman" w:cs="Times New Roman"/>
          <w:sz w:val="24"/>
          <w:szCs w:val="24"/>
        </w:rPr>
        <w:t>reads</w:t>
      </w:r>
      <w:r w:rsidR="007F7919" w:rsidRPr="004045AD">
        <w:rPr>
          <w:rFonts w:ascii="Times New Roman" w:eastAsia="Calibri" w:hAnsi="Times New Roman" w:cs="Times New Roman"/>
          <w:sz w:val="24"/>
          <w:szCs w:val="24"/>
        </w:rPr>
        <w:t xml:space="preserve"> as follows: </w:t>
      </w:r>
    </w:p>
    <w:p w:rsidR="007F7919" w:rsidRPr="004045AD" w:rsidRDefault="007F7919" w:rsidP="00015817">
      <w:pPr>
        <w:pStyle w:val="NoSpacing"/>
        <w:ind w:left="1134"/>
        <w:jc w:val="both"/>
        <w:rPr>
          <w:rFonts w:ascii="Times New Roman" w:hAnsi="Times New Roman" w:cs="Times New Roman"/>
          <w:sz w:val="24"/>
          <w:szCs w:val="24"/>
          <w:lang w:val="en-ZA"/>
        </w:rPr>
      </w:pPr>
      <w:r w:rsidRPr="004045AD">
        <w:rPr>
          <w:rFonts w:ascii="Times New Roman" w:hAnsi="Times New Roman" w:cs="Times New Roman"/>
          <w:sz w:val="24"/>
          <w:szCs w:val="24"/>
        </w:rPr>
        <w:t>“</w:t>
      </w:r>
      <w:r w:rsidR="00E43B5F" w:rsidRPr="004045AD">
        <w:rPr>
          <w:rFonts w:ascii="Times New Roman" w:hAnsi="Times New Roman" w:cs="Times New Roman"/>
          <w:sz w:val="24"/>
          <w:szCs w:val="24"/>
          <w:lang w:val="en-ZA"/>
        </w:rPr>
        <w:t>An</w:t>
      </w:r>
      <w:r w:rsidRPr="004045AD">
        <w:rPr>
          <w:rFonts w:ascii="Times New Roman" w:hAnsi="Times New Roman" w:cs="Times New Roman"/>
          <w:sz w:val="24"/>
          <w:szCs w:val="24"/>
          <w:lang w:val="en-ZA"/>
        </w:rPr>
        <w:t xml:space="preserve"> ACT to promote and maintain competition in the economy of Zimbabwe; </w:t>
      </w:r>
      <w:r w:rsidRPr="004045AD">
        <w:rPr>
          <w:rFonts w:ascii="Times New Roman" w:hAnsi="Times New Roman" w:cs="Times New Roman"/>
          <w:b/>
          <w:sz w:val="24"/>
          <w:szCs w:val="24"/>
          <w:lang w:val="en-ZA"/>
        </w:rPr>
        <w:t>to establish a Competition and Tariff Commission and to provide for its functions; to provide for the prevention and control of restrictive practices, the regulation of mergers, the prevention and control of monopoly situations and the prohibition of unfair trade practices;</w:t>
      </w:r>
      <w:r w:rsidRPr="004045AD">
        <w:rPr>
          <w:rFonts w:ascii="Times New Roman" w:hAnsi="Times New Roman" w:cs="Times New Roman"/>
          <w:sz w:val="24"/>
          <w:szCs w:val="24"/>
          <w:lang w:val="en-ZA"/>
        </w:rPr>
        <w:t xml:space="preserve"> and to provide for matters connected with or incidental to the foregoing.”</w:t>
      </w:r>
      <w:r w:rsidR="004C443D" w:rsidRPr="004045AD">
        <w:rPr>
          <w:rFonts w:ascii="Times New Roman" w:hAnsi="Times New Roman" w:cs="Times New Roman"/>
          <w:sz w:val="24"/>
          <w:szCs w:val="24"/>
          <w:lang w:val="en-ZA"/>
        </w:rPr>
        <w:t xml:space="preserve"> (</w:t>
      </w:r>
      <w:r w:rsidR="00523ED2" w:rsidRPr="004045AD">
        <w:rPr>
          <w:rFonts w:ascii="Times New Roman" w:hAnsi="Times New Roman" w:cs="Times New Roman"/>
          <w:sz w:val="24"/>
          <w:szCs w:val="24"/>
          <w:lang w:val="en-ZA"/>
        </w:rPr>
        <w:t>Emphasis</w:t>
      </w:r>
      <w:r w:rsidR="004C443D" w:rsidRPr="004045AD">
        <w:rPr>
          <w:rFonts w:ascii="Times New Roman" w:hAnsi="Times New Roman" w:cs="Times New Roman"/>
          <w:sz w:val="24"/>
          <w:szCs w:val="24"/>
          <w:lang w:val="en-ZA"/>
        </w:rPr>
        <w:t xml:space="preserve"> added)</w:t>
      </w:r>
    </w:p>
    <w:p w:rsidR="00B41F1D" w:rsidRPr="004045AD" w:rsidRDefault="00B41F1D" w:rsidP="00FD13A4">
      <w:pPr>
        <w:pStyle w:val="NoSpacing"/>
        <w:ind w:left="1440"/>
        <w:rPr>
          <w:rFonts w:ascii="Times New Roman" w:hAnsi="Times New Roman" w:cs="Times New Roman"/>
          <w:sz w:val="24"/>
          <w:szCs w:val="24"/>
          <w:lang w:val="en-ZA"/>
        </w:rPr>
      </w:pPr>
    </w:p>
    <w:p w:rsidR="00B41F1D" w:rsidRPr="004045AD" w:rsidRDefault="00B41F1D" w:rsidP="00523ED2">
      <w:pPr>
        <w:pStyle w:val="NoSpacing"/>
        <w:spacing w:line="360" w:lineRule="auto"/>
        <w:ind w:left="567"/>
        <w:jc w:val="both"/>
        <w:rPr>
          <w:rFonts w:ascii="Times New Roman" w:hAnsi="Times New Roman" w:cs="Times New Roman"/>
          <w:sz w:val="24"/>
          <w:szCs w:val="24"/>
          <w:lang w:val="en-ZA"/>
        </w:rPr>
      </w:pPr>
      <w:r w:rsidRPr="004045AD">
        <w:rPr>
          <w:rFonts w:ascii="Times New Roman" w:hAnsi="Times New Roman" w:cs="Times New Roman"/>
          <w:sz w:val="24"/>
          <w:szCs w:val="24"/>
          <w:lang w:val="en-ZA"/>
        </w:rPr>
        <w:t>It is apparent from the provisions of the Act’s preamble</w:t>
      </w:r>
      <w:r w:rsidR="004C443D" w:rsidRPr="004045AD">
        <w:rPr>
          <w:rFonts w:ascii="Times New Roman" w:hAnsi="Times New Roman" w:cs="Times New Roman"/>
          <w:sz w:val="24"/>
          <w:szCs w:val="24"/>
          <w:lang w:val="en-ZA"/>
        </w:rPr>
        <w:t xml:space="preserve"> </w:t>
      </w:r>
      <w:r w:rsidR="00523ED2" w:rsidRPr="004045AD">
        <w:rPr>
          <w:rFonts w:ascii="Times New Roman" w:hAnsi="Times New Roman" w:cs="Times New Roman"/>
          <w:sz w:val="24"/>
          <w:szCs w:val="24"/>
          <w:lang w:val="en-ZA"/>
        </w:rPr>
        <w:t>as read with s 5 of the Act</w:t>
      </w:r>
      <w:r w:rsidRPr="004045AD">
        <w:rPr>
          <w:rFonts w:ascii="Times New Roman" w:hAnsi="Times New Roman" w:cs="Times New Roman"/>
          <w:sz w:val="24"/>
          <w:szCs w:val="24"/>
          <w:lang w:val="en-ZA"/>
        </w:rPr>
        <w:t xml:space="preserve"> that the appellant is the lawfu</w:t>
      </w:r>
      <w:r w:rsidR="00C0376C" w:rsidRPr="004045AD">
        <w:rPr>
          <w:rFonts w:ascii="Times New Roman" w:hAnsi="Times New Roman" w:cs="Times New Roman"/>
          <w:sz w:val="24"/>
          <w:szCs w:val="24"/>
          <w:lang w:val="en-ZA"/>
        </w:rPr>
        <w:t>l regulator and implementer of the objectives</w:t>
      </w:r>
      <w:r w:rsidRPr="004045AD">
        <w:rPr>
          <w:rFonts w:ascii="Times New Roman" w:hAnsi="Times New Roman" w:cs="Times New Roman"/>
          <w:sz w:val="24"/>
          <w:szCs w:val="24"/>
          <w:lang w:val="en-ZA"/>
        </w:rPr>
        <w:t xml:space="preserve"> mentioned in the preamble</w:t>
      </w:r>
      <w:r w:rsidR="004C443D" w:rsidRPr="004045AD">
        <w:rPr>
          <w:rFonts w:ascii="Times New Roman" w:hAnsi="Times New Roman" w:cs="Times New Roman"/>
          <w:sz w:val="24"/>
          <w:szCs w:val="24"/>
          <w:lang w:val="en-ZA"/>
        </w:rPr>
        <w:t>.</w:t>
      </w:r>
      <w:r w:rsidR="009874E2" w:rsidRPr="004045AD">
        <w:rPr>
          <w:rFonts w:ascii="Times New Roman" w:hAnsi="Times New Roman" w:cs="Times New Roman"/>
          <w:sz w:val="24"/>
          <w:szCs w:val="24"/>
          <w:lang w:val="en-ZA"/>
        </w:rPr>
        <w:t xml:space="preserve"> </w:t>
      </w:r>
    </w:p>
    <w:p w:rsidR="00767A6E" w:rsidRPr="004045AD" w:rsidRDefault="00767A6E" w:rsidP="00792A9C">
      <w:pPr>
        <w:pStyle w:val="NoSpacing"/>
        <w:rPr>
          <w:rFonts w:ascii="Times New Roman" w:hAnsi="Times New Roman" w:cs="Times New Roman"/>
          <w:sz w:val="24"/>
          <w:szCs w:val="24"/>
          <w:lang w:val="en-ZA"/>
        </w:rPr>
      </w:pPr>
    </w:p>
    <w:p w:rsidR="007F7919" w:rsidRPr="004045AD" w:rsidRDefault="00C95AE9" w:rsidP="00891BFA">
      <w:pPr>
        <w:tabs>
          <w:tab w:val="left" w:pos="1134"/>
        </w:tabs>
        <w:spacing w:after="0" w:line="480" w:lineRule="auto"/>
        <w:ind w:left="567" w:hanging="567"/>
        <w:jc w:val="both"/>
        <w:rPr>
          <w:rFonts w:ascii="Times New Roman" w:eastAsia="Calibri" w:hAnsi="Times New Roman" w:cs="Times New Roman"/>
          <w:sz w:val="24"/>
          <w:szCs w:val="24"/>
          <w:lang w:val="en-ZA"/>
        </w:rPr>
      </w:pPr>
      <w:r w:rsidRPr="004045AD">
        <w:rPr>
          <w:rFonts w:ascii="Times New Roman" w:eastAsia="Calibri" w:hAnsi="Times New Roman" w:cs="Times New Roman"/>
          <w:sz w:val="24"/>
          <w:szCs w:val="24"/>
          <w:lang w:val="en-ZA"/>
        </w:rPr>
        <w:lastRenderedPageBreak/>
        <w:t>[</w:t>
      </w:r>
      <w:r w:rsidR="00015817" w:rsidRPr="004045AD">
        <w:rPr>
          <w:rFonts w:ascii="Times New Roman" w:eastAsia="Calibri" w:hAnsi="Times New Roman" w:cs="Times New Roman"/>
          <w:sz w:val="24"/>
          <w:szCs w:val="24"/>
          <w:lang w:val="en-ZA"/>
        </w:rPr>
        <w:t>25</w:t>
      </w:r>
      <w:r w:rsidRPr="004045AD">
        <w:rPr>
          <w:rFonts w:ascii="Times New Roman" w:eastAsia="Calibri" w:hAnsi="Times New Roman" w:cs="Times New Roman"/>
          <w:sz w:val="24"/>
          <w:szCs w:val="24"/>
          <w:lang w:val="en-ZA"/>
        </w:rPr>
        <w:t xml:space="preserve">] </w:t>
      </w:r>
      <w:r w:rsidR="004202CA">
        <w:rPr>
          <w:rFonts w:ascii="Times New Roman" w:eastAsia="Calibri" w:hAnsi="Times New Roman" w:cs="Times New Roman"/>
          <w:sz w:val="24"/>
          <w:szCs w:val="24"/>
          <w:lang w:val="en-ZA"/>
        </w:rPr>
        <w:t xml:space="preserve"> </w:t>
      </w:r>
      <w:r w:rsidR="007F7919" w:rsidRPr="004045AD">
        <w:rPr>
          <w:rFonts w:ascii="Times New Roman" w:eastAsia="Calibri" w:hAnsi="Times New Roman" w:cs="Times New Roman"/>
          <w:sz w:val="24"/>
          <w:szCs w:val="24"/>
          <w:lang w:val="en-ZA"/>
        </w:rPr>
        <w:t>Section 5 of the Act provides for the functions of the Competition</w:t>
      </w:r>
      <w:r w:rsidR="00012CE1">
        <w:rPr>
          <w:rFonts w:ascii="Times New Roman" w:eastAsia="Calibri" w:hAnsi="Times New Roman" w:cs="Times New Roman"/>
          <w:sz w:val="24"/>
          <w:szCs w:val="24"/>
          <w:lang w:val="en-ZA"/>
        </w:rPr>
        <w:t xml:space="preserve"> </w:t>
      </w:r>
      <w:r w:rsidR="00CC2879">
        <w:rPr>
          <w:rFonts w:ascii="Times New Roman" w:eastAsia="Calibri" w:hAnsi="Times New Roman" w:cs="Times New Roman"/>
          <w:sz w:val="24"/>
          <w:szCs w:val="24"/>
          <w:lang w:val="en-ZA"/>
        </w:rPr>
        <w:t>a</w:t>
      </w:r>
      <w:r w:rsidR="00012CE1">
        <w:rPr>
          <w:rFonts w:ascii="Times New Roman" w:eastAsia="Calibri" w:hAnsi="Times New Roman" w:cs="Times New Roman"/>
          <w:sz w:val="24"/>
          <w:szCs w:val="24"/>
          <w:lang w:val="en-ZA"/>
        </w:rPr>
        <w:t>nd</w:t>
      </w:r>
      <w:r w:rsidR="007F7919" w:rsidRPr="004045AD">
        <w:rPr>
          <w:rFonts w:ascii="Times New Roman" w:eastAsia="Calibri" w:hAnsi="Times New Roman" w:cs="Times New Roman"/>
          <w:sz w:val="24"/>
          <w:szCs w:val="24"/>
          <w:lang w:val="en-ZA"/>
        </w:rPr>
        <w:t xml:space="preserve"> Tariff Commission as follows:</w:t>
      </w:r>
    </w:p>
    <w:p w:rsidR="007F7919" w:rsidRPr="004045AD" w:rsidRDefault="007F7919" w:rsidP="00015817">
      <w:pPr>
        <w:keepNext/>
        <w:keepLines/>
        <w:tabs>
          <w:tab w:val="left" w:pos="369"/>
        </w:tabs>
        <w:spacing w:before="120" w:after="80" w:line="276" w:lineRule="auto"/>
        <w:ind w:left="1418" w:hanging="284"/>
        <w:rPr>
          <w:rFonts w:ascii="Times New Roman" w:eastAsia="Times New Roman" w:hAnsi="Times New Roman" w:cs="Times New Roman"/>
          <w:sz w:val="24"/>
          <w:szCs w:val="24"/>
          <w:lang w:val="en-ZA"/>
        </w:rPr>
      </w:pPr>
      <w:r w:rsidRPr="004045AD">
        <w:rPr>
          <w:rFonts w:ascii="Times New Roman" w:eastAsia="Times New Roman" w:hAnsi="Times New Roman" w:cs="Times New Roman"/>
          <w:b/>
          <w:sz w:val="24"/>
          <w:szCs w:val="24"/>
          <w:lang w:val="en-ZA"/>
        </w:rPr>
        <w:t>“5</w:t>
      </w:r>
      <w:r w:rsidRPr="004045AD">
        <w:rPr>
          <w:rFonts w:ascii="Times New Roman" w:eastAsia="Times New Roman" w:hAnsi="Times New Roman" w:cs="Times New Roman"/>
          <w:b/>
          <w:sz w:val="24"/>
          <w:szCs w:val="24"/>
          <w:lang w:val="en-ZA"/>
        </w:rPr>
        <w:tab/>
      </w:r>
      <w:r w:rsidRPr="004045AD">
        <w:rPr>
          <w:rFonts w:ascii="Times New Roman" w:eastAsia="Times New Roman" w:hAnsi="Times New Roman" w:cs="Times New Roman"/>
          <w:sz w:val="24"/>
          <w:szCs w:val="24"/>
          <w:lang w:val="en-ZA"/>
        </w:rPr>
        <w:t>(1) Subject to this Act, the functions of the Commission shall be—</w:t>
      </w:r>
    </w:p>
    <w:p w:rsidR="007F7919" w:rsidRPr="006929EA" w:rsidRDefault="007F7919" w:rsidP="00015817">
      <w:pPr>
        <w:tabs>
          <w:tab w:val="right" w:pos="680"/>
          <w:tab w:val="left" w:pos="822"/>
          <w:tab w:val="left" w:pos="1276"/>
        </w:tabs>
        <w:spacing w:after="80" w:line="276" w:lineRule="auto"/>
        <w:ind w:left="1843" w:hanging="142"/>
        <w:jc w:val="both"/>
        <w:rPr>
          <w:rFonts w:ascii="Times New Roman" w:eastAsia="Times New Roman" w:hAnsi="Times New Roman" w:cs="Times New Roman"/>
          <w:b/>
          <w:sz w:val="24"/>
          <w:szCs w:val="24"/>
          <w:lang w:val="en-ZA"/>
        </w:rPr>
      </w:pPr>
      <w:r w:rsidRPr="004045AD">
        <w:rPr>
          <w:rFonts w:ascii="Times New Roman" w:eastAsia="Times New Roman" w:hAnsi="Times New Roman" w:cs="Times New Roman"/>
          <w:sz w:val="24"/>
          <w:szCs w:val="24"/>
          <w:lang w:val="en-ZA"/>
        </w:rPr>
        <w:tab/>
        <w:t>(a)</w:t>
      </w:r>
      <w:r w:rsidRPr="004045AD">
        <w:rPr>
          <w:rFonts w:ascii="Times New Roman" w:eastAsia="Times New Roman" w:hAnsi="Times New Roman" w:cs="Times New Roman"/>
          <w:sz w:val="24"/>
          <w:szCs w:val="24"/>
          <w:lang w:val="en-ZA"/>
        </w:rPr>
        <w:tab/>
      </w:r>
      <w:r w:rsidR="00E13E84" w:rsidRPr="004045AD">
        <w:rPr>
          <w:rFonts w:ascii="Times New Roman" w:eastAsia="Times New Roman" w:hAnsi="Times New Roman" w:cs="Times New Roman"/>
          <w:sz w:val="24"/>
          <w:szCs w:val="24"/>
          <w:lang w:val="en-ZA"/>
        </w:rPr>
        <w:t xml:space="preserve"> </w:t>
      </w:r>
      <w:r w:rsidRPr="006929EA">
        <w:rPr>
          <w:rFonts w:ascii="Times New Roman" w:eastAsia="Times New Roman" w:hAnsi="Times New Roman" w:cs="Times New Roman"/>
          <w:b/>
          <w:sz w:val="24"/>
          <w:szCs w:val="24"/>
          <w:lang w:val="en-ZA"/>
        </w:rPr>
        <w:t>to encourage and promote competition in all sectors of the economy; and</w:t>
      </w:r>
    </w:p>
    <w:p w:rsidR="007F7919" w:rsidRPr="006929EA" w:rsidRDefault="007F7919" w:rsidP="0026692C">
      <w:pPr>
        <w:tabs>
          <w:tab w:val="right" w:pos="680"/>
          <w:tab w:val="left" w:pos="822"/>
          <w:tab w:val="left" w:pos="1276"/>
        </w:tabs>
        <w:spacing w:after="0" w:line="240" w:lineRule="auto"/>
        <w:ind w:left="2268" w:hanging="425"/>
        <w:jc w:val="both"/>
        <w:rPr>
          <w:rFonts w:ascii="Times New Roman" w:eastAsia="Times New Roman" w:hAnsi="Times New Roman" w:cs="Times New Roman"/>
          <w:b/>
          <w:sz w:val="24"/>
          <w:szCs w:val="24"/>
          <w:lang w:val="en-ZA"/>
        </w:rPr>
      </w:pPr>
      <w:r w:rsidRPr="006929EA">
        <w:rPr>
          <w:rFonts w:ascii="Times New Roman" w:eastAsia="Times New Roman" w:hAnsi="Times New Roman" w:cs="Times New Roman"/>
          <w:b/>
          <w:sz w:val="24"/>
          <w:szCs w:val="24"/>
          <w:lang w:val="en-ZA"/>
        </w:rPr>
        <w:t>(b)</w:t>
      </w:r>
      <w:r w:rsidRPr="006929EA">
        <w:rPr>
          <w:rFonts w:ascii="Times New Roman" w:eastAsia="Times New Roman" w:hAnsi="Times New Roman" w:cs="Times New Roman"/>
          <w:b/>
          <w:sz w:val="24"/>
          <w:szCs w:val="24"/>
          <w:lang w:val="en-ZA"/>
        </w:rPr>
        <w:tab/>
        <w:t>to reduce barriers to entry into any sector of the economy or to any form of economic activity; and</w:t>
      </w:r>
    </w:p>
    <w:p w:rsidR="0026692C" w:rsidRPr="006929EA" w:rsidRDefault="0026692C" w:rsidP="0026692C">
      <w:pPr>
        <w:tabs>
          <w:tab w:val="right" w:pos="680"/>
          <w:tab w:val="left" w:pos="822"/>
          <w:tab w:val="left" w:pos="1276"/>
        </w:tabs>
        <w:spacing w:after="0" w:line="240" w:lineRule="auto"/>
        <w:ind w:left="2268" w:hanging="425"/>
        <w:jc w:val="both"/>
        <w:rPr>
          <w:rFonts w:ascii="Times New Roman" w:eastAsia="Times New Roman" w:hAnsi="Times New Roman" w:cs="Times New Roman"/>
          <w:b/>
          <w:sz w:val="24"/>
          <w:szCs w:val="24"/>
          <w:lang w:val="en-ZA"/>
        </w:rPr>
      </w:pPr>
    </w:p>
    <w:p w:rsidR="007F7919" w:rsidRPr="006929EA" w:rsidRDefault="00E13E84" w:rsidP="00E13E84">
      <w:pPr>
        <w:spacing w:after="80" w:line="276" w:lineRule="auto"/>
        <w:ind w:left="2268" w:hanging="567"/>
        <w:jc w:val="both"/>
        <w:rPr>
          <w:rFonts w:ascii="Times New Roman" w:eastAsia="Times New Roman" w:hAnsi="Times New Roman" w:cs="Times New Roman"/>
          <w:b/>
          <w:sz w:val="24"/>
          <w:szCs w:val="24"/>
          <w:lang w:val="en-ZA"/>
        </w:rPr>
      </w:pPr>
      <w:r w:rsidRPr="006929EA">
        <w:rPr>
          <w:rFonts w:ascii="Times New Roman" w:eastAsia="Times New Roman" w:hAnsi="Times New Roman" w:cs="Times New Roman"/>
          <w:b/>
          <w:sz w:val="24"/>
          <w:szCs w:val="24"/>
          <w:lang w:val="en-ZA"/>
        </w:rPr>
        <w:t xml:space="preserve">  </w:t>
      </w:r>
      <w:r w:rsidR="007F7919" w:rsidRPr="006929EA">
        <w:rPr>
          <w:rFonts w:ascii="Times New Roman" w:eastAsia="Times New Roman" w:hAnsi="Times New Roman" w:cs="Times New Roman"/>
          <w:b/>
          <w:sz w:val="24"/>
          <w:szCs w:val="24"/>
          <w:lang w:val="en-ZA"/>
        </w:rPr>
        <w:t>(c)</w:t>
      </w:r>
      <w:r w:rsidR="007F7919" w:rsidRPr="006929EA">
        <w:rPr>
          <w:rFonts w:ascii="Times New Roman" w:eastAsia="Times New Roman" w:hAnsi="Times New Roman" w:cs="Times New Roman"/>
          <w:b/>
          <w:sz w:val="24"/>
          <w:szCs w:val="24"/>
          <w:lang w:val="en-ZA"/>
        </w:rPr>
        <w:tab/>
        <w:t>to investigate, discourage and prevent restrictive practices; and</w:t>
      </w:r>
    </w:p>
    <w:p w:rsidR="007F7919" w:rsidRPr="004045AD" w:rsidRDefault="007F7919" w:rsidP="0026692C">
      <w:pPr>
        <w:tabs>
          <w:tab w:val="right" w:pos="680"/>
          <w:tab w:val="left" w:pos="822"/>
          <w:tab w:val="left" w:pos="1276"/>
        </w:tabs>
        <w:spacing w:after="0" w:line="240" w:lineRule="auto"/>
        <w:ind w:left="2268" w:hanging="425"/>
        <w:jc w:val="both"/>
        <w:rPr>
          <w:rFonts w:ascii="Times New Roman" w:eastAsia="Times New Roman" w:hAnsi="Times New Roman" w:cs="Times New Roman"/>
          <w:sz w:val="24"/>
          <w:szCs w:val="24"/>
          <w:lang w:val="en-ZA"/>
        </w:rPr>
      </w:pPr>
      <w:r w:rsidRPr="006929EA">
        <w:rPr>
          <w:rFonts w:ascii="Times New Roman" w:eastAsia="Times New Roman" w:hAnsi="Times New Roman" w:cs="Times New Roman"/>
          <w:b/>
          <w:sz w:val="24"/>
          <w:szCs w:val="24"/>
          <w:lang w:val="en-ZA"/>
        </w:rPr>
        <w:t>(d)</w:t>
      </w:r>
      <w:r w:rsidRPr="006929EA">
        <w:rPr>
          <w:rFonts w:ascii="Times New Roman" w:eastAsia="Times New Roman" w:hAnsi="Times New Roman" w:cs="Times New Roman"/>
          <w:b/>
          <w:sz w:val="24"/>
          <w:szCs w:val="24"/>
          <w:lang w:val="en-ZA"/>
        </w:rPr>
        <w:tab/>
        <w:t xml:space="preserve">to study trends towards increased economic concentration, with a view to the investigation of monopoly situations and the prevention of such situations, where they are contrary to the public interest; </w:t>
      </w:r>
      <w:r w:rsidRPr="004045AD">
        <w:rPr>
          <w:rFonts w:ascii="Times New Roman" w:eastAsia="Times New Roman" w:hAnsi="Times New Roman" w:cs="Times New Roman"/>
          <w:sz w:val="24"/>
          <w:szCs w:val="24"/>
          <w:lang w:val="en-ZA"/>
        </w:rPr>
        <w:t>and</w:t>
      </w:r>
    </w:p>
    <w:p w:rsidR="0026692C" w:rsidRPr="004045AD" w:rsidRDefault="0026692C" w:rsidP="0026692C">
      <w:pPr>
        <w:tabs>
          <w:tab w:val="right" w:pos="680"/>
          <w:tab w:val="left" w:pos="822"/>
          <w:tab w:val="left" w:pos="1276"/>
        </w:tabs>
        <w:spacing w:after="0" w:line="240" w:lineRule="auto"/>
        <w:ind w:left="2268" w:hanging="425"/>
        <w:jc w:val="both"/>
        <w:rPr>
          <w:rFonts w:ascii="Times New Roman" w:eastAsia="Times New Roman" w:hAnsi="Times New Roman" w:cs="Times New Roman"/>
          <w:sz w:val="24"/>
          <w:szCs w:val="24"/>
          <w:lang w:val="en-ZA"/>
        </w:rPr>
      </w:pPr>
    </w:p>
    <w:p w:rsidR="007F7919" w:rsidRPr="004045AD" w:rsidRDefault="00E13E84" w:rsidP="00E13E84">
      <w:pPr>
        <w:tabs>
          <w:tab w:val="right" w:pos="680"/>
          <w:tab w:val="left" w:pos="822"/>
          <w:tab w:val="left" w:pos="1276"/>
        </w:tabs>
        <w:spacing w:after="80" w:line="276" w:lineRule="auto"/>
        <w:ind w:left="1843"/>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 xml:space="preserve">(e)  </w:t>
      </w:r>
      <w:r w:rsidR="007F7919" w:rsidRPr="004045AD">
        <w:rPr>
          <w:rFonts w:ascii="Times New Roman" w:eastAsia="Times New Roman" w:hAnsi="Times New Roman" w:cs="Times New Roman"/>
          <w:sz w:val="24"/>
          <w:szCs w:val="24"/>
          <w:lang w:val="en-ZA"/>
        </w:rPr>
        <w:t>to advise the Minister in regard to—</w:t>
      </w:r>
    </w:p>
    <w:p w:rsidR="007F7919" w:rsidRPr="004045AD" w:rsidRDefault="007F7919" w:rsidP="0026692C">
      <w:pPr>
        <w:tabs>
          <w:tab w:val="right" w:pos="1276"/>
          <w:tab w:val="left" w:pos="1474"/>
          <w:tab w:val="left" w:pos="1899"/>
        </w:tabs>
        <w:spacing w:after="0" w:line="240" w:lineRule="auto"/>
        <w:ind w:left="2835" w:hanging="42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(i)</w:t>
      </w:r>
      <w:r w:rsidRPr="004045AD">
        <w:rPr>
          <w:rFonts w:ascii="Times New Roman" w:eastAsia="Times New Roman" w:hAnsi="Times New Roman" w:cs="Times New Roman"/>
          <w:sz w:val="24"/>
          <w:szCs w:val="24"/>
          <w:lang w:val="en-ZA"/>
        </w:rPr>
        <w:tab/>
        <w:t>all aspects of economic competition, including entrepreneurial activities carried on by institutions direct or indirectly controlled by the State; and</w:t>
      </w:r>
    </w:p>
    <w:p w:rsidR="0026692C" w:rsidRPr="004045AD" w:rsidRDefault="007F7919" w:rsidP="0026692C">
      <w:pPr>
        <w:tabs>
          <w:tab w:val="right" w:pos="1276"/>
          <w:tab w:val="left" w:pos="1474"/>
          <w:tab w:val="left" w:pos="1899"/>
          <w:tab w:val="left" w:pos="2552"/>
        </w:tabs>
        <w:spacing w:after="0" w:line="240" w:lineRule="auto"/>
        <w:ind w:left="2835" w:hanging="42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(ii)</w:t>
      </w:r>
      <w:r w:rsidRPr="004045AD">
        <w:rPr>
          <w:rFonts w:ascii="Times New Roman" w:eastAsia="Times New Roman" w:hAnsi="Times New Roman" w:cs="Times New Roman"/>
          <w:sz w:val="24"/>
          <w:szCs w:val="24"/>
          <w:lang w:val="en-ZA"/>
        </w:rPr>
        <w:tab/>
        <w:t>the formulation, co-ordination, implementation and administration of Government policy in regard to economic competition;</w:t>
      </w:r>
      <w:r w:rsidR="00E13E84" w:rsidRPr="004045AD">
        <w:rPr>
          <w:rFonts w:ascii="Times New Roman" w:eastAsia="Times New Roman" w:hAnsi="Times New Roman" w:cs="Times New Roman"/>
          <w:sz w:val="24"/>
          <w:szCs w:val="24"/>
          <w:lang w:val="en-ZA"/>
        </w:rPr>
        <w:t xml:space="preserve"> </w:t>
      </w:r>
      <w:r w:rsidRPr="004045AD">
        <w:rPr>
          <w:rFonts w:ascii="Times New Roman" w:eastAsia="Times New Roman" w:hAnsi="Times New Roman" w:cs="Times New Roman"/>
          <w:sz w:val="24"/>
          <w:szCs w:val="24"/>
          <w:lang w:val="en-ZA"/>
        </w:rPr>
        <w:t>and</w:t>
      </w:r>
    </w:p>
    <w:p w:rsidR="007F7919" w:rsidRPr="004045AD" w:rsidRDefault="007F7919" w:rsidP="0026692C">
      <w:pPr>
        <w:tabs>
          <w:tab w:val="right" w:pos="1276"/>
          <w:tab w:val="left" w:pos="1474"/>
          <w:tab w:val="left" w:pos="1899"/>
          <w:tab w:val="left" w:pos="2552"/>
        </w:tabs>
        <w:spacing w:after="0" w:line="240" w:lineRule="auto"/>
        <w:ind w:left="2835" w:hanging="42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ab/>
      </w:r>
    </w:p>
    <w:p w:rsidR="007F7919" w:rsidRPr="004045AD" w:rsidRDefault="007F7919" w:rsidP="0026692C">
      <w:pPr>
        <w:tabs>
          <w:tab w:val="right" w:pos="680"/>
          <w:tab w:val="left" w:pos="822"/>
          <w:tab w:val="left" w:pos="1276"/>
        </w:tabs>
        <w:spacing w:after="0" w:line="240" w:lineRule="auto"/>
        <w:ind w:left="2268" w:hanging="42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(f)</w:t>
      </w:r>
      <w:r w:rsidRPr="004045AD">
        <w:rPr>
          <w:rFonts w:ascii="Times New Roman" w:eastAsia="Times New Roman" w:hAnsi="Times New Roman" w:cs="Times New Roman"/>
          <w:sz w:val="24"/>
          <w:szCs w:val="24"/>
          <w:lang w:val="en-ZA"/>
        </w:rPr>
        <w:tab/>
        <w:t>to provide information to interested persons on current policy with regard to restrictive practices, acquisitions and monopoly situations, to serve as guidelines for the benefit of those persons; and</w:t>
      </w:r>
    </w:p>
    <w:p w:rsidR="0026692C" w:rsidRPr="004045AD" w:rsidRDefault="0026692C" w:rsidP="0026692C">
      <w:pPr>
        <w:tabs>
          <w:tab w:val="right" w:pos="680"/>
          <w:tab w:val="left" w:pos="822"/>
          <w:tab w:val="left" w:pos="1276"/>
        </w:tabs>
        <w:spacing w:after="0" w:line="240" w:lineRule="auto"/>
        <w:ind w:left="2268" w:hanging="425"/>
        <w:jc w:val="both"/>
        <w:rPr>
          <w:rFonts w:ascii="Times New Roman" w:eastAsia="Times New Roman" w:hAnsi="Times New Roman" w:cs="Times New Roman"/>
          <w:sz w:val="24"/>
          <w:szCs w:val="24"/>
          <w:lang w:val="en-ZA"/>
        </w:rPr>
      </w:pPr>
    </w:p>
    <w:p w:rsidR="007F7919" w:rsidRPr="004045AD" w:rsidRDefault="007F7919" w:rsidP="0026692C">
      <w:pPr>
        <w:tabs>
          <w:tab w:val="right" w:pos="680"/>
          <w:tab w:val="left" w:pos="822"/>
          <w:tab w:val="left" w:pos="1276"/>
        </w:tabs>
        <w:spacing w:after="0" w:line="240" w:lineRule="auto"/>
        <w:ind w:left="2268" w:hanging="42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(g)</w:t>
      </w:r>
      <w:r w:rsidRPr="004045AD">
        <w:rPr>
          <w:rFonts w:ascii="Times New Roman" w:eastAsia="Times New Roman" w:hAnsi="Times New Roman" w:cs="Times New Roman"/>
          <w:sz w:val="24"/>
          <w:szCs w:val="24"/>
          <w:lang w:val="en-ZA"/>
        </w:rPr>
        <w:tab/>
        <w:t>subject to Part IVB, to undertake investigations and make reports to the Minister relating to tariff charges, unfair trade practices and the provision of assistance or protection to local industry; and</w:t>
      </w:r>
    </w:p>
    <w:p w:rsidR="0026692C" w:rsidRPr="004045AD" w:rsidRDefault="0026692C" w:rsidP="0026692C">
      <w:pPr>
        <w:tabs>
          <w:tab w:val="right" w:pos="680"/>
          <w:tab w:val="left" w:pos="822"/>
          <w:tab w:val="left" w:pos="1276"/>
        </w:tabs>
        <w:spacing w:after="0" w:line="240" w:lineRule="auto"/>
        <w:ind w:left="2268" w:hanging="425"/>
        <w:jc w:val="both"/>
        <w:rPr>
          <w:rFonts w:ascii="Times New Roman" w:eastAsia="Times New Roman" w:hAnsi="Times New Roman" w:cs="Times New Roman"/>
          <w:sz w:val="24"/>
          <w:szCs w:val="24"/>
          <w:lang w:val="en-ZA"/>
        </w:rPr>
      </w:pPr>
    </w:p>
    <w:p w:rsidR="007F7919" w:rsidRPr="004045AD" w:rsidRDefault="007F7919" w:rsidP="0026692C">
      <w:pPr>
        <w:tabs>
          <w:tab w:val="left" w:pos="822"/>
          <w:tab w:val="left" w:pos="1276"/>
          <w:tab w:val="right" w:pos="2552"/>
        </w:tabs>
        <w:spacing w:after="0" w:line="240" w:lineRule="auto"/>
        <w:ind w:left="2268" w:hanging="42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(h)</w:t>
      </w:r>
      <w:r w:rsidRPr="004045AD">
        <w:rPr>
          <w:rFonts w:ascii="Times New Roman" w:eastAsia="Times New Roman" w:hAnsi="Times New Roman" w:cs="Times New Roman"/>
          <w:sz w:val="24"/>
          <w:szCs w:val="24"/>
          <w:lang w:val="en-ZA"/>
        </w:rPr>
        <w:tab/>
      </w:r>
      <w:r w:rsidR="00E13E84" w:rsidRPr="004045AD">
        <w:rPr>
          <w:rFonts w:ascii="Times New Roman" w:eastAsia="Times New Roman" w:hAnsi="Times New Roman" w:cs="Times New Roman"/>
          <w:sz w:val="24"/>
          <w:szCs w:val="24"/>
          <w:lang w:val="en-ZA"/>
        </w:rPr>
        <w:t xml:space="preserve"> </w:t>
      </w:r>
      <w:r w:rsidRPr="004045AD">
        <w:rPr>
          <w:rFonts w:ascii="Times New Roman" w:eastAsia="Times New Roman" w:hAnsi="Times New Roman" w:cs="Times New Roman"/>
          <w:sz w:val="24"/>
          <w:szCs w:val="24"/>
          <w:lang w:val="en-ZA"/>
        </w:rPr>
        <w:t>to monitor prices, costs, and profits in any industry or business that the Minister directs the Commission to monitor, and to report its findings to the Minister; and</w:t>
      </w:r>
    </w:p>
    <w:p w:rsidR="0026692C" w:rsidRPr="004045AD" w:rsidRDefault="0026692C" w:rsidP="0026692C">
      <w:pPr>
        <w:tabs>
          <w:tab w:val="left" w:pos="822"/>
          <w:tab w:val="left" w:pos="1276"/>
          <w:tab w:val="right" w:pos="2552"/>
        </w:tabs>
        <w:spacing w:after="0" w:line="240" w:lineRule="auto"/>
        <w:ind w:left="2268" w:hanging="425"/>
        <w:jc w:val="both"/>
        <w:rPr>
          <w:rFonts w:ascii="Times New Roman" w:eastAsia="Times New Roman" w:hAnsi="Times New Roman" w:cs="Times New Roman"/>
          <w:sz w:val="24"/>
          <w:szCs w:val="24"/>
          <w:lang w:val="en-ZA"/>
        </w:rPr>
      </w:pPr>
    </w:p>
    <w:p w:rsidR="007F7919" w:rsidRPr="004045AD" w:rsidRDefault="007F7919" w:rsidP="007E358A">
      <w:pPr>
        <w:pStyle w:val="ListParagraph"/>
        <w:numPr>
          <w:ilvl w:val="0"/>
          <w:numId w:val="16"/>
        </w:numPr>
        <w:tabs>
          <w:tab w:val="right" w:pos="680"/>
          <w:tab w:val="left" w:pos="822"/>
          <w:tab w:val="left" w:pos="1276"/>
        </w:tabs>
        <w:spacing w:after="0" w:line="240" w:lineRule="auto"/>
        <w:ind w:left="3330" w:hanging="49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to perform any other functions that may be conferred or imposed on it by this Act or any other enactment.</w:t>
      </w:r>
    </w:p>
    <w:p w:rsidR="0026692C" w:rsidRPr="004045AD" w:rsidRDefault="0026692C" w:rsidP="0026692C">
      <w:pPr>
        <w:tabs>
          <w:tab w:val="right" w:pos="680"/>
          <w:tab w:val="left" w:pos="822"/>
          <w:tab w:val="left" w:pos="1276"/>
        </w:tabs>
        <w:spacing w:after="0" w:line="240" w:lineRule="auto"/>
        <w:ind w:left="2835" w:hanging="324"/>
        <w:jc w:val="both"/>
        <w:rPr>
          <w:rFonts w:ascii="Times New Roman" w:eastAsia="Times New Roman" w:hAnsi="Times New Roman" w:cs="Times New Roman"/>
          <w:sz w:val="24"/>
          <w:szCs w:val="24"/>
          <w:lang w:val="en-ZA"/>
        </w:rPr>
      </w:pPr>
    </w:p>
    <w:p w:rsidR="007F7919" w:rsidRPr="004045AD" w:rsidRDefault="00E13E84" w:rsidP="007E358A">
      <w:pPr>
        <w:tabs>
          <w:tab w:val="left" w:pos="369"/>
          <w:tab w:val="left" w:pos="2835"/>
        </w:tabs>
        <w:spacing w:after="0" w:line="240" w:lineRule="auto"/>
        <w:ind w:left="3420" w:hanging="944"/>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 xml:space="preserve"> </w:t>
      </w:r>
      <w:r w:rsidR="007E358A">
        <w:rPr>
          <w:rFonts w:ascii="Times New Roman" w:eastAsia="Times New Roman" w:hAnsi="Times New Roman" w:cs="Times New Roman"/>
          <w:sz w:val="24"/>
          <w:szCs w:val="24"/>
          <w:lang w:val="en-ZA"/>
        </w:rPr>
        <w:t xml:space="preserve">     </w:t>
      </w:r>
      <w:r w:rsidRPr="004045AD">
        <w:rPr>
          <w:rFonts w:ascii="Times New Roman" w:eastAsia="Times New Roman" w:hAnsi="Times New Roman" w:cs="Times New Roman"/>
          <w:sz w:val="24"/>
          <w:szCs w:val="24"/>
          <w:lang w:val="en-ZA"/>
        </w:rPr>
        <w:t>(ii</w:t>
      </w:r>
      <w:r w:rsidR="007F7919" w:rsidRPr="004045AD">
        <w:rPr>
          <w:rFonts w:ascii="Times New Roman" w:eastAsia="Times New Roman" w:hAnsi="Times New Roman" w:cs="Times New Roman"/>
          <w:sz w:val="24"/>
          <w:szCs w:val="24"/>
          <w:lang w:val="en-ZA"/>
        </w:rPr>
        <w:t>)  </w:t>
      </w:r>
      <w:r w:rsidR="00E56EBE" w:rsidRPr="004045AD">
        <w:rPr>
          <w:rFonts w:ascii="Times New Roman" w:eastAsia="Times New Roman" w:hAnsi="Times New Roman" w:cs="Times New Roman"/>
          <w:sz w:val="24"/>
          <w:szCs w:val="24"/>
          <w:lang w:val="en-ZA"/>
        </w:rPr>
        <w:tab/>
      </w:r>
      <w:r w:rsidR="007F7919" w:rsidRPr="004045AD">
        <w:rPr>
          <w:rFonts w:ascii="Times New Roman" w:eastAsia="Times New Roman" w:hAnsi="Times New Roman" w:cs="Times New Roman"/>
          <w:sz w:val="24"/>
          <w:szCs w:val="24"/>
          <w:lang w:val="en-ZA"/>
        </w:rPr>
        <w:t>For the better exercise of its functions, the Commission shall have power to do or cause to be done, either by itself or through its agents, all or any of the things set out in the Second Schedule, either absolutely or conditionally and either solely or jointly with others.</w:t>
      </w:r>
    </w:p>
    <w:p w:rsidR="0026692C" w:rsidRPr="004045AD" w:rsidRDefault="0026692C" w:rsidP="0026692C">
      <w:pPr>
        <w:tabs>
          <w:tab w:val="left" w:pos="369"/>
        </w:tabs>
        <w:spacing w:after="0" w:line="240" w:lineRule="auto"/>
        <w:jc w:val="both"/>
        <w:rPr>
          <w:rFonts w:ascii="Times New Roman" w:eastAsia="Times New Roman" w:hAnsi="Times New Roman" w:cs="Times New Roman"/>
          <w:sz w:val="24"/>
          <w:szCs w:val="24"/>
          <w:lang w:val="en-ZA"/>
        </w:rPr>
      </w:pPr>
    </w:p>
    <w:p w:rsidR="007F7919" w:rsidRPr="004045AD" w:rsidRDefault="00E13E84" w:rsidP="00E56EBE">
      <w:pPr>
        <w:tabs>
          <w:tab w:val="left" w:pos="369"/>
          <w:tab w:val="left" w:pos="2552"/>
        </w:tabs>
        <w:spacing w:after="0" w:line="240" w:lineRule="auto"/>
        <w:ind w:left="3420" w:hanging="3420"/>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lastRenderedPageBreak/>
        <w:t xml:space="preserve">                                        </w:t>
      </w:r>
      <w:r w:rsidR="00E56EBE" w:rsidRPr="004045AD">
        <w:rPr>
          <w:rFonts w:ascii="Times New Roman" w:eastAsia="Times New Roman" w:hAnsi="Times New Roman" w:cs="Times New Roman"/>
          <w:sz w:val="24"/>
          <w:szCs w:val="24"/>
          <w:lang w:val="en-ZA"/>
        </w:rPr>
        <w:tab/>
        <w:t xml:space="preserve">     </w:t>
      </w:r>
      <w:r w:rsidRPr="004045AD">
        <w:rPr>
          <w:rFonts w:ascii="Times New Roman" w:eastAsia="Times New Roman" w:hAnsi="Times New Roman" w:cs="Times New Roman"/>
          <w:sz w:val="24"/>
          <w:szCs w:val="24"/>
          <w:lang w:val="en-ZA"/>
        </w:rPr>
        <w:t>(iii</w:t>
      </w:r>
      <w:r w:rsidR="007F7919" w:rsidRPr="004045AD">
        <w:rPr>
          <w:rFonts w:ascii="Times New Roman" w:eastAsia="Times New Roman" w:hAnsi="Times New Roman" w:cs="Times New Roman"/>
          <w:sz w:val="24"/>
          <w:szCs w:val="24"/>
          <w:lang w:val="en-ZA"/>
        </w:rPr>
        <w:t>)  </w:t>
      </w:r>
      <w:r w:rsidR="00792A9C" w:rsidRPr="004045AD">
        <w:rPr>
          <w:rFonts w:ascii="Times New Roman" w:eastAsia="Times New Roman" w:hAnsi="Times New Roman" w:cs="Times New Roman"/>
          <w:sz w:val="24"/>
          <w:szCs w:val="24"/>
          <w:lang w:val="en-ZA"/>
        </w:rPr>
        <w:t xml:space="preserve">  </w:t>
      </w:r>
      <w:r w:rsidR="007F7919" w:rsidRPr="004045AD">
        <w:rPr>
          <w:rFonts w:ascii="Times New Roman" w:eastAsia="Times New Roman" w:hAnsi="Times New Roman" w:cs="Times New Roman"/>
          <w:sz w:val="24"/>
          <w:szCs w:val="24"/>
          <w:lang w:val="en-ZA"/>
        </w:rPr>
        <w:t>Subject to this Act, in the lawful exercise of its functions under this Act the Commission shall not be subject to the direction or control of any other person or authority.”</w:t>
      </w:r>
      <w:r w:rsidR="00BD5414" w:rsidRPr="004045AD">
        <w:rPr>
          <w:rFonts w:ascii="Times New Roman" w:eastAsia="Times New Roman" w:hAnsi="Times New Roman" w:cs="Times New Roman"/>
          <w:sz w:val="24"/>
          <w:szCs w:val="24"/>
          <w:lang w:val="en-ZA"/>
        </w:rPr>
        <w:t xml:space="preserve"> (</w:t>
      </w:r>
      <w:r w:rsidRPr="004045AD">
        <w:rPr>
          <w:rFonts w:ascii="Times New Roman" w:eastAsia="Times New Roman" w:hAnsi="Times New Roman" w:cs="Times New Roman"/>
          <w:sz w:val="24"/>
          <w:szCs w:val="24"/>
          <w:lang w:val="en-ZA"/>
        </w:rPr>
        <w:t>Emphasis</w:t>
      </w:r>
      <w:r w:rsidR="00BD5414" w:rsidRPr="004045AD">
        <w:rPr>
          <w:rFonts w:ascii="Times New Roman" w:eastAsia="Times New Roman" w:hAnsi="Times New Roman" w:cs="Times New Roman"/>
          <w:sz w:val="24"/>
          <w:szCs w:val="24"/>
          <w:lang w:val="en-ZA"/>
        </w:rPr>
        <w:t xml:space="preserve"> added)</w:t>
      </w:r>
    </w:p>
    <w:p w:rsidR="00C95AE9" w:rsidRPr="004045AD" w:rsidRDefault="00C95AE9" w:rsidP="006C7E26">
      <w:pPr>
        <w:tabs>
          <w:tab w:val="left" w:pos="369"/>
        </w:tabs>
        <w:spacing w:after="80" w:line="480" w:lineRule="auto"/>
        <w:ind w:left="369"/>
        <w:jc w:val="both"/>
        <w:rPr>
          <w:rFonts w:ascii="Times New Roman" w:eastAsia="Times New Roman" w:hAnsi="Times New Roman" w:cs="Times New Roman"/>
          <w:sz w:val="24"/>
          <w:szCs w:val="24"/>
          <w:lang w:val="en-ZA"/>
        </w:rPr>
      </w:pPr>
    </w:p>
    <w:p w:rsidR="00854C2A" w:rsidRPr="004045AD" w:rsidRDefault="00C95AE9" w:rsidP="00E26FB0">
      <w:pPr>
        <w:tabs>
          <w:tab w:val="left" w:pos="369"/>
          <w:tab w:val="left" w:pos="3402"/>
        </w:tabs>
        <w:spacing w:after="80" w:line="480" w:lineRule="auto"/>
        <w:ind w:left="567" w:hanging="567"/>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w:t>
      </w:r>
      <w:r w:rsidR="006C7E26" w:rsidRPr="004045AD">
        <w:rPr>
          <w:rFonts w:ascii="Times New Roman" w:eastAsia="Times New Roman" w:hAnsi="Times New Roman" w:cs="Times New Roman"/>
          <w:sz w:val="24"/>
          <w:szCs w:val="24"/>
          <w:lang w:val="en-ZA"/>
        </w:rPr>
        <w:t>26</w:t>
      </w:r>
      <w:r w:rsidRPr="004045AD">
        <w:rPr>
          <w:rFonts w:ascii="Times New Roman" w:eastAsia="Times New Roman" w:hAnsi="Times New Roman" w:cs="Times New Roman"/>
          <w:sz w:val="24"/>
          <w:szCs w:val="24"/>
          <w:lang w:val="en-ZA"/>
        </w:rPr>
        <w:t xml:space="preserve">] </w:t>
      </w:r>
      <w:r w:rsidR="00E67456" w:rsidRPr="004045AD">
        <w:rPr>
          <w:rFonts w:ascii="Times New Roman" w:eastAsia="Times New Roman" w:hAnsi="Times New Roman" w:cs="Times New Roman"/>
          <w:sz w:val="24"/>
          <w:szCs w:val="24"/>
          <w:lang w:val="en-ZA"/>
        </w:rPr>
        <w:t xml:space="preserve"> </w:t>
      </w:r>
      <w:r w:rsidR="004202CA">
        <w:rPr>
          <w:rFonts w:ascii="Times New Roman" w:eastAsia="Times New Roman" w:hAnsi="Times New Roman" w:cs="Times New Roman"/>
          <w:sz w:val="24"/>
          <w:szCs w:val="24"/>
          <w:lang w:val="en-ZA"/>
        </w:rPr>
        <w:t xml:space="preserve"> </w:t>
      </w:r>
      <w:r w:rsidR="00FD13A4" w:rsidRPr="004045AD">
        <w:rPr>
          <w:rFonts w:ascii="Times New Roman" w:eastAsia="Times New Roman" w:hAnsi="Times New Roman" w:cs="Times New Roman"/>
          <w:sz w:val="24"/>
          <w:szCs w:val="24"/>
          <w:lang w:val="en-ZA"/>
        </w:rPr>
        <w:t>A</w:t>
      </w:r>
      <w:r w:rsidR="007F7919" w:rsidRPr="004045AD">
        <w:rPr>
          <w:rFonts w:ascii="Times New Roman" w:eastAsia="Times New Roman" w:hAnsi="Times New Roman" w:cs="Times New Roman"/>
          <w:sz w:val="24"/>
          <w:szCs w:val="24"/>
          <w:lang w:val="en-ZA"/>
        </w:rPr>
        <w:t xml:space="preserve"> reading of the </w:t>
      </w:r>
      <w:r w:rsidR="00FD13A4" w:rsidRPr="004045AD">
        <w:rPr>
          <w:rFonts w:ascii="Times New Roman" w:eastAsia="Times New Roman" w:hAnsi="Times New Roman" w:cs="Times New Roman"/>
          <w:sz w:val="24"/>
          <w:szCs w:val="24"/>
          <w:lang w:val="en-ZA"/>
        </w:rPr>
        <w:t>preamble and s</w:t>
      </w:r>
      <w:r w:rsidR="00BD5414" w:rsidRPr="004045AD">
        <w:rPr>
          <w:rFonts w:ascii="Times New Roman" w:eastAsia="Times New Roman" w:hAnsi="Times New Roman" w:cs="Times New Roman"/>
          <w:sz w:val="24"/>
          <w:szCs w:val="24"/>
          <w:lang w:val="en-ZA"/>
        </w:rPr>
        <w:t xml:space="preserve"> </w:t>
      </w:r>
      <w:r w:rsidR="00FD13A4" w:rsidRPr="004045AD">
        <w:rPr>
          <w:rFonts w:ascii="Times New Roman" w:eastAsia="Times New Roman" w:hAnsi="Times New Roman" w:cs="Times New Roman"/>
          <w:sz w:val="24"/>
          <w:szCs w:val="24"/>
          <w:lang w:val="en-ZA"/>
        </w:rPr>
        <w:t>5</w:t>
      </w:r>
      <w:r w:rsidR="003E3A1B" w:rsidRPr="004045AD">
        <w:rPr>
          <w:rFonts w:ascii="Times New Roman" w:eastAsia="Times New Roman" w:hAnsi="Times New Roman" w:cs="Times New Roman"/>
          <w:sz w:val="24"/>
          <w:szCs w:val="24"/>
          <w:lang w:val="en-ZA"/>
        </w:rPr>
        <w:t xml:space="preserve"> of the Act,</w:t>
      </w:r>
      <w:r w:rsidR="007F7919" w:rsidRPr="004045AD">
        <w:rPr>
          <w:rFonts w:ascii="Times New Roman" w:eastAsia="Times New Roman" w:hAnsi="Times New Roman" w:cs="Times New Roman"/>
          <w:sz w:val="24"/>
          <w:szCs w:val="24"/>
          <w:lang w:val="en-ZA"/>
        </w:rPr>
        <w:t xml:space="preserve"> </w:t>
      </w:r>
      <w:r w:rsidR="00FD13A4" w:rsidRPr="004045AD">
        <w:rPr>
          <w:rFonts w:ascii="Times New Roman" w:eastAsia="Times New Roman" w:hAnsi="Times New Roman" w:cs="Times New Roman"/>
          <w:sz w:val="24"/>
          <w:szCs w:val="24"/>
          <w:lang w:val="en-ZA"/>
        </w:rPr>
        <w:t>establishes</w:t>
      </w:r>
      <w:r w:rsidR="007F7919" w:rsidRPr="004045AD">
        <w:rPr>
          <w:rFonts w:ascii="Times New Roman" w:eastAsia="Times New Roman" w:hAnsi="Times New Roman" w:cs="Times New Roman"/>
          <w:sz w:val="24"/>
          <w:szCs w:val="24"/>
          <w:lang w:val="en-ZA"/>
        </w:rPr>
        <w:t xml:space="preserve"> that the intention of the legislature was to establish</w:t>
      </w:r>
      <w:r w:rsidR="00CC4550" w:rsidRPr="004045AD">
        <w:rPr>
          <w:rFonts w:ascii="Times New Roman" w:eastAsia="Times New Roman" w:hAnsi="Times New Roman" w:cs="Times New Roman"/>
          <w:sz w:val="24"/>
          <w:szCs w:val="24"/>
          <w:lang w:val="en-ZA"/>
        </w:rPr>
        <w:t xml:space="preserve"> a specialised body to regulate competition by companies and firms in Zimbabwe. Further, it was the intention of the legislature to establish a Commission to prevent</w:t>
      </w:r>
      <w:r w:rsidR="00D03C8A" w:rsidRPr="004045AD">
        <w:rPr>
          <w:rFonts w:ascii="Times New Roman" w:eastAsia="Times New Roman" w:hAnsi="Times New Roman" w:cs="Times New Roman"/>
          <w:sz w:val="24"/>
          <w:szCs w:val="24"/>
          <w:lang w:val="en-ZA"/>
        </w:rPr>
        <w:t xml:space="preserve"> and control </w:t>
      </w:r>
      <w:r w:rsidR="00CC4550" w:rsidRPr="004045AD">
        <w:rPr>
          <w:rFonts w:ascii="Times New Roman" w:eastAsia="Times New Roman" w:hAnsi="Times New Roman" w:cs="Times New Roman"/>
          <w:sz w:val="24"/>
          <w:szCs w:val="24"/>
          <w:lang w:val="en-ZA"/>
        </w:rPr>
        <w:t xml:space="preserve">restrictive </w:t>
      </w:r>
      <w:r w:rsidR="00D03C8A" w:rsidRPr="004045AD">
        <w:rPr>
          <w:rFonts w:ascii="Times New Roman" w:eastAsia="Times New Roman" w:hAnsi="Times New Roman" w:cs="Times New Roman"/>
          <w:sz w:val="24"/>
          <w:szCs w:val="24"/>
          <w:lang w:val="en-ZA"/>
        </w:rPr>
        <w:t>practices for example mergers which would monopolize sectors of th</w:t>
      </w:r>
      <w:r w:rsidR="006C7E26" w:rsidRPr="004045AD">
        <w:rPr>
          <w:rFonts w:ascii="Times New Roman" w:eastAsia="Times New Roman" w:hAnsi="Times New Roman" w:cs="Times New Roman"/>
          <w:sz w:val="24"/>
          <w:szCs w:val="24"/>
          <w:lang w:val="en-ZA"/>
        </w:rPr>
        <w:t xml:space="preserve">e economy.  </w:t>
      </w:r>
      <w:r w:rsidR="00854C2A" w:rsidRPr="004045AD">
        <w:rPr>
          <w:rFonts w:ascii="Times New Roman" w:eastAsia="Times New Roman" w:hAnsi="Times New Roman" w:cs="Times New Roman"/>
          <w:sz w:val="24"/>
          <w:szCs w:val="24"/>
          <w:lang w:val="en-ZA"/>
        </w:rPr>
        <w:t>It is therefore</w:t>
      </w:r>
      <w:r w:rsidR="00D03C8A" w:rsidRPr="004045AD">
        <w:rPr>
          <w:rFonts w:ascii="Times New Roman" w:eastAsia="Times New Roman" w:hAnsi="Times New Roman" w:cs="Times New Roman"/>
          <w:sz w:val="24"/>
          <w:szCs w:val="24"/>
          <w:lang w:val="en-ZA"/>
        </w:rPr>
        <w:t xml:space="preserve"> the</w:t>
      </w:r>
      <w:r w:rsidR="00854C2A" w:rsidRPr="004045AD">
        <w:rPr>
          <w:rFonts w:ascii="Times New Roman" w:eastAsia="Times New Roman" w:hAnsi="Times New Roman" w:cs="Times New Roman"/>
          <w:sz w:val="24"/>
          <w:szCs w:val="24"/>
          <w:lang w:val="en-ZA"/>
        </w:rPr>
        <w:t xml:space="preserve"> responsibility of the</w:t>
      </w:r>
      <w:r w:rsidR="00D03C8A" w:rsidRPr="004045AD">
        <w:rPr>
          <w:rFonts w:ascii="Times New Roman" w:eastAsia="Times New Roman" w:hAnsi="Times New Roman" w:cs="Times New Roman"/>
          <w:sz w:val="24"/>
          <w:szCs w:val="24"/>
          <w:lang w:val="en-ZA"/>
        </w:rPr>
        <w:t xml:space="preserve"> </w:t>
      </w:r>
      <w:r w:rsidR="00854C2A" w:rsidRPr="004045AD">
        <w:rPr>
          <w:rFonts w:ascii="Times New Roman" w:eastAsia="Times New Roman" w:hAnsi="Times New Roman" w:cs="Times New Roman"/>
          <w:sz w:val="24"/>
          <w:szCs w:val="24"/>
          <w:lang w:val="en-ZA"/>
        </w:rPr>
        <w:t>appellant</w:t>
      </w:r>
      <w:r w:rsidR="00D03C8A" w:rsidRPr="004045AD">
        <w:rPr>
          <w:rFonts w:ascii="Times New Roman" w:eastAsia="Times New Roman" w:hAnsi="Times New Roman" w:cs="Times New Roman"/>
          <w:sz w:val="24"/>
          <w:szCs w:val="24"/>
          <w:lang w:val="en-ZA"/>
        </w:rPr>
        <w:t xml:space="preserve"> to decide which practices are harmful or not under competition law. </w:t>
      </w:r>
    </w:p>
    <w:p w:rsidR="00286B68" w:rsidRPr="004045AD" w:rsidRDefault="00286B68" w:rsidP="00286B68">
      <w:pPr>
        <w:tabs>
          <w:tab w:val="left" w:pos="369"/>
        </w:tabs>
        <w:spacing w:before="240" w:after="0" w:line="240" w:lineRule="auto"/>
        <w:ind w:left="567" w:hanging="567"/>
        <w:jc w:val="both"/>
        <w:rPr>
          <w:rFonts w:ascii="Times New Roman" w:eastAsia="Times New Roman" w:hAnsi="Times New Roman" w:cs="Times New Roman"/>
          <w:sz w:val="24"/>
          <w:szCs w:val="24"/>
          <w:lang w:val="en-ZA"/>
        </w:rPr>
      </w:pPr>
    </w:p>
    <w:p w:rsidR="00736ADC" w:rsidRPr="004045AD" w:rsidRDefault="00854C2A" w:rsidP="00E26FB0">
      <w:pPr>
        <w:tabs>
          <w:tab w:val="left" w:pos="369"/>
          <w:tab w:val="left" w:pos="567"/>
          <w:tab w:val="left" w:pos="1134"/>
        </w:tabs>
        <w:spacing w:after="80" w:line="480" w:lineRule="auto"/>
        <w:ind w:left="567" w:hanging="567"/>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w:t>
      </w:r>
      <w:r w:rsidR="006C7E26" w:rsidRPr="004045AD">
        <w:rPr>
          <w:rFonts w:ascii="Times New Roman" w:eastAsia="Times New Roman" w:hAnsi="Times New Roman" w:cs="Times New Roman"/>
          <w:sz w:val="24"/>
          <w:szCs w:val="24"/>
          <w:lang w:val="en-ZA"/>
        </w:rPr>
        <w:t>27</w:t>
      </w:r>
      <w:r w:rsidRPr="004045AD">
        <w:rPr>
          <w:rFonts w:ascii="Times New Roman" w:eastAsia="Times New Roman" w:hAnsi="Times New Roman" w:cs="Times New Roman"/>
          <w:sz w:val="24"/>
          <w:szCs w:val="24"/>
          <w:lang w:val="en-ZA"/>
        </w:rPr>
        <w:t xml:space="preserve">] </w:t>
      </w:r>
      <w:r w:rsidR="006C7E26" w:rsidRPr="004045AD">
        <w:rPr>
          <w:rFonts w:ascii="Times New Roman" w:eastAsia="Times New Roman" w:hAnsi="Times New Roman" w:cs="Times New Roman"/>
          <w:sz w:val="24"/>
          <w:szCs w:val="24"/>
          <w:lang w:val="en-ZA"/>
        </w:rPr>
        <w:t xml:space="preserve"> </w:t>
      </w:r>
      <w:r w:rsidR="004202CA">
        <w:rPr>
          <w:rFonts w:ascii="Times New Roman" w:eastAsia="Times New Roman" w:hAnsi="Times New Roman" w:cs="Times New Roman"/>
          <w:sz w:val="24"/>
          <w:szCs w:val="24"/>
          <w:lang w:val="en-ZA"/>
        </w:rPr>
        <w:t xml:space="preserve"> </w:t>
      </w:r>
      <w:r w:rsidR="004C30B5" w:rsidRPr="004045AD">
        <w:rPr>
          <w:rFonts w:ascii="Times New Roman" w:eastAsia="Times New Roman" w:hAnsi="Times New Roman" w:cs="Times New Roman"/>
          <w:sz w:val="24"/>
          <w:szCs w:val="24"/>
          <w:lang w:val="en-ZA"/>
        </w:rPr>
        <w:t xml:space="preserve">In terms of </w:t>
      </w:r>
      <w:r w:rsidR="00A63C60" w:rsidRPr="004045AD">
        <w:rPr>
          <w:rFonts w:ascii="Times New Roman" w:eastAsia="Times New Roman" w:hAnsi="Times New Roman" w:cs="Times New Roman"/>
          <w:sz w:val="24"/>
          <w:szCs w:val="24"/>
          <w:lang w:val="en-ZA"/>
        </w:rPr>
        <w:t>s</w:t>
      </w:r>
      <w:r w:rsidR="006C7E26" w:rsidRPr="004045AD">
        <w:rPr>
          <w:rFonts w:ascii="Times New Roman" w:eastAsia="Times New Roman" w:hAnsi="Times New Roman" w:cs="Times New Roman"/>
          <w:sz w:val="24"/>
          <w:szCs w:val="24"/>
          <w:lang w:val="en-ZA"/>
        </w:rPr>
        <w:t xml:space="preserve"> </w:t>
      </w:r>
      <w:r w:rsidR="004C30B5" w:rsidRPr="004045AD">
        <w:rPr>
          <w:rFonts w:ascii="Times New Roman" w:eastAsia="Times New Roman" w:hAnsi="Times New Roman" w:cs="Times New Roman"/>
          <w:sz w:val="24"/>
          <w:szCs w:val="24"/>
          <w:lang w:val="en-ZA"/>
        </w:rPr>
        <w:t xml:space="preserve">28 of the Act, the </w:t>
      </w:r>
      <w:r w:rsidR="00A63C60" w:rsidRPr="004045AD">
        <w:rPr>
          <w:rFonts w:ascii="Times New Roman" w:eastAsia="Times New Roman" w:hAnsi="Times New Roman" w:cs="Times New Roman"/>
          <w:sz w:val="24"/>
          <w:szCs w:val="24"/>
          <w:lang w:val="en-ZA"/>
        </w:rPr>
        <w:t>appellant</w:t>
      </w:r>
      <w:r w:rsidR="004C30B5" w:rsidRPr="004045AD">
        <w:rPr>
          <w:rFonts w:ascii="Times New Roman" w:eastAsia="Times New Roman" w:hAnsi="Times New Roman" w:cs="Times New Roman"/>
          <w:sz w:val="24"/>
          <w:szCs w:val="24"/>
          <w:lang w:val="en-ZA"/>
        </w:rPr>
        <w:t xml:space="preserve"> has the power to investigate restrictive practices, mergers and monopoly situations. </w:t>
      </w:r>
      <w:r w:rsidR="00E768AA" w:rsidRPr="004045AD">
        <w:rPr>
          <w:rFonts w:ascii="Times New Roman" w:eastAsia="Times New Roman" w:hAnsi="Times New Roman" w:cs="Times New Roman"/>
          <w:sz w:val="24"/>
          <w:szCs w:val="24"/>
          <w:lang w:val="en-ZA"/>
        </w:rPr>
        <w:t xml:space="preserve">Since the </w:t>
      </w:r>
      <w:r w:rsidR="00A63C60" w:rsidRPr="004045AD">
        <w:rPr>
          <w:rFonts w:ascii="Times New Roman" w:eastAsia="Times New Roman" w:hAnsi="Times New Roman" w:cs="Times New Roman"/>
          <w:sz w:val="24"/>
          <w:szCs w:val="24"/>
          <w:lang w:val="en-ZA"/>
        </w:rPr>
        <w:t>appellant</w:t>
      </w:r>
      <w:r w:rsidR="00BD5414" w:rsidRPr="004045AD">
        <w:rPr>
          <w:rFonts w:ascii="Times New Roman" w:eastAsia="Times New Roman" w:hAnsi="Times New Roman" w:cs="Times New Roman"/>
          <w:sz w:val="24"/>
          <w:szCs w:val="24"/>
          <w:lang w:val="en-ZA"/>
        </w:rPr>
        <w:t xml:space="preserve"> is a specialised body which was</w:t>
      </w:r>
      <w:r w:rsidR="00E768AA" w:rsidRPr="004045AD">
        <w:rPr>
          <w:rFonts w:ascii="Times New Roman" w:eastAsia="Times New Roman" w:hAnsi="Times New Roman" w:cs="Times New Roman"/>
          <w:sz w:val="24"/>
          <w:szCs w:val="24"/>
          <w:lang w:val="en-ZA"/>
        </w:rPr>
        <w:t xml:space="preserve"> created to regulate practices which are harmful </w:t>
      </w:r>
      <w:r w:rsidR="000F724B" w:rsidRPr="004045AD">
        <w:rPr>
          <w:rFonts w:ascii="Times New Roman" w:eastAsia="Times New Roman" w:hAnsi="Times New Roman" w:cs="Times New Roman"/>
          <w:sz w:val="24"/>
          <w:szCs w:val="24"/>
          <w:lang w:val="en-ZA"/>
        </w:rPr>
        <w:t>to</w:t>
      </w:r>
      <w:r w:rsidR="00E768AA" w:rsidRPr="004045AD">
        <w:rPr>
          <w:rFonts w:ascii="Times New Roman" w:eastAsia="Times New Roman" w:hAnsi="Times New Roman" w:cs="Times New Roman"/>
          <w:sz w:val="24"/>
          <w:szCs w:val="24"/>
          <w:lang w:val="en-ZA"/>
        </w:rPr>
        <w:t xml:space="preserve"> trade, </w:t>
      </w:r>
      <w:r w:rsidR="00B07CA5">
        <w:rPr>
          <w:rFonts w:ascii="Times New Roman" w:eastAsia="Times New Roman" w:hAnsi="Times New Roman" w:cs="Times New Roman"/>
          <w:sz w:val="24"/>
          <w:szCs w:val="24"/>
          <w:lang w:val="en-ZA"/>
        </w:rPr>
        <w:t>i</w:t>
      </w:r>
      <w:r w:rsidR="00E768AA" w:rsidRPr="004045AD">
        <w:rPr>
          <w:rFonts w:ascii="Times New Roman" w:eastAsia="Times New Roman" w:hAnsi="Times New Roman" w:cs="Times New Roman"/>
          <w:sz w:val="24"/>
          <w:szCs w:val="24"/>
          <w:lang w:val="en-ZA"/>
        </w:rPr>
        <w:t>t</w:t>
      </w:r>
      <w:r w:rsidR="00B07CA5">
        <w:rPr>
          <w:rFonts w:ascii="Times New Roman" w:eastAsia="Times New Roman" w:hAnsi="Times New Roman" w:cs="Times New Roman"/>
          <w:sz w:val="24"/>
          <w:szCs w:val="24"/>
          <w:lang w:val="en-ZA"/>
        </w:rPr>
        <w:t>s</w:t>
      </w:r>
      <w:r w:rsidR="00E768AA" w:rsidRPr="004045AD">
        <w:rPr>
          <w:rFonts w:ascii="Times New Roman" w:eastAsia="Times New Roman" w:hAnsi="Times New Roman" w:cs="Times New Roman"/>
          <w:sz w:val="24"/>
          <w:szCs w:val="24"/>
          <w:lang w:val="en-ZA"/>
        </w:rPr>
        <w:t xml:space="preserve"> decisions </w:t>
      </w:r>
      <w:r w:rsidRPr="004045AD">
        <w:rPr>
          <w:rFonts w:ascii="Times New Roman" w:eastAsia="Times New Roman" w:hAnsi="Times New Roman" w:cs="Times New Roman"/>
          <w:sz w:val="24"/>
          <w:szCs w:val="24"/>
          <w:lang w:val="en-ZA"/>
        </w:rPr>
        <w:t xml:space="preserve">should not be lightly </w:t>
      </w:r>
      <w:r w:rsidR="00736ADC" w:rsidRPr="004045AD">
        <w:rPr>
          <w:rFonts w:ascii="Times New Roman" w:eastAsia="Times New Roman" w:hAnsi="Times New Roman" w:cs="Times New Roman"/>
          <w:sz w:val="24"/>
          <w:szCs w:val="24"/>
          <w:lang w:val="en-ZA"/>
        </w:rPr>
        <w:t>interfered</w:t>
      </w:r>
      <w:r w:rsidR="00A862CB" w:rsidRPr="004045AD">
        <w:rPr>
          <w:rFonts w:ascii="Times New Roman" w:eastAsia="Times New Roman" w:hAnsi="Times New Roman" w:cs="Times New Roman"/>
          <w:sz w:val="24"/>
          <w:szCs w:val="24"/>
          <w:lang w:val="en-ZA"/>
        </w:rPr>
        <w:t xml:space="preserve"> with</w:t>
      </w:r>
      <w:r w:rsidRPr="004045AD">
        <w:rPr>
          <w:rFonts w:ascii="Times New Roman" w:eastAsia="Times New Roman" w:hAnsi="Times New Roman" w:cs="Times New Roman"/>
          <w:sz w:val="24"/>
          <w:szCs w:val="24"/>
          <w:lang w:val="en-ZA"/>
        </w:rPr>
        <w:t xml:space="preserve"> without</w:t>
      </w:r>
      <w:r w:rsidR="0057358F" w:rsidRPr="004045AD">
        <w:rPr>
          <w:rFonts w:ascii="Times New Roman" w:eastAsia="Times New Roman" w:hAnsi="Times New Roman" w:cs="Times New Roman"/>
          <w:sz w:val="24"/>
          <w:szCs w:val="24"/>
          <w:lang w:val="en-ZA"/>
        </w:rPr>
        <w:t xml:space="preserve"> fully</w:t>
      </w:r>
      <w:r w:rsidRPr="004045AD">
        <w:rPr>
          <w:rFonts w:ascii="Times New Roman" w:eastAsia="Times New Roman" w:hAnsi="Times New Roman" w:cs="Times New Roman"/>
          <w:sz w:val="24"/>
          <w:szCs w:val="24"/>
          <w:lang w:val="en-ZA"/>
        </w:rPr>
        <w:t xml:space="preserve"> taking into consideration the law which </w:t>
      </w:r>
      <w:r w:rsidR="00736ADC" w:rsidRPr="004045AD">
        <w:rPr>
          <w:rFonts w:ascii="Times New Roman" w:eastAsia="Times New Roman" w:hAnsi="Times New Roman" w:cs="Times New Roman"/>
          <w:sz w:val="24"/>
          <w:szCs w:val="24"/>
          <w:lang w:val="en-ZA"/>
        </w:rPr>
        <w:t>it has to comply with in determining issues placed before it</w:t>
      </w:r>
      <w:r w:rsidRPr="004045AD">
        <w:rPr>
          <w:rFonts w:ascii="Times New Roman" w:eastAsia="Times New Roman" w:hAnsi="Times New Roman" w:cs="Times New Roman"/>
          <w:sz w:val="24"/>
          <w:szCs w:val="24"/>
          <w:lang w:val="en-ZA"/>
        </w:rPr>
        <w:t xml:space="preserve">. </w:t>
      </w:r>
      <w:r w:rsidR="00E768AA" w:rsidRPr="004045AD">
        <w:rPr>
          <w:rFonts w:ascii="Times New Roman" w:eastAsia="Times New Roman" w:hAnsi="Times New Roman" w:cs="Times New Roman"/>
          <w:sz w:val="24"/>
          <w:szCs w:val="24"/>
          <w:lang w:val="en-ZA"/>
        </w:rPr>
        <w:t xml:space="preserve"> </w:t>
      </w:r>
      <w:r w:rsidR="00736ADC" w:rsidRPr="004045AD">
        <w:rPr>
          <w:rFonts w:ascii="Times New Roman" w:eastAsia="Times New Roman" w:hAnsi="Times New Roman" w:cs="Times New Roman"/>
          <w:sz w:val="24"/>
          <w:szCs w:val="24"/>
          <w:lang w:val="en-ZA"/>
        </w:rPr>
        <w:t>Care must be taken to avoid</w:t>
      </w:r>
      <w:r w:rsidR="000F724B" w:rsidRPr="004045AD">
        <w:rPr>
          <w:rFonts w:ascii="Times New Roman" w:eastAsia="Times New Roman" w:hAnsi="Times New Roman" w:cs="Times New Roman"/>
          <w:sz w:val="24"/>
          <w:szCs w:val="24"/>
          <w:lang w:val="en-ZA"/>
        </w:rPr>
        <w:t xml:space="preserve"> defeat</w:t>
      </w:r>
      <w:r w:rsidR="00736ADC" w:rsidRPr="004045AD">
        <w:rPr>
          <w:rFonts w:ascii="Times New Roman" w:eastAsia="Times New Roman" w:hAnsi="Times New Roman" w:cs="Times New Roman"/>
          <w:sz w:val="24"/>
          <w:szCs w:val="24"/>
          <w:lang w:val="en-ZA"/>
        </w:rPr>
        <w:t>ing</w:t>
      </w:r>
      <w:r w:rsidR="000F724B" w:rsidRPr="004045AD">
        <w:rPr>
          <w:rFonts w:ascii="Times New Roman" w:eastAsia="Times New Roman" w:hAnsi="Times New Roman" w:cs="Times New Roman"/>
          <w:sz w:val="24"/>
          <w:szCs w:val="24"/>
          <w:lang w:val="en-ZA"/>
        </w:rPr>
        <w:t xml:space="preserve"> the</w:t>
      </w:r>
      <w:r w:rsidR="00E768AA" w:rsidRPr="004045AD">
        <w:rPr>
          <w:rFonts w:ascii="Times New Roman" w:eastAsia="Times New Roman" w:hAnsi="Times New Roman" w:cs="Times New Roman"/>
          <w:sz w:val="24"/>
          <w:szCs w:val="24"/>
          <w:lang w:val="en-ZA"/>
        </w:rPr>
        <w:t xml:space="preserve"> reason for </w:t>
      </w:r>
      <w:r w:rsidR="00736ADC" w:rsidRPr="004045AD">
        <w:rPr>
          <w:rFonts w:ascii="Times New Roman" w:eastAsia="Times New Roman" w:hAnsi="Times New Roman" w:cs="Times New Roman"/>
          <w:sz w:val="24"/>
          <w:szCs w:val="24"/>
          <w:lang w:val="en-ZA"/>
        </w:rPr>
        <w:t>i</w:t>
      </w:r>
      <w:r w:rsidR="00E768AA" w:rsidRPr="004045AD">
        <w:rPr>
          <w:rFonts w:ascii="Times New Roman" w:eastAsia="Times New Roman" w:hAnsi="Times New Roman" w:cs="Times New Roman"/>
          <w:sz w:val="24"/>
          <w:szCs w:val="24"/>
          <w:lang w:val="en-ZA"/>
        </w:rPr>
        <w:t>t</w:t>
      </w:r>
      <w:r w:rsidR="00736ADC" w:rsidRPr="004045AD">
        <w:rPr>
          <w:rFonts w:ascii="Times New Roman" w:eastAsia="Times New Roman" w:hAnsi="Times New Roman" w:cs="Times New Roman"/>
          <w:sz w:val="24"/>
          <w:szCs w:val="24"/>
          <w:lang w:val="en-ZA"/>
        </w:rPr>
        <w:t>s</w:t>
      </w:r>
      <w:r w:rsidR="00E768AA" w:rsidRPr="004045AD">
        <w:rPr>
          <w:rFonts w:ascii="Times New Roman" w:eastAsia="Times New Roman" w:hAnsi="Times New Roman" w:cs="Times New Roman"/>
          <w:sz w:val="24"/>
          <w:szCs w:val="24"/>
          <w:lang w:val="en-ZA"/>
        </w:rPr>
        <w:t xml:space="preserve"> creation. </w:t>
      </w:r>
    </w:p>
    <w:p w:rsidR="006C7E26" w:rsidRPr="004045AD" w:rsidRDefault="006C7E26" w:rsidP="006C7E26">
      <w:pPr>
        <w:tabs>
          <w:tab w:val="left" w:pos="369"/>
          <w:tab w:val="left" w:pos="567"/>
        </w:tabs>
        <w:spacing w:after="0" w:line="240" w:lineRule="auto"/>
        <w:ind w:left="567" w:hanging="567"/>
        <w:jc w:val="both"/>
        <w:rPr>
          <w:rFonts w:ascii="Times New Roman" w:eastAsia="Times New Roman" w:hAnsi="Times New Roman" w:cs="Times New Roman"/>
          <w:sz w:val="24"/>
          <w:szCs w:val="24"/>
          <w:lang w:val="en-ZA"/>
        </w:rPr>
      </w:pPr>
    </w:p>
    <w:p w:rsidR="00D03C8A" w:rsidRPr="004045AD" w:rsidRDefault="00736ADC" w:rsidP="006C7E26">
      <w:pPr>
        <w:tabs>
          <w:tab w:val="left" w:pos="369"/>
          <w:tab w:val="left" w:pos="567"/>
        </w:tabs>
        <w:spacing w:after="0" w:line="480" w:lineRule="auto"/>
        <w:ind w:left="567" w:hanging="567"/>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w:t>
      </w:r>
      <w:r w:rsidR="00BD5414" w:rsidRPr="004045AD">
        <w:rPr>
          <w:rFonts w:ascii="Times New Roman" w:eastAsia="Times New Roman" w:hAnsi="Times New Roman" w:cs="Times New Roman"/>
          <w:sz w:val="24"/>
          <w:szCs w:val="24"/>
          <w:lang w:val="en-ZA"/>
        </w:rPr>
        <w:t>2</w:t>
      </w:r>
      <w:r w:rsidR="006C7E26" w:rsidRPr="004045AD">
        <w:rPr>
          <w:rFonts w:ascii="Times New Roman" w:eastAsia="Times New Roman" w:hAnsi="Times New Roman" w:cs="Times New Roman"/>
          <w:sz w:val="24"/>
          <w:szCs w:val="24"/>
          <w:lang w:val="en-ZA"/>
        </w:rPr>
        <w:t>8</w:t>
      </w:r>
      <w:r w:rsidRPr="004045AD">
        <w:rPr>
          <w:rFonts w:ascii="Times New Roman" w:eastAsia="Times New Roman" w:hAnsi="Times New Roman" w:cs="Times New Roman"/>
          <w:sz w:val="24"/>
          <w:szCs w:val="24"/>
          <w:lang w:val="en-ZA"/>
        </w:rPr>
        <w:t xml:space="preserve">] </w:t>
      </w:r>
      <w:r w:rsidR="006C7E26" w:rsidRPr="004045AD">
        <w:rPr>
          <w:rFonts w:ascii="Times New Roman" w:eastAsia="Times New Roman" w:hAnsi="Times New Roman" w:cs="Times New Roman"/>
          <w:sz w:val="24"/>
          <w:szCs w:val="24"/>
          <w:lang w:val="en-ZA"/>
        </w:rPr>
        <w:t xml:space="preserve"> </w:t>
      </w:r>
      <w:r w:rsidR="00E67456" w:rsidRPr="004045AD">
        <w:rPr>
          <w:rFonts w:ascii="Times New Roman" w:eastAsia="Times New Roman" w:hAnsi="Times New Roman" w:cs="Times New Roman"/>
          <w:sz w:val="24"/>
          <w:szCs w:val="24"/>
          <w:lang w:val="en-ZA"/>
        </w:rPr>
        <w:t xml:space="preserve"> </w:t>
      </w:r>
      <w:r w:rsidR="00D03C8A" w:rsidRPr="004045AD">
        <w:rPr>
          <w:rFonts w:ascii="Times New Roman" w:eastAsia="Times New Roman" w:hAnsi="Times New Roman" w:cs="Times New Roman"/>
          <w:sz w:val="24"/>
          <w:szCs w:val="24"/>
          <w:lang w:val="en-ZA"/>
        </w:rPr>
        <w:t xml:space="preserve">In the present case, the court </w:t>
      </w:r>
      <w:r w:rsidR="00D03C8A" w:rsidRPr="004045AD">
        <w:rPr>
          <w:rFonts w:ascii="Times New Roman" w:eastAsia="Times New Roman" w:hAnsi="Times New Roman" w:cs="Times New Roman"/>
          <w:i/>
          <w:sz w:val="24"/>
          <w:szCs w:val="24"/>
          <w:lang w:val="en-ZA"/>
        </w:rPr>
        <w:t>a</w:t>
      </w:r>
      <w:r w:rsidR="00DA650B" w:rsidRPr="004045AD">
        <w:rPr>
          <w:rFonts w:ascii="Times New Roman" w:eastAsia="Times New Roman" w:hAnsi="Times New Roman" w:cs="Times New Roman"/>
          <w:i/>
          <w:sz w:val="24"/>
          <w:szCs w:val="24"/>
          <w:lang w:val="en-ZA"/>
        </w:rPr>
        <w:t xml:space="preserve"> </w:t>
      </w:r>
      <w:r w:rsidR="00D03C8A" w:rsidRPr="004045AD">
        <w:rPr>
          <w:rFonts w:ascii="Times New Roman" w:eastAsia="Times New Roman" w:hAnsi="Times New Roman" w:cs="Times New Roman"/>
          <w:i/>
          <w:sz w:val="24"/>
          <w:szCs w:val="24"/>
          <w:lang w:val="en-ZA"/>
        </w:rPr>
        <w:t>quo</w:t>
      </w:r>
      <w:r w:rsidR="00D03C8A" w:rsidRPr="004045AD">
        <w:rPr>
          <w:rFonts w:ascii="Times New Roman" w:eastAsia="Times New Roman" w:hAnsi="Times New Roman" w:cs="Times New Roman"/>
          <w:sz w:val="24"/>
          <w:szCs w:val="24"/>
          <w:lang w:val="en-ZA"/>
        </w:rPr>
        <w:t xml:space="preserve"> held that the merger of the respondents was not contrary to public policy. </w:t>
      </w:r>
      <w:r w:rsidR="00E26FB0" w:rsidRPr="004045AD">
        <w:rPr>
          <w:rFonts w:ascii="Times New Roman" w:eastAsia="Times New Roman" w:hAnsi="Times New Roman" w:cs="Times New Roman"/>
          <w:sz w:val="24"/>
          <w:szCs w:val="24"/>
          <w:lang w:val="en-ZA"/>
        </w:rPr>
        <w:t xml:space="preserve"> </w:t>
      </w:r>
      <w:r w:rsidR="004C30B5" w:rsidRPr="004045AD">
        <w:rPr>
          <w:rFonts w:ascii="Times New Roman" w:eastAsia="Times New Roman" w:hAnsi="Times New Roman" w:cs="Times New Roman"/>
          <w:sz w:val="24"/>
          <w:szCs w:val="24"/>
          <w:lang w:val="en-ZA"/>
        </w:rPr>
        <w:t xml:space="preserve">In terms of </w:t>
      </w:r>
      <w:r w:rsidRPr="004045AD">
        <w:rPr>
          <w:rFonts w:ascii="Times New Roman" w:eastAsia="Times New Roman" w:hAnsi="Times New Roman" w:cs="Times New Roman"/>
          <w:sz w:val="24"/>
          <w:szCs w:val="24"/>
          <w:lang w:val="en-ZA"/>
        </w:rPr>
        <w:t>s</w:t>
      </w:r>
      <w:r w:rsidR="004C30B5" w:rsidRPr="004045AD">
        <w:rPr>
          <w:rFonts w:ascii="Times New Roman" w:eastAsia="Times New Roman" w:hAnsi="Times New Roman" w:cs="Times New Roman"/>
          <w:sz w:val="24"/>
          <w:szCs w:val="24"/>
          <w:lang w:val="en-ZA"/>
        </w:rPr>
        <w:t xml:space="preserve"> 2 of the Act, a merger is defined as follows:</w:t>
      </w:r>
    </w:p>
    <w:p w:rsidR="004C30B5" w:rsidRPr="004045AD" w:rsidRDefault="004C30B5" w:rsidP="006C7E26">
      <w:pPr>
        <w:pStyle w:val="lrdefinition"/>
        <w:spacing w:line="276" w:lineRule="auto"/>
        <w:ind w:left="1219" w:hanging="85"/>
        <w:rPr>
          <w:sz w:val="24"/>
          <w:szCs w:val="24"/>
        </w:rPr>
      </w:pPr>
      <w:r w:rsidRPr="004045AD">
        <w:rPr>
          <w:sz w:val="24"/>
          <w:szCs w:val="24"/>
        </w:rPr>
        <w:t>“</w:t>
      </w:r>
      <w:r w:rsidR="00E67456" w:rsidRPr="004045AD">
        <w:rPr>
          <w:sz w:val="24"/>
          <w:szCs w:val="24"/>
        </w:rPr>
        <w:t>Merger</w:t>
      </w:r>
      <w:r w:rsidRPr="004045AD">
        <w:rPr>
          <w:sz w:val="24"/>
          <w:szCs w:val="24"/>
        </w:rPr>
        <w:t>” means the direct or indirect acquisition or establishment of a controlling interest by one or more persons in the whole or part of the business of a competitor, supplier, customer or other person whether that controlling interest is achieved as a result of—</w:t>
      </w:r>
    </w:p>
    <w:p w:rsidR="006C7E26" w:rsidRPr="004045AD" w:rsidRDefault="004C30B5" w:rsidP="00E67456">
      <w:pPr>
        <w:pStyle w:val="lrdefinition-a"/>
        <w:numPr>
          <w:ilvl w:val="0"/>
          <w:numId w:val="15"/>
        </w:numPr>
        <w:tabs>
          <w:tab w:val="clear" w:pos="369"/>
          <w:tab w:val="clear" w:pos="794"/>
          <w:tab w:val="clear" w:pos="1276"/>
          <w:tab w:val="clear" w:pos="1701"/>
          <w:tab w:val="left" w:pos="7371"/>
        </w:tabs>
        <w:spacing w:after="0" w:line="240" w:lineRule="auto"/>
        <w:rPr>
          <w:sz w:val="24"/>
          <w:szCs w:val="24"/>
        </w:rPr>
      </w:pPr>
      <w:r w:rsidRPr="004045AD">
        <w:rPr>
          <w:sz w:val="24"/>
          <w:szCs w:val="24"/>
        </w:rPr>
        <w:t xml:space="preserve">the purchase or lease of the shares or assets of a competitor, supplier, </w:t>
      </w:r>
      <w:r w:rsidR="006C7E26" w:rsidRPr="004045AD">
        <w:rPr>
          <w:sz w:val="24"/>
          <w:szCs w:val="24"/>
        </w:rPr>
        <w:t xml:space="preserve"> </w:t>
      </w:r>
    </w:p>
    <w:p w:rsidR="004C30B5" w:rsidRPr="004045AD" w:rsidRDefault="006C7E26" w:rsidP="00E67456">
      <w:pPr>
        <w:pStyle w:val="lrdefinition-a"/>
        <w:tabs>
          <w:tab w:val="clear" w:pos="369"/>
          <w:tab w:val="clear" w:pos="794"/>
          <w:tab w:val="clear" w:pos="1276"/>
          <w:tab w:val="clear" w:pos="1701"/>
          <w:tab w:val="left" w:pos="7371"/>
        </w:tabs>
        <w:spacing w:after="0" w:line="240" w:lineRule="auto"/>
        <w:ind w:left="2048" w:firstLine="0"/>
        <w:rPr>
          <w:sz w:val="24"/>
          <w:szCs w:val="24"/>
        </w:rPr>
      </w:pPr>
      <w:r w:rsidRPr="004045AD">
        <w:rPr>
          <w:sz w:val="24"/>
          <w:szCs w:val="24"/>
        </w:rPr>
        <w:t xml:space="preserve"> </w:t>
      </w:r>
      <w:r w:rsidR="004C30B5" w:rsidRPr="004045AD">
        <w:rPr>
          <w:sz w:val="24"/>
          <w:szCs w:val="24"/>
        </w:rPr>
        <w:t>customer or other person;</w:t>
      </w:r>
    </w:p>
    <w:p w:rsidR="00D90430" w:rsidRPr="004045AD" w:rsidRDefault="00D90430" w:rsidP="00E67456">
      <w:pPr>
        <w:pStyle w:val="lrdefinition-a"/>
        <w:tabs>
          <w:tab w:val="clear" w:pos="369"/>
          <w:tab w:val="clear" w:pos="794"/>
          <w:tab w:val="clear" w:pos="1276"/>
          <w:tab w:val="clear" w:pos="1701"/>
          <w:tab w:val="left" w:pos="7371"/>
        </w:tabs>
        <w:spacing w:after="0" w:line="240" w:lineRule="auto"/>
        <w:ind w:left="2048" w:firstLine="0"/>
        <w:rPr>
          <w:sz w:val="24"/>
          <w:szCs w:val="24"/>
        </w:rPr>
      </w:pPr>
    </w:p>
    <w:p w:rsidR="00D90430" w:rsidRPr="004045AD" w:rsidRDefault="004C30B5" w:rsidP="00E26FB0">
      <w:pPr>
        <w:pStyle w:val="lrdefinition-a"/>
        <w:numPr>
          <w:ilvl w:val="0"/>
          <w:numId w:val="15"/>
        </w:numPr>
        <w:spacing w:after="0" w:line="240" w:lineRule="auto"/>
        <w:rPr>
          <w:sz w:val="24"/>
          <w:szCs w:val="24"/>
        </w:rPr>
      </w:pPr>
      <w:r w:rsidRPr="004045AD">
        <w:rPr>
          <w:sz w:val="24"/>
          <w:szCs w:val="24"/>
        </w:rPr>
        <w:t>the amalgamation or combination with a competitor, supplier, customer or other person; or</w:t>
      </w:r>
    </w:p>
    <w:p w:rsidR="004C30B5" w:rsidRPr="004045AD" w:rsidRDefault="004C30B5" w:rsidP="00E67456">
      <w:pPr>
        <w:pStyle w:val="lrdefinition-a"/>
        <w:spacing w:after="0" w:line="240" w:lineRule="auto"/>
        <w:ind w:left="2070" w:hanging="510"/>
        <w:rPr>
          <w:sz w:val="24"/>
          <w:szCs w:val="24"/>
        </w:rPr>
      </w:pPr>
      <w:r w:rsidRPr="004045AD">
        <w:rPr>
          <w:sz w:val="24"/>
          <w:szCs w:val="24"/>
        </w:rPr>
        <w:lastRenderedPageBreak/>
        <w:tab/>
        <w:t>(c)</w:t>
      </w:r>
      <w:r w:rsidRPr="004045AD">
        <w:rPr>
          <w:sz w:val="24"/>
          <w:szCs w:val="24"/>
        </w:rPr>
        <w:tab/>
        <w:t>any means other than as specified in paragraph (a) or (b);</w:t>
      </w:r>
    </w:p>
    <w:p w:rsidR="004C30B5" w:rsidRPr="004045AD" w:rsidRDefault="004C30B5" w:rsidP="00826863">
      <w:pPr>
        <w:pStyle w:val="lrdefinition-a"/>
        <w:spacing w:line="480" w:lineRule="auto"/>
        <w:rPr>
          <w:sz w:val="24"/>
          <w:szCs w:val="24"/>
        </w:rPr>
      </w:pPr>
    </w:p>
    <w:p w:rsidR="009E481C" w:rsidRPr="004045AD" w:rsidRDefault="00C95AE9" w:rsidP="00826863">
      <w:pPr>
        <w:spacing w:after="0" w:line="480" w:lineRule="auto"/>
        <w:ind w:left="567" w:hanging="567"/>
        <w:jc w:val="both"/>
        <w:rPr>
          <w:rFonts w:ascii="Times New Roman" w:eastAsia="Calibri" w:hAnsi="Times New Roman" w:cs="Times New Roman"/>
          <w:sz w:val="24"/>
          <w:szCs w:val="24"/>
        </w:rPr>
      </w:pPr>
      <w:r w:rsidRPr="004045AD">
        <w:rPr>
          <w:rFonts w:ascii="Times New Roman" w:hAnsi="Times New Roman" w:cs="Times New Roman"/>
          <w:sz w:val="24"/>
          <w:szCs w:val="24"/>
        </w:rPr>
        <w:t>[</w:t>
      </w:r>
      <w:r w:rsidR="009178FF" w:rsidRPr="004045AD">
        <w:rPr>
          <w:rFonts w:ascii="Times New Roman" w:hAnsi="Times New Roman" w:cs="Times New Roman"/>
          <w:sz w:val="24"/>
          <w:szCs w:val="24"/>
        </w:rPr>
        <w:t>2</w:t>
      </w:r>
      <w:r w:rsidR="00826863" w:rsidRPr="004045AD">
        <w:rPr>
          <w:rFonts w:ascii="Times New Roman" w:hAnsi="Times New Roman" w:cs="Times New Roman"/>
          <w:sz w:val="24"/>
          <w:szCs w:val="24"/>
        </w:rPr>
        <w:t>9</w:t>
      </w:r>
      <w:r w:rsidRPr="004045AD">
        <w:rPr>
          <w:rFonts w:ascii="Times New Roman" w:hAnsi="Times New Roman" w:cs="Times New Roman"/>
          <w:sz w:val="24"/>
          <w:szCs w:val="24"/>
        </w:rPr>
        <w:t xml:space="preserve">] </w:t>
      </w:r>
      <w:r w:rsidR="00826863" w:rsidRPr="004045AD">
        <w:rPr>
          <w:rFonts w:ascii="Times New Roman" w:hAnsi="Times New Roman" w:cs="Times New Roman"/>
          <w:sz w:val="24"/>
          <w:szCs w:val="24"/>
        </w:rPr>
        <w:t xml:space="preserve"> </w:t>
      </w:r>
      <w:r w:rsidR="003216BF" w:rsidRPr="004045AD">
        <w:rPr>
          <w:rFonts w:ascii="Times New Roman" w:hAnsi="Times New Roman" w:cs="Times New Roman"/>
          <w:sz w:val="24"/>
          <w:szCs w:val="24"/>
        </w:rPr>
        <w:t xml:space="preserve"> </w:t>
      </w:r>
      <w:r w:rsidR="004C30B5" w:rsidRPr="004045AD">
        <w:rPr>
          <w:rFonts w:ascii="Times New Roman" w:hAnsi="Times New Roman" w:cs="Times New Roman"/>
          <w:sz w:val="24"/>
          <w:szCs w:val="24"/>
        </w:rPr>
        <w:t>It is not</w:t>
      </w:r>
      <w:r w:rsidR="0057358F" w:rsidRPr="004045AD">
        <w:rPr>
          <w:rFonts w:ascii="Times New Roman" w:hAnsi="Times New Roman" w:cs="Times New Roman"/>
          <w:sz w:val="24"/>
          <w:szCs w:val="24"/>
        </w:rPr>
        <w:t xml:space="preserve"> in</w:t>
      </w:r>
      <w:r w:rsidR="004C30B5" w:rsidRPr="004045AD">
        <w:rPr>
          <w:rFonts w:ascii="Times New Roman" w:hAnsi="Times New Roman" w:cs="Times New Roman"/>
          <w:sz w:val="24"/>
          <w:szCs w:val="24"/>
        </w:rPr>
        <w:t xml:space="preserve"> dispute that the r</w:t>
      </w:r>
      <w:r w:rsidR="009E481C" w:rsidRPr="004045AD">
        <w:rPr>
          <w:rFonts w:ascii="Times New Roman" w:hAnsi="Times New Roman" w:cs="Times New Roman"/>
          <w:sz w:val="24"/>
          <w:szCs w:val="24"/>
        </w:rPr>
        <w:t>espondents</w:t>
      </w:r>
      <w:r w:rsidR="00AC5D4F" w:rsidRPr="004045AD">
        <w:rPr>
          <w:rFonts w:ascii="Times New Roman" w:hAnsi="Times New Roman" w:cs="Times New Roman"/>
          <w:sz w:val="24"/>
          <w:szCs w:val="24"/>
        </w:rPr>
        <w:t>,</w:t>
      </w:r>
      <w:r w:rsidR="009E481C" w:rsidRPr="004045AD">
        <w:rPr>
          <w:rFonts w:ascii="Times New Roman" w:hAnsi="Times New Roman" w:cs="Times New Roman"/>
          <w:sz w:val="24"/>
          <w:szCs w:val="24"/>
        </w:rPr>
        <w:t xml:space="preserve"> formed</w:t>
      </w:r>
      <w:r w:rsidR="00AC5D4F" w:rsidRPr="004045AD">
        <w:rPr>
          <w:rFonts w:ascii="Times New Roman" w:hAnsi="Times New Roman" w:cs="Times New Roman"/>
          <w:sz w:val="24"/>
          <w:szCs w:val="24"/>
        </w:rPr>
        <w:t xml:space="preserve"> and consummated </w:t>
      </w:r>
      <w:r w:rsidR="009E481C" w:rsidRPr="004045AD">
        <w:rPr>
          <w:rFonts w:ascii="Times New Roman" w:hAnsi="Times New Roman" w:cs="Times New Roman"/>
          <w:sz w:val="24"/>
          <w:szCs w:val="24"/>
        </w:rPr>
        <w:t xml:space="preserve">a </w:t>
      </w:r>
      <w:r w:rsidR="00826863" w:rsidRPr="004045AD">
        <w:rPr>
          <w:rFonts w:ascii="Times New Roman" w:hAnsi="Times New Roman" w:cs="Times New Roman"/>
          <w:sz w:val="24"/>
          <w:szCs w:val="24"/>
        </w:rPr>
        <w:t>merger</w:t>
      </w:r>
      <w:r w:rsidR="00AC5D4F" w:rsidRPr="004045AD">
        <w:rPr>
          <w:rFonts w:ascii="Times New Roman" w:hAnsi="Times New Roman" w:cs="Times New Roman"/>
          <w:sz w:val="24"/>
          <w:szCs w:val="24"/>
        </w:rPr>
        <w:t xml:space="preserve"> without notifying the appellant</w:t>
      </w:r>
      <w:r w:rsidR="003216BF" w:rsidRPr="004045AD">
        <w:rPr>
          <w:rFonts w:ascii="Times New Roman" w:hAnsi="Times New Roman" w:cs="Times New Roman"/>
          <w:sz w:val="24"/>
          <w:szCs w:val="24"/>
        </w:rPr>
        <w:t xml:space="preserve">.  </w:t>
      </w:r>
      <w:r w:rsidR="009E481C" w:rsidRPr="004045AD">
        <w:rPr>
          <w:rFonts w:ascii="Times New Roman" w:hAnsi="Times New Roman" w:cs="Times New Roman"/>
          <w:sz w:val="24"/>
          <w:szCs w:val="24"/>
        </w:rPr>
        <w:t>How</w:t>
      </w:r>
      <w:r w:rsidR="004C30B5" w:rsidRPr="004045AD">
        <w:rPr>
          <w:rFonts w:ascii="Times New Roman" w:hAnsi="Times New Roman" w:cs="Times New Roman"/>
          <w:sz w:val="24"/>
          <w:szCs w:val="24"/>
        </w:rPr>
        <w:t>ever it is the contention of the appellant that the merger was contrary to</w:t>
      </w:r>
      <w:r w:rsidR="002B0D7E">
        <w:rPr>
          <w:rFonts w:ascii="Times New Roman" w:hAnsi="Times New Roman" w:cs="Times New Roman"/>
          <w:sz w:val="24"/>
          <w:szCs w:val="24"/>
        </w:rPr>
        <w:t xml:space="preserve"> the</w:t>
      </w:r>
      <w:r w:rsidR="004C30B5" w:rsidRPr="004045AD">
        <w:rPr>
          <w:rFonts w:ascii="Times New Roman" w:hAnsi="Times New Roman" w:cs="Times New Roman"/>
          <w:sz w:val="24"/>
          <w:szCs w:val="24"/>
        </w:rPr>
        <w:t xml:space="preserve"> public </w:t>
      </w:r>
      <w:r w:rsidR="00642149" w:rsidRPr="004045AD">
        <w:rPr>
          <w:rFonts w:ascii="Times New Roman" w:hAnsi="Times New Roman" w:cs="Times New Roman"/>
          <w:sz w:val="24"/>
          <w:szCs w:val="24"/>
        </w:rPr>
        <w:t>interest</w:t>
      </w:r>
      <w:r w:rsidR="009178FF" w:rsidRPr="004045AD">
        <w:rPr>
          <w:rFonts w:ascii="Times New Roman" w:hAnsi="Times New Roman" w:cs="Times New Roman"/>
          <w:sz w:val="24"/>
          <w:szCs w:val="24"/>
        </w:rPr>
        <w:t xml:space="preserve"> while the respondents submitted that it is in the public interest</w:t>
      </w:r>
      <w:r w:rsidR="004C30B5" w:rsidRPr="004045AD">
        <w:rPr>
          <w:rFonts w:ascii="Times New Roman" w:hAnsi="Times New Roman" w:cs="Times New Roman"/>
          <w:sz w:val="24"/>
          <w:szCs w:val="24"/>
        </w:rPr>
        <w:t>.</w:t>
      </w:r>
      <w:r w:rsidR="009E481C" w:rsidRPr="004045AD">
        <w:rPr>
          <w:rFonts w:ascii="Times New Roman" w:eastAsia="Calibri" w:hAnsi="Times New Roman" w:cs="Times New Roman"/>
          <w:sz w:val="24"/>
          <w:szCs w:val="24"/>
        </w:rPr>
        <w:t xml:space="preserve"> </w:t>
      </w:r>
      <w:r w:rsidR="00826863" w:rsidRPr="004045AD">
        <w:rPr>
          <w:rFonts w:ascii="Times New Roman" w:eastAsia="Calibri" w:hAnsi="Times New Roman" w:cs="Times New Roman"/>
          <w:sz w:val="24"/>
          <w:szCs w:val="24"/>
        </w:rPr>
        <w:t xml:space="preserve"> </w:t>
      </w:r>
      <w:r w:rsidR="009E481C" w:rsidRPr="004045AD">
        <w:rPr>
          <w:rFonts w:ascii="Times New Roman" w:eastAsia="Calibri" w:hAnsi="Times New Roman" w:cs="Times New Roman"/>
          <w:sz w:val="24"/>
          <w:szCs w:val="24"/>
        </w:rPr>
        <w:t>Section 32 (4) of the Act</w:t>
      </w:r>
      <w:r w:rsidR="009178FF" w:rsidRPr="004045AD">
        <w:rPr>
          <w:rFonts w:ascii="Times New Roman" w:eastAsia="Calibri" w:hAnsi="Times New Roman" w:cs="Times New Roman"/>
          <w:sz w:val="24"/>
          <w:szCs w:val="24"/>
        </w:rPr>
        <w:t xml:space="preserve"> which provides for when the appellant can find a merger to be contrary to</w:t>
      </w:r>
      <w:r w:rsidR="00FB6B8C">
        <w:rPr>
          <w:rFonts w:ascii="Times New Roman" w:eastAsia="Calibri" w:hAnsi="Times New Roman" w:cs="Times New Roman"/>
          <w:sz w:val="24"/>
          <w:szCs w:val="24"/>
        </w:rPr>
        <w:t xml:space="preserve"> the</w:t>
      </w:r>
      <w:r w:rsidR="009178FF" w:rsidRPr="004045AD">
        <w:rPr>
          <w:rFonts w:ascii="Times New Roman" w:eastAsia="Calibri" w:hAnsi="Times New Roman" w:cs="Times New Roman"/>
          <w:sz w:val="24"/>
          <w:szCs w:val="24"/>
        </w:rPr>
        <w:t xml:space="preserve"> public </w:t>
      </w:r>
      <w:r w:rsidR="00DB7636" w:rsidRPr="004045AD">
        <w:rPr>
          <w:rFonts w:ascii="Times New Roman" w:eastAsia="Calibri" w:hAnsi="Times New Roman" w:cs="Times New Roman"/>
          <w:sz w:val="24"/>
          <w:szCs w:val="24"/>
        </w:rPr>
        <w:t>interest</w:t>
      </w:r>
      <w:r w:rsidR="009178FF" w:rsidRPr="004045AD">
        <w:rPr>
          <w:rFonts w:ascii="Times New Roman" w:eastAsia="Calibri" w:hAnsi="Times New Roman" w:cs="Times New Roman"/>
          <w:sz w:val="24"/>
          <w:szCs w:val="24"/>
        </w:rPr>
        <w:t xml:space="preserve"> reads</w:t>
      </w:r>
      <w:r w:rsidR="009E481C" w:rsidRPr="004045AD">
        <w:rPr>
          <w:rFonts w:ascii="Times New Roman" w:eastAsia="Calibri" w:hAnsi="Times New Roman" w:cs="Times New Roman"/>
          <w:sz w:val="24"/>
          <w:szCs w:val="24"/>
        </w:rPr>
        <w:t xml:space="preserve"> as follows:</w:t>
      </w:r>
    </w:p>
    <w:p w:rsidR="009E481C" w:rsidRPr="004045AD" w:rsidRDefault="009E481C" w:rsidP="003216BF">
      <w:pPr>
        <w:tabs>
          <w:tab w:val="left" w:pos="369"/>
        </w:tabs>
        <w:spacing w:after="0" w:line="240" w:lineRule="auto"/>
        <w:ind w:left="1701" w:hanging="567"/>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 xml:space="preserve">“(4)  For the purposes of section </w:t>
      </w:r>
      <w:r w:rsidRPr="004045AD">
        <w:rPr>
          <w:rFonts w:ascii="Times New Roman" w:eastAsia="Times New Roman" w:hAnsi="Times New Roman" w:cs="Times New Roman"/>
          <w:i/>
          <w:sz w:val="24"/>
          <w:szCs w:val="24"/>
          <w:lang w:val="en-ZA"/>
        </w:rPr>
        <w:t>thirty-one</w:t>
      </w:r>
      <w:r w:rsidRPr="004045AD">
        <w:rPr>
          <w:rFonts w:ascii="Times New Roman" w:eastAsia="Times New Roman" w:hAnsi="Times New Roman" w:cs="Times New Roman"/>
          <w:sz w:val="24"/>
          <w:szCs w:val="24"/>
          <w:lang w:val="en-ZA"/>
        </w:rPr>
        <w:t>, the Commission shall regard a merger as contrary to the public interest if the Commission is satisfied that the merger—</w:t>
      </w:r>
    </w:p>
    <w:p w:rsidR="003216BF" w:rsidRPr="004045AD" w:rsidRDefault="003216BF" w:rsidP="003216BF">
      <w:pPr>
        <w:tabs>
          <w:tab w:val="left" w:pos="369"/>
        </w:tabs>
        <w:spacing w:after="0" w:line="240" w:lineRule="auto"/>
        <w:ind w:left="1701" w:hanging="567"/>
        <w:jc w:val="both"/>
        <w:rPr>
          <w:rFonts w:ascii="Times New Roman" w:eastAsia="Times New Roman" w:hAnsi="Times New Roman" w:cs="Times New Roman"/>
          <w:sz w:val="24"/>
          <w:szCs w:val="24"/>
          <w:lang w:val="en-ZA"/>
        </w:rPr>
      </w:pPr>
    </w:p>
    <w:p w:rsidR="009E481C" w:rsidRPr="004045AD" w:rsidRDefault="009E481C" w:rsidP="003216BF">
      <w:pPr>
        <w:pStyle w:val="ListParagraph"/>
        <w:numPr>
          <w:ilvl w:val="0"/>
          <w:numId w:val="17"/>
        </w:numPr>
        <w:tabs>
          <w:tab w:val="right" w:pos="680"/>
          <w:tab w:val="left" w:pos="822"/>
          <w:tab w:val="left" w:pos="1276"/>
        </w:tabs>
        <w:spacing w:after="0" w:line="240" w:lineRule="auto"/>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has lessened substantially or is likely to lessen substantially the degree of competition in Zimbabwe or any substantial part of Zimbabwe; or</w:t>
      </w:r>
    </w:p>
    <w:p w:rsidR="003216BF" w:rsidRPr="004045AD" w:rsidRDefault="003216BF" w:rsidP="003216BF">
      <w:pPr>
        <w:pStyle w:val="ListParagraph"/>
        <w:tabs>
          <w:tab w:val="right" w:pos="680"/>
          <w:tab w:val="left" w:pos="822"/>
          <w:tab w:val="left" w:pos="1276"/>
        </w:tabs>
        <w:spacing w:after="0" w:line="240" w:lineRule="auto"/>
        <w:ind w:left="2258"/>
        <w:jc w:val="both"/>
        <w:rPr>
          <w:rFonts w:ascii="Times New Roman" w:eastAsia="Times New Roman" w:hAnsi="Times New Roman" w:cs="Times New Roman"/>
          <w:sz w:val="24"/>
          <w:szCs w:val="24"/>
          <w:lang w:val="en-ZA"/>
        </w:rPr>
      </w:pPr>
    </w:p>
    <w:p w:rsidR="009E481C" w:rsidRPr="004045AD" w:rsidRDefault="009E481C" w:rsidP="003216BF">
      <w:pPr>
        <w:pStyle w:val="lrdefinition-a"/>
        <w:spacing w:after="0" w:line="240" w:lineRule="auto"/>
        <w:ind w:left="2268" w:hanging="425"/>
        <w:rPr>
          <w:rFonts w:eastAsiaTheme="minorHAnsi"/>
          <w:sz w:val="24"/>
          <w:szCs w:val="24"/>
          <w:lang w:val="en-US"/>
        </w:rPr>
      </w:pPr>
      <w:r w:rsidRPr="004045AD">
        <w:rPr>
          <w:rFonts w:eastAsiaTheme="minorHAnsi"/>
          <w:sz w:val="24"/>
          <w:szCs w:val="24"/>
          <w:lang w:val="en-US"/>
        </w:rPr>
        <w:t>(b)</w:t>
      </w:r>
      <w:r w:rsidRPr="004045AD">
        <w:rPr>
          <w:rFonts w:eastAsiaTheme="minorHAnsi"/>
          <w:sz w:val="24"/>
          <w:szCs w:val="24"/>
          <w:lang w:val="en-US"/>
        </w:rPr>
        <w:tab/>
        <w:t>has resulted or is likely to result in a monopoly situation which is or will be contrary to the public interest.”</w:t>
      </w:r>
    </w:p>
    <w:p w:rsidR="00655E40" w:rsidRPr="004045AD" w:rsidRDefault="00655E40" w:rsidP="00025E62">
      <w:pPr>
        <w:pStyle w:val="lrdefinition-a"/>
        <w:spacing w:line="276" w:lineRule="auto"/>
        <w:ind w:left="1440" w:firstLine="0"/>
        <w:rPr>
          <w:rFonts w:eastAsiaTheme="minorHAnsi"/>
          <w:sz w:val="24"/>
          <w:szCs w:val="24"/>
          <w:lang w:val="en-US"/>
        </w:rPr>
      </w:pPr>
    </w:p>
    <w:p w:rsidR="00025E62" w:rsidRPr="004045AD" w:rsidRDefault="00826863" w:rsidP="00E26FB0">
      <w:pPr>
        <w:pStyle w:val="lrdefinition-a"/>
        <w:tabs>
          <w:tab w:val="left" w:pos="567"/>
        </w:tabs>
        <w:spacing w:line="480" w:lineRule="auto"/>
        <w:ind w:left="567" w:hanging="567"/>
        <w:rPr>
          <w:rFonts w:eastAsiaTheme="minorHAnsi"/>
          <w:sz w:val="24"/>
          <w:szCs w:val="24"/>
          <w:lang w:val="en-US"/>
        </w:rPr>
      </w:pPr>
      <w:r w:rsidRPr="004045AD">
        <w:rPr>
          <w:rFonts w:eastAsiaTheme="minorHAnsi"/>
          <w:sz w:val="24"/>
          <w:szCs w:val="24"/>
          <w:lang w:val="en-US"/>
        </w:rPr>
        <w:t xml:space="preserve">[30] </w:t>
      </w:r>
      <w:r w:rsidR="00E26FB0" w:rsidRPr="004045AD">
        <w:rPr>
          <w:rFonts w:eastAsiaTheme="minorHAnsi"/>
          <w:sz w:val="24"/>
          <w:szCs w:val="24"/>
          <w:lang w:val="en-US"/>
        </w:rPr>
        <w:t xml:space="preserve"> </w:t>
      </w:r>
      <w:r w:rsidR="004202CA">
        <w:rPr>
          <w:rFonts w:eastAsiaTheme="minorHAnsi"/>
          <w:sz w:val="24"/>
          <w:szCs w:val="24"/>
          <w:lang w:val="en-US"/>
        </w:rPr>
        <w:t xml:space="preserve"> </w:t>
      </w:r>
      <w:r w:rsidR="00025E62" w:rsidRPr="004045AD">
        <w:rPr>
          <w:rFonts w:eastAsiaTheme="minorHAnsi"/>
          <w:sz w:val="24"/>
          <w:szCs w:val="24"/>
          <w:lang w:val="en-US"/>
        </w:rPr>
        <w:t>The use of the words “is likely to lessen substantially the degree of competition” in s 32 (4) (a) and “is likely</w:t>
      </w:r>
      <w:r w:rsidR="00655E40" w:rsidRPr="004045AD">
        <w:rPr>
          <w:rFonts w:eastAsiaTheme="minorHAnsi"/>
          <w:sz w:val="24"/>
          <w:szCs w:val="24"/>
          <w:lang w:val="en-US"/>
        </w:rPr>
        <w:t xml:space="preserve"> to result in a monopoly situation which is or will be contrary to</w:t>
      </w:r>
      <w:r w:rsidR="00F037E6">
        <w:rPr>
          <w:rFonts w:eastAsiaTheme="minorHAnsi"/>
          <w:sz w:val="24"/>
          <w:szCs w:val="24"/>
          <w:lang w:val="en-US"/>
        </w:rPr>
        <w:t xml:space="preserve"> the</w:t>
      </w:r>
      <w:r w:rsidR="00655E40" w:rsidRPr="004045AD">
        <w:rPr>
          <w:rFonts w:eastAsiaTheme="minorHAnsi"/>
          <w:sz w:val="24"/>
          <w:szCs w:val="24"/>
          <w:lang w:val="en-US"/>
        </w:rPr>
        <w:t xml:space="preserve"> public interest” in s 32 (4) (b) indicates that the Commission should not only look into the current effects</w:t>
      </w:r>
      <w:r w:rsidR="00A83C05" w:rsidRPr="004045AD">
        <w:rPr>
          <w:rFonts w:eastAsiaTheme="minorHAnsi"/>
          <w:sz w:val="24"/>
          <w:szCs w:val="24"/>
          <w:lang w:val="en-US"/>
        </w:rPr>
        <w:t xml:space="preserve"> of the merger or those of the near future. </w:t>
      </w:r>
      <w:r w:rsidRPr="004045AD">
        <w:rPr>
          <w:rFonts w:eastAsiaTheme="minorHAnsi"/>
          <w:sz w:val="24"/>
          <w:szCs w:val="24"/>
          <w:lang w:val="en-US"/>
        </w:rPr>
        <w:t xml:space="preserve"> </w:t>
      </w:r>
      <w:r w:rsidR="00A83C05" w:rsidRPr="004045AD">
        <w:rPr>
          <w:rFonts w:eastAsiaTheme="minorHAnsi"/>
          <w:sz w:val="24"/>
          <w:szCs w:val="24"/>
          <w:lang w:val="en-US"/>
        </w:rPr>
        <w:t>It should consider these and also look into the likely effects of the merger in the long</w:t>
      </w:r>
      <w:r w:rsidR="00847FCC" w:rsidRPr="004045AD">
        <w:rPr>
          <w:rFonts w:eastAsiaTheme="minorHAnsi"/>
          <w:sz w:val="24"/>
          <w:szCs w:val="24"/>
          <w:lang w:val="en-US"/>
        </w:rPr>
        <w:t>-</w:t>
      </w:r>
      <w:r w:rsidR="00A83C05" w:rsidRPr="004045AD">
        <w:rPr>
          <w:rFonts w:eastAsiaTheme="minorHAnsi"/>
          <w:sz w:val="24"/>
          <w:szCs w:val="24"/>
          <w:lang w:val="en-US"/>
        </w:rPr>
        <w:t xml:space="preserve">term. </w:t>
      </w:r>
      <w:r w:rsidRPr="004045AD">
        <w:rPr>
          <w:rFonts w:eastAsiaTheme="minorHAnsi"/>
          <w:sz w:val="24"/>
          <w:szCs w:val="24"/>
          <w:lang w:val="en-US"/>
        </w:rPr>
        <w:t xml:space="preserve"> </w:t>
      </w:r>
      <w:r w:rsidR="00A83C05" w:rsidRPr="004045AD">
        <w:rPr>
          <w:rFonts w:eastAsiaTheme="minorHAnsi"/>
          <w:sz w:val="24"/>
          <w:szCs w:val="24"/>
          <w:lang w:val="en-US"/>
        </w:rPr>
        <w:t>It should not adopt a simplistic approach to the assessment of the long</w:t>
      </w:r>
      <w:r w:rsidR="00D36BC9" w:rsidRPr="004045AD">
        <w:rPr>
          <w:rFonts w:eastAsiaTheme="minorHAnsi"/>
          <w:sz w:val="24"/>
          <w:szCs w:val="24"/>
          <w:lang w:val="en-US"/>
        </w:rPr>
        <w:t>-</w:t>
      </w:r>
      <w:r w:rsidR="00A83C05" w:rsidRPr="004045AD">
        <w:rPr>
          <w:rFonts w:eastAsiaTheme="minorHAnsi"/>
          <w:sz w:val="24"/>
          <w:szCs w:val="24"/>
          <w:lang w:val="en-US"/>
        </w:rPr>
        <w:t>term effects of a merger</w:t>
      </w:r>
      <w:r w:rsidR="00E31E6C" w:rsidRPr="004045AD">
        <w:rPr>
          <w:rFonts w:eastAsiaTheme="minorHAnsi"/>
          <w:sz w:val="24"/>
          <w:szCs w:val="24"/>
          <w:lang w:val="en-US"/>
        </w:rPr>
        <w:t xml:space="preserve"> but should be guided by the reasonable likelihood of such events </w:t>
      </w:r>
      <w:r w:rsidR="00D91A20" w:rsidRPr="004045AD">
        <w:rPr>
          <w:rFonts w:eastAsiaTheme="minorHAnsi"/>
          <w:sz w:val="24"/>
          <w:szCs w:val="24"/>
          <w:lang w:val="en-US"/>
        </w:rPr>
        <w:t>occurring</w:t>
      </w:r>
      <w:r w:rsidR="00A83C05" w:rsidRPr="004045AD">
        <w:rPr>
          <w:rFonts w:eastAsiaTheme="minorHAnsi"/>
          <w:sz w:val="24"/>
          <w:szCs w:val="24"/>
          <w:lang w:val="en-US"/>
        </w:rPr>
        <w:t>.</w:t>
      </w:r>
    </w:p>
    <w:p w:rsidR="00C95AE9" w:rsidRPr="004045AD" w:rsidRDefault="00C95AE9" w:rsidP="003216BF">
      <w:pPr>
        <w:pStyle w:val="lrdefinition-a"/>
        <w:spacing w:after="0" w:line="240" w:lineRule="auto"/>
        <w:ind w:left="369" w:firstLine="0"/>
        <w:rPr>
          <w:rFonts w:eastAsiaTheme="minorHAnsi"/>
          <w:sz w:val="24"/>
          <w:szCs w:val="24"/>
          <w:lang w:val="en-US"/>
        </w:rPr>
      </w:pPr>
    </w:p>
    <w:p w:rsidR="00885C2F" w:rsidRPr="004045AD" w:rsidRDefault="00C95AE9" w:rsidP="007E358A">
      <w:pPr>
        <w:pStyle w:val="lrdefinition-a"/>
        <w:tabs>
          <w:tab w:val="left" w:pos="567"/>
        </w:tabs>
        <w:spacing w:after="0" w:line="480" w:lineRule="auto"/>
        <w:ind w:left="567" w:hanging="567"/>
        <w:rPr>
          <w:rFonts w:eastAsiaTheme="minorHAnsi"/>
          <w:sz w:val="24"/>
          <w:szCs w:val="24"/>
          <w:lang w:val="en-US"/>
        </w:rPr>
      </w:pPr>
      <w:r w:rsidRPr="004045AD">
        <w:rPr>
          <w:rFonts w:eastAsiaTheme="minorHAnsi"/>
          <w:sz w:val="24"/>
          <w:szCs w:val="24"/>
          <w:lang w:val="en-US"/>
        </w:rPr>
        <w:t>[</w:t>
      </w:r>
      <w:r w:rsidR="00826863" w:rsidRPr="004045AD">
        <w:rPr>
          <w:rFonts w:eastAsiaTheme="minorHAnsi"/>
          <w:sz w:val="24"/>
          <w:szCs w:val="24"/>
          <w:lang w:val="en-US"/>
        </w:rPr>
        <w:t>31</w:t>
      </w:r>
      <w:r w:rsidRPr="004045AD">
        <w:rPr>
          <w:rFonts w:eastAsiaTheme="minorHAnsi"/>
          <w:sz w:val="24"/>
          <w:szCs w:val="24"/>
          <w:lang w:val="en-US"/>
        </w:rPr>
        <w:t xml:space="preserve">] </w:t>
      </w:r>
      <w:r w:rsidR="00826863" w:rsidRPr="004045AD">
        <w:rPr>
          <w:rFonts w:eastAsiaTheme="minorHAnsi"/>
          <w:sz w:val="24"/>
          <w:szCs w:val="24"/>
          <w:lang w:val="en-US"/>
        </w:rPr>
        <w:t xml:space="preserve"> </w:t>
      </w:r>
      <w:r w:rsidR="00840F07" w:rsidRPr="004045AD">
        <w:rPr>
          <w:rFonts w:eastAsiaTheme="minorHAnsi"/>
          <w:sz w:val="24"/>
          <w:szCs w:val="24"/>
          <w:lang w:val="en-US"/>
        </w:rPr>
        <w:t xml:space="preserve"> </w:t>
      </w:r>
      <w:r w:rsidR="00D302E3" w:rsidRPr="004045AD">
        <w:rPr>
          <w:rFonts w:eastAsiaTheme="minorHAnsi"/>
          <w:sz w:val="24"/>
          <w:szCs w:val="24"/>
          <w:lang w:val="en-US"/>
        </w:rPr>
        <w:t>In view of the provisions of s 32 (4)</w:t>
      </w:r>
      <w:r w:rsidR="009E481C" w:rsidRPr="004045AD">
        <w:rPr>
          <w:rFonts w:eastAsiaTheme="minorHAnsi"/>
          <w:sz w:val="24"/>
          <w:szCs w:val="24"/>
          <w:lang w:val="en-US"/>
        </w:rPr>
        <w:t xml:space="preserve"> the </w:t>
      </w:r>
      <w:r w:rsidR="00D302E3" w:rsidRPr="004045AD">
        <w:rPr>
          <w:rFonts w:eastAsiaTheme="minorHAnsi"/>
          <w:sz w:val="24"/>
          <w:szCs w:val="24"/>
          <w:lang w:val="en-US"/>
        </w:rPr>
        <w:t>appellant</w:t>
      </w:r>
      <w:r w:rsidR="009E481C" w:rsidRPr="004045AD">
        <w:rPr>
          <w:rFonts w:eastAsiaTheme="minorHAnsi"/>
          <w:sz w:val="24"/>
          <w:szCs w:val="24"/>
          <w:lang w:val="en-US"/>
        </w:rPr>
        <w:t xml:space="preserve"> made investigations and was satisfied that the merger is likely to lessen substantially the degree of </w:t>
      </w:r>
      <w:r w:rsidR="00147A48" w:rsidRPr="004045AD">
        <w:rPr>
          <w:rFonts w:eastAsiaTheme="minorHAnsi"/>
          <w:sz w:val="24"/>
          <w:szCs w:val="24"/>
          <w:lang w:val="en-US"/>
        </w:rPr>
        <w:t>competition and that the merger</w:t>
      </w:r>
      <w:r w:rsidR="009E481C" w:rsidRPr="004045AD">
        <w:rPr>
          <w:rFonts w:eastAsiaTheme="minorHAnsi"/>
          <w:sz w:val="24"/>
          <w:szCs w:val="24"/>
          <w:lang w:val="en-US"/>
        </w:rPr>
        <w:t xml:space="preserve"> is</w:t>
      </w:r>
      <w:r w:rsidR="00CC30AD" w:rsidRPr="004045AD">
        <w:rPr>
          <w:rFonts w:eastAsiaTheme="minorHAnsi"/>
          <w:sz w:val="24"/>
          <w:szCs w:val="24"/>
          <w:lang w:val="en-US"/>
        </w:rPr>
        <w:t xml:space="preserve"> also</w:t>
      </w:r>
      <w:r w:rsidR="009E481C" w:rsidRPr="004045AD">
        <w:rPr>
          <w:rFonts w:eastAsiaTheme="minorHAnsi"/>
          <w:sz w:val="24"/>
          <w:szCs w:val="24"/>
          <w:lang w:val="en-US"/>
        </w:rPr>
        <w:t xml:space="preserve"> likely to result in a monopoly </w:t>
      </w:r>
      <w:r w:rsidR="003050C2" w:rsidRPr="004045AD">
        <w:rPr>
          <w:rFonts w:eastAsiaTheme="minorHAnsi"/>
          <w:sz w:val="24"/>
          <w:szCs w:val="24"/>
          <w:lang w:val="en-US"/>
        </w:rPr>
        <w:t>situation which is c</w:t>
      </w:r>
      <w:r w:rsidR="00826863" w:rsidRPr="004045AD">
        <w:rPr>
          <w:rFonts w:eastAsiaTheme="minorHAnsi"/>
          <w:sz w:val="24"/>
          <w:szCs w:val="24"/>
          <w:lang w:val="en-US"/>
        </w:rPr>
        <w:t xml:space="preserve">ontrary to the public interest.  </w:t>
      </w:r>
      <w:r w:rsidR="00DB7636" w:rsidRPr="004045AD">
        <w:rPr>
          <w:rFonts w:eastAsiaTheme="minorHAnsi"/>
          <w:sz w:val="24"/>
          <w:szCs w:val="24"/>
          <w:lang w:val="en-US"/>
        </w:rPr>
        <w:t>It gave detail</w:t>
      </w:r>
      <w:r w:rsidR="00CB7B38" w:rsidRPr="004045AD">
        <w:rPr>
          <w:rFonts w:eastAsiaTheme="minorHAnsi"/>
          <w:sz w:val="24"/>
          <w:szCs w:val="24"/>
          <w:lang w:val="en-US"/>
        </w:rPr>
        <w:t>ed</w:t>
      </w:r>
      <w:r w:rsidR="00DB7636" w:rsidRPr="004045AD">
        <w:rPr>
          <w:rFonts w:eastAsiaTheme="minorHAnsi"/>
          <w:sz w:val="24"/>
          <w:szCs w:val="24"/>
          <w:lang w:val="en-US"/>
        </w:rPr>
        <w:t xml:space="preserve"> reasons for its findi</w:t>
      </w:r>
      <w:r w:rsidR="00F61CCF" w:rsidRPr="004045AD">
        <w:rPr>
          <w:rFonts w:eastAsiaTheme="minorHAnsi"/>
          <w:sz w:val="24"/>
          <w:szCs w:val="24"/>
          <w:lang w:val="en-US"/>
        </w:rPr>
        <w:t xml:space="preserve">ngs to the respondents in its final determination after receiving </w:t>
      </w:r>
      <w:r w:rsidR="00F61CCF" w:rsidRPr="004045AD">
        <w:rPr>
          <w:rFonts w:eastAsiaTheme="minorHAnsi"/>
          <w:sz w:val="24"/>
          <w:szCs w:val="24"/>
          <w:lang w:val="en-US"/>
        </w:rPr>
        <w:lastRenderedPageBreak/>
        <w:t>the respondents</w:t>
      </w:r>
      <w:r w:rsidR="00127419" w:rsidRPr="004045AD">
        <w:rPr>
          <w:rFonts w:eastAsiaTheme="minorHAnsi"/>
          <w:sz w:val="24"/>
          <w:szCs w:val="24"/>
          <w:lang w:val="en-US"/>
        </w:rPr>
        <w:t>’</w:t>
      </w:r>
      <w:r w:rsidR="00F61CCF" w:rsidRPr="004045AD">
        <w:rPr>
          <w:rFonts w:eastAsiaTheme="minorHAnsi"/>
          <w:sz w:val="24"/>
          <w:szCs w:val="24"/>
          <w:lang w:val="en-US"/>
        </w:rPr>
        <w:t xml:space="preserve"> submissions on why it should not act as specified in its notice,</w:t>
      </w:r>
      <w:r w:rsidR="00CB7B38" w:rsidRPr="004045AD">
        <w:rPr>
          <w:rFonts w:eastAsiaTheme="minorHAnsi"/>
          <w:sz w:val="24"/>
          <w:szCs w:val="24"/>
          <w:lang w:val="en-US"/>
        </w:rPr>
        <w:t xml:space="preserve"> issued in terms of s</w:t>
      </w:r>
      <w:r w:rsidR="00AF2C27" w:rsidRPr="004045AD">
        <w:rPr>
          <w:rFonts w:eastAsiaTheme="minorHAnsi"/>
          <w:sz w:val="24"/>
          <w:szCs w:val="24"/>
          <w:lang w:val="en-US"/>
        </w:rPr>
        <w:t xml:space="preserve"> </w:t>
      </w:r>
      <w:r w:rsidR="00CF407C" w:rsidRPr="004045AD">
        <w:rPr>
          <w:rFonts w:eastAsiaTheme="minorHAnsi"/>
          <w:sz w:val="24"/>
          <w:szCs w:val="24"/>
          <w:lang w:val="en-US"/>
        </w:rPr>
        <w:t>3</w:t>
      </w:r>
      <w:r w:rsidR="00CB7B38" w:rsidRPr="004045AD">
        <w:rPr>
          <w:rFonts w:eastAsiaTheme="minorHAnsi"/>
          <w:sz w:val="24"/>
          <w:szCs w:val="24"/>
          <w:lang w:val="en-US"/>
        </w:rPr>
        <w:t>1 (5) of the Act which provides as follow</w:t>
      </w:r>
      <w:r w:rsidR="00840F07" w:rsidRPr="004045AD">
        <w:rPr>
          <w:rFonts w:eastAsiaTheme="minorHAnsi"/>
          <w:sz w:val="24"/>
          <w:szCs w:val="24"/>
          <w:lang w:val="en-US"/>
        </w:rPr>
        <w:t>s</w:t>
      </w:r>
      <w:r w:rsidR="00CB7B38" w:rsidRPr="004045AD">
        <w:rPr>
          <w:rFonts w:eastAsiaTheme="minorHAnsi"/>
          <w:sz w:val="24"/>
          <w:szCs w:val="24"/>
          <w:lang w:val="en-US"/>
        </w:rPr>
        <w:t>:</w:t>
      </w:r>
    </w:p>
    <w:p w:rsidR="00826863" w:rsidRPr="004045AD" w:rsidRDefault="00AF64DC" w:rsidP="00C84230">
      <w:pPr>
        <w:pStyle w:val="ListParagraph"/>
        <w:autoSpaceDE w:val="0"/>
        <w:autoSpaceDN w:val="0"/>
        <w:adjustRightInd w:val="0"/>
        <w:spacing w:after="0" w:line="240" w:lineRule="auto"/>
        <w:ind w:left="1134"/>
        <w:jc w:val="both"/>
        <w:rPr>
          <w:rFonts w:ascii="Times New Roman" w:hAnsi="Times New Roman" w:cs="Times New Roman"/>
          <w:color w:val="000000"/>
          <w:sz w:val="24"/>
          <w:szCs w:val="24"/>
          <w:lang w:val="en-ZW"/>
        </w:rPr>
      </w:pPr>
      <w:r w:rsidRPr="004045AD">
        <w:rPr>
          <w:rFonts w:ascii="Times New Roman" w:hAnsi="Times New Roman" w:cs="Times New Roman"/>
          <w:color w:val="000000"/>
          <w:sz w:val="24"/>
          <w:szCs w:val="24"/>
          <w:lang w:val="en-ZW"/>
        </w:rPr>
        <w:t>“Before making an order under this section, the Commission shall ensure that every person affected thereby is informed of the broad terms of the order it proposes to make and is given an adequate opportunity to make representations in the matter:</w:t>
      </w:r>
    </w:p>
    <w:p w:rsidR="00AF64DC" w:rsidRPr="004045AD" w:rsidRDefault="00AF64DC" w:rsidP="00C84230">
      <w:pPr>
        <w:pStyle w:val="ListParagraph"/>
        <w:autoSpaceDE w:val="0"/>
        <w:autoSpaceDN w:val="0"/>
        <w:adjustRightInd w:val="0"/>
        <w:spacing w:after="0" w:line="240" w:lineRule="auto"/>
        <w:ind w:left="1134"/>
        <w:jc w:val="both"/>
        <w:rPr>
          <w:rFonts w:ascii="Times New Roman" w:hAnsi="Times New Roman" w:cs="Times New Roman"/>
          <w:color w:val="000000"/>
          <w:sz w:val="24"/>
          <w:szCs w:val="24"/>
          <w:lang w:val="en-ZW"/>
        </w:rPr>
      </w:pPr>
      <w:r w:rsidRPr="004045AD">
        <w:rPr>
          <w:rFonts w:ascii="Times New Roman" w:hAnsi="Times New Roman" w:cs="Times New Roman"/>
          <w:color w:val="000000"/>
          <w:sz w:val="24"/>
          <w:szCs w:val="24"/>
          <w:lang w:val="en-ZW"/>
        </w:rPr>
        <w:t xml:space="preserve"> </w:t>
      </w:r>
    </w:p>
    <w:p w:rsidR="00AF64DC" w:rsidRPr="004045AD" w:rsidRDefault="00AF64DC" w:rsidP="00C84230">
      <w:pPr>
        <w:spacing w:line="276" w:lineRule="auto"/>
        <w:ind w:left="1134"/>
        <w:jc w:val="both"/>
        <w:rPr>
          <w:rFonts w:ascii="Times New Roman" w:hAnsi="Times New Roman" w:cs="Times New Roman"/>
          <w:color w:val="000000"/>
          <w:sz w:val="24"/>
          <w:szCs w:val="24"/>
          <w:lang w:val="en-ZW"/>
        </w:rPr>
      </w:pPr>
      <w:r w:rsidRPr="004045AD">
        <w:rPr>
          <w:rFonts w:ascii="Times New Roman" w:hAnsi="Times New Roman" w:cs="Times New Roman"/>
          <w:color w:val="000000"/>
          <w:sz w:val="24"/>
          <w:szCs w:val="24"/>
          <w:lang w:val="en-ZW"/>
        </w:rPr>
        <w:t xml:space="preserve">Provided that, if the proposed order will apply to persons generally or if, in the Commission's opinion, it is impractical to notify its terms to all the persons to whom it will apply, the Commission shall cause the broad terms of the proposed order to be published in the </w:t>
      </w:r>
      <w:r w:rsidRPr="004045AD">
        <w:rPr>
          <w:rFonts w:ascii="Times New Roman" w:hAnsi="Times New Roman" w:cs="Times New Roman"/>
          <w:i/>
          <w:iCs/>
          <w:color w:val="000000"/>
          <w:sz w:val="24"/>
          <w:szCs w:val="24"/>
          <w:lang w:val="en-ZW"/>
        </w:rPr>
        <w:t xml:space="preserve">Gazette </w:t>
      </w:r>
      <w:r w:rsidRPr="004045AD">
        <w:rPr>
          <w:rFonts w:ascii="Times New Roman" w:hAnsi="Times New Roman" w:cs="Times New Roman"/>
          <w:color w:val="000000"/>
          <w:sz w:val="24"/>
          <w:szCs w:val="24"/>
          <w:lang w:val="en-ZW"/>
        </w:rPr>
        <w:t>and in such other manner as the Commission considers will bring it to the attention of the persons to whom it will apply.”</w:t>
      </w:r>
    </w:p>
    <w:p w:rsidR="00826863" w:rsidRPr="004045AD" w:rsidRDefault="00826863" w:rsidP="00C84230">
      <w:pPr>
        <w:spacing w:line="240" w:lineRule="auto"/>
        <w:ind w:left="1134"/>
        <w:jc w:val="both"/>
        <w:rPr>
          <w:rFonts w:ascii="Times New Roman" w:eastAsia="Calibri" w:hAnsi="Times New Roman" w:cs="Times New Roman"/>
          <w:sz w:val="24"/>
          <w:szCs w:val="24"/>
        </w:rPr>
      </w:pPr>
    </w:p>
    <w:p w:rsidR="00AF64DC" w:rsidRPr="004045AD" w:rsidRDefault="00AF64DC" w:rsidP="00826863">
      <w:pPr>
        <w:pStyle w:val="lrdefinition-a"/>
        <w:spacing w:line="480" w:lineRule="auto"/>
        <w:ind w:left="567" w:firstLine="0"/>
        <w:rPr>
          <w:rFonts w:eastAsiaTheme="minorHAnsi"/>
          <w:sz w:val="24"/>
          <w:szCs w:val="24"/>
          <w:lang w:val="en-US"/>
        </w:rPr>
      </w:pPr>
      <w:r w:rsidRPr="004045AD">
        <w:rPr>
          <w:rFonts w:eastAsiaTheme="minorHAnsi"/>
          <w:sz w:val="24"/>
          <w:szCs w:val="24"/>
          <w:lang w:val="en-US"/>
        </w:rPr>
        <w:t>Th</w:t>
      </w:r>
      <w:r w:rsidR="00343A4C" w:rsidRPr="004045AD">
        <w:rPr>
          <w:rFonts w:eastAsiaTheme="minorHAnsi"/>
          <w:sz w:val="24"/>
          <w:szCs w:val="24"/>
          <w:lang w:val="en-US"/>
        </w:rPr>
        <w:t>e fact that the appellant gave the respondents notice in terms of s 31 (5) of the Act,</w:t>
      </w:r>
      <w:r w:rsidRPr="004045AD">
        <w:rPr>
          <w:rFonts w:eastAsiaTheme="minorHAnsi"/>
          <w:sz w:val="24"/>
          <w:szCs w:val="24"/>
          <w:lang w:val="en-US"/>
        </w:rPr>
        <w:t xml:space="preserve"> establishes that the court</w:t>
      </w:r>
      <w:r w:rsidRPr="004045AD">
        <w:rPr>
          <w:rFonts w:eastAsiaTheme="minorHAnsi"/>
          <w:i/>
          <w:sz w:val="24"/>
          <w:szCs w:val="24"/>
          <w:lang w:val="en-US"/>
        </w:rPr>
        <w:t xml:space="preserve"> a quo </w:t>
      </w:r>
      <w:r w:rsidRPr="004045AD">
        <w:rPr>
          <w:rFonts w:eastAsiaTheme="minorHAnsi"/>
          <w:sz w:val="24"/>
          <w:szCs w:val="24"/>
          <w:lang w:val="en-US"/>
        </w:rPr>
        <w:t>erred when it held that the appellant prohibited the merger and fined the respondents without giving them an opportunity</w:t>
      </w:r>
      <w:r w:rsidR="00840F07" w:rsidRPr="004045AD">
        <w:rPr>
          <w:rFonts w:eastAsiaTheme="minorHAnsi"/>
          <w:sz w:val="24"/>
          <w:szCs w:val="24"/>
          <w:lang w:val="en-US"/>
        </w:rPr>
        <w:t xml:space="preserve"> to be heard.  </w:t>
      </w:r>
      <w:r w:rsidR="00B86764" w:rsidRPr="004045AD">
        <w:rPr>
          <w:rFonts w:eastAsiaTheme="minorHAnsi"/>
          <w:sz w:val="24"/>
          <w:szCs w:val="24"/>
          <w:lang w:val="en-US"/>
        </w:rPr>
        <w:t>It is also apparent on the record that the appellant gave detailed reasons for all aspects of its ord</w:t>
      </w:r>
      <w:r w:rsidR="00826863" w:rsidRPr="004045AD">
        <w:rPr>
          <w:rFonts w:eastAsiaTheme="minorHAnsi"/>
          <w:sz w:val="24"/>
          <w:szCs w:val="24"/>
          <w:lang w:val="en-US"/>
        </w:rPr>
        <w:t>ers</w:t>
      </w:r>
      <w:r w:rsidR="006D1756" w:rsidRPr="004045AD">
        <w:rPr>
          <w:rFonts w:eastAsiaTheme="minorHAnsi"/>
          <w:sz w:val="24"/>
          <w:szCs w:val="24"/>
          <w:lang w:val="en-US"/>
        </w:rPr>
        <w:t xml:space="preserve"> including the penalty it imposed on </w:t>
      </w:r>
      <w:r w:rsidR="001A7CD8" w:rsidRPr="004045AD">
        <w:rPr>
          <w:rFonts w:eastAsiaTheme="minorHAnsi"/>
          <w:sz w:val="24"/>
          <w:szCs w:val="24"/>
          <w:lang w:val="en-US"/>
        </w:rPr>
        <w:t>Innscor</w:t>
      </w:r>
      <w:r w:rsidR="00E30831" w:rsidRPr="004045AD">
        <w:rPr>
          <w:rFonts w:eastAsiaTheme="minorHAnsi"/>
          <w:sz w:val="24"/>
          <w:szCs w:val="24"/>
          <w:lang w:val="en-US"/>
        </w:rPr>
        <w:t>.</w:t>
      </w:r>
    </w:p>
    <w:p w:rsidR="00E30831" w:rsidRPr="004045AD" w:rsidRDefault="00E30831" w:rsidP="00E30831">
      <w:pPr>
        <w:pStyle w:val="lrdefinition-a"/>
        <w:spacing w:after="0" w:line="240" w:lineRule="auto"/>
        <w:ind w:left="567" w:firstLine="0"/>
        <w:rPr>
          <w:rFonts w:eastAsiaTheme="minorHAnsi"/>
          <w:sz w:val="24"/>
          <w:szCs w:val="24"/>
          <w:lang w:val="en-US"/>
        </w:rPr>
      </w:pPr>
    </w:p>
    <w:p w:rsidR="00205085" w:rsidRPr="004045AD" w:rsidRDefault="00885C2F" w:rsidP="00C84230">
      <w:pPr>
        <w:pStyle w:val="lrdefinition-a"/>
        <w:tabs>
          <w:tab w:val="left" w:pos="567"/>
          <w:tab w:val="left" w:pos="1134"/>
        </w:tabs>
        <w:spacing w:after="0" w:line="480" w:lineRule="auto"/>
        <w:ind w:left="567" w:hanging="567"/>
        <w:rPr>
          <w:rFonts w:eastAsiaTheme="minorHAnsi"/>
          <w:sz w:val="24"/>
          <w:szCs w:val="24"/>
          <w:lang w:val="en-US"/>
        </w:rPr>
      </w:pPr>
      <w:r w:rsidRPr="004045AD">
        <w:rPr>
          <w:rFonts w:eastAsiaTheme="minorHAnsi"/>
          <w:sz w:val="24"/>
          <w:szCs w:val="24"/>
          <w:lang w:val="en-US"/>
        </w:rPr>
        <w:t>[</w:t>
      </w:r>
      <w:r w:rsidR="00DB7636" w:rsidRPr="004045AD">
        <w:rPr>
          <w:rFonts w:eastAsiaTheme="minorHAnsi"/>
          <w:sz w:val="24"/>
          <w:szCs w:val="24"/>
          <w:lang w:val="en-US"/>
        </w:rPr>
        <w:t>3</w:t>
      </w:r>
      <w:r w:rsidR="00826863" w:rsidRPr="004045AD">
        <w:rPr>
          <w:rFonts w:eastAsiaTheme="minorHAnsi"/>
          <w:sz w:val="24"/>
          <w:szCs w:val="24"/>
          <w:lang w:val="en-US"/>
        </w:rPr>
        <w:t>2</w:t>
      </w:r>
      <w:r w:rsidRPr="004045AD">
        <w:rPr>
          <w:rFonts w:eastAsiaTheme="minorHAnsi"/>
          <w:sz w:val="24"/>
          <w:szCs w:val="24"/>
          <w:lang w:val="en-US"/>
        </w:rPr>
        <w:t xml:space="preserve">] </w:t>
      </w:r>
      <w:r w:rsidR="00826863" w:rsidRPr="004045AD">
        <w:rPr>
          <w:rFonts w:eastAsiaTheme="minorHAnsi"/>
          <w:sz w:val="24"/>
          <w:szCs w:val="24"/>
          <w:lang w:val="en-US"/>
        </w:rPr>
        <w:t xml:space="preserve"> </w:t>
      </w:r>
      <w:r w:rsidR="00840F07" w:rsidRPr="004045AD">
        <w:rPr>
          <w:rFonts w:eastAsiaTheme="minorHAnsi"/>
          <w:sz w:val="24"/>
          <w:szCs w:val="24"/>
          <w:lang w:val="en-US"/>
        </w:rPr>
        <w:t xml:space="preserve"> </w:t>
      </w:r>
      <w:r w:rsidR="00123713" w:rsidRPr="004045AD">
        <w:rPr>
          <w:rFonts w:eastAsiaTheme="minorHAnsi"/>
          <w:sz w:val="24"/>
          <w:szCs w:val="24"/>
          <w:lang w:val="en-US"/>
        </w:rPr>
        <w:t>The appellant also relied on</w:t>
      </w:r>
      <w:r w:rsidR="00F76D57" w:rsidRPr="004045AD">
        <w:rPr>
          <w:rFonts w:eastAsiaTheme="minorHAnsi"/>
          <w:sz w:val="24"/>
          <w:szCs w:val="24"/>
          <w:lang w:val="en-US"/>
        </w:rPr>
        <w:t xml:space="preserve"> the case of </w:t>
      </w:r>
      <w:r w:rsidR="00F76D57" w:rsidRPr="004045AD">
        <w:rPr>
          <w:rFonts w:eastAsiaTheme="minorHAnsi"/>
          <w:i/>
          <w:sz w:val="24"/>
          <w:szCs w:val="24"/>
          <w:lang w:val="en-US"/>
        </w:rPr>
        <w:t>In</w:t>
      </w:r>
      <w:r w:rsidR="00123713" w:rsidRPr="004045AD">
        <w:rPr>
          <w:rFonts w:eastAsiaTheme="minorHAnsi"/>
          <w:i/>
          <w:sz w:val="24"/>
          <w:szCs w:val="24"/>
          <w:lang w:val="en-US"/>
        </w:rPr>
        <w:t>n</w:t>
      </w:r>
      <w:r w:rsidR="00F76D57" w:rsidRPr="004045AD">
        <w:rPr>
          <w:rFonts w:eastAsiaTheme="minorHAnsi"/>
          <w:i/>
          <w:sz w:val="24"/>
          <w:szCs w:val="24"/>
          <w:lang w:val="en-US"/>
        </w:rPr>
        <w:t xml:space="preserve">scor Africa Ltd &amp; Anor </w:t>
      </w:r>
      <w:r w:rsidR="00F76D57" w:rsidRPr="004045AD">
        <w:rPr>
          <w:rFonts w:eastAsiaTheme="minorHAnsi"/>
          <w:sz w:val="24"/>
          <w:szCs w:val="24"/>
          <w:lang w:val="en-US"/>
        </w:rPr>
        <w:t>v</w:t>
      </w:r>
      <w:r w:rsidR="00F76D57" w:rsidRPr="004045AD">
        <w:rPr>
          <w:rFonts w:eastAsiaTheme="minorHAnsi"/>
          <w:i/>
          <w:sz w:val="24"/>
          <w:szCs w:val="24"/>
          <w:lang w:val="en-US"/>
        </w:rPr>
        <w:t xml:space="preserve"> C</w:t>
      </w:r>
      <w:r w:rsidR="007E358A">
        <w:rPr>
          <w:rFonts w:eastAsiaTheme="minorHAnsi"/>
          <w:i/>
          <w:sz w:val="24"/>
          <w:szCs w:val="24"/>
          <w:lang w:val="en-US"/>
        </w:rPr>
        <w:t>o</w:t>
      </w:r>
      <w:r w:rsidR="00205085" w:rsidRPr="004045AD">
        <w:rPr>
          <w:rFonts w:eastAsiaTheme="minorHAnsi"/>
          <w:i/>
          <w:sz w:val="24"/>
          <w:szCs w:val="24"/>
          <w:lang w:val="en-US"/>
        </w:rPr>
        <w:t xml:space="preserve">mpetition and </w:t>
      </w:r>
      <w:r w:rsidR="00F76D57" w:rsidRPr="004045AD">
        <w:rPr>
          <w:rFonts w:eastAsiaTheme="minorHAnsi"/>
          <w:i/>
          <w:sz w:val="24"/>
          <w:szCs w:val="24"/>
          <w:lang w:val="en-US"/>
        </w:rPr>
        <w:t>T</w:t>
      </w:r>
      <w:r w:rsidR="00205085" w:rsidRPr="004045AD">
        <w:rPr>
          <w:rFonts w:eastAsiaTheme="minorHAnsi"/>
          <w:i/>
          <w:sz w:val="24"/>
          <w:szCs w:val="24"/>
          <w:lang w:val="en-US"/>
        </w:rPr>
        <w:t xml:space="preserve">ariff </w:t>
      </w:r>
      <w:r w:rsidR="00F76D57" w:rsidRPr="004045AD">
        <w:rPr>
          <w:rFonts w:eastAsiaTheme="minorHAnsi"/>
          <w:i/>
          <w:sz w:val="24"/>
          <w:szCs w:val="24"/>
          <w:lang w:val="en-US"/>
        </w:rPr>
        <w:t>C</w:t>
      </w:r>
      <w:r w:rsidR="00205085" w:rsidRPr="004045AD">
        <w:rPr>
          <w:rFonts w:eastAsiaTheme="minorHAnsi"/>
          <w:i/>
          <w:sz w:val="24"/>
          <w:szCs w:val="24"/>
          <w:lang w:val="en-US"/>
        </w:rPr>
        <w:t xml:space="preserve">ommission </w:t>
      </w:r>
      <w:r w:rsidR="00826863" w:rsidRPr="004045AD">
        <w:rPr>
          <w:rFonts w:eastAsiaTheme="minorHAnsi"/>
          <w:sz w:val="24"/>
          <w:szCs w:val="24"/>
          <w:lang w:val="en-US"/>
        </w:rPr>
        <w:t>2018 (2) ZLR 236</w:t>
      </w:r>
      <w:r w:rsidR="00590721">
        <w:rPr>
          <w:rFonts w:eastAsiaTheme="minorHAnsi"/>
          <w:sz w:val="24"/>
          <w:szCs w:val="24"/>
          <w:lang w:val="en-US"/>
        </w:rPr>
        <w:t xml:space="preserve"> (S)</w:t>
      </w:r>
      <w:r w:rsidR="00826863" w:rsidRPr="004045AD">
        <w:rPr>
          <w:rFonts w:eastAsiaTheme="minorHAnsi"/>
          <w:sz w:val="24"/>
          <w:szCs w:val="24"/>
          <w:lang w:val="en-US"/>
        </w:rPr>
        <w:t xml:space="preserve"> at p </w:t>
      </w:r>
      <w:r w:rsidR="00205085" w:rsidRPr="004045AD">
        <w:rPr>
          <w:rFonts w:eastAsiaTheme="minorHAnsi"/>
          <w:sz w:val="24"/>
          <w:szCs w:val="24"/>
          <w:lang w:val="en-US"/>
        </w:rPr>
        <w:t>240 C-G</w:t>
      </w:r>
      <w:r w:rsidR="00DB5034" w:rsidRPr="004045AD">
        <w:rPr>
          <w:rFonts w:eastAsiaTheme="minorHAnsi"/>
          <w:sz w:val="24"/>
          <w:szCs w:val="24"/>
          <w:lang w:val="en-US"/>
        </w:rPr>
        <w:t xml:space="preserve"> where</w:t>
      </w:r>
      <w:r w:rsidR="00F76D57" w:rsidRPr="004045AD">
        <w:rPr>
          <w:rFonts w:eastAsiaTheme="minorHAnsi"/>
          <w:sz w:val="24"/>
          <w:szCs w:val="24"/>
          <w:lang w:val="en-US"/>
        </w:rPr>
        <w:t xml:space="preserve"> M</w:t>
      </w:r>
      <w:r w:rsidR="00826863" w:rsidRPr="004045AD">
        <w:rPr>
          <w:rFonts w:eastAsiaTheme="minorHAnsi"/>
          <w:smallCaps/>
          <w:sz w:val="24"/>
          <w:szCs w:val="24"/>
          <w:lang w:val="en-US"/>
        </w:rPr>
        <w:t>alaba</w:t>
      </w:r>
      <w:r w:rsidR="00F76D57" w:rsidRPr="004045AD">
        <w:rPr>
          <w:rFonts w:eastAsiaTheme="minorHAnsi"/>
          <w:sz w:val="24"/>
          <w:szCs w:val="24"/>
          <w:lang w:val="en-US"/>
        </w:rPr>
        <w:t xml:space="preserve"> CJ</w:t>
      </w:r>
      <w:r w:rsidR="00D302E3" w:rsidRPr="004045AD">
        <w:rPr>
          <w:rFonts w:eastAsiaTheme="minorHAnsi"/>
          <w:sz w:val="24"/>
          <w:szCs w:val="24"/>
          <w:lang w:val="en-US"/>
        </w:rPr>
        <w:t xml:space="preserve"> </w:t>
      </w:r>
      <w:r w:rsidR="00205085" w:rsidRPr="004045AD">
        <w:rPr>
          <w:rFonts w:eastAsiaTheme="minorHAnsi"/>
          <w:sz w:val="24"/>
          <w:szCs w:val="24"/>
          <w:lang w:val="en-US"/>
        </w:rPr>
        <w:t>said:</w:t>
      </w:r>
    </w:p>
    <w:p w:rsidR="00205085" w:rsidRPr="004045AD" w:rsidRDefault="00205085" w:rsidP="00826863">
      <w:pPr>
        <w:pStyle w:val="NoSpacing"/>
        <w:ind w:left="1134"/>
        <w:jc w:val="both"/>
        <w:rPr>
          <w:rFonts w:ascii="Times New Roman" w:hAnsi="Times New Roman" w:cs="Times New Roman"/>
          <w:bCs/>
          <w:sz w:val="24"/>
          <w:szCs w:val="24"/>
        </w:rPr>
      </w:pPr>
      <w:r w:rsidRPr="004045AD">
        <w:rPr>
          <w:rFonts w:ascii="Times New Roman" w:hAnsi="Times New Roman" w:cs="Times New Roman"/>
          <w:sz w:val="24"/>
          <w:szCs w:val="24"/>
        </w:rPr>
        <w:t>“</w:t>
      </w:r>
      <w:r w:rsidRPr="004045AD">
        <w:rPr>
          <w:rFonts w:ascii="Times New Roman" w:hAnsi="Times New Roman" w:cs="Times New Roman"/>
          <w:bCs/>
          <w:sz w:val="24"/>
          <w:szCs w:val="24"/>
        </w:rPr>
        <w:t xml:space="preserve">Competition in any marketplace for the production or supply of goods or services is necessary for achieving economic growth and development. Competition policy is formulated to encourage, improve and protect the competition process for the benefit of consumers </w:t>
      </w:r>
      <w:r w:rsidRPr="004045AD">
        <w:rPr>
          <w:rFonts w:ascii="Times New Roman" w:hAnsi="Times New Roman" w:cs="Times New Roman"/>
          <w:b/>
          <w:bCs/>
          <w:sz w:val="24"/>
          <w:szCs w:val="24"/>
        </w:rPr>
        <w:t>through monitoring and regulating business conduct that is actually or potentially anti-competitive and capable of depriving consumers of the benefits associated with a competitive market.</w:t>
      </w:r>
      <w:r w:rsidRPr="004045AD">
        <w:rPr>
          <w:rFonts w:ascii="Times New Roman" w:hAnsi="Times New Roman" w:cs="Times New Roman"/>
          <w:bCs/>
          <w:sz w:val="24"/>
          <w:szCs w:val="24"/>
        </w:rPr>
        <w:t xml:space="preserve"> </w:t>
      </w:r>
    </w:p>
    <w:p w:rsidR="00205085" w:rsidRPr="004045AD" w:rsidRDefault="00205085" w:rsidP="00826863">
      <w:pPr>
        <w:pStyle w:val="NoSpacing"/>
        <w:ind w:left="1440"/>
        <w:jc w:val="both"/>
        <w:rPr>
          <w:rFonts w:ascii="Times New Roman" w:hAnsi="Times New Roman" w:cs="Times New Roman"/>
          <w:bCs/>
          <w:sz w:val="24"/>
          <w:szCs w:val="24"/>
        </w:rPr>
      </w:pPr>
    </w:p>
    <w:p w:rsidR="00205085" w:rsidRDefault="00205085" w:rsidP="00C84230">
      <w:pPr>
        <w:pStyle w:val="NoSpacing"/>
        <w:ind w:left="1134"/>
        <w:jc w:val="both"/>
        <w:rPr>
          <w:rFonts w:ascii="Times New Roman" w:hAnsi="Times New Roman" w:cs="Times New Roman"/>
          <w:b/>
          <w:bCs/>
          <w:sz w:val="24"/>
          <w:szCs w:val="24"/>
        </w:rPr>
      </w:pPr>
      <w:r w:rsidRPr="004045AD">
        <w:rPr>
          <w:rFonts w:ascii="Times New Roman" w:hAnsi="Times New Roman" w:cs="Times New Roman"/>
          <w:bCs/>
          <w:sz w:val="24"/>
          <w:szCs w:val="24"/>
        </w:rPr>
        <w:t>One of the forms of business conduct which competition policy seeks to monitor and regulate is corporate merger. Corporate mergers are an important tool for effecting corporate restructuring transactions that are necessary for enhancing general efficiency in the market and ensuring business survival especially in h</w:t>
      </w:r>
      <w:r w:rsidR="00826863" w:rsidRPr="004045AD">
        <w:rPr>
          <w:rFonts w:ascii="Times New Roman" w:hAnsi="Times New Roman" w:cs="Times New Roman"/>
          <w:bCs/>
          <w:sz w:val="24"/>
          <w:szCs w:val="24"/>
        </w:rPr>
        <w:t xml:space="preserve">arsh economic environments. </w:t>
      </w:r>
      <w:r w:rsidRPr="004045AD">
        <w:rPr>
          <w:rFonts w:ascii="Times New Roman" w:hAnsi="Times New Roman" w:cs="Times New Roman"/>
          <w:b/>
          <w:bCs/>
          <w:sz w:val="24"/>
          <w:szCs w:val="24"/>
        </w:rPr>
        <w:t xml:space="preserve">However, corporate mergers can sometimes be harmful or potentially harmful to the competitive structure of the market, thereby negating the gains of competition. An effective merger regulatory framework is necessary for the achievement and maintenance of the balance between the promotion of </w:t>
      </w:r>
      <w:r w:rsidRPr="004045AD">
        <w:rPr>
          <w:rFonts w:ascii="Times New Roman" w:hAnsi="Times New Roman" w:cs="Times New Roman"/>
          <w:b/>
          <w:bCs/>
          <w:sz w:val="24"/>
          <w:szCs w:val="24"/>
        </w:rPr>
        <w:lastRenderedPageBreak/>
        <w:t xml:space="preserve">beneficial corporate restructuring transactions on one hand and protection of the competitive process on the other. </w:t>
      </w:r>
    </w:p>
    <w:p w:rsidR="007E358A" w:rsidRPr="004045AD" w:rsidRDefault="007E358A" w:rsidP="00C84230">
      <w:pPr>
        <w:pStyle w:val="NoSpacing"/>
        <w:ind w:left="1134"/>
        <w:jc w:val="both"/>
        <w:rPr>
          <w:rFonts w:ascii="Times New Roman" w:hAnsi="Times New Roman" w:cs="Times New Roman"/>
          <w:b/>
          <w:bCs/>
          <w:sz w:val="24"/>
          <w:szCs w:val="24"/>
        </w:rPr>
      </w:pPr>
    </w:p>
    <w:p w:rsidR="00205085" w:rsidRPr="004045AD" w:rsidRDefault="00205085" w:rsidP="00826863">
      <w:pPr>
        <w:pStyle w:val="NoSpacing"/>
        <w:ind w:left="1134"/>
        <w:jc w:val="both"/>
        <w:rPr>
          <w:rFonts w:ascii="Times New Roman" w:hAnsi="Times New Roman" w:cs="Times New Roman"/>
          <w:bCs/>
          <w:sz w:val="24"/>
          <w:szCs w:val="24"/>
        </w:rPr>
      </w:pPr>
      <w:r w:rsidRPr="004045AD">
        <w:rPr>
          <w:rFonts w:ascii="Times New Roman" w:hAnsi="Times New Roman" w:cs="Times New Roman"/>
          <w:bCs/>
          <w:sz w:val="24"/>
          <w:szCs w:val="24"/>
        </w:rPr>
        <w:t xml:space="preserve">There are three types of mergers </w:t>
      </w:r>
      <w:r w:rsidR="00826863" w:rsidRPr="004045AD">
        <w:rPr>
          <w:rFonts w:ascii="Times New Roman" w:hAnsi="Times New Roman" w:cs="Times New Roman"/>
          <w:bCs/>
          <w:sz w:val="24"/>
          <w:szCs w:val="24"/>
        </w:rPr>
        <w:t>recognized</w:t>
      </w:r>
      <w:r w:rsidRPr="004045AD">
        <w:rPr>
          <w:rFonts w:ascii="Times New Roman" w:hAnsi="Times New Roman" w:cs="Times New Roman"/>
          <w:bCs/>
          <w:sz w:val="24"/>
          <w:szCs w:val="24"/>
        </w:rPr>
        <w:t xml:space="preserve"> under competition law - vertical, horizontal and conglomerate. Vertical mergers are those mergers that take place between two related companies as in the case of a customer merging with its supplier. Horizontal mergers are those that take place between companies that are in direct competition with each other. Conglomerate mergers are those between two or more firms that engage in unrelated business activities with different customer bases. Such entities are not competitors and do not have a customer and supplier relationship. </w:t>
      </w:r>
    </w:p>
    <w:p w:rsidR="00205085" w:rsidRPr="004045AD" w:rsidRDefault="00205085" w:rsidP="00826863">
      <w:pPr>
        <w:pStyle w:val="NoSpacing"/>
        <w:ind w:left="1440"/>
        <w:jc w:val="both"/>
        <w:rPr>
          <w:rFonts w:ascii="Times New Roman" w:hAnsi="Times New Roman" w:cs="Times New Roman"/>
          <w:bCs/>
          <w:sz w:val="24"/>
          <w:szCs w:val="24"/>
        </w:rPr>
      </w:pPr>
    </w:p>
    <w:p w:rsidR="00205085" w:rsidRPr="004045AD" w:rsidRDefault="00205085" w:rsidP="00826863">
      <w:pPr>
        <w:pStyle w:val="NoSpacing"/>
        <w:ind w:left="1134"/>
        <w:jc w:val="both"/>
        <w:rPr>
          <w:rFonts w:ascii="Times New Roman" w:hAnsi="Times New Roman" w:cs="Times New Roman"/>
          <w:b/>
          <w:bCs/>
          <w:sz w:val="24"/>
          <w:szCs w:val="24"/>
        </w:rPr>
      </w:pPr>
      <w:r w:rsidRPr="004045AD">
        <w:rPr>
          <w:rFonts w:ascii="Times New Roman" w:hAnsi="Times New Roman" w:cs="Times New Roman"/>
          <w:b/>
          <w:bCs/>
          <w:sz w:val="24"/>
          <w:szCs w:val="24"/>
        </w:rPr>
        <w:t>All the three types of mergers are potentially harmful to competition</w:t>
      </w:r>
      <w:r w:rsidRPr="004045AD">
        <w:rPr>
          <w:rFonts w:ascii="Times New Roman" w:hAnsi="Times New Roman" w:cs="Times New Roman"/>
          <w:b/>
          <w:sz w:val="24"/>
          <w:szCs w:val="24"/>
        </w:rPr>
        <w:t xml:space="preserve"> notwithstanding the fact that conglomerates are not entered into by competitors, suppliers and customers</w:t>
      </w:r>
      <w:r w:rsidRPr="004045AD">
        <w:rPr>
          <w:rFonts w:ascii="Times New Roman" w:hAnsi="Times New Roman" w:cs="Times New Roman"/>
          <w:b/>
          <w:bCs/>
          <w:sz w:val="24"/>
          <w:szCs w:val="24"/>
        </w:rPr>
        <w:t xml:space="preserve">. Mergers may cause the elimination of effective competition, thereby creating dominant companies that have the capacity and potential of engaging in anti-competitive practices detrimental to consumer welfare, such as price increases and poor service delivery. </w:t>
      </w:r>
    </w:p>
    <w:p w:rsidR="00205085" w:rsidRPr="004045AD" w:rsidRDefault="00205085" w:rsidP="00826863">
      <w:pPr>
        <w:pStyle w:val="NoSpacing"/>
        <w:ind w:left="1440"/>
        <w:jc w:val="both"/>
        <w:rPr>
          <w:rFonts w:ascii="Times New Roman" w:hAnsi="Times New Roman" w:cs="Times New Roman"/>
          <w:sz w:val="24"/>
          <w:szCs w:val="24"/>
        </w:rPr>
      </w:pPr>
    </w:p>
    <w:p w:rsidR="003B169A" w:rsidRPr="004045AD" w:rsidRDefault="00205085" w:rsidP="00E30831">
      <w:pPr>
        <w:pStyle w:val="NoSpacing"/>
        <w:ind w:left="1134"/>
        <w:jc w:val="both"/>
        <w:rPr>
          <w:rFonts w:ascii="Times New Roman" w:hAnsi="Times New Roman" w:cs="Times New Roman"/>
          <w:bCs/>
          <w:sz w:val="24"/>
          <w:szCs w:val="24"/>
        </w:rPr>
      </w:pPr>
      <w:r w:rsidRPr="004045AD">
        <w:rPr>
          <w:rFonts w:ascii="Times New Roman" w:hAnsi="Times New Roman" w:cs="Times New Roman"/>
          <w:b/>
          <w:sz w:val="24"/>
          <w:szCs w:val="24"/>
        </w:rPr>
        <w:t xml:space="preserve">For the reason that all mergers recognised under competition law have the potential to negatively affect competition in the market, </w:t>
      </w:r>
      <w:r w:rsidRPr="004045AD">
        <w:rPr>
          <w:rFonts w:ascii="Times New Roman" w:hAnsi="Times New Roman" w:cs="Times New Roman"/>
          <w:b/>
          <w:bCs/>
          <w:sz w:val="24"/>
          <w:szCs w:val="24"/>
        </w:rPr>
        <w:t>special laws have been designed to regulate mergers.</w:t>
      </w:r>
      <w:r w:rsidR="00826863" w:rsidRPr="004045AD">
        <w:rPr>
          <w:rFonts w:ascii="Times New Roman" w:hAnsi="Times New Roman" w:cs="Times New Roman"/>
          <w:b/>
          <w:bCs/>
          <w:sz w:val="24"/>
          <w:szCs w:val="24"/>
        </w:rPr>
        <w:t>”</w:t>
      </w:r>
      <w:r w:rsidRPr="004045AD">
        <w:rPr>
          <w:rFonts w:ascii="Times New Roman" w:hAnsi="Times New Roman" w:cs="Times New Roman"/>
          <w:b/>
          <w:bCs/>
          <w:sz w:val="24"/>
          <w:szCs w:val="24"/>
        </w:rPr>
        <w:t xml:space="preserve"> </w:t>
      </w:r>
      <w:r w:rsidR="003B169A" w:rsidRPr="004045AD">
        <w:rPr>
          <w:rFonts w:ascii="Times New Roman" w:hAnsi="Times New Roman" w:cs="Times New Roman"/>
          <w:bCs/>
          <w:sz w:val="24"/>
          <w:szCs w:val="24"/>
        </w:rPr>
        <w:t>(</w:t>
      </w:r>
      <w:r w:rsidR="00826863" w:rsidRPr="004045AD">
        <w:rPr>
          <w:rFonts w:ascii="Times New Roman" w:hAnsi="Times New Roman" w:cs="Times New Roman"/>
          <w:bCs/>
          <w:sz w:val="24"/>
          <w:szCs w:val="24"/>
        </w:rPr>
        <w:t>Emphasis</w:t>
      </w:r>
      <w:r w:rsidR="003B169A" w:rsidRPr="004045AD">
        <w:rPr>
          <w:rFonts w:ascii="Times New Roman" w:hAnsi="Times New Roman" w:cs="Times New Roman"/>
          <w:bCs/>
          <w:sz w:val="24"/>
          <w:szCs w:val="24"/>
        </w:rPr>
        <w:t xml:space="preserve"> added)</w:t>
      </w:r>
    </w:p>
    <w:p w:rsidR="00B068D3" w:rsidRPr="004045AD" w:rsidRDefault="00B068D3" w:rsidP="00E30831">
      <w:pPr>
        <w:pStyle w:val="NoSpacing"/>
        <w:ind w:left="1134"/>
        <w:jc w:val="both"/>
        <w:rPr>
          <w:rFonts w:ascii="Times New Roman" w:hAnsi="Times New Roman" w:cs="Times New Roman"/>
          <w:b/>
          <w:bCs/>
          <w:sz w:val="24"/>
          <w:szCs w:val="24"/>
        </w:rPr>
      </w:pPr>
    </w:p>
    <w:p w:rsidR="00B068D3" w:rsidRPr="004045AD" w:rsidRDefault="00B068D3" w:rsidP="00C84230">
      <w:pPr>
        <w:pStyle w:val="NoSpacing"/>
        <w:ind w:left="1134"/>
        <w:jc w:val="both"/>
        <w:rPr>
          <w:rFonts w:ascii="Times New Roman" w:hAnsi="Times New Roman" w:cs="Times New Roman"/>
          <w:b/>
          <w:bCs/>
          <w:sz w:val="24"/>
          <w:szCs w:val="24"/>
        </w:rPr>
      </w:pPr>
    </w:p>
    <w:p w:rsidR="00885C2F" w:rsidRPr="004045AD" w:rsidRDefault="00885C2F" w:rsidP="00826863">
      <w:pPr>
        <w:pStyle w:val="lrdefinition-a"/>
        <w:spacing w:line="480" w:lineRule="auto"/>
        <w:ind w:left="567" w:hanging="567"/>
        <w:rPr>
          <w:rFonts w:eastAsiaTheme="minorHAnsi"/>
          <w:sz w:val="24"/>
          <w:szCs w:val="24"/>
          <w:lang w:val="en-US"/>
        </w:rPr>
      </w:pPr>
      <w:r w:rsidRPr="004045AD">
        <w:rPr>
          <w:rFonts w:eastAsiaTheme="minorHAnsi"/>
          <w:sz w:val="24"/>
          <w:szCs w:val="24"/>
          <w:lang w:val="en-US"/>
        </w:rPr>
        <w:t>[</w:t>
      </w:r>
      <w:r w:rsidR="00826863" w:rsidRPr="004045AD">
        <w:rPr>
          <w:rFonts w:eastAsiaTheme="minorHAnsi"/>
          <w:sz w:val="24"/>
          <w:szCs w:val="24"/>
          <w:lang w:val="en-US"/>
        </w:rPr>
        <w:t>33</w:t>
      </w:r>
      <w:r w:rsidRPr="004045AD">
        <w:rPr>
          <w:rFonts w:eastAsiaTheme="minorHAnsi"/>
          <w:sz w:val="24"/>
          <w:szCs w:val="24"/>
          <w:lang w:val="en-US"/>
        </w:rPr>
        <w:t>]</w:t>
      </w:r>
      <w:r w:rsidR="00205085" w:rsidRPr="004045AD">
        <w:rPr>
          <w:rFonts w:eastAsiaTheme="minorHAnsi"/>
          <w:sz w:val="24"/>
          <w:szCs w:val="24"/>
          <w:lang w:val="en-US"/>
        </w:rPr>
        <w:t xml:space="preserve"> </w:t>
      </w:r>
      <w:r w:rsidR="00C84230" w:rsidRPr="004045AD">
        <w:rPr>
          <w:rFonts w:eastAsiaTheme="minorHAnsi"/>
          <w:sz w:val="24"/>
          <w:szCs w:val="24"/>
          <w:lang w:val="en-US"/>
        </w:rPr>
        <w:t xml:space="preserve"> </w:t>
      </w:r>
      <w:r w:rsidRPr="004045AD">
        <w:rPr>
          <w:rFonts w:eastAsiaTheme="minorHAnsi"/>
          <w:sz w:val="24"/>
          <w:szCs w:val="24"/>
          <w:lang w:val="en-US"/>
        </w:rPr>
        <w:t>The fact</w:t>
      </w:r>
      <w:r w:rsidR="00F76D57" w:rsidRPr="004045AD">
        <w:rPr>
          <w:rFonts w:eastAsiaTheme="minorHAnsi"/>
          <w:sz w:val="24"/>
          <w:szCs w:val="24"/>
          <w:lang w:val="en-US"/>
        </w:rPr>
        <w:t xml:space="preserve"> that all mergers have the potential to harm competition and</w:t>
      </w:r>
      <w:r w:rsidR="009366C8" w:rsidRPr="004045AD">
        <w:rPr>
          <w:rFonts w:eastAsiaTheme="minorHAnsi"/>
          <w:sz w:val="24"/>
          <w:szCs w:val="24"/>
          <w:lang w:val="en-US"/>
        </w:rPr>
        <w:t xml:space="preserve"> that</w:t>
      </w:r>
      <w:r w:rsidR="00F76D57" w:rsidRPr="004045AD">
        <w:rPr>
          <w:rFonts w:eastAsiaTheme="minorHAnsi"/>
          <w:sz w:val="24"/>
          <w:szCs w:val="24"/>
          <w:lang w:val="en-US"/>
        </w:rPr>
        <w:t xml:space="preserve"> consideration of merger</w:t>
      </w:r>
      <w:r w:rsidR="002C6267" w:rsidRPr="004045AD">
        <w:rPr>
          <w:rFonts w:eastAsiaTheme="minorHAnsi"/>
          <w:sz w:val="24"/>
          <w:szCs w:val="24"/>
          <w:lang w:val="en-US"/>
        </w:rPr>
        <w:t>s</w:t>
      </w:r>
      <w:r w:rsidR="00F76D57" w:rsidRPr="004045AD">
        <w:rPr>
          <w:rFonts w:eastAsiaTheme="minorHAnsi"/>
          <w:sz w:val="24"/>
          <w:szCs w:val="24"/>
          <w:lang w:val="en-US"/>
        </w:rPr>
        <w:t xml:space="preserve"> is not</w:t>
      </w:r>
      <w:r w:rsidR="00FC7013" w:rsidRPr="004045AD">
        <w:rPr>
          <w:rFonts w:eastAsiaTheme="minorHAnsi"/>
          <w:sz w:val="24"/>
          <w:szCs w:val="24"/>
          <w:lang w:val="en-US"/>
        </w:rPr>
        <w:t xml:space="preserve"> </w:t>
      </w:r>
      <w:r w:rsidR="00F76D57" w:rsidRPr="004045AD">
        <w:rPr>
          <w:rFonts w:eastAsiaTheme="minorHAnsi"/>
          <w:sz w:val="24"/>
          <w:szCs w:val="24"/>
          <w:lang w:val="en-US"/>
        </w:rPr>
        <w:t>just</w:t>
      </w:r>
      <w:r w:rsidR="009F0DF6" w:rsidRPr="004045AD">
        <w:rPr>
          <w:rFonts w:eastAsiaTheme="minorHAnsi"/>
          <w:sz w:val="24"/>
          <w:szCs w:val="24"/>
          <w:lang w:val="en-US"/>
        </w:rPr>
        <w:t xml:space="preserve"> on</w:t>
      </w:r>
      <w:r w:rsidR="00F76D57" w:rsidRPr="004045AD">
        <w:rPr>
          <w:rFonts w:eastAsiaTheme="minorHAnsi"/>
          <w:sz w:val="24"/>
          <w:szCs w:val="24"/>
          <w:lang w:val="en-US"/>
        </w:rPr>
        <w:t xml:space="preserve"> what happened but </w:t>
      </w:r>
      <w:r w:rsidR="002C6267" w:rsidRPr="004045AD">
        <w:rPr>
          <w:rFonts w:eastAsiaTheme="minorHAnsi"/>
          <w:sz w:val="24"/>
          <w:szCs w:val="24"/>
          <w:lang w:val="en-US"/>
        </w:rPr>
        <w:t>also on</w:t>
      </w:r>
      <w:r w:rsidR="00F76D57" w:rsidRPr="004045AD">
        <w:rPr>
          <w:rFonts w:eastAsiaTheme="minorHAnsi"/>
          <w:sz w:val="24"/>
          <w:szCs w:val="24"/>
          <w:lang w:val="en-US"/>
        </w:rPr>
        <w:t xml:space="preserve"> what potentially can happen</w:t>
      </w:r>
      <w:r w:rsidRPr="004045AD">
        <w:rPr>
          <w:rFonts w:eastAsiaTheme="minorHAnsi"/>
          <w:sz w:val="24"/>
          <w:szCs w:val="24"/>
          <w:lang w:val="en-US"/>
        </w:rPr>
        <w:t xml:space="preserve"> means that every merger must be</w:t>
      </w:r>
      <w:r w:rsidR="00B15934" w:rsidRPr="004045AD">
        <w:rPr>
          <w:rFonts w:eastAsiaTheme="minorHAnsi"/>
          <w:sz w:val="24"/>
          <w:szCs w:val="24"/>
          <w:lang w:val="en-US"/>
        </w:rPr>
        <w:t xml:space="preserve"> carefully</w:t>
      </w:r>
      <w:r w:rsidRPr="004045AD">
        <w:rPr>
          <w:rFonts w:eastAsiaTheme="minorHAnsi"/>
          <w:sz w:val="24"/>
          <w:szCs w:val="24"/>
          <w:lang w:val="en-US"/>
        </w:rPr>
        <w:t xml:space="preserve"> assessed against all the applicable laws before it can be held to be in the</w:t>
      </w:r>
      <w:r w:rsidR="00F61CCF" w:rsidRPr="004045AD">
        <w:rPr>
          <w:rFonts w:eastAsiaTheme="minorHAnsi"/>
          <w:sz w:val="24"/>
          <w:szCs w:val="24"/>
          <w:lang w:val="en-US"/>
        </w:rPr>
        <w:t xml:space="preserve"> public</w:t>
      </w:r>
      <w:r w:rsidRPr="004045AD">
        <w:rPr>
          <w:rFonts w:eastAsiaTheme="minorHAnsi"/>
          <w:sz w:val="24"/>
          <w:szCs w:val="24"/>
          <w:lang w:val="en-US"/>
        </w:rPr>
        <w:t xml:space="preserve"> interest.</w:t>
      </w:r>
      <w:r w:rsidR="00F76D57" w:rsidRPr="004045AD">
        <w:rPr>
          <w:rFonts w:eastAsiaTheme="minorHAnsi"/>
          <w:sz w:val="24"/>
          <w:szCs w:val="24"/>
          <w:lang w:val="en-US"/>
        </w:rPr>
        <w:t xml:space="preserve"> </w:t>
      </w:r>
    </w:p>
    <w:p w:rsidR="00913B55" w:rsidRPr="004045AD" w:rsidRDefault="00913B55" w:rsidP="007D1734">
      <w:pPr>
        <w:pStyle w:val="lrdefinition-a"/>
        <w:spacing w:after="0" w:line="240" w:lineRule="auto"/>
        <w:ind w:left="567" w:hanging="567"/>
        <w:rPr>
          <w:rFonts w:eastAsiaTheme="minorHAnsi"/>
          <w:sz w:val="24"/>
          <w:szCs w:val="24"/>
          <w:lang w:val="en-US"/>
        </w:rPr>
      </w:pPr>
    </w:p>
    <w:p w:rsidR="00885C2F" w:rsidRPr="004045AD" w:rsidRDefault="00885C2F" w:rsidP="007E358A">
      <w:pPr>
        <w:pStyle w:val="lrdefinition-a"/>
        <w:tabs>
          <w:tab w:val="clear" w:pos="369"/>
          <w:tab w:val="left" w:pos="567"/>
        </w:tabs>
        <w:spacing w:line="480" w:lineRule="auto"/>
        <w:ind w:left="567" w:hanging="567"/>
        <w:rPr>
          <w:sz w:val="24"/>
          <w:szCs w:val="24"/>
        </w:rPr>
      </w:pPr>
      <w:r w:rsidRPr="004045AD">
        <w:rPr>
          <w:rFonts w:eastAsiaTheme="minorHAnsi"/>
          <w:sz w:val="24"/>
          <w:szCs w:val="24"/>
          <w:lang w:val="en-US"/>
        </w:rPr>
        <w:t>[</w:t>
      </w:r>
      <w:r w:rsidR="00FC2FF8" w:rsidRPr="004045AD">
        <w:rPr>
          <w:rFonts w:eastAsiaTheme="minorHAnsi"/>
          <w:sz w:val="24"/>
          <w:szCs w:val="24"/>
          <w:lang w:val="en-US"/>
        </w:rPr>
        <w:t>3</w:t>
      </w:r>
      <w:r w:rsidR="007D1734" w:rsidRPr="004045AD">
        <w:rPr>
          <w:rFonts w:eastAsiaTheme="minorHAnsi"/>
          <w:sz w:val="24"/>
          <w:szCs w:val="24"/>
          <w:lang w:val="en-US"/>
        </w:rPr>
        <w:t>4</w:t>
      </w:r>
      <w:r w:rsidRPr="004045AD">
        <w:rPr>
          <w:rFonts w:eastAsiaTheme="minorHAnsi"/>
          <w:sz w:val="24"/>
          <w:szCs w:val="24"/>
          <w:lang w:val="en-US"/>
        </w:rPr>
        <w:t xml:space="preserve">] </w:t>
      </w:r>
      <w:r w:rsidR="00840F07" w:rsidRPr="004045AD">
        <w:rPr>
          <w:rFonts w:eastAsiaTheme="minorHAnsi"/>
          <w:sz w:val="24"/>
          <w:szCs w:val="24"/>
          <w:lang w:val="en-US"/>
        </w:rPr>
        <w:t xml:space="preserve"> </w:t>
      </w:r>
      <w:r w:rsidR="004202CA">
        <w:rPr>
          <w:rFonts w:eastAsiaTheme="minorHAnsi"/>
          <w:sz w:val="24"/>
          <w:szCs w:val="24"/>
          <w:lang w:val="en-US"/>
        </w:rPr>
        <w:t xml:space="preserve"> </w:t>
      </w:r>
      <w:r w:rsidR="00F76D57" w:rsidRPr="004045AD">
        <w:rPr>
          <w:rFonts w:eastAsiaTheme="minorHAnsi"/>
          <w:sz w:val="24"/>
          <w:szCs w:val="24"/>
          <w:lang w:val="en-US"/>
        </w:rPr>
        <w:t xml:space="preserve">In the present </w:t>
      </w:r>
      <w:r w:rsidR="00FC7013" w:rsidRPr="004045AD">
        <w:rPr>
          <w:rFonts w:eastAsiaTheme="minorHAnsi"/>
          <w:sz w:val="24"/>
          <w:szCs w:val="24"/>
          <w:lang w:val="en-US"/>
        </w:rPr>
        <w:t>case, the court</w:t>
      </w:r>
      <w:r w:rsidR="00F76D57" w:rsidRPr="004045AD">
        <w:rPr>
          <w:rFonts w:eastAsiaTheme="minorHAnsi"/>
          <w:sz w:val="24"/>
          <w:szCs w:val="24"/>
          <w:lang w:val="en-US"/>
        </w:rPr>
        <w:t xml:space="preserve"> </w:t>
      </w:r>
      <w:r w:rsidR="00F76D57" w:rsidRPr="004045AD">
        <w:rPr>
          <w:rFonts w:eastAsiaTheme="minorHAnsi"/>
          <w:i/>
          <w:sz w:val="24"/>
          <w:szCs w:val="24"/>
          <w:lang w:val="en-US"/>
        </w:rPr>
        <w:t>a</w:t>
      </w:r>
      <w:r w:rsidR="00FC7013" w:rsidRPr="004045AD">
        <w:rPr>
          <w:rFonts w:eastAsiaTheme="minorHAnsi"/>
          <w:i/>
          <w:sz w:val="24"/>
          <w:szCs w:val="24"/>
          <w:lang w:val="en-US"/>
        </w:rPr>
        <w:t xml:space="preserve"> </w:t>
      </w:r>
      <w:r w:rsidR="00F76D57" w:rsidRPr="004045AD">
        <w:rPr>
          <w:rFonts w:eastAsiaTheme="minorHAnsi"/>
          <w:i/>
          <w:sz w:val="24"/>
          <w:szCs w:val="24"/>
          <w:lang w:val="en-US"/>
        </w:rPr>
        <w:t>quo</w:t>
      </w:r>
      <w:r w:rsidR="00F76D57" w:rsidRPr="004045AD">
        <w:rPr>
          <w:rFonts w:eastAsiaTheme="minorHAnsi"/>
          <w:sz w:val="24"/>
          <w:szCs w:val="24"/>
          <w:lang w:val="en-US"/>
        </w:rPr>
        <w:t xml:space="preserve"> did not focus on what potentially can happen</w:t>
      </w:r>
      <w:r w:rsidR="00D70C04">
        <w:rPr>
          <w:rFonts w:eastAsiaTheme="minorHAnsi"/>
          <w:sz w:val="24"/>
          <w:szCs w:val="24"/>
          <w:lang w:val="en-US"/>
        </w:rPr>
        <w:t>,</w:t>
      </w:r>
      <w:r w:rsidR="00F76D57" w:rsidRPr="004045AD">
        <w:rPr>
          <w:rFonts w:eastAsiaTheme="minorHAnsi"/>
          <w:sz w:val="24"/>
          <w:szCs w:val="24"/>
          <w:lang w:val="en-US"/>
        </w:rPr>
        <w:t xml:space="preserve"> that is</w:t>
      </w:r>
      <w:r w:rsidR="006929EA">
        <w:rPr>
          <w:rFonts w:eastAsiaTheme="minorHAnsi"/>
          <w:sz w:val="24"/>
          <w:szCs w:val="24"/>
          <w:lang w:val="en-US"/>
        </w:rPr>
        <w:t>,,</w:t>
      </w:r>
      <w:r w:rsidR="00F76D57" w:rsidRPr="004045AD">
        <w:rPr>
          <w:rFonts w:eastAsiaTheme="minorHAnsi"/>
          <w:sz w:val="24"/>
          <w:szCs w:val="24"/>
          <w:lang w:val="en-US"/>
        </w:rPr>
        <w:t xml:space="preserve"> the </w:t>
      </w:r>
      <w:r w:rsidR="004A55DF" w:rsidRPr="004045AD">
        <w:rPr>
          <w:rFonts w:eastAsiaTheme="minorHAnsi"/>
          <w:sz w:val="24"/>
          <w:szCs w:val="24"/>
          <w:lang w:val="en-US"/>
        </w:rPr>
        <w:t xml:space="preserve">  </w:t>
      </w:r>
      <w:r w:rsidR="00F76D57" w:rsidRPr="004045AD">
        <w:rPr>
          <w:rFonts w:eastAsiaTheme="minorHAnsi"/>
          <w:sz w:val="24"/>
          <w:szCs w:val="24"/>
          <w:lang w:val="en-US"/>
        </w:rPr>
        <w:t>long</w:t>
      </w:r>
      <w:r w:rsidR="00371A23" w:rsidRPr="004045AD">
        <w:rPr>
          <w:rFonts w:eastAsiaTheme="minorHAnsi"/>
          <w:sz w:val="24"/>
          <w:szCs w:val="24"/>
          <w:lang w:val="en-US"/>
        </w:rPr>
        <w:t>-</w:t>
      </w:r>
      <w:r w:rsidR="00F76D57" w:rsidRPr="004045AD">
        <w:rPr>
          <w:rFonts w:eastAsiaTheme="minorHAnsi"/>
          <w:sz w:val="24"/>
          <w:szCs w:val="24"/>
          <w:lang w:val="en-US"/>
        </w:rPr>
        <w:t xml:space="preserve">term effects. </w:t>
      </w:r>
      <w:r w:rsidR="00FC7013" w:rsidRPr="004045AD">
        <w:rPr>
          <w:rFonts w:eastAsiaTheme="minorHAnsi"/>
          <w:sz w:val="24"/>
          <w:szCs w:val="24"/>
          <w:lang w:val="en-US"/>
        </w:rPr>
        <w:t>In its judgment</w:t>
      </w:r>
      <w:r w:rsidR="006929EA">
        <w:rPr>
          <w:rFonts w:eastAsiaTheme="minorHAnsi"/>
          <w:sz w:val="24"/>
          <w:szCs w:val="24"/>
          <w:lang w:val="en-US"/>
        </w:rPr>
        <w:t>,</w:t>
      </w:r>
      <w:r w:rsidR="00FC7013" w:rsidRPr="004045AD">
        <w:rPr>
          <w:rFonts w:eastAsiaTheme="minorHAnsi"/>
          <w:sz w:val="24"/>
          <w:szCs w:val="24"/>
          <w:lang w:val="en-US"/>
        </w:rPr>
        <w:t xml:space="preserve"> </w:t>
      </w:r>
      <w:r w:rsidRPr="004045AD">
        <w:rPr>
          <w:rFonts w:eastAsiaTheme="minorHAnsi"/>
          <w:sz w:val="24"/>
          <w:szCs w:val="24"/>
          <w:lang w:val="en-US"/>
        </w:rPr>
        <w:t>i</w:t>
      </w:r>
      <w:r w:rsidR="00FC7013" w:rsidRPr="004045AD">
        <w:rPr>
          <w:rFonts w:eastAsiaTheme="minorHAnsi"/>
          <w:sz w:val="24"/>
          <w:szCs w:val="24"/>
          <w:lang w:val="en-US"/>
        </w:rPr>
        <w:t>t</w:t>
      </w:r>
      <w:r w:rsidR="002E3417">
        <w:rPr>
          <w:rFonts w:eastAsiaTheme="minorHAnsi"/>
          <w:sz w:val="24"/>
          <w:szCs w:val="24"/>
          <w:lang w:val="en-US"/>
        </w:rPr>
        <w:t>,</w:t>
      </w:r>
      <w:r w:rsidR="00281115" w:rsidRPr="004045AD">
        <w:rPr>
          <w:sz w:val="24"/>
          <w:szCs w:val="24"/>
        </w:rPr>
        <w:t xml:space="preserve"> </w:t>
      </w:r>
      <w:r w:rsidR="00F76D57" w:rsidRPr="004045AD">
        <w:rPr>
          <w:sz w:val="24"/>
          <w:szCs w:val="24"/>
        </w:rPr>
        <w:t>found that from the period that the respondents merged up to the time the respondents notified the appellant of the merger, twenty other companies which specialise in stock feed were formed</w:t>
      </w:r>
      <w:r w:rsidR="00E27D46">
        <w:rPr>
          <w:sz w:val="24"/>
          <w:szCs w:val="24"/>
        </w:rPr>
        <w:t>,</w:t>
      </w:r>
      <w:r w:rsidR="00F76D57" w:rsidRPr="004045AD">
        <w:rPr>
          <w:sz w:val="24"/>
          <w:szCs w:val="24"/>
        </w:rPr>
        <w:t xml:space="preserve"> unlike previously when o</w:t>
      </w:r>
      <w:r w:rsidR="0015577B" w:rsidRPr="004045AD">
        <w:rPr>
          <w:sz w:val="24"/>
          <w:szCs w:val="24"/>
        </w:rPr>
        <w:t>nly 2 companies were</w:t>
      </w:r>
      <w:r w:rsidR="00FC2FF8" w:rsidRPr="004045AD">
        <w:rPr>
          <w:sz w:val="24"/>
          <w:szCs w:val="24"/>
        </w:rPr>
        <w:t xml:space="preserve"> domina</w:t>
      </w:r>
      <w:r w:rsidR="00F76D57" w:rsidRPr="004045AD">
        <w:rPr>
          <w:sz w:val="24"/>
          <w:szCs w:val="24"/>
        </w:rPr>
        <w:t>t</w:t>
      </w:r>
      <w:r w:rsidR="00FC2FF8" w:rsidRPr="004045AD">
        <w:rPr>
          <w:sz w:val="24"/>
          <w:szCs w:val="24"/>
        </w:rPr>
        <w:t>ing</w:t>
      </w:r>
      <w:r w:rsidR="00F76D57" w:rsidRPr="004045AD">
        <w:rPr>
          <w:sz w:val="24"/>
          <w:szCs w:val="24"/>
        </w:rPr>
        <w:t xml:space="preserve"> </w:t>
      </w:r>
      <w:r w:rsidR="00FC2FF8" w:rsidRPr="004045AD">
        <w:rPr>
          <w:sz w:val="24"/>
          <w:szCs w:val="24"/>
        </w:rPr>
        <w:t>the stock feeds industry</w:t>
      </w:r>
      <w:r w:rsidR="004A55DF" w:rsidRPr="004045AD">
        <w:rPr>
          <w:sz w:val="24"/>
          <w:szCs w:val="24"/>
        </w:rPr>
        <w:t xml:space="preserve">.  </w:t>
      </w:r>
      <w:r w:rsidR="00F76D57" w:rsidRPr="004045AD">
        <w:rPr>
          <w:sz w:val="24"/>
          <w:szCs w:val="24"/>
        </w:rPr>
        <w:t>It a</w:t>
      </w:r>
      <w:r w:rsidR="00FC7013" w:rsidRPr="004045AD">
        <w:rPr>
          <w:sz w:val="24"/>
          <w:szCs w:val="24"/>
        </w:rPr>
        <w:t>l</w:t>
      </w:r>
      <w:r w:rsidR="00F76D57" w:rsidRPr="004045AD">
        <w:rPr>
          <w:sz w:val="24"/>
          <w:szCs w:val="24"/>
        </w:rPr>
        <w:t>so found that employment</w:t>
      </w:r>
      <w:r w:rsidR="00FC7013" w:rsidRPr="004045AD">
        <w:rPr>
          <w:sz w:val="24"/>
          <w:szCs w:val="24"/>
        </w:rPr>
        <w:t xml:space="preserve"> was also created by the merger and that there was economic gain to the merging companies.</w:t>
      </w:r>
      <w:r w:rsidR="00F76D57" w:rsidRPr="004045AD">
        <w:rPr>
          <w:sz w:val="24"/>
          <w:szCs w:val="24"/>
        </w:rPr>
        <w:t xml:space="preserve"> </w:t>
      </w:r>
    </w:p>
    <w:p w:rsidR="004A55DF" w:rsidRPr="004045AD" w:rsidRDefault="004A55DF" w:rsidP="004A55DF">
      <w:pPr>
        <w:pStyle w:val="lrdefinition-a"/>
        <w:tabs>
          <w:tab w:val="clear" w:pos="369"/>
          <w:tab w:val="left" w:pos="567"/>
        </w:tabs>
        <w:spacing w:after="0" w:line="240" w:lineRule="auto"/>
        <w:ind w:left="567" w:hanging="567"/>
        <w:rPr>
          <w:sz w:val="24"/>
          <w:szCs w:val="24"/>
        </w:rPr>
      </w:pPr>
    </w:p>
    <w:p w:rsidR="00F76D57" w:rsidRPr="004045AD" w:rsidRDefault="00885C2F" w:rsidP="00AD7261">
      <w:pPr>
        <w:pStyle w:val="lrdefinition-a"/>
        <w:tabs>
          <w:tab w:val="clear" w:pos="369"/>
          <w:tab w:val="left" w:pos="567"/>
        </w:tabs>
        <w:spacing w:line="480" w:lineRule="auto"/>
        <w:ind w:left="567" w:hanging="567"/>
        <w:rPr>
          <w:sz w:val="24"/>
          <w:szCs w:val="24"/>
        </w:rPr>
      </w:pPr>
      <w:r w:rsidRPr="004045AD">
        <w:rPr>
          <w:sz w:val="24"/>
          <w:szCs w:val="24"/>
        </w:rPr>
        <w:lastRenderedPageBreak/>
        <w:t>[</w:t>
      </w:r>
      <w:r w:rsidR="004A55DF" w:rsidRPr="004045AD">
        <w:rPr>
          <w:sz w:val="24"/>
          <w:szCs w:val="24"/>
        </w:rPr>
        <w:t>35</w:t>
      </w:r>
      <w:r w:rsidRPr="004045AD">
        <w:rPr>
          <w:sz w:val="24"/>
          <w:szCs w:val="24"/>
        </w:rPr>
        <w:t>]</w:t>
      </w:r>
      <w:r w:rsidR="007A3FEE" w:rsidRPr="004045AD">
        <w:rPr>
          <w:sz w:val="24"/>
          <w:szCs w:val="24"/>
        </w:rPr>
        <w:t xml:space="preserve"> </w:t>
      </w:r>
      <w:r w:rsidR="00840F07" w:rsidRPr="004045AD">
        <w:rPr>
          <w:sz w:val="24"/>
          <w:szCs w:val="24"/>
        </w:rPr>
        <w:t xml:space="preserve"> </w:t>
      </w:r>
      <w:r w:rsidR="004202CA">
        <w:rPr>
          <w:sz w:val="24"/>
          <w:szCs w:val="24"/>
        </w:rPr>
        <w:t xml:space="preserve"> </w:t>
      </w:r>
      <w:r w:rsidR="00F76D57" w:rsidRPr="004045AD">
        <w:rPr>
          <w:sz w:val="24"/>
          <w:szCs w:val="24"/>
        </w:rPr>
        <w:t>Th</w:t>
      </w:r>
      <w:r w:rsidRPr="004045AD">
        <w:rPr>
          <w:sz w:val="24"/>
          <w:szCs w:val="24"/>
        </w:rPr>
        <w:t>e</w:t>
      </w:r>
      <w:r w:rsidR="00F76D57" w:rsidRPr="004045AD">
        <w:rPr>
          <w:sz w:val="24"/>
          <w:szCs w:val="24"/>
        </w:rPr>
        <w:t xml:space="preserve"> court</w:t>
      </w:r>
      <w:r w:rsidRPr="004045AD">
        <w:rPr>
          <w:sz w:val="24"/>
          <w:szCs w:val="24"/>
        </w:rPr>
        <w:t xml:space="preserve"> </w:t>
      </w:r>
      <w:r w:rsidRPr="004045AD">
        <w:rPr>
          <w:i/>
          <w:sz w:val="24"/>
          <w:szCs w:val="24"/>
        </w:rPr>
        <w:t>a quo</w:t>
      </w:r>
      <w:r w:rsidR="00F76D57" w:rsidRPr="004045AD">
        <w:rPr>
          <w:sz w:val="24"/>
          <w:szCs w:val="24"/>
        </w:rPr>
        <w:t xml:space="preserve"> </w:t>
      </w:r>
      <w:r w:rsidR="007A3FEE" w:rsidRPr="004045AD">
        <w:rPr>
          <w:sz w:val="24"/>
          <w:szCs w:val="24"/>
        </w:rPr>
        <w:t>concentrated</w:t>
      </w:r>
      <w:r w:rsidR="00F76D57" w:rsidRPr="004045AD">
        <w:rPr>
          <w:sz w:val="24"/>
          <w:szCs w:val="24"/>
        </w:rPr>
        <w:t xml:space="preserve"> on</w:t>
      </w:r>
      <w:r w:rsidR="007A3FEE" w:rsidRPr="004045AD">
        <w:rPr>
          <w:sz w:val="24"/>
          <w:szCs w:val="24"/>
        </w:rPr>
        <w:t xml:space="preserve"> the</w:t>
      </w:r>
      <w:r w:rsidR="00371A23" w:rsidRPr="004045AD">
        <w:rPr>
          <w:sz w:val="24"/>
          <w:szCs w:val="24"/>
        </w:rPr>
        <w:t xml:space="preserve"> short-</w:t>
      </w:r>
      <w:r w:rsidR="00F76D57" w:rsidRPr="004045AD">
        <w:rPr>
          <w:sz w:val="24"/>
          <w:szCs w:val="24"/>
        </w:rPr>
        <w:t>term effects</w:t>
      </w:r>
      <w:r w:rsidR="00FC7013" w:rsidRPr="004045AD">
        <w:rPr>
          <w:sz w:val="24"/>
          <w:szCs w:val="24"/>
        </w:rPr>
        <w:t xml:space="preserve"> of the merger without taking i</w:t>
      </w:r>
      <w:r w:rsidR="00F76D57" w:rsidRPr="004045AD">
        <w:rPr>
          <w:sz w:val="24"/>
          <w:szCs w:val="24"/>
        </w:rPr>
        <w:t>nto consideration the</w:t>
      </w:r>
      <w:r w:rsidR="000F25AB" w:rsidRPr="004045AD">
        <w:rPr>
          <w:sz w:val="24"/>
          <w:szCs w:val="24"/>
        </w:rPr>
        <w:t xml:space="preserve"> reasonabl</w:t>
      </w:r>
      <w:r w:rsidR="009839F6" w:rsidRPr="004045AD">
        <w:rPr>
          <w:sz w:val="24"/>
          <w:szCs w:val="24"/>
        </w:rPr>
        <w:t>e</w:t>
      </w:r>
      <w:r w:rsidR="000F25AB" w:rsidRPr="004045AD">
        <w:rPr>
          <w:sz w:val="24"/>
          <w:szCs w:val="24"/>
        </w:rPr>
        <w:t xml:space="preserve"> potential</w:t>
      </w:r>
      <w:r w:rsidR="00F76D57" w:rsidRPr="004045AD">
        <w:rPr>
          <w:sz w:val="24"/>
          <w:szCs w:val="24"/>
        </w:rPr>
        <w:t xml:space="preserve"> long</w:t>
      </w:r>
      <w:r w:rsidR="00371A23" w:rsidRPr="004045AD">
        <w:rPr>
          <w:sz w:val="24"/>
          <w:szCs w:val="24"/>
        </w:rPr>
        <w:t>-</w:t>
      </w:r>
      <w:r w:rsidR="00F76D57" w:rsidRPr="004045AD">
        <w:rPr>
          <w:sz w:val="24"/>
          <w:szCs w:val="24"/>
        </w:rPr>
        <w:t>term effects</w:t>
      </w:r>
      <w:r w:rsidR="000F25AB" w:rsidRPr="004045AD">
        <w:rPr>
          <w:sz w:val="24"/>
          <w:szCs w:val="24"/>
        </w:rPr>
        <w:t xml:space="preserve"> of the merger</w:t>
      </w:r>
      <w:r w:rsidR="00F76D57" w:rsidRPr="004045AD">
        <w:rPr>
          <w:sz w:val="24"/>
          <w:szCs w:val="24"/>
        </w:rPr>
        <w:t xml:space="preserve">. </w:t>
      </w:r>
      <w:r w:rsidR="004A55DF" w:rsidRPr="004045AD">
        <w:rPr>
          <w:sz w:val="24"/>
          <w:szCs w:val="24"/>
        </w:rPr>
        <w:t xml:space="preserve"> </w:t>
      </w:r>
      <w:r w:rsidR="007A3FEE" w:rsidRPr="004045AD">
        <w:rPr>
          <w:sz w:val="24"/>
          <w:szCs w:val="24"/>
        </w:rPr>
        <w:t>During the hearing Mr</w:t>
      </w:r>
      <w:r w:rsidR="007A3FEE" w:rsidRPr="004045AD">
        <w:rPr>
          <w:i/>
          <w:sz w:val="24"/>
          <w:szCs w:val="24"/>
        </w:rPr>
        <w:t xml:space="preserve"> Magwaliba</w:t>
      </w:r>
      <w:r w:rsidR="007A3FEE" w:rsidRPr="004045AD">
        <w:rPr>
          <w:sz w:val="24"/>
          <w:szCs w:val="24"/>
        </w:rPr>
        <w:t xml:space="preserve"> conceded that long</w:t>
      </w:r>
      <w:r w:rsidR="00371A23" w:rsidRPr="004045AD">
        <w:rPr>
          <w:sz w:val="24"/>
          <w:szCs w:val="24"/>
        </w:rPr>
        <w:t>-</w:t>
      </w:r>
      <w:r w:rsidR="007A3FEE" w:rsidRPr="004045AD">
        <w:rPr>
          <w:sz w:val="24"/>
          <w:szCs w:val="24"/>
        </w:rPr>
        <w:t>term effects must be taken into consideration.</w:t>
      </w:r>
      <w:r w:rsidR="00F76D57" w:rsidRPr="004045AD">
        <w:rPr>
          <w:sz w:val="24"/>
          <w:szCs w:val="24"/>
        </w:rPr>
        <w:t xml:space="preserve">  </w:t>
      </w:r>
    </w:p>
    <w:p w:rsidR="004A55DF" w:rsidRPr="004045AD" w:rsidRDefault="004A55DF" w:rsidP="004A55DF">
      <w:pPr>
        <w:pStyle w:val="lrdefinition-a"/>
        <w:tabs>
          <w:tab w:val="clear" w:pos="369"/>
          <w:tab w:val="left" w:pos="567"/>
        </w:tabs>
        <w:spacing w:after="0" w:line="240" w:lineRule="auto"/>
        <w:ind w:left="567" w:hanging="567"/>
        <w:rPr>
          <w:sz w:val="24"/>
          <w:szCs w:val="24"/>
        </w:rPr>
      </w:pPr>
    </w:p>
    <w:p w:rsidR="007A3FEE" w:rsidRPr="004045AD" w:rsidRDefault="00C95AE9" w:rsidP="004A55DF">
      <w:pPr>
        <w:pStyle w:val="lrpara-a"/>
        <w:tabs>
          <w:tab w:val="clear" w:pos="680"/>
          <w:tab w:val="right" w:pos="567"/>
        </w:tabs>
        <w:spacing w:line="480" w:lineRule="auto"/>
        <w:ind w:left="567" w:hanging="567"/>
        <w:rPr>
          <w:rFonts w:eastAsiaTheme="minorHAnsi"/>
          <w:sz w:val="24"/>
          <w:szCs w:val="24"/>
          <w:lang w:val="en-US"/>
        </w:rPr>
      </w:pPr>
      <w:r w:rsidRPr="004045AD">
        <w:rPr>
          <w:sz w:val="24"/>
          <w:szCs w:val="24"/>
        </w:rPr>
        <w:t>[</w:t>
      </w:r>
      <w:r w:rsidR="004A55DF" w:rsidRPr="004045AD">
        <w:rPr>
          <w:sz w:val="24"/>
          <w:szCs w:val="24"/>
        </w:rPr>
        <w:t>36</w:t>
      </w:r>
      <w:r w:rsidRPr="004045AD">
        <w:rPr>
          <w:sz w:val="24"/>
          <w:szCs w:val="24"/>
        </w:rPr>
        <w:t xml:space="preserve">] </w:t>
      </w:r>
      <w:r w:rsidR="004A55DF" w:rsidRPr="004045AD">
        <w:rPr>
          <w:sz w:val="24"/>
          <w:szCs w:val="24"/>
        </w:rPr>
        <w:t xml:space="preserve"> </w:t>
      </w:r>
      <w:r w:rsidR="004202CA">
        <w:rPr>
          <w:sz w:val="24"/>
          <w:szCs w:val="24"/>
        </w:rPr>
        <w:t xml:space="preserve"> </w:t>
      </w:r>
      <w:r w:rsidR="00F76D57" w:rsidRPr="004045AD">
        <w:rPr>
          <w:sz w:val="24"/>
          <w:szCs w:val="24"/>
        </w:rPr>
        <w:t>The court</w:t>
      </w:r>
      <w:r w:rsidR="008B37D4" w:rsidRPr="004045AD">
        <w:rPr>
          <w:sz w:val="24"/>
          <w:szCs w:val="24"/>
        </w:rPr>
        <w:t xml:space="preserve"> </w:t>
      </w:r>
      <w:r w:rsidR="008B37D4" w:rsidRPr="004045AD">
        <w:rPr>
          <w:i/>
          <w:sz w:val="24"/>
          <w:szCs w:val="24"/>
        </w:rPr>
        <w:t>a quo</w:t>
      </w:r>
      <w:r w:rsidR="00F76D57" w:rsidRPr="004045AD">
        <w:rPr>
          <w:sz w:val="24"/>
          <w:szCs w:val="24"/>
        </w:rPr>
        <w:t xml:space="preserve"> failed to</w:t>
      </w:r>
      <w:r w:rsidR="007A3FEE" w:rsidRPr="004045AD">
        <w:rPr>
          <w:sz w:val="24"/>
          <w:szCs w:val="24"/>
        </w:rPr>
        <w:t xml:space="preserve"> </w:t>
      </w:r>
      <w:r w:rsidR="00F76D57" w:rsidRPr="004045AD">
        <w:rPr>
          <w:sz w:val="24"/>
          <w:szCs w:val="24"/>
        </w:rPr>
        <w:t xml:space="preserve">consider </w:t>
      </w:r>
      <w:r w:rsidR="007A3FEE" w:rsidRPr="004045AD">
        <w:rPr>
          <w:sz w:val="24"/>
          <w:szCs w:val="24"/>
        </w:rPr>
        <w:t>the potential harmful effects of the respondents’ merger.</w:t>
      </w:r>
      <w:r w:rsidR="00D503E2" w:rsidRPr="004045AD">
        <w:rPr>
          <w:rFonts w:eastAsiaTheme="minorHAnsi"/>
          <w:sz w:val="24"/>
          <w:szCs w:val="24"/>
          <w:lang w:val="en-US"/>
        </w:rPr>
        <w:t xml:space="preserve"> </w:t>
      </w:r>
      <w:r w:rsidR="00510325" w:rsidRPr="004045AD">
        <w:rPr>
          <w:rFonts w:eastAsiaTheme="minorHAnsi"/>
          <w:sz w:val="24"/>
          <w:szCs w:val="24"/>
          <w:lang w:val="en-US"/>
        </w:rPr>
        <w:t xml:space="preserve">It therefore did not make its decision in terms of all the applicable </w:t>
      </w:r>
      <w:r w:rsidR="007415DF">
        <w:rPr>
          <w:rFonts w:eastAsiaTheme="minorHAnsi"/>
          <w:sz w:val="24"/>
          <w:szCs w:val="24"/>
          <w:lang w:val="en-US"/>
        </w:rPr>
        <w:t>factors</w:t>
      </w:r>
      <w:r w:rsidR="00510325" w:rsidRPr="004045AD">
        <w:rPr>
          <w:rFonts w:eastAsiaTheme="minorHAnsi"/>
          <w:sz w:val="24"/>
          <w:szCs w:val="24"/>
          <w:lang w:val="en-US"/>
        </w:rPr>
        <w:t xml:space="preserve"> in assessing a merger. It</w:t>
      </w:r>
      <w:r w:rsidR="00E27D46">
        <w:rPr>
          <w:rFonts w:eastAsiaTheme="minorHAnsi"/>
          <w:sz w:val="24"/>
          <w:szCs w:val="24"/>
          <w:lang w:val="en-US"/>
        </w:rPr>
        <w:t>,</w:t>
      </w:r>
      <w:r w:rsidR="00510325" w:rsidRPr="004045AD">
        <w:rPr>
          <w:rFonts w:eastAsiaTheme="minorHAnsi"/>
          <w:sz w:val="24"/>
          <w:szCs w:val="24"/>
          <w:lang w:val="en-US"/>
        </w:rPr>
        <w:t xml:space="preserve"> in particular</w:t>
      </w:r>
      <w:r w:rsidR="00E27D46">
        <w:rPr>
          <w:rFonts w:eastAsiaTheme="minorHAnsi"/>
          <w:sz w:val="24"/>
          <w:szCs w:val="24"/>
          <w:lang w:val="en-US"/>
        </w:rPr>
        <w:t>,</w:t>
      </w:r>
      <w:r w:rsidR="00510325" w:rsidRPr="004045AD">
        <w:rPr>
          <w:rFonts w:eastAsiaTheme="minorHAnsi"/>
          <w:sz w:val="24"/>
          <w:szCs w:val="24"/>
          <w:lang w:val="en-US"/>
        </w:rPr>
        <w:t xml:space="preserve"> did not consider the potential creation of a monopoly</w:t>
      </w:r>
      <w:r w:rsidR="00860B65" w:rsidRPr="004045AD">
        <w:rPr>
          <w:rFonts w:eastAsiaTheme="minorHAnsi"/>
          <w:sz w:val="24"/>
          <w:szCs w:val="24"/>
          <w:lang w:val="en-US"/>
        </w:rPr>
        <w:t xml:space="preserve"> situation</w:t>
      </w:r>
      <w:r w:rsidR="00510325" w:rsidRPr="004045AD">
        <w:rPr>
          <w:rFonts w:eastAsiaTheme="minorHAnsi"/>
          <w:sz w:val="24"/>
          <w:szCs w:val="24"/>
          <w:lang w:val="en-US"/>
        </w:rPr>
        <w:t xml:space="preserve"> by allowing the merger of Profeeds and National Foods which are the second biggest and biggest manufacturers and suppliers of stock feeds. </w:t>
      </w:r>
      <w:r w:rsidR="000F25AB" w:rsidRPr="004045AD">
        <w:rPr>
          <w:rFonts w:eastAsiaTheme="minorHAnsi"/>
          <w:sz w:val="24"/>
          <w:szCs w:val="24"/>
          <w:lang w:val="en-US"/>
        </w:rPr>
        <w:t xml:space="preserve"> The</w:t>
      </w:r>
      <w:r w:rsidR="00CA31F5" w:rsidRPr="004045AD">
        <w:rPr>
          <w:rFonts w:eastAsiaTheme="minorHAnsi"/>
          <w:sz w:val="24"/>
          <w:szCs w:val="24"/>
          <w:lang w:val="en-US"/>
        </w:rPr>
        <w:t xml:space="preserve"> coming together of the</w:t>
      </w:r>
      <w:r w:rsidR="000F25AB" w:rsidRPr="004045AD">
        <w:rPr>
          <w:rFonts w:eastAsiaTheme="minorHAnsi"/>
          <w:sz w:val="24"/>
          <w:szCs w:val="24"/>
          <w:lang w:val="en-US"/>
        </w:rPr>
        <w:t xml:space="preserve"> two compani</w:t>
      </w:r>
      <w:r w:rsidR="00FC2FF8" w:rsidRPr="004045AD">
        <w:rPr>
          <w:rFonts w:eastAsiaTheme="minorHAnsi"/>
          <w:sz w:val="24"/>
          <w:szCs w:val="24"/>
          <w:lang w:val="en-US"/>
        </w:rPr>
        <w:t>es</w:t>
      </w:r>
      <w:r w:rsidR="008D30B7" w:rsidRPr="004045AD">
        <w:rPr>
          <w:rFonts w:eastAsiaTheme="minorHAnsi"/>
          <w:sz w:val="24"/>
          <w:szCs w:val="24"/>
          <w:lang w:val="en-US"/>
        </w:rPr>
        <w:t xml:space="preserve"> which previously were competitors,</w:t>
      </w:r>
      <w:r w:rsidR="00CA31F5" w:rsidRPr="004045AD">
        <w:rPr>
          <w:rFonts w:eastAsiaTheme="minorHAnsi"/>
          <w:sz w:val="24"/>
          <w:szCs w:val="24"/>
          <w:lang w:val="en-US"/>
        </w:rPr>
        <w:t xml:space="preserve"> under </w:t>
      </w:r>
      <w:r w:rsidR="00371A23" w:rsidRPr="004045AD">
        <w:rPr>
          <w:rFonts w:eastAsiaTheme="minorHAnsi"/>
          <w:sz w:val="24"/>
          <w:szCs w:val="24"/>
          <w:lang w:val="en-US"/>
        </w:rPr>
        <w:t>Innscor</w:t>
      </w:r>
      <w:r w:rsidR="00FC2FF8" w:rsidRPr="004045AD">
        <w:rPr>
          <w:rFonts w:eastAsiaTheme="minorHAnsi"/>
          <w:sz w:val="24"/>
          <w:szCs w:val="24"/>
          <w:lang w:val="en-US"/>
        </w:rPr>
        <w:t xml:space="preserve"> </w:t>
      </w:r>
      <w:r w:rsidR="000F25AB" w:rsidRPr="004045AD">
        <w:rPr>
          <w:rFonts w:eastAsiaTheme="minorHAnsi"/>
          <w:sz w:val="24"/>
          <w:szCs w:val="24"/>
          <w:lang w:val="en-US"/>
        </w:rPr>
        <w:t>create</w:t>
      </w:r>
      <w:r w:rsidR="00FC2FF8" w:rsidRPr="004045AD">
        <w:rPr>
          <w:rFonts w:eastAsiaTheme="minorHAnsi"/>
          <w:sz w:val="24"/>
          <w:szCs w:val="24"/>
          <w:lang w:val="en-US"/>
        </w:rPr>
        <w:t>d</w:t>
      </w:r>
      <w:r w:rsidR="000F25AB" w:rsidRPr="004045AD">
        <w:rPr>
          <w:rFonts w:eastAsiaTheme="minorHAnsi"/>
          <w:sz w:val="24"/>
          <w:szCs w:val="24"/>
          <w:lang w:val="en-US"/>
        </w:rPr>
        <w:t xml:space="preserve"> a dominant unit which can reasonably become a monopoly in the stock feeds industry. </w:t>
      </w:r>
      <w:r w:rsidR="00510325" w:rsidRPr="004045AD">
        <w:rPr>
          <w:rFonts w:eastAsiaTheme="minorHAnsi"/>
          <w:sz w:val="24"/>
          <w:szCs w:val="24"/>
          <w:lang w:val="en-US"/>
        </w:rPr>
        <w:t>The involvement of I</w:t>
      </w:r>
      <w:r w:rsidR="00FC2FF8" w:rsidRPr="004045AD">
        <w:rPr>
          <w:rFonts w:eastAsiaTheme="minorHAnsi"/>
          <w:sz w:val="24"/>
          <w:szCs w:val="24"/>
          <w:lang w:val="en-US"/>
        </w:rPr>
        <w:t>n</w:t>
      </w:r>
      <w:r w:rsidR="005A666E">
        <w:rPr>
          <w:rFonts w:eastAsiaTheme="minorHAnsi"/>
          <w:sz w:val="24"/>
          <w:szCs w:val="24"/>
          <w:lang w:val="en-US"/>
        </w:rPr>
        <w:t>n</w:t>
      </w:r>
      <w:r w:rsidR="00E10EF0" w:rsidRPr="004045AD">
        <w:rPr>
          <w:rFonts w:eastAsiaTheme="minorHAnsi"/>
          <w:sz w:val="24"/>
          <w:szCs w:val="24"/>
          <w:lang w:val="en-US"/>
        </w:rPr>
        <w:t>scor</w:t>
      </w:r>
      <w:r w:rsidR="00510325" w:rsidRPr="004045AD">
        <w:rPr>
          <w:rFonts w:eastAsiaTheme="minorHAnsi"/>
          <w:sz w:val="24"/>
          <w:szCs w:val="24"/>
          <w:lang w:val="en-US"/>
        </w:rPr>
        <w:t xml:space="preserve"> which</w:t>
      </w:r>
      <w:r w:rsidR="00371A23" w:rsidRPr="004045AD">
        <w:rPr>
          <w:rFonts w:eastAsiaTheme="minorHAnsi"/>
          <w:sz w:val="24"/>
          <w:szCs w:val="24"/>
          <w:lang w:val="en-US"/>
        </w:rPr>
        <w:t xml:space="preserve"> the appellant in its</w:t>
      </w:r>
      <w:r w:rsidR="00E0152B" w:rsidRPr="004045AD">
        <w:rPr>
          <w:rFonts w:eastAsiaTheme="minorHAnsi"/>
          <w:sz w:val="24"/>
          <w:szCs w:val="24"/>
          <w:lang w:val="en-US"/>
        </w:rPr>
        <w:t>,</w:t>
      </w:r>
      <w:r w:rsidR="00371A23" w:rsidRPr="004045AD">
        <w:rPr>
          <w:rFonts w:eastAsiaTheme="minorHAnsi"/>
          <w:sz w:val="24"/>
          <w:szCs w:val="24"/>
          <w:lang w:val="en-US"/>
        </w:rPr>
        <w:t xml:space="preserve"> reasons for prohibiting the merger and imposing a monetary penalty</w:t>
      </w:r>
      <w:r w:rsidR="00EC1DD3" w:rsidRPr="004045AD">
        <w:rPr>
          <w:rFonts w:eastAsiaTheme="minorHAnsi"/>
          <w:sz w:val="24"/>
          <w:szCs w:val="24"/>
          <w:lang w:val="en-US"/>
        </w:rPr>
        <w:t xml:space="preserve"> said</w:t>
      </w:r>
      <w:r w:rsidR="00510325" w:rsidRPr="004045AD">
        <w:rPr>
          <w:rFonts w:eastAsiaTheme="minorHAnsi"/>
          <w:sz w:val="24"/>
          <w:szCs w:val="24"/>
          <w:lang w:val="en-US"/>
        </w:rPr>
        <w:t xml:space="preserve"> has a record of contravening compe</w:t>
      </w:r>
      <w:r w:rsidR="00DF23A9" w:rsidRPr="004045AD">
        <w:rPr>
          <w:rFonts w:eastAsiaTheme="minorHAnsi"/>
          <w:sz w:val="24"/>
          <w:szCs w:val="24"/>
          <w:lang w:val="en-US"/>
        </w:rPr>
        <w:t>ti</w:t>
      </w:r>
      <w:r w:rsidR="00510325" w:rsidRPr="004045AD">
        <w:rPr>
          <w:rFonts w:eastAsiaTheme="minorHAnsi"/>
          <w:sz w:val="24"/>
          <w:szCs w:val="24"/>
          <w:lang w:val="en-US"/>
        </w:rPr>
        <w:t>tion laws and has exhibited monopolistic tendencies</w:t>
      </w:r>
      <w:r w:rsidR="0018698A">
        <w:rPr>
          <w:rFonts w:eastAsiaTheme="minorHAnsi"/>
          <w:sz w:val="24"/>
          <w:szCs w:val="24"/>
          <w:lang w:val="en-US"/>
        </w:rPr>
        <w:t>,</w:t>
      </w:r>
      <w:r w:rsidR="00510325" w:rsidRPr="004045AD">
        <w:rPr>
          <w:rFonts w:eastAsiaTheme="minorHAnsi"/>
          <w:sz w:val="24"/>
          <w:szCs w:val="24"/>
          <w:lang w:val="en-US"/>
        </w:rPr>
        <w:t xml:space="preserve"> was not assessed nor commen</w:t>
      </w:r>
      <w:r w:rsidR="00766E20">
        <w:rPr>
          <w:rFonts w:eastAsiaTheme="minorHAnsi"/>
          <w:sz w:val="24"/>
          <w:szCs w:val="24"/>
          <w:lang w:val="en-US"/>
        </w:rPr>
        <w:t>t</w:t>
      </w:r>
      <w:r w:rsidR="00510325" w:rsidRPr="004045AD">
        <w:rPr>
          <w:rFonts w:eastAsiaTheme="minorHAnsi"/>
          <w:sz w:val="24"/>
          <w:szCs w:val="24"/>
          <w:lang w:val="en-US"/>
        </w:rPr>
        <w:t>ed on</w:t>
      </w:r>
      <w:r w:rsidR="00EC1DD3" w:rsidRPr="004045AD">
        <w:rPr>
          <w:rFonts w:eastAsiaTheme="minorHAnsi"/>
          <w:sz w:val="24"/>
          <w:szCs w:val="24"/>
          <w:lang w:val="en-US"/>
        </w:rPr>
        <w:t xml:space="preserve"> by the court </w:t>
      </w:r>
      <w:r w:rsidR="00EC1DD3" w:rsidRPr="004045AD">
        <w:rPr>
          <w:rFonts w:eastAsiaTheme="minorHAnsi"/>
          <w:i/>
          <w:sz w:val="24"/>
          <w:szCs w:val="24"/>
          <w:lang w:val="en-US"/>
        </w:rPr>
        <w:t>a quo</w:t>
      </w:r>
      <w:r w:rsidR="00510325" w:rsidRPr="004045AD">
        <w:rPr>
          <w:rFonts w:eastAsiaTheme="minorHAnsi"/>
          <w:sz w:val="24"/>
          <w:szCs w:val="24"/>
          <w:lang w:val="en-US"/>
        </w:rPr>
        <w:t>.</w:t>
      </w:r>
    </w:p>
    <w:p w:rsidR="00E30831" w:rsidRPr="004045AD" w:rsidRDefault="00E30831" w:rsidP="00E30831">
      <w:pPr>
        <w:pStyle w:val="lrpara-a"/>
        <w:tabs>
          <w:tab w:val="clear" w:pos="680"/>
          <w:tab w:val="right" w:pos="567"/>
        </w:tabs>
        <w:spacing w:after="0" w:line="240" w:lineRule="auto"/>
        <w:ind w:left="567" w:hanging="567"/>
        <w:rPr>
          <w:rFonts w:eastAsiaTheme="minorHAnsi"/>
          <w:sz w:val="24"/>
          <w:szCs w:val="24"/>
          <w:lang w:val="en-US"/>
        </w:rPr>
      </w:pPr>
    </w:p>
    <w:p w:rsidR="002103AE" w:rsidRPr="004045AD" w:rsidRDefault="007A3FEE" w:rsidP="007E358A">
      <w:pPr>
        <w:pStyle w:val="lrpara-a"/>
        <w:tabs>
          <w:tab w:val="clear" w:pos="680"/>
          <w:tab w:val="clear" w:pos="822"/>
          <w:tab w:val="clear" w:pos="1276"/>
        </w:tabs>
        <w:spacing w:after="0" w:line="480" w:lineRule="auto"/>
        <w:ind w:left="567" w:hanging="567"/>
        <w:rPr>
          <w:rFonts w:eastAsiaTheme="minorHAnsi"/>
          <w:sz w:val="24"/>
          <w:szCs w:val="24"/>
          <w:lang w:val="en-US"/>
        </w:rPr>
      </w:pPr>
      <w:r w:rsidRPr="004045AD">
        <w:rPr>
          <w:rFonts w:eastAsiaTheme="minorHAnsi"/>
          <w:sz w:val="24"/>
          <w:szCs w:val="24"/>
          <w:lang w:val="en-US"/>
        </w:rPr>
        <w:t>[</w:t>
      </w:r>
      <w:r w:rsidR="00E10EF0" w:rsidRPr="004045AD">
        <w:rPr>
          <w:rFonts w:eastAsiaTheme="minorHAnsi"/>
          <w:sz w:val="24"/>
          <w:szCs w:val="24"/>
          <w:lang w:val="en-US"/>
        </w:rPr>
        <w:t>37</w:t>
      </w:r>
      <w:r w:rsidRPr="004045AD">
        <w:rPr>
          <w:rFonts w:eastAsiaTheme="minorHAnsi"/>
          <w:sz w:val="24"/>
          <w:szCs w:val="24"/>
          <w:lang w:val="en-US"/>
        </w:rPr>
        <w:t xml:space="preserve">] </w:t>
      </w:r>
      <w:r w:rsidR="00D503E2" w:rsidRPr="004045AD">
        <w:rPr>
          <w:rFonts w:eastAsiaTheme="minorHAnsi"/>
          <w:sz w:val="24"/>
          <w:szCs w:val="24"/>
          <w:lang w:val="en-US"/>
        </w:rPr>
        <w:t>Monopolis</w:t>
      </w:r>
      <w:r w:rsidR="00F53AF9" w:rsidRPr="004045AD">
        <w:rPr>
          <w:rFonts w:eastAsiaTheme="minorHAnsi"/>
          <w:sz w:val="24"/>
          <w:szCs w:val="24"/>
          <w:lang w:val="en-US"/>
        </w:rPr>
        <w:t>tic tendencies must be carefully assessed</w:t>
      </w:r>
      <w:r w:rsidR="00D503E2" w:rsidRPr="004045AD">
        <w:rPr>
          <w:rFonts w:eastAsiaTheme="minorHAnsi"/>
          <w:sz w:val="24"/>
          <w:szCs w:val="24"/>
          <w:lang w:val="en-US"/>
        </w:rPr>
        <w:t xml:space="preserve"> because they may</w:t>
      </w:r>
      <w:r w:rsidRPr="004045AD">
        <w:rPr>
          <w:rFonts w:eastAsiaTheme="minorHAnsi"/>
          <w:sz w:val="24"/>
          <w:szCs w:val="24"/>
          <w:lang w:val="en-US"/>
        </w:rPr>
        <w:t xml:space="preserve"> initially</w:t>
      </w:r>
      <w:r w:rsidR="00D503E2" w:rsidRPr="004045AD">
        <w:rPr>
          <w:rFonts w:eastAsiaTheme="minorHAnsi"/>
          <w:sz w:val="24"/>
          <w:szCs w:val="24"/>
          <w:lang w:val="en-US"/>
        </w:rPr>
        <w:t xml:space="preserve"> appear </w:t>
      </w:r>
      <w:r w:rsidR="00A83BDC" w:rsidRPr="004045AD">
        <w:rPr>
          <w:rFonts w:eastAsiaTheme="minorHAnsi"/>
          <w:sz w:val="24"/>
          <w:szCs w:val="24"/>
          <w:lang w:val="en-US"/>
        </w:rPr>
        <w:t>favorable</w:t>
      </w:r>
      <w:r w:rsidR="00826A73" w:rsidRPr="004045AD">
        <w:rPr>
          <w:rFonts w:eastAsiaTheme="minorHAnsi"/>
          <w:sz w:val="24"/>
          <w:szCs w:val="24"/>
          <w:lang w:val="en-US"/>
        </w:rPr>
        <w:t>,</w:t>
      </w:r>
      <w:r w:rsidR="00D503E2" w:rsidRPr="004045AD">
        <w:rPr>
          <w:rFonts w:eastAsiaTheme="minorHAnsi"/>
          <w:sz w:val="24"/>
          <w:szCs w:val="24"/>
          <w:lang w:val="en-US"/>
        </w:rPr>
        <w:t xml:space="preserve"> but in the long run, they may</w:t>
      </w:r>
      <w:r w:rsidR="0095478F">
        <w:rPr>
          <w:rFonts w:eastAsiaTheme="minorHAnsi"/>
          <w:sz w:val="24"/>
          <w:szCs w:val="24"/>
          <w:lang w:val="en-US"/>
        </w:rPr>
        <w:t>,</w:t>
      </w:r>
      <w:r w:rsidR="00F53AF9" w:rsidRPr="004045AD">
        <w:rPr>
          <w:rFonts w:eastAsiaTheme="minorHAnsi"/>
          <w:sz w:val="24"/>
          <w:szCs w:val="24"/>
          <w:lang w:val="en-US"/>
        </w:rPr>
        <w:t xml:space="preserve"> when the</w:t>
      </w:r>
      <w:r w:rsidR="00482CFB" w:rsidRPr="004045AD">
        <w:rPr>
          <w:rFonts w:eastAsiaTheme="minorHAnsi"/>
          <w:sz w:val="24"/>
          <w:szCs w:val="24"/>
          <w:lang w:val="en-US"/>
        </w:rPr>
        <w:t xml:space="preserve"> monopolists</w:t>
      </w:r>
      <w:r w:rsidR="00F53AF9" w:rsidRPr="004045AD">
        <w:rPr>
          <w:rFonts w:eastAsiaTheme="minorHAnsi"/>
          <w:sz w:val="24"/>
          <w:szCs w:val="24"/>
          <w:lang w:val="en-US"/>
        </w:rPr>
        <w:t xml:space="preserve"> get to a point where the market has no other option but to buy their goods</w:t>
      </w:r>
      <w:r w:rsidR="0095478F">
        <w:rPr>
          <w:rFonts w:eastAsiaTheme="minorHAnsi"/>
          <w:sz w:val="24"/>
          <w:szCs w:val="24"/>
          <w:lang w:val="en-US"/>
        </w:rPr>
        <w:t>,</w:t>
      </w:r>
      <w:r w:rsidR="00D503E2" w:rsidRPr="004045AD">
        <w:rPr>
          <w:rFonts w:eastAsiaTheme="minorHAnsi"/>
          <w:sz w:val="24"/>
          <w:szCs w:val="24"/>
          <w:lang w:val="en-US"/>
        </w:rPr>
        <w:t xml:space="preserve"> turn around and contro</w:t>
      </w:r>
      <w:r w:rsidR="00FC7013" w:rsidRPr="004045AD">
        <w:rPr>
          <w:rFonts w:eastAsiaTheme="minorHAnsi"/>
          <w:sz w:val="24"/>
          <w:szCs w:val="24"/>
          <w:lang w:val="en-US"/>
        </w:rPr>
        <w:t xml:space="preserve">l even the economy of a country </w:t>
      </w:r>
      <w:r w:rsidR="008B37D4" w:rsidRPr="004045AD">
        <w:rPr>
          <w:rFonts w:eastAsiaTheme="minorHAnsi"/>
          <w:sz w:val="24"/>
          <w:szCs w:val="24"/>
          <w:lang w:val="en-US"/>
        </w:rPr>
        <w:t>by producing</w:t>
      </w:r>
      <w:r w:rsidR="00FC7013" w:rsidRPr="004045AD">
        <w:rPr>
          <w:rFonts w:eastAsiaTheme="minorHAnsi"/>
          <w:sz w:val="24"/>
          <w:szCs w:val="24"/>
          <w:lang w:val="en-US"/>
        </w:rPr>
        <w:t xml:space="preserve"> highly price</w:t>
      </w:r>
      <w:r w:rsidR="008B37D4" w:rsidRPr="004045AD">
        <w:rPr>
          <w:rFonts w:eastAsiaTheme="minorHAnsi"/>
          <w:sz w:val="24"/>
          <w:szCs w:val="24"/>
          <w:lang w:val="en-US"/>
        </w:rPr>
        <w:t>d</w:t>
      </w:r>
      <w:r w:rsidR="00FC7013" w:rsidRPr="004045AD">
        <w:rPr>
          <w:rFonts w:eastAsiaTheme="minorHAnsi"/>
          <w:sz w:val="24"/>
          <w:szCs w:val="24"/>
          <w:lang w:val="en-US"/>
        </w:rPr>
        <w:t xml:space="preserve"> goods</w:t>
      </w:r>
      <w:r w:rsidR="00826A73" w:rsidRPr="004045AD">
        <w:rPr>
          <w:rFonts w:eastAsiaTheme="minorHAnsi"/>
          <w:sz w:val="24"/>
          <w:szCs w:val="24"/>
          <w:lang w:val="en-US"/>
        </w:rPr>
        <w:t xml:space="preserve"> or substa</w:t>
      </w:r>
      <w:r w:rsidR="00DF23A9" w:rsidRPr="004045AD">
        <w:rPr>
          <w:rFonts w:eastAsiaTheme="minorHAnsi"/>
          <w:sz w:val="24"/>
          <w:szCs w:val="24"/>
          <w:lang w:val="en-US"/>
        </w:rPr>
        <w:t>ndard goods sold at high prices</w:t>
      </w:r>
      <w:r w:rsidR="00FC7013" w:rsidRPr="004045AD">
        <w:rPr>
          <w:rFonts w:eastAsiaTheme="minorHAnsi"/>
          <w:sz w:val="24"/>
          <w:szCs w:val="24"/>
          <w:lang w:val="en-US"/>
        </w:rPr>
        <w:t>.</w:t>
      </w:r>
      <w:r w:rsidR="00D503E2" w:rsidRPr="004045AD">
        <w:rPr>
          <w:rFonts w:eastAsiaTheme="minorHAnsi"/>
          <w:sz w:val="24"/>
          <w:szCs w:val="24"/>
          <w:lang w:val="en-US"/>
        </w:rPr>
        <w:t xml:space="preserve"> They may also destroy small business in the future</w:t>
      </w:r>
      <w:r w:rsidR="00F53AF9" w:rsidRPr="004045AD">
        <w:rPr>
          <w:rFonts w:eastAsiaTheme="minorHAnsi"/>
          <w:sz w:val="24"/>
          <w:szCs w:val="24"/>
          <w:lang w:val="en-US"/>
        </w:rPr>
        <w:t xml:space="preserve">. </w:t>
      </w:r>
      <w:r w:rsidR="00E10EF0" w:rsidRPr="004045AD">
        <w:rPr>
          <w:rFonts w:eastAsiaTheme="minorHAnsi"/>
          <w:sz w:val="24"/>
          <w:szCs w:val="24"/>
          <w:lang w:val="en-US"/>
        </w:rPr>
        <w:t xml:space="preserve"> </w:t>
      </w:r>
      <w:r w:rsidR="00F53AF9" w:rsidRPr="004045AD">
        <w:rPr>
          <w:rFonts w:eastAsiaTheme="minorHAnsi"/>
          <w:sz w:val="24"/>
          <w:szCs w:val="24"/>
          <w:lang w:val="en-US"/>
        </w:rPr>
        <w:t xml:space="preserve">In this case the court </w:t>
      </w:r>
      <w:r w:rsidR="00F53AF9" w:rsidRPr="004045AD">
        <w:rPr>
          <w:rFonts w:eastAsiaTheme="minorHAnsi"/>
          <w:i/>
          <w:sz w:val="24"/>
          <w:szCs w:val="24"/>
          <w:lang w:val="en-US"/>
        </w:rPr>
        <w:t>a quo</w:t>
      </w:r>
      <w:r w:rsidR="00D503E2" w:rsidRPr="004045AD">
        <w:rPr>
          <w:rFonts w:eastAsiaTheme="minorHAnsi"/>
          <w:sz w:val="24"/>
          <w:szCs w:val="24"/>
          <w:lang w:val="en-US"/>
        </w:rPr>
        <w:t xml:space="preserve"> </w:t>
      </w:r>
      <w:r w:rsidR="00F53AF9" w:rsidRPr="004045AD">
        <w:rPr>
          <w:rFonts w:eastAsiaTheme="minorHAnsi"/>
          <w:sz w:val="24"/>
          <w:szCs w:val="24"/>
          <w:lang w:val="en-US"/>
        </w:rPr>
        <w:t>should have carefully</w:t>
      </w:r>
      <w:r w:rsidR="00D503E2" w:rsidRPr="004045AD">
        <w:rPr>
          <w:rFonts w:eastAsiaTheme="minorHAnsi"/>
          <w:sz w:val="24"/>
          <w:szCs w:val="24"/>
          <w:lang w:val="en-US"/>
        </w:rPr>
        <w:t xml:space="preserve"> consider</w:t>
      </w:r>
      <w:r w:rsidR="00F53AF9" w:rsidRPr="004045AD">
        <w:rPr>
          <w:rFonts w:eastAsiaTheme="minorHAnsi"/>
          <w:sz w:val="24"/>
          <w:szCs w:val="24"/>
          <w:lang w:val="en-US"/>
        </w:rPr>
        <w:t>ed</w:t>
      </w:r>
      <w:r w:rsidR="00D503E2" w:rsidRPr="004045AD">
        <w:rPr>
          <w:rFonts w:eastAsiaTheme="minorHAnsi"/>
          <w:sz w:val="24"/>
          <w:szCs w:val="24"/>
          <w:lang w:val="en-US"/>
        </w:rPr>
        <w:t xml:space="preserve"> the fact that In</w:t>
      </w:r>
      <w:r w:rsidR="00EC1DD3" w:rsidRPr="004045AD">
        <w:rPr>
          <w:rFonts w:eastAsiaTheme="minorHAnsi"/>
          <w:sz w:val="24"/>
          <w:szCs w:val="24"/>
          <w:lang w:val="en-US"/>
        </w:rPr>
        <w:t>n</w:t>
      </w:r>
      <w:r w:rsidR="00D503E2" w:rsidRPr="004045AD">
        <w:rPr>
          <w:rFonts w:eastAsiaTheme="minorHAnsi"/>
          <w:sz w:val="24"/>
          <w:szCs w:val="24"/>
          <w:lang w:val="en-US"/>
        </w:rPr>
        <w:t>scor retained a controlling interest in</w:t>
      </w:r>
      <w:r w:rsidR="00B6499E" w:rsidRPr="004045AD">
        <w:rPr>
          <w:rFonts w:eastAsiaTheme="minorHAnsi"/>
          <w:sz w:val="24"/>
          <w:szCs w:val="24"/>
          <w:lang w:val="en-US"/>
        </w:rPr>
        <w:t xml:space="preserve"> both Profeeds and</w:t>
      </w:r>
      <w:r w:rsidR="00D503E2" w:rsidRPr="004045AD">
        <w:rPr>
          <w:rFonts w:eastAsiaTheme="minorHAnsi"/>
          <w:sz w:val="24"/>
          <w:szCs w:val="24"/>
          <w:lang w:val="en-US"/>
        </w:rPr>
        <w:t xml:space="preserve"> National Foods</w:t>
      </w:r>
      <w:r w:rsidR="0037541B">
        <w:rPr>
          <w:rFonts w:eastAsiaTheme="minorHAnsi"/>
          <w:sz w:val="24"/>
          <w:szCs w:val="24"/>
          <w:lang w:val="en-US"/>
        </w:rPr>
        <w:t>,</w:t>
      </w:r>
      <w:r w:rsidR="00D503E2" w:rsidRPr="004045AD">
        <w:rPr>
          <w:rFonts w:eastAsiaTheme="minorHAnsi"/>
          <w:sz w:val="24"/>
          <w:szCs w:val="24"/>
          <w:lang w:val="en-US"/>
        </w:rPr>
        <w:t xml:space="preserve"> compan</w:t>
      </w:r>
      <w:r w:rsidR="00B6499E" w:rsidRPr="004045AD">
        <w:rPr>
          <w:rFonts w:eastAsiaTheme="minorHAnsi"/>
          <w:sz w:val="24"/>
          <w:szCs w:val="24"/>
          <w:lang w:val="en-US"/>
        </w:rPr>
        <w:t>ies</w:t>
      </w:r>
      <w:r w:rsidR="00D503E2" w:rsidRPr="004045AD">
        <w:rPr>
          <w:rFonts w:eastAsiaTheme="minorHAnsi"/>
          <w:sz w:val="24"/>
          <w:szCs w:val="24"/>
          <w:lang w:val="en-US"/>
        </w:rPr>
        <w:t xml:space="preserve"> which </w:t>
      </w:r>
      <w:r w:rsidR="00B6499E" w:rsidRPr="004045AD">
        <w:rPr>
          <w:rFonts w:eastAsiaTheme="minorHAnsi"/>
          <w:sz w:val="24"/>
          <w:szCs w:val="24"/>
          <w:lang w:val="en-US"/>
        </w:rPr>
        <w:t>both speciali</w:t>
      </w:r>
      <w:r w:rsidR="00D503E2" w:rsidRPr="004045AD">
        <w:rPr>
          <w:rFonts w:eastAsiaTheme="minorHAnsi"/>
          <w:sz w:val="24"/>
          <w:szCs w:val="24"/>
          <w:lang w:val="en-US"/>
        </w:rPr>
        <w:t>s</w:t>
      </w:r>
      <w:r w:rsidR="00B6499E" w:rsidRPr="004045AD">
        <w:rPr>
          <w:rFonts w:eastAsiaTheme="minorHAnsi"/>
          <w:sz w:val="24"/>
          <w:szCs w:val="24"/>
          <w:lang w:val="en-US"/>
        </w:rPr>
        <w:t>e</w:t>
      </w:r>
      <w:r w:rsidR="00D503E2" w:rsidRPr="004045AD">
        <w:rPr>
          <w:rFonts w:eastAsiaTheme="minorHAnsi"/>
          <w:sz w:val="24"/>
          <w:szCs w:val="24"/>
          <w:lang w:val="en-US"/>
        </w:rPr>
        <w:t xml:space="preserve"> in manufacturing</w:t>
      </w:r>
      <w:r w:rsidR="00EC1DD3" w:rsidRPr="004045AD">
        <w:rPr>
          <w:rFonts w:eastAsiaTheme="minorHAnsi"/>
          <w:sz w:val="24"/>
          <w:szCs w:val="24"/>
          <w:lang w:val="en-US"/>
        </w:rPr>
        <w:t xml:space="preserve"> and selling</w:t>
      </w:r>
      <w:r w:rsidR="00D503E2" w:rsidRPr="004045AD">
        <w:rPr>
          <w:rFonts w:eastAsiaTheme="minorHAnsi"/>
          <w:sz w:val="24"/>
          <w:szCs w:val="24"/>
          <w:lang w:val="en-US"/>
        </w:rPr>
        <w:t xml:space="preserve"> stock</w:t>
      </w:r>
      <w:r w:rsidR="00422E09" w:rsidRPr="004045AD">
        <w:rPr>
          <w:rFonts w:eastAsiaTheme="minorHAnsi"/>
          <w:sz w:val="24"/>
          <w:szCs w:val="24"/>
          <w:lang w:val="en-US"/>
        </w:rPr>
        <w:t xml:space="preserve"> </w:t>
      </w:r>
      <w:r w:rsidR="00D503E2" w:rsidRPr="004045AD">
        <w:rPr>
          <w:rFonts w:eastAsiaTheme="minorHAnsi"/>
          <w:sz w:val="24"/>
          <w:szCs w:val="24"/>
          <w:lang w:val="en-US"/>
        </w:rPr>
        <w:t>feed</w:t>
      </w:r>
      <w:r w:rsidR="00FA1B22" w:rsidRPr="004045AD">
        <w:rPr>
          <w:rFonts w:eastAsiaTheme="minorHAnsi"/>
          <w:sz w:val="24"/>
          <w:szCs w:val="24"/>
          <w:lang w:val="en-US"/>
        </w:rPr>
        <w:t>s</w:t>
      </w:r>
      <w:r w:rsidR="00DF23A9" w:rsidRPr="004045AD">
        <w:rPr>
          <w:rFonts w:eastAsiaTheme="minorHAnsi"/>
          <w:sz w:val="24"/>
          <w:szCs w:val="24"/>
          <w:lang w:val="en-US"/>
        </w:rPr>
        <w:t xml:space="preserve">.  </w:t>
      </w:r>
      <w:r w:rsidR="00930EED" w:rsidRPr="004045AD">
        <w:rPr>
          <w:rFonts w:eastAsiaTheme="minorHAnsi"/>
          <w:sz w:val="24"/>
          <w:szCs w:val="24"/>
          <w:lang w:val="en-US"/>
        </w:rPr>
        <w:t>Innscor also has</w:t>
      </w:r>
      <w:r w:rsidR="00D503E2" w:rsidRPr="004045AD">
        <w:rPr>
          <w:rFonts w:eastAsiaTheme="minorHAnsi"/>
          <w:sz w:val="24"/>
          <w:szCs w:val="24"/>
          <w:lang w:val="en-US"/>
        </w:rPr>
        <w:t xml:space="preserve"> a controlling i</w:t>
      </w:r>
      <w:r w:rsidR="00E10EF0" w:rsidRPr="004045AD">
        <w:rPr>
          <w:rFonts w:eastAsiaTheme="minorHAnsi"/>
          <w:sz w:val="24"/>
          <w:szCs w:val="24"/>
          <w:lang w:val="en-US"/>
        </w:rPr>
        <w:t>nterest in Irvines Zimbabwe (Private</w:t>
      </w:r>
      <w:r w:rsidR="00D503E2" w:rsidRPr="004045AD">
        <w:rPr>
          <w:rFonts w:eastAsiaTheme="minorHAnsi"/>
          <w:sz w:val="24"/>
          <w:szCs w:val="24"/>
          <w:lang w:val="en-US"/>
        </w:rPr>
        <w:t>) Lt</w:t>
      </w:r>
      <w:r w:rsidR="00FF000F" w:rsidRPr="004045AD">
        <w:rPr>
          <w:rFonts w:eastAsiaTheme="minorHAnsi"/>
          <w:sz w:val="24"/>
          <w:szCs w:val="24"/>
          <w:lang w:val="en-US"/>
        </w:rPr>
        <w:t>d a major customer of both Prof</w:t>
      </w:r>
      <w:r w:rsidR="00930EED" w:rsidRPr="004045AD">
        <w:rPr>
          <w:rFonts w:eastAsiaTheme="minorHAnsi"/>
          <w:sz w:val="24"/>
          <w:szCs w:val="24"/>
          <w:lang w:val="en-US"/>
        </w:rPr>
        <w:t>eeds and National Foods</w:t>
      </w:r>
      <w:r w:rsidR="00D503E2" w:rsidRPr="004045AD">
        <w:rPr>
          <w:rFonts w:eastAsiaTheme="minorHAnsi"/>
          <w:sz w:val="24"/>
          <w:szCs w:val="24"/>
          <w:lang w:val="en-US"/>
        </w:rPr>
        <w:t xml:space="preserve">. </w:t>
      </w:r>
      <w:r w:rsidR="00E10EF0" w:rsidRPr="004045AD">
        <w:rPr>
          <w:rFonts w:eastAsiaTheme="minorHAnsi"/>
          <w:sz w:val="24"/>
          <w:szCs w:val="24"/>
          <w:lang w:val="en-US"/>
        </w:rPr>
        <w:t xml:space="preserve"> </w:t>
      </w:r>
      <w:r w:rsidR="00D503E2" w:rsidRPr="004045AD">
        <w:rPr>
          <w:rFonts w:eastAsiaTheme="minorHAnsi"/>
          <w:sz w:val="24"/>
          <w:szCs w:val="24"/>
          <w:lang w:val="en-US"/>
        </w:rPr>
        <w:t xml:space="preserve">An analysis of </w:t>
      </w:r>
      <w:r w:rsidR="00930EED" w:rsidRPr="004045AD">
        <w:rPr>
          <w:rFonts w:eastAsiaTheme="minorHAnsi"/>
          <w:sz w:val="24"/>
          <w:szCs w:val="24"/>
          <w:lang w:val="en-US"/>
        </w:rPr>
        <w:t>Innscor’s</w:t>
      </w:r>
      <w:r w:rsidR="00D503E2" w:rsidRPr="004045AD">
        <w:rPr>
          <w:rFonts w:eastAsiaTheme="minorHAnsi"/>
          <w:sz w:val="24"/>
          <w:szCs w:val="24"/>
          <w:lang w:val="en-US"/>
        </w:rPr>
        <w:t xml:space="preserve"> conduct shows that it </w:t>
      </w:r>
      <w:r w:rsidR="00B6499E" w:rsidRPr="004045AD">
        <w:rPr>
          <w:rFonts w:eastAsiaTheme="minorHAnsi"/>
          <w:sz w:val="24"/>
          <w:szCs w:val="24"/>
          <w:lang w:val="en-US"/>
        </w:rPr>
        <w:t>desires</w:t>
      </w:r>
      <w:r w:rsidR="00D503E2" w:rsidRPr="004045AD">
        <w:rPr>
          <w:rFonts w:eastAsiaTheme="minorHAnsi"/>
          <w:sz w:val="24"/>
          <w:szCs w:val="24"/>
          <w:lang w:val="en-US"/>
        </w:rPr>
        <w:t xml:space="preserve"> </w:t>
      </w:r>
      <w:r w:rsidR="00D503E2" w:rsidRPr="004045AD">
        <w:rPr>
          <w:rFonts w:eastAsiaTheme="minorHAnsi"/>
          <w:sz w:val="24"/>
          <w:szCs w:val="24"/>
          <w:lang w:val="en-US"/>
        </w:rPr>
        <w:lastRenderedPageBreak/>
        <w:t>to wholly control the stock</w:t>
      </w:r>
      <w:r w:rsidR="00422E09" w:rsidRPr="004045AD">
        <w:rPr>
          <w:rFonts w:eastAsiaTheme="minorHAnsi"/>
          <w:sz w:val="24"/>
          <w:szCs w:val="24"/>
          <w:lang w:val="en-US"/>
        </w:rPr>
        <w:t xml:space="preserve"> </w:t>
      </w:r>
      <w:r w:rsidR="00D503E2" w:rsidRPr="004045AD">
        <w:rPr>
          <w:rFonts w:eastAsiaTheme="minorHAnsi"/>
          <w:sz w:val="24"/>
          <w:szCs w:val="24"/>
          <w:lang w:val="en-US"/>
        </w:rPr>
        <w:t>feed</w:t>
      </w:r>
      <w:r w:rsidR="000F590D" w:rsidRPr="004045AD">
        <w:rPr>
          <w:rFonts w:eastAsiaTheme="minorHAnsi"/>
          <w:sz w:val="24"/>
          <w:szCs w:val="24"/>
          <w:lang w:val="en-US"/>
        </w:rPr>
        <w:t>s</w:t>
      </w:r>
      <w:r w:rsidR="00D503E2" w:rsidRPr="004045AD">
        <w:rPr>
          <w:rFonts w:eastAsiaTheme="minorHAnsi"/>
          <w:sz w:val="24"/>
          <w:szCs w:val="24"/>
          <w:lang w:val="en-US"/>
        </w:rPr>
        <w:t xml:space="preserve"> market which is not permissible. </w:t>
      </w:r>
      <w:r w:rsidR="00E10EF0" w:rsidRPr="004045AD">
        <w:rPr>
          <w:rFonts w:eastAsiaTheme="minorHAnsi"/>
          <w:sz w:val="24"/>
          <w:szCs w:val="24"/>
          <w:lang w:val="en-US"/>
        </w:rPr>
        <w:t xml:space="preserve"> </w:t>
      </w:r>
      <w:r w:rsidR="00D503E2" w:rsidRPr="004045AD">
        <w:rPr>
          <w:rFonts w:eastAsiaTheme="minorHAnsi"/>
          <w:sz w:val="24"/>
          <w:szCs w:val="24"/>
          <w:lang w:val="en-US"/>
        </w:rPr>
        <w:t xml:space="preserve">A reading of the record shows that there is evidence to the effect that </w:t>
      </w:r>
      <w:r w:rsidR="00930EED" w:rsidRPr="004045AD">
        <w:rPr>
          <w:rFonts w:eastAsiaTheme="minorHAnsi"/>
          <w:sz w:val="24"/>
          <w:szCs w:val="24"/>
          <w:lang w:val="en-US"/>
        </w:rPr>
        <w:t>Innscor</w:t>
      </w:r>
      <w:r w:rsidR="00D503E2" w:rsidRPr="004045AD">
        <w:rPr>
          <w:rFonts w:eastAsiaTheme="minorHAnsi"/>
          <w:sz w:val="24"/>
          <w:szCs w:val="24"/>
          <w:lang w:val="en-US"/>
        </w:rPr>
        <w:t xml:space="preserve"> previously </w:t>
      </w:r>
      <w:r w:rsidR="00FC7013" w:rsidRPr="004045AD">
        <w:rPr>
          <w:rFonts w:eastAsiaTheme="minorHAnsi"/>
          <w:sz w:val="24"/>
          <w:szCs w:val="24"/>
          <w:lang w:val="en-US"/>
        </w:rPr>
        <w:t>applied for the m</w:t>
      </w:r>
      <w:r w:rsidR="00D503E2" w:rsidRPr="004045AD">
        <w:rPr>
          <w:rFonts w:eastAsiaTheme="minorHAnsi"/>
          <w:sz w:val="24"/>
          <w:szCs w:val="24"/>
          <w:lang w:val="en-US"/>
        </w:rPr>
        <w:t>erger</w:t>
      </w:r>
      <w:r w:rsidR="00826A73" w:rsidRPr="004045AD">
        <w:rPr>
          <w:rFonts w:eastAsiaTheme="minorHAnsi"/>
          <w:sz w:val="24"/>
          <w:szCs w:val="24"/>
          <w:lang w:val="en-US"/>
        </w:rPr>
        <w:t xml:space="preserve">, </w:t>
      </w:r>
      <w:r w:rsidR="008B37D4" w:rsidRPr="004045AD">
        <w:rPr>
          <w:rFonts w:eastAsiaTheme="minorHAnsi"/>
          <w:sz w:val="24"/>
          <w:szCs w:val="24"/>
          <w:lang w:val="en-US"/>
        </w:rPr>
        <w:t>which the appellant refused to grant.</w:t>
      </w:r>
      <w:r w:rsidR="00D503E2" w:rsidRPr="004045AD">
        <w:rPr>
          <w:rFonts w:eastAsiaTheme="minorHAnsi"/>
          <w:sz w:val="24"/>
          <w:szCs w:val="24"/>
          <w:lang w:val="en-US"/>
        </w:rPr>
        <w:t xml:space="preserve"> </w:t>
      </w:r>
      <w:r w:rsidR="00E10EF0" w:rsidRPr="004045AD">
        <w:rPr>
          <w:rFonts w:eastAsiaTheme="minorHAnsi"/>
          <w:sz w:val="24"/>
          <w:szCs w:val="24"/>
          <w:lang w:val="en-US"/>
        </w:rPr>
        <w:t xml:space="preserve"> </w:t>
      </w:r>
      <w:r w:rsidR="00826A73" w:rsidRPr="004045AD">
        <w:rPr>
          <w:rFonts w:eastAsiaTheme="minorHAnsi"/>
          <w:sz w:val="24"/>
          <w:szCs w:val="24"/>
          <w:lang w:val="en-US"/>
        </w:rPr>
        <w:t>It</w:t>
      </w:r>
      <w:r w:rsidR="009F41F8">
        <w:rPr>
          <w:rFonts w:eastAsiaTheme="minorHAnsi"/>
          <w:sz w:val="24"/>
          <w:szCs w:val="24"/>
          <w:lang w:val="en-US"/>
        </w:rPr>
        <w:t>,</w:t>
      </w:r>
      <w:r w:rsidR="00826A73" w:rsidRPr="004045AD">
        <w:rPr>
          <w:rFonts w:eastAsiaTheme="minorHAnsi"/>
          <w:sz w:val="24"/>
          <w:szCs w:val="24"/>
          <w:lang w:val="en-US"/>
        </w:rPr>
        <w:t xml:space="preserve"> after making in</w:t>
      </w:r>
      <w:r w:rsidR="00B6499E" w:rsidRPr="004045AD">
        <w:rPr>
          <w:rFonts w:eastAsiaTheme="minorHAnsi"/>
          <w:sz w:val="24"/>
          <w:szCs w:val="24"/>
          <w:lang w:val="en-US"/>
        </w:rPr>
        <w:t>conse</w:t>
      </w:r>
      <w:r w:rsidR="00826A73" w:rsidRPr="004045AD">
        <w:rPr>
          <w:rFonts w:eastAsiaTheme="minorHAnsi"/>
          <w:sz w:val="24"/>
          <w:szCs w:val="24"/>
          <w:lang w:val="en-US"/>
        </w:rPr>
        <w:t>q</w:t>
      </w:r>
      <w:r w:rsidR="00C6059C" w:rsidRPr="004045AD">
        <w:rPr>
          <w:rFonts w:eastAsiaTheme="minorHAnsi"/>
          <w:sz w:val="24"/>
          <w:szCs w:val="24"/>
          <w:lang w:val="en-US"/>
        </w:rPr>
        <w:t>u</w:t>
      </w:r>
      <w:r w:rsidR="00B6499E" w:rsidRPr="004045AD">
        <w:rPr>
          <w:rFonts w:eastAsiaTheme="minorHAnsi"/>
          <w:sz w:val="24"/>
          <w:szCs w:val="24"/>
          <w:lang w:val="en-US"/>
        </w:rPr>
        <w:t>e</w:t>
      </w:r>
      <w:r w:rsidR="00826A73" w:rsidRPr="004045AD">
        <w:rPr>
          <w:rFonts w:eastAsiaTheme="minorHAnsi"/>
          <w:sz w:val="24"/>
          <w:szCs w:val="24"/>
          <w:lang w:val="en-US"/>
        </w:rPr>
        <w:t>ntial adjustments</w:t>
      </w:r>
      <w:r w:rsidR="009F41F8">
        <w:rPr>
          <w:rFonts w:eastAsiaTheme="minorHAnsi"/>
          <w:sz w:val="24"/>
          <w:szCs w:val="24"/>
          <w:lang w:val="en-US"/>
        </w:rPr>
        <w:t>,</w:t>
      </w:r>
      <w:r w:rsidR="00826A73" w:rsidRPr="004045AD">
        <w:rPr>
          <w:rFonts w:eastAsiaTheme="minorHAnsi"/>
          <w:sz w:val="24"/>
          <w:szCs w:val="24"/>
          <w:lang w:val="en-US"/>
        </w:rPr>
        <w:t xml:space="preserve"> </w:t>
      </w:r>
      <w:r w:rsidR="00DF23A9" w:rsidRPr="004045AD">
        <w:rPr>
          <w:rFonts w:eastAsiaTheme="minorHAnsi"/>
          <w:sz w:val="24"/>
          <w:szCs w:val="24"/>
          <w:lang w:val="en-US"/>
        </w:rPr>
        <w:t>consummated</w:t>
      </w:r>
      <w:r w:rsidR="00826A73" w:rsidRPr="004045AD">
        <w:rPr>
          <w:rFonts w:eastAsiaTheme="minorHAnsi"/>
          <w:sz w:val="24"/>
          <w:szCs w:val="24"/>
          <w:lang w:val="en-US"/>
        </w:rPr>
        <w:t xml:space="preserve"> a merger with the</w:t>
      </w:r>
      <w:r w:rsidR="00C6059C" w:rsidRPr="004045AD">
        <w:rPr>
          <w:rFonts w:eastAsiaTheme="minorHAnsi"/>
          <w:sz w:val="24"/>
          <w:szCs w:val="24"/>
          <w:lang w:val="en-US"/>
        </w:rPr>
        <w:t xml:space="preserve"> same companies </w:t>
      </w:r>
      <w:r w:rsidR="00930EED" w:rsidRPr="004045AD">
        <w:rPr>
          <w:rFonts w:eastAsiaTheme="minorHAnsi"/>
          <w:sz w:val="24"/>
          <w:szCs w:val="24"/>
          <w:lang w:val="en-US"/>
        </w:rPr>
        <w:t xml:space="preserve">Profeeds </w:t>
      </w:r>
      <w:r w:rsidR="00826A73" w:rsidRPr="004045AD">
        <w:rPr>
          <w:rFonts w:eastAsiaTheme="minorHAnsi"/>
          <w:sz w:val="24"/>
          <w:szCs w:val="24"/>
          <w:lang w:val="en-US"/>
        </w:rPr>
        <w:t xml:space="preserve">and </w:t>
      </w:r>
      <w:r w:rsidR="00930EED" w:rsidRPr="004045AD">
        <w:rPr>
          <w:rFonts w:eastAsiaTheme="minorHAnsi"/>
          <w:sz w:val="24"/>
          <w:szCs w:val="24"/>
          <w:lang w:val="en-US"/>
        </w:rPr>
        <w:t>Produtrade</w:t>
      </w:r>
      <w:r w:rsidR="00826A73" w:rsidRPr="004045AD">
        <w:rPr>
          <w:rFonts w:eastAsiaTheme="minorHAnsi"/>
          <w:sz w:val="24"/>
          <w:szCs w:val="24"/>
          <w:lang w:val="en-US"/>
        </w:rPr>
        <w:t xml:space="preserve"> without notifying the appellant</w:t>
      </w:r>
      <w:r w:rsidR="00FA1B22" w:rsidRPr="004045AD">
        <w:rPr>
          <w:rFonts w:eastAsiaTheme="minorHAnsi"/>
          <w:sz w:val="24"/>
          <w:szCs w:val="24"/>
          <w:lang w:val="en-US"/>
        </w:rPr>
        <w:t xml:space="preserve"> o</w:t>
      </w:r>
      <w:r w:rsidR="00B6499E" w:rsidRPr="004045AD">
        <w:rPr>
          <w:rFonts w:eastAsiaTheme="minorHAnsi"/>
          <w:sz w:val="24"/>
          <w:szCs w:val="24"/>
          <w:lang w:val="en-US"/>
        </w:rPr>
        <w:t>f</w:t>
      </w:r>
      <w:r w:rsidR="00FA1B22" w:rsidRPr="004045AD">
        <w:rPr>
          <w:rFonts w:eastAsiaTheme="minorHAnsi"/>
          <w:sz w:val="24"/>
          <w:szCs w:val="24"/>
          <w:lang w:val="en-US"/>
        </w:rPr>
        <w:t xml:space="preserve"> the</w:t>
      </w:r>
      <w:r w:rsidR="00B6499E" w:rsidRPr="004045AD">
        <w:rPr>
          <w:rFonts w:eastAsiaTheme="minorHAnsi"/>
          <w:sz w:val="24"/>
          <w:szCs w:val="24"/>
          <w:lang w:val="en-US"/>
        </w:rPr>
        <w:t xml:space="preserve"> merger on the f</w:t>
      </w:r>
      <w:r w:rsidR="00FA1B22" w:rsidRPr="004045AD">
        <w:rPr>
          <w:rFonts w:eastAsiaTheme="minorHAnsi"/>
          <w:sz w:val="24"/>
          <w:szCs w:val="24"/>
          <w:lang w:val="en-US"/>
        </w:rPr>
        <w:t>l</w:t>
      </w:r>
      <w:r w:rsidR="00B6499E" w:rsidRPr="004045AD">
        <w:rPr>
          <w:rFonts w:eastAsiaTheme="minorHAnsi"/>
          <w:sz w:val="24"/>
          <w:szCs w:val="24"/>
          <w:lang w:val="en-US"/>
        </w:rPr>
        <w:t>i</w:t>
      </w:r>
      <w:r w:rsidR="00FA1B22" w:rsidRPr="004045AD">
        <w:rPr>
          <w:rFonts w:eastAsiaTheme="minorHAnsi"/>
          <w:sz w:val="24"/>
          <w:szCs w:val="24"/>
          <w:lang w:val="en-US"/>
        </w:rPr>
        <w:t>msy</w:t>
      </w:r>
      <w:r w:rsidR="00C6059C" w:rsidRPr="004045AD">
        <w:rPr>
          <w:rFonts w:eastAsiaTheme="minorHAnsi"/>
          <w:sz w:val="24"/>
          <w:szCs w:val="24"/>
          <w:lang w:val="en-US"/>
        </w:rPr>
        <w:t xml:space="preserve"> </w:t>
      </w:r>
      <w:r w:rsidR="00FA1B22" w:rsidRPr="004045AD">
        <w:rPr>
          <w:rFonts w:eastAsiaTheme="minorHAnsi"/>
          <w:sz w:val="24"/>
          <w:szCs w:val="24"/>
          <w:lang w:val="en-US"/>
        </w:rPr>
        <w:t>argument that shareholdings below 50% are not notifiable</w:t>
      </w:r>
      <w:r w:rsidR="00C6059C" w:rsidRPr="004045AD">
        <w:rPr>
          <w:rFonts w:eastAsiaTheme="minorHAnsi"/>
          <w:sz w:val="24"/>
          <w:szCs w:val="24"/>
          <w:lang w:val="en-US"/>
        </w:rPr>
        <w:t xml:space="preserve"> </w:t>
      </w:r>
      <w:r w:rsidR="00FA1B22" w:rsidRPr="004045AD">
        <w:rPr>
          <w:rFonts w:eastAsiaTheme="minorHAnsi"/>
          <w:sz w:val="24"/>
          <w:szCs w:val="24"/>
          <w:lang w:val="en-US"/>
        </w:rPr>
        <w:t>despite the clear provisions of s</w:t>
      </w:r>
      <w:r w:rsidR="00F13D28" w:rsidRPr="004045AD">
        <w:rPr>
          <w:rFonts w:eastAsiaTheme="minorHAnsi"/>
          <w:sz w:val="24"/>
          <w:szCs w:val="24"/>
          <w:lang w:val="en-US"/>
        </w:rPr>
        <w:t xml:space="preserve"> 34 (1) and (2)</w:t>
      </w:r>
      <w:r w:rsidR="00FA1B22" w:rsidRPr="004045AD">
        <w:rPr>
          <w:rFonts w:eastAsiaTheme="minorHAnsi"/>
          <w:sz w:val="24"/>
          <w:szCs w:val="24"/>
          <w:lang w:val="en-US"/>
        </w:rPr>
        <w:t xml:space="preserve"> of the Act which provides as follows:</w:t>
      </w:r>
      <w:r w:rsidR="002103AE" w:rsidRPr="004045AD">
        <w:rPr>
          <w:rFonts w:eastAsiaTheme="minorHAnsi"/>
          <w:sz w:val="24"/>
          <w:szCs w:val="24"/>
          <w:lang w:val="en-US"/>
        </w:rPr>
        <w:t xml:space="preserve">                                                       </w:t>
      </w:r>
    </w:p>
    <w:p w:rsidR="0010092D" w:rsidRPr="004045AD" w:rsidRDefault="002103AE" w:rsidP="00E10EF0">
      <w:pPr>
        <w:pStyle w:val="Default"/>
        <w:ind w:left="2160" w:hanging="1026"/>
        <w:jc w:val="both"/>
        <w:rPr>
          <w:rFonts w:ascii="Times New Roman" w:hAnsi="Times New Roman" w:cs="Times New Roman"/>
        </w:rPr>
      </w:pPr>
      <w:r w:rsidRPr="004045AD">
        <w:rPr>
          <w:rFonts w:ascii="Times New Roman" w:hAnsi="Times New Roman" w:cs="Times New Roman"/>
          <w:lang w:val="en-US"/>
        </w:rPr>
        <w:t>“</w:t>
      </w:r>
      <w:r w:rsidR="00F13D28" w:rsidRPr="004045AD">
        <w:rPr>
          <w:rFonts w:ascii="Times New Roman" w:hAnsi="Times New Roman" w:cs="Times New Roman"/>
          <w:bCs/>
        </w:rPr>
        <w:t>34</w:t>
      </w:r>
      <w:r w:rsidR="00F13D28" w:rsidRPr="004045AD">
        <w:rPr>
          <w:rFonts w:ascii="Times New Roman" w:hAnsi="Times New Roman" w:cs="Times New Roman"/>
          <w:b/>
          <w:bCs/>
        </w:rPr>
        <w:t xml:space="preserve"> </w:t>
      </w:r>
      <w:r w:rsidR="00F13D28" w:rsidRPr="004045AD">
        <w:rPr>
          <w:rFonts w:ascii="Times New Roman" w:hAnsi="Times New Roman" w:cs="Times New Roman"/>
        </w:rPr>
        <w:t>(1) The Minister shall, in consultation with the Commission, prescribe—</w:t>
      </w:r>
    </w:p>
    <w:p w:rsidR="00F13D28" w:rsidRPr="004045AD" w:rsidRDefault="00F13D28" w:rsidP="00E10EF0">
      <w:pPr>
        <w:pStyle w:val="Default"/>
        <w:ind w:left="2160" w:hanging="1026"/>
        <w:jc w:val="both"/>
        <w:rPr>
          <w:rFonts w:ascii="Times New Roman" w:hAnsi="Times New Roman" w:cs="Times New Roman"/>
        </w:rPr>
      </w:pPr>
      <w:r w:rsidRPr="004045AD">
        <w:rPr>
          <w:rFonts w:ascii="Times New Roman" w:hAnsi="Times New Roman" w:cs="Times New Roman"/>
        </w:rPr>
        <w:t xml:space="preserve"> </w:t>
      </w:r>
    </w:p>
    <w:p w:rsidR="00C84230" w:rsidRPr="004045AD" w:rsidRDefault="00F13D28" w:rsidP="00C84230">
      <w:pPr>
        <w:pStyle w:val="Default"/>
        <w:numPr>
          <w:ilvl w:val="0"/>
          <w:numId w:val="20"/>
        </w:numPr>
        <w:jc w:val="both"/>
        <w:rPr>
          <w:rFonts w:ascii="Times New Roman" w:hAnsi="Times New Roman" w:cs="Times New Roman"/>
        </w:rPr>
      </w:pPr>
      <w:r w:rsidRPr="004045AD">
        <w:rPr>
          <w:rFonts w:ascii="Times New Roman" w:hAnsi="Times New Roman" w:cs="Times New Roman"/>
        </w:rPr>
        <w:t xml:space="preserve">a threshold of combined annual turnover or assets in Zimbabwe, either in general or in relation to specific industries, at or above which this Part will apply with regard to mergers; </w:t>
      </w:r>
    </w:p>
    <w:p w:rsidR="00F13D28" w:rsidRPr="004045AD" w:rsidRDefault="00F13D28" w:rsidP="0010092D">
      <w:pPr>
        <w:pStyle w:val="Default"/>
        <w:ind w:left="2160" w:firstLine="180"/>
        <w:jc w:val="both"/>
        <w:rPr>
          <w:rFonts w:ascii="Times New Roman" w:hAnsi="Times New Roman" w:cs="Times New Roman"/>
        </w:rPr>
      </w:pPr>
      <w:r w:rsidRPr="004045AD">
        <w:rPr>
          <w:rFonts w:ascii="Times New Roman" w:hAnsi="Times New Roman" w:cs="Times New Roman"/>
        </w:rPr>
        <w:t>(</w:t>
      </w:r>
      <w:r w:rsidRPr="004045AD">
        <w:rPr>
          <w:rFonts w:ascii="Times New Roman" w:hAnsi="Times New Roman" w:cs="Times New Roman"/>
          <w:iCs/>
        </w:rPr>
        <w:t>b</w:t>
      </w:r>
      <w:r w:rsidRPr="004045AD">
        <w:rPr>
          <w:rFonts w:ascii="Times New Roman" w:hAnsi="Times New Roman" w:cs="Times New Roman"/>
        </w:rPr>
        <w:t xml:space="preserve">) a method for the calculation of annual turnover and assets. </w:t>
      </w:r>
    </w:p>
    <w:p w:rsidR="00E10EF0" w:rsidRPr="004045AD" w:rsidRDefault="00E10EF0" w:rsidP="00E10EF0">
      <w:pPr>
        <w:pStyle w:val="Default"/>
        <w:ind w:left="2160" w:hanging="600"/>
        <w:jc w:val="both"/>
        <w:rPr>
          <w:rFonts w:ascii="Times New Roman" w:hAnsi="Times New Roman" w:cs="Times New Roman"/>
        </w:rPr>
      </w:pPr>
    </w:p>
    <w:p w:rsidR="00F13D28" w:rsidRPr="004045AD" w:rsidRDefault="00F13D28" w:rsidP="0010092D">
      <w:pPr>
        <w:pStyle w:val="Default"/>
        <w:ind w:left="2160" w:hanging="900"/>
        <w:jc w:val="both"/>
        <w:rPr>
          <w:rFonts w:ascii="Times New Roman" w:hAnsi="Times New Roman" w:cs="Times New Roman"/>
          <w:b/>
        </w:rPr>
      </w:pPr>
      <w:r w:rsidRPr="004045AD">
        <w:rPr>
          <w:rFonts w:ascii="Times New Roman" w:hAnsi="Times New Roman" w:cs="Times New Roman"/>
        </w:rPr>
        <w:t xml:space="preserve">(2) </w:t>
      </w:r>
      <w:r w:rsidRPr="004045AD">
        <w:rPr>
          <w:rFonts w:ascii="Times New Roman" w:hAnsi="Times New Roman" w:cs="Times New Roman"/>
          <w:b/>
        </w:rPr>
        <w:t xml:space="preserve">For the purposes of this Part— </w:t>
      </w:r>
    </w:p>
    <w:p w:rsidR="00E10EF0" w:rsidRPr="004045AD" w:rsidRDefault="00E10EF0" w:rsidP="00E10EF0">
      <w:pPr>
        <w:pStyle w:val="Default"/>
        <w:ind w:left="2160" w:hanging="884"/>
        <w:jc w:val="both"/>
        <w:rPr>
          <w:rFonts w:ascii="Times New Roman" w:hAnsi="Times New Roman" w:cs="Times New Roman"/>
          <w:b/>
        </w:rPr>
      </w:pPr>
    </w:p>
    <w:p w:rsidR="00F13D28" w:rsidRPr="004045AD" w:rsidRDefault="00C22186" w:rsidP="0010092D">
      <w:pPr>
        <w:pStyle w:val="Default"/>
        <w:ind w:left="2160"/>
        <w:jc w:val="both"/>
        <w:rPr>
          <w:rFonts w:ascii="Times New Roman" w:hAnsi="Times New Roman" w:cs="Times New Roman"/>
          <w:b/>
        </w:rPr>
      </w:pPr>
      <w:r w:rsidRPr="004045AD">
        <w:rPr>
          <w:rFonts w:ascii="Times New Roman" w:hAnsi="Times New Roman" w:cs="Times New Roman"/>
          <w:b/>
        </w:rPr>
        <w:t>“</w:t>
      </w:r>
      <w:r w:rsidR="00F13D28" w:rsidRPr="004045AD">
        <w:rPr>
          <w:rFonts w:ascii="Times New Roman" w:hAnsi="Times New Roman" w:cs="Times New Roman"/>
          <w:b/>
        </w:rPr>
        <w:t>notifiable merger” means a merger or proposed merger with a value at or above the threshold p</w:t>
      </w:r>
      <w:r w:rsidR="00E10EF0" w:rsidRPr="004045AD">
        <w:rPr>
          <w:rFonts w:ascii="Times New Roman" w:hAnsi="Times New Roman" w:cs="Times New Roman"/>
          <w:b/>
        </w:rPr>
        <w:t>rescribed in terms of subs</w:t>
      </w:r>
      <w:r w:rsidR="00F13D28" w:rsidRPr="004045AD">
        <w:rPr>
          <w:rFonts w:ascii="Times New Roman" w:hAnsi="Times New Roman" w:cs="Times New Roman"/>
          <w:b/>
        </w:rPr>
        <w:t xml:space="preserve"> (1). </w:t>
      </w:r>
    </w:p>
    <w:p w:rsidR="00E10EF0" w:rsidRPr="004045AD" w:rsidRDefault="00E10EF0" w:rsidP="00E10EF0">
      <w:pPr>
        <w:pStyle w:val="Default"/>
        <w:ind w:left="1134"/>
        <w:jc w:val="both"/>
        <w:rPr>
          <w:rFonts w:ascii="Times New Roman" w:hAnsi="Times New Roman" w:cs="Times New Roman"/>
          <w:b/>
        </w:rPr>
      </w:pPr>
    </w:p>
    <w:p w:rsidR="00F13D28" w:rsidRPr="004045AD" w:rsidRDefault="00C22186" w:rsidP="0010092D">
      <w:pPr>
        <w:spacing w:after="0" w:line="240" w:lineRule="auto"/>
        <w:ind w:left="2160"/>
        <w:jc w:val="both"/>
        <w:rPr>
          <w:rFonts w:ascii="Times New Roman" w:hAnsi="Times New Roman" w:cs="Times New Roman"/>
          <w:b/>
          <w:sz w:val="24"/>
          <w:szCs w:val="24"/>
        </w:rPr>
      </w:pPr>
      <w:r w:rsidRPr="004045AD">
        <w:rPr>
          <w:rFonts w:ascii="Times New Roman" w:hAnsi="Times New Roman" w:cs="Times New Roman"/>
          <w:b/>
          <w:sz w:val="24"/>
          <w:szCs w:val="24"/>
        </w:rPr>
        <w:t>“</w:t>
      </w:r>
      <w:r w:rsidR="00F13D28" w:rsidRPr="004045AD">
        <w:rPr>
          <w:rFonts w:ascii="Times New Roman" w:hAnsi="Times New Roman" w:cs="Times New Roman"/>
          <w:b/>
          <w:sz w:val="24"/>
          <w:szCs w:val="24"/>
        </w:rPr>
        <w:t>non-notifiable merger” means a merger or proposed merger with a value below the threshold prescr</w:t>
      </w:r>
      <w:r w:rsidR="0010092D" w:rsidRPr="004045AD">
        <w:rPr>
          <w:rFonts w:ascii="Times New Roman" w:hAnsi="Times New Roman" w:cs="Times New Roman"/>
          <w:b/>
          <w:sz w:val="24"/>
          <w:szCs w:val="24"/>
        </w:rPr>
        <w:t xml:space="preserve">ibed in terms of subsection (1).” </w:t>
      </w:r>
      <w:r w:rsidR="00A24691" w:rsidRPr="004045AD">
        <w:rPr>
          <w:rFonts w:ascii="Times New Roman" w:hAnsi="Times New Roman" w:cs="Times New Roman"/>
          <w:b/>
          <w:sz w:val="24"/>
          <w:szCs w:val="24"/>
        </w:rPr>
        <w:t>(</w:t>
      </w:r>
      <w:r w:rsidR="00E10EF0" w:rsidRPr="004045AD">
        <w:rPr>
          <w:rFonts w:ascii="Times New Roman" w:hAnsi="Times New Roman" w:cs="Times New Roman"/>
          <w:sz w:val="24"/>
          <w:szCs w:val="24"/>
        </w:rPr>
        <w:t>Emphasis</w:t>
      </w:r>
      <w:r w:rsidR="00A24691" w:rsidRPr="004045AD">
        <w:rPr>
          <w:rFonts w:ascii="Times New Roman" w:hAnsi="Times New Roman" w:cs="Times New Roman"/>
          <w:sz w:val="24"/>
          <w:szCs w:val="24"/>
        </w:rPr>
        <w:t xml:space="preserve"> added</w:t>
      </w:r>
      <w:r w:rsidR="00A24691" w:rsidRPr="004045AD">
        <w:rPr>
          <w:rFonts w:ascii="Times New Roman" w:hAnsi="Times New Roman" w:cs="Times New Roman"/>
          <w:b/>
          <w:sz w:val="24"/>
          <w:szCs w:val="24"/>
        </w:rPr>
        <w:t>)</w:t>
      </w:r>
    </w:p>
    <w:p w:rsidR="00E10EF0" w:rsidRPr="004045AD" w:rsidRDefault="00E10EF0" w:rsidP="00E10EF0">
      <w:pPr>
        <w:spacing w:after="0" w:line="480" w:lineRule="auto"/>
        <w:ind w:left="1276" w:hanging="142"/>
        <w:jc w:val="both"/>
        <w:rPr>
          <w:rFonts w:ascii="Times New Roman" w:hAnsi="Times New Roman" w:cs="Times New Roman"/>
          <w:b/>
          <w:sz w:val="24"/>
          <w:szCs w:val="24"/>
        </w:rPr>
      </w:pPr>
    </w:p>
    <w:p w:rsidR="005A0AF4" w:rsidRPr="004045AD" w:rsidRDefault="00E10EF0" w:rsidP="005E49C2">
      <w:pPr>
        <w:tabs>
          <w:tab w:val="left" w:pos="567"/>
        </w:tabs>
        <w:spacing w:after="0" w:line="480" w:lineRule="auto"/>
        <w:ind w:left="567" w:hanging="567"/>
        <w:jc w:val="both"/>
        <w:rPr>
          <w:rFonts w:ascii="Times New Roman" w:hAnsi="Times New Roman" w:cs="Times New Roman"/>
          <w:sz w:val="24"/>
          <w:szCs w:val="24"/>
        </w:rPr>
      </w:pPr>
      <w:r w:rsidRPr="004045AD">
        <w:rPr>
          <w:rFonts w:ascii="Times New Roman" w:hAnsi="Times New Roman" w:cs="Times New Roman"/>
          <w:sz w:val="24"/>
          <w:szCs w:val="24"/>
        </w:rPr>
        <w:t>[38</w:t>
      </w:r>
      <w:r w:rsidR="00B31FF6" w:rsidRPr="004045AD">
        <w:rPr>
          <w:rFonts w:ascii="Times New Roman" w:hAnsi="Times New Roman" w:cs="Times New Roman"/>
          <w:sz w:val="24"/>
          <w:szCs w:val="24"/>
        </w:rPr>
        <w:t xml:space="preserve">] </w:t>
      </w:r>
      <w:r w:rsidRPr="004045AD">
        <w:rPr>
          <w:rFonts w:ascii="Times New Roman" w:hAnsi="Times New Roman" w:cs="Times New Roman"/>
          <w:sz w:val="24"/>
          <w:szCs w:val="24"/>
        </w:rPr>
        <w:t xml:space="preserve"> </w:t>
      </w:r>
      <w:r w:rsidR="00A24691" w:rsidRPr="004045AD">
        <w:rPr>
          <w:rFonts w:ascii="Times New Roman" w:hAnsi="Times New Roman" w:cs="Times New Roman"/>
          <w:sz w:val="24"/>
          <w:szCs w:val="24"/>
        </w:rPr>
        <w:t>It is clear that the</w:t>
      </w:r>
      <w:r w:rsidR="00314D84" w:rsidRPr="004045AD">
        <w:rPr>
          <w:rFonts w:ascii="Times New Roman" w:hAnsi="Times New Roman" w:cs="Times New Roman"/>
          <w:sz w:val="24"/>
          <w:szCs w:val="24"/>
        </w:rPr>
        <w:t xml:space="preserve"> fact that a </w:t>
      </w:r>
      <w:r w:rsidR="00A24691" w:rsidRPr="004045AD">
        <w:rPr>
          <w:rFonts w:ascii="Times New Roman" w:hAnsi="Times New Roman" w:cs="Times New Roman"/>
          <w:sz w:val="24"/>
          <w:szCs w:val="24"/>
        </w:rPr>
        <w:t>merger</w:t>
      </w:r>
      <w:r w:rsidR="00314D84" w:rsidRPr="004045AD">
        <w:rPr>
          <w:rFonts w:ascii="Times New Roman" w:hAnsi="Times New Roman" w:cs="Times New Roman"/>
          <w:sz w:val="24"/>
          <w:szCs w:val="24"/>
        </w:rPr>
        <w:t xml:space="preserve"> is or is not notifiable</w:t>
      </w:r>
      <w:r w:rsidR="00A24691" w:rsidRPr="004045AD">
        <w:rPr>
          <w:rFonts w:ascii="Times New Roman" w:hAnsi="Times New Roman" w:cs="Times New Roman"/>
          <w:sz w:val="24"/>
          <w:szCs w:val="24"/>
        </w:rPr>
        <w:t xml:space="preserve"> does not depend on the level of percentage of shareholding in the acquired company but on a threshold set by the Minister in terms of s 34 (1) of the Act</w:t>
      </w:r>
      <w:r w:rsidR="00A37AFA" w:rsidRPr="004045AD">
        <w:rPr>
          <w:rFonts w:ascii="Times New Roman" w:hAnsi="Times New Roman" w:cs="Times New Roman"/>
          <w:sz w:val="24"/>
          <w:szCs w:val="24"/>
        </w:rPr>
        <w:t>.  In the case of I</w:t>
      </w:r>
      <w:r w:rsidRPr="004045AD">
        <w:rPr>
          <w:rFonts w:ascii="Times New Roman" w:hAnsi="Times New Roman" w:cs="Times New Roman"/>
          <w:sz w:val="24"/>
          <w:szCs w:val="24"/>
        </w:rPr>
        <w:t>n</w:t>
      </w:r>
      <w:r w:rsidR="00C22186" w:rsidRPr="004045AD">
        <w:rPr>
          <w:rFonts w:ascii="Times New Roman" w:hAnsi="Times New Roman" w:cs="Times New Roman"/>
          <w:sz w:val="24"/>
          <w:szCs w:val="24"/>
        </w:rPr>
        <w:t>n</w:t>
      </w:r>
      <w:r w:rsidRPr="004045AD">
        <w:rPr>
          <w:rFonts w:ascii="Times New Roman" w:hAnsi="Times New Roman" w:cs="Times New Roman"/>
          <w:sz w:val="24"/>
          <w:szCs w:val="24"/>
        </w:rPr>
        <w:t>sco</w:t>
      </w:r>
      <w:r w:rsidR="001579E1" w:rsidRPr="004045AD">
        <w:rPr>
          <w:rFonts w:ascii="Times New Roman" w:hAnsi="Times New Roman" w:cs="Times New Roman"/>
          <w:sz w:val="24"/>
          <w:szCs w:val="24"/>
        </w:rPr>
        <w:t>r (</w:t>
      </w:r>
      <w:r w:rsidR="001579E1" w:rsidRPr="009F41F8">
        <w:rPr>
          <w:rFonts w:ascii="Times New Roman" w:hAnsi="Times New Roman" w:cs="Times New Roman"/>
          <w:i/>
          <w:sz w:val="24"/>
          <w:szCs w:val="24"/>
        </w:rPr>
        <w:t>supra</w:t>
      </w:r>
      <w:r w:rsidR="001579E1" w:rsidRPr="004045AD">
        <w:rPr>
          <w:rFonts w:ascii="Times New Roman" w:hAnsi="Times New Roman" w:cs="Times New Roman"/>
          <w:sz w:val="24"/>
          <w:szCs w:val="24"/>
        </w:rPr>
        <w:t xml:space="preserve">) at p </w:t>
      </w:r>
      <w:r w:rsidR="005A0AF4" w:rsidRPr="004045AD">
        <w:rPr>
          <w:rFonts w:ascii="Times New Roman" w:hAnsi="Times New Roman" w:cs="Times New Roman"/>
          <w:sz w:val="24"/>
          <w:szCs w:val="24"/>
        </w:rPr>
        <w:t>238D in laying down the back ground of that case the court said:</w:t>
      </w:r>
    </w:p>
    <w:p w:rsidR="005A0AF4" w:rsidRPr="004045AD" w:rsidRDefault="005A0AF4" w:rsidP="00C84230">
      <w:pPr>
        <w:spacing w:line="240" w:lineRule="auto"/>
        <w:ind w:left="1134"/>
        <w:jc w:val="both"/>
        <w:rPr>
          <w:rFonts w:ascii="Times New Roman" w:hAnsi="Times New Roman" w:cs="Times New Roman"/>
          <w:sz w:val="24"/>
          <w:szCs w:val="24"/>
        </w:rPr>
      </w:pPr>
      <w:r w:rsidRPr="004045AD">
        <w:rPr>
          <w:rFonts w:ascii="Times New Roman" w:hAnsi="Times New Roman" w:cs="Times New Roman"/>
          <w:sz w:val="24"/>
          <w:szCs w:val="24"/>
        </w:rPr>
        <w:t xml:space="preserve">“Sometime in 2015 the first appellant acquired a controlling interest in the second appellant. In terms of s 34 of the Act, as read with the Competition (Notifiable Merger Thresholds) Regulations 2002 (SI 195 of 2002) (“the Regulations”), all mergers in terms of the Act with a value above the threshold value of US$1.2 million had to be notified to the respondent. The appellants’ conglomerate had a value above the prescribed threshold. </w:t>
      </w:r>
      <w:r w:rsidRPr="004045AD">
        <w:rPr>
          <w:rFonts w:ascii="Times New Roman" w:hAnsi="Times New Roman" w:cs="Times New Roman"/>
          <w:b/>
          <w:sz w:val="24"/>
          <w:szCs w:val="24"/>
        </w:rPr>
        <w:t xml:space="preserve">The appellants took the view that their union was not </w:t>
      </w:r>
      <w:r w:rsidRPr="004045AD">
        <w:rPr>
          <w:rFonts w:ascii="Times New Roman" w:hAnsi="Times New Roman" w:cs="Times New Roman"/>
          <w:b/>
          <w:sz w:val="24"/>
          <w:szCs w:val="24"/>
        </w:rPr>
        <w:lastRenderedPageBreak/>
        <w:t>notifiable in terms of the Act as read with the Regulations because it was a conglomerate.</w:t>
      </w:r>
      <w:r w:rsidRPr="004045AD">
        <w:rPr>
          <w:rFonts w:ascii="Times New Roman" w:hAnsi="Times New Roman" w:cs="Times New Roman"/>
          <w:sz w:val="24"/>
          <w:szCs w:val="24"/>
        </w:rPr>
        <w:t>” (</w:t>
      </w:r>
      <w:r w:rsidR="00240A72" w:rsidRPr="004045AD">
        <w:rPr>
          <w:rFonts w:ascii="Times New Roman" w:hAnsi="Times New Roman" w:cs="Times New Roman"/>
          <w:sz w:val="24"/>
          <w:szCs w:val="24"/>
        </w:rPr>
        <w:t>Emphasis</w:t>
      </w:r>
      <w:r w:rsidRPr="004045AD">
        <w:rPr>
          <w:rFonts w:ascii="Times New Roman" w:hAnsi="Times New Roman" w:cs="Times New Roman"/>
          <w:sz w:val="24"/>
          <w:szCs w:val="24"/>
        </w:rPr>
        <w:t xml:space="preserve"> added)</w:t>
      </w:r>
    </w:p>
    <w:p w:rsidR="00A83BDC" w:rsidRPr="004045AD" w:rsidRDefault="00A83BDC" w:rsidP="00A83BDC">
      <w:pPr>
        <w:spacing w:after="0" w:line="480" w:lineRule="auto"/>
        <w:ind w:left="1134"/>
        <w:jc w:val="both"/>
        <w:rPr>
          <w:rFonts w:ascii="Times New Roman" w:hAnsi="Times New Roman" w:cs="Times New Roman"/>
          <w:sz w:val="24"/>
          <w:szCs w:val="24"/>
        </w:rPr>
      </w:pPr>
    </w:p>
    <w:p w:rsidR="00E10EF0" w:rsidRPr="004045AD" w:rsidRDefault="005A0AF4" w:rsidP="00702B3B">
      <w:pPr>
        <w:tabs>
          <w:tab w:val="left" w:pos="567"/>
        </w:tabs>
        <w:spacing w:line="480" w:lineRule="auto"/>
        <w:ind w:left="567" w:hanging="567"/>
        <w:jc w:val="both"/>
        <w:rPr>
          <w:rFonts w:ascii="Times New Roman" w:hAnsi="Times New Roman" w:cs="Times New Roman"/>
          <w:sz w:val="24"/>
          <w:szCs w:val="24"/>
        </w:rPr>
      </w:pPr>
      <w:r w:rsidRPr="004045AD">
        <w:rPr>
          <w:rFonts w:ascii="Times New Roman" w:hAnsi="Times New Roman" w:cs="Times New Roman"/>
          <w:sz w:val="24"/>
          <w:szCs w:val="24"/>
        </w:rPr>
        <w:t xml:space="preserve">        </w:t>
      </w:r>
      <w:r w:rsidR="00C22186" w:rsidRPr="004045AD">
        <w:rPr>
          <w:rFonts w:ascii="Times New Roman" w:hAnsi="Times New Roman" w:cs="Times New Roman"/>
          <w:sz w:val="24"/>
          <w:szCs w:val="24"/>
        </w:rPr>
        <w:t>Innsc</w:t>
      </w:r>
      <w:r w:rsidR="00867D1D" w:rsidRPr="004045AD">
        <w:rPr>
          <w:rFonts w:ascii="Times New Roman" w:hAnsi="Times New Roman" w:cs="Times New Roman"/>
          <w:sz w:val="24"/>
          <w:szCs w:val="24"/>
        </w:rPr>
        <w:t>o</w:t>
      </w:r>
      <w:r w:rsidR="00C22186" w:rsidRPr="004045AD">
        <w:rPr>
          <w:rFonts w:ascii="Times New Roman" w:hAnsi="Times New Roman" w:cs="Times New Roman"/>
          <w:sz w:val="24"/>
          <w:szCs w:val="24"/>
        </w:rPr>
        <w:t>r</w:t>
      </w:r>
      <w:r w:rsidRPr="004045AD">
        <w:rPr>
          <w:rFonts w:ascii="Times New Roman" w:hAnsi="Times New Roman" w:cs="Times New Roman"/>
          <w:sz w:val="24"/>
          <w:szCs w:val="24"/>
        </w:rPr>
        <w:t xml:space="preserve"> therefore knew since</w:t>
      </w:r>
      <w:r w:rsidR="00E0152B" w:rsidRPr="004045AD">
        <w:rPr>
          <w:rFonts w:ascii="Times New Roman" w:hAnsi="Times New Roman" w:cs="Times New Roman"/>
          <w:sz w:val="24"/>
          <w:szCs w:val="24"/>
        </w:rPr>
        <w:t xml:space="preserve"> January</w:t>
      </w:r>
      <w:r w:rsidRPr="004045AD">
        <w:rPr>
          <w:rFonts w:ascii="Times New Roman" w:hAnsi="Times New Roman" w:cs="Times New Roman"/>
          <w:sz w:val="24"/>
          <w:szCs w:val="24"/>
        </w:rPr>
        <w:t xml:space="preserve"> 201</w:t>
      </w:r>
      <w:r w:rsidR="00E0152B" w:rsidRPr="004045AD">
        <w:rPr>
          <w:rFonts w:ascii="Times New Roman" w:hAnsi="Times New Roman" w:cs="Times New Roman"/>
          <w:sz w:val="24"/>
          <w:szCs w:val="24"/>
        </w:rPr>
        <w:t>8</w:t>
      </w:r>
      <w:r w:rsidRPr="004045AD">
        <w:rPr>
          <w:rFonts w:ascii="Times New Roman" w:hAnsi="Times New Roman" w:cs="Times New Roman"/>
          <w:sz w:val="24"/>
          <w:szCs w:val="24"/>
        </w:rPr>
        <w:t>,</w:t>
      </w:r>
      <w:r w:rsidR="00E0152B" w:rsidRPr="004045AD">
        <w:rPr>
          <w:rFonts w:ascii="Times New Roman" w:hAnsi="Times New Roman" w:cs="Times New Roman"/>
          <w:sz w:val="24"/>
          <w:szCs w:val="24"/>
        </w:rPr>
        <w:t xml:space="preserve"> when the </w:t>
      </w:r>
      <w:r w:rsidR="00E0152B" w:rsidRPr="00090872">
        <w:rPr>
          <w:rFonts w:ascii="Times New Roman" w:hAnsi="Times New Roman" w:cs="Times New Roman"/>
          <w:i/>
          <w:sz w:val="24"/>
          <w:szCs w:val="24"/>
        </w:rPr>
        <w:t>Innsc</w:t>
      </w:r>
      <w:r w:rsidR="00867D1D" w:rsidRPr="00090872">
        <w:rPr>
          <w:rFonts w:ascii="Times New Roman" w:hAnsi="Times New Roman" w:cs="Times New Roman"/>
          <w:i/>
          <w:sz w:val="24"/>
          <w:szCs w:val="24"/>
        </w:rPr>
        <w:t>o</w:t>
      </w:r>
      <w:r w:rsidR="00E0152B" w:rsidRPr="00090872">
        <w:rPr>
          <w:rFonts w:ascii="Times New Roman" w:hAnsi="Times New Roman" w:cs="Times New Roman"/>
          <w:i/>
          <w:sz w:val="24"/>
          <w:szCs w:val="24"/>
        </w:rPr>
        <w:t>r</w:t>
      </w:r>
      <w:r w:rsidR="00E0152B" w:rsidRPr="004045AD">
        <w:rPr>
          <w:rFonts w:ascii="Times New Roman" w:hAnsi="Times New Roman" w:cs="Times New Roman"/>
          <w:sz w:val="24"/>
          <w:szCs w:val="24"/>
        </w:rPr>
        <w:t xml:space="preserve"> </w:t>
      </w:r>
      <w:r w:rsidR="00E0152B" w:rsidRPr="004045AD">
        <w:rPr>
          <w:rFonts w:ascii="Times New Roman" w:hAnsi="Times New Roman" w:cs="Times New Roman"/>
          <w:i/>
          <w:sz w:val="24"/>
          <w:szCs w:val="24"/>
        </w:rPr>
        <w:t>(supra</w:t>
      </w:r>
      <w:r w:rsidR="00867D1D" w:rsidRPr="004045AD">
        <w:rPr>
          <w:rFonts w:ascii="Times New Roman" w:hAnsi="Times New Roman" w:cs="Times New Roman"/>
          <w:i/>
          <w:sz w:val="24"/>
          <w:szCs w:val="24"/>
        </w:rPr>
        <w:t>)</w:t>
      </w:r>
      <w:r w:rsidR="00E0152B" w:rsidRPr="004045AD">
        <w:rPr>
          <w:rFonts w:ascii="Times New Roman" w:hAnsi="Times New Roman" w:cs="Times New Roman"/>
          <w:sz w:val="24"/>
          <w:szCs w:val="24"/>
        </w:rPr>
        <w:t xml:space="preserve"> case was heard,</w:t>
      </w:r>
      <w:r w:rsidRPr="004045AD">
        <w:rPr>
          <w:rFonts w:ascii="Times New Roman" w:hAnsi="Times New Roman" w:cs="Times New Roman"/>
          <w:sz w:val="24"/>
          <w:szCs w:val="24"/>
        </w:rPr>
        <w:t xml:space="preserve"> that notification</w:t>
      </w:r>
      <w:r w:rsidR="009F41F8">
        <w:rPr>
          <w:rFonts w:ascii="Times New Roman" w:hAnsi="Times New Roman" w:cs="Times New Roman"/>
          <w:sz w:val="24"/>
          <w:szCs w:val="24"/>
        </w:rPr>
        <w:t>s</w:t>
      </w:r>
      <w:r w:rsidRPr="004045AD">
        <w:rPr>
          <w:rFonts w:ascii="Times New Roman" w:hAnsi="Times New Roman" w:cs="Times New Roman"/>
          <w:sz w:val="24"/>
          <w:szCs w:val="24"/>
        </w:rPr>
        <w:t xml:space="preserve"> of mergers </w:t>
      </w:r>
      <w:r w:rsidR="00C22186" w:rsidRPr="004045AD">
        <w:rPr>
          <w:rFonts w:ascii="Times New Roman" w:hAnsi="Times New Roman" w:cs="Times New Roman"/>
          <w:sz w:val="24"/>
          <w:szCs w:val="24"/>
        </w:rPr>
        <w:t>are determined by the value set by the Minister</w:t>
      </w:r>
      <w:r w:rsidRPr="004045AD">
        <w:rPr>
          <w:rFonts w:ascii="Times New Roman" w:hAnsi="Times New Roman" w:cs="Times New Roman"/>
          <w:sz w:val="24"/>
          <w:szCs w:val="24"/>
        </w:rPr>
        <w:t xml:space="preserve"> in terms of s 34 of the Act as read with Notifiable Merger Thresholds Regulations 2002</w:t>
      </w:r>
      <w:r w:rsidR="002E2B4A" w:rsidRPr="004045AD">
        <w:rPr>
          <w:rFonts w:ascii="Times New Roman" w:hAnsi="Times New Roman" w:cs="Times New Roman"/>
          <w:sz w:val="24"/>
          <w:szCs w:val="24"/>
        </w:rPr>
        <w:t xml:space="preserve"> </w:t>
      </w:r>
      <w:r w:rsidRPr="004045AD">
        <w:rPr>
          <w:rFonts w:ascii="Times New Roman" w:hAnsi="Times New Roman" w:cs="Times New Roman"/>
          <w:sz w:val="24"/>
          <w:szCs w:val="24"/>
        </w:rPr>
        <w:t>(SI 195</w:t>
      </w:r>
      <w:r w:rsidR="002E2B4A" w:rsidRPr="004045AD">
        <w:rPr>
          <w:rFonts w:ascii="Times New Roman" w:hAnsi="Times New Roman" w:cs="Times New Roman"/>
          <w:sz w:val="24"/>
          <w:szCs w:val="24"/>
        </w:rPr>
        <w:t xml:space="preserve"> </w:t>
      </w:r>
      <w:r w:rsidRPr="004045AD">
        <w:rPr>
          <w:rFonts w:ascii="Times New Roman" w:hAnsi="Times New Roman" w:cs="Times New Roman"/>
          <w:sz w:val="24"/>
          <w:szCs w:val="24"/>
        </w:rPr>
        <w:t>of 2002)</w:t>
      </w:r>
      <w:r w:rsidR="00346C63">
        <w:rPr>
          <w:rFonts w:ascii="Times New Roman" w:hAnsi="Times New Roman" w:cs="Times New Roman"/>
          <w:sz w:val="24"/>
          <w:szCs w:val="24"/>
        </w:rPr>
        <w:t>,</w:t>
      </w:r>
      <w:r w:rsidRPr="004045AD">
        <w:rPr>
          <w:rFonts w:ascii="Times New Roman" w:hAnsi="Times New Roman" w:cs="Times New Roman"/>
          <w:sz w:val="24"/>
          <w:szCs w:val="24"/>
        </w:rPr>
        <w:t xml:space="preserve"> but in this case</w:t>
      </w:r>
      <w:r w:rsidR="00E0152B" w:rsidRPr="004045AD">
        <w:rPr>
          <w:rFonts w:ascii="Times New Roman" w:hAnsi="Times New Roman" w:cs="Times New Roman"/>
          <w:sz w:val="24"/>
          <w:szCs w:val="24"/>
        </w:rPr>
        <w:t xml:space="preserve"> cont</w:t>
      </w:r>
      <w:r w:rsidR="00867D1D" w:rsidRPr="004045AD">
        <w:rPr>
          <w:rFonts w:ascii="Times New Roman" w:hAnsi="Times New Roman" w:cs="Times New Roman"/>
          <w:sz w:val="24"/>
          <w:szCs w:val="24"/>
        </w:rPr>
        <w:t>inued to</w:t>
      </w:r>
      <w:r w:rsidRPr="004045AD">
        <w:rPr>
          <w:rFonts w:ascii="Times New Roman" w:hAnsi="Times New Roman" w:cs="Times New Roman"/>
          <w:sz w:val="24"/>
          <w:szCs w:val="24"/>
        </w:rPr>
        <w:t xml:space="preserve"> deliberately avoid notifying the appellant of the merger</w:t>
      </w:r>
      <w:r w:rsidR="00702B3B" w:rsidRPr="004045AD">
        <w:rPr>
          <w:rFonts w:ascii="Times New Roman" w:hAnsi="Times New Roman" w:cs="Times New Roman"/>
          <w:sz w:val="24"/>
          <w:szCs w:val="24"/>
        </w:rPr>
        <w:t xml:space="preserve"> till February 2019,</w:t>
      </w:r>
      <w:r w:rsidRPr="004045AD">
        <w:rPr>
          <w:rFonts w:ascii="Times New Roman" w:hAnsi="Times New Roman" w:cs="Times New Roman"/>
          <w:sz w:val="24"/>
          <w:szCs w:val="24"/>
        </w:rPr>
        <w:t xml:space="preserve"> on the basis that mergers in which the acquisition of shares below 50% are not notifiable.</w:t>
      </w:r>
      <w:r w:rsidR="003C58C0">
        <w:rPr>
          <w:rFonts w:ascii="Times New Roman" w:hAnsi="Times New Roman" w:cs="Times New Roman"/>
          <w:sz w:val="24"/>
          <w:szCs w:val="24"/>
        </w:rPr>
        <w:t xml:space="preserve">  </w:t>
      </w:r>
      <w:r w:rsidR="00B713B3" w:rsidRPr="004045AD">
        <w:rPr>
          <w:rFonts w:ascii="Times New Roman" w:hAnsi="Times New Roman" w:cs="Times New Roman"/>
          <w:sz w:val="24"/>
          <w:szCs w:val="24"/>
        </w:rPr>
        <w:t>Infact</w:t>
      </w:r>
      <w:r w:rsidR="001A1554" w:rsidRPr="004045AD">
        <w:rPr>
          <w:rFonts w:ascii="Times New Roman" w:hAnsi="Times New Roman" w:cs="Times New Roman"/>
          <w:sz w:val="24"/>
          <w:szCs w:val="24"/>
        </w:rPr>
        <w:t xml:space="preserve">, </w:t>
      </w:r>
      <w:r w:rsidR="00B713B3" w:rsidRPr="004045AD">
        <w:rPr>
          <w:rFonts w:ascii="Times New Roman" w:hAnsi="Times New Roman" w:cs="Times New Roman"/>
          <w:sz w:val="24"/>
          <w:szCs w:val="24"/>
        </w:rPr>
        <w:t>Innscor had</w:t>
      </w:r>
      <w:r w:rsidR="00346C63">
        <w:rPr>
          <w:rFonts w:ascii="Times New Roman" w:hAnsi="Times New Roman" w:cs="Times New Roman"/>
          <w:sz w:val="24"/>
          <w:szCs w:val="24"/>
        </w:rPr>
        <w:t>,</w:t>
      </w:r>
      <w:r w:rsidR="00B713B3" w:rsidRPr="004045AD">
        <w:rPr>
          <w:rFonts w:ascii="Times New Roman" w:hAnsi="Times New Roman" w:cs="Times New Roman"/>
          <w:sz w:val="24"/>
          <w:szCs w:val="24"/>
        </w:rPr>
        <w:t xml:space="preserve"> as stated in the appellant’s reasons for prohibiting the mer</w:t>
      </w:r>
      <w:r w:rsidR="001A1554" w:rsidRPr="004045AD">
        <w:rPr>
          <w:rFonts w:ascii="Times New Roman" w:hAnsi="Times New Roman" w:cs="Times New Roman"/>
          <w:sz w:val="24"/>
          <w:szCs w:val="24"/>
        </w:rPr>
        <w:t>ger and imposing the penalty in 2013</w:t>
      </w:r>
      <w:r w:rsidR="00346C63">
        <w:rPr>
          <w:rFonts w:ascii="Times New Roman" w:hAnsi="Times New Roman" w:cs="Times New Roman"/>
          <w:sz w:val="24"/>
          <w:szCs w:val="24"/>
        </w:rPr>
        <w:t>,</w:t>
      </w:r>
      <w:r w:rsidR="001A1554" w:rsidRPr="004045AD">
        <w:rPr>
          <w:rFonts w:ascii="Times New Roman" w:hAnsi="Times New Roman" w:cs="Times New Roman"/>
          <w:sz w:val="24"/>
          <w:szCs w:val="24"/>
        </w:rPr>
        <w:t xml:space="preserve"> be</w:t>
      </w:r>
      <w:r w:rsidR="00D043BE" w:rsidRPr="004045AD">
        <w:rPr>
          <w:rFonts w:ascii="Times New Roman" w:hAnsi="Times New Roman" w:cs="Times New Roman"/>
          <w:sz w:val="24"/>
          <w:szCs w:val="24"/>
        </w:rPr>
        <w:t>en</w:t>
      </w:r>
      <w:r w:rsidR="001A1554" w:rsidRPr="004045AD">
        <w:rPr>
          <w:rFonts w:ascii="Times New Roman" w:hAnsi="Times New Roman" w:cs="Times New Roman"/>
          <w:sz w:val="24"/>
          <w:szCs w:val="24"/>
        </w:rPr>
        <w:t xml:space="preserve"> ordered to</w:t>
      </w:r>
      <w:r w:rsidR="003F59AE" w:rsidRPr="004045AD">
        <w:rPr>
          <w:rFonts w:ascii="Times New Roman" w:hAnsi="Times New Roman" w:cs="Times New Roman"/>
          <w:sz w:val="24"/>
          <w:szCs w:val="24"/>
        </w:rPr>
        <w:t xml:space="preserve"> pay a penalty of US$ 2 500 for acquiring a controlling interest in National Foods of 36% of its share- holding without notifying the appellant.</w:t>
      </w:r>
      <w:r w:rsidR="001A1554" w:rsidRPr="004045AD">
        <w:rPr>
          <w:rFonts w:ascii="Times New Roman" w:hAnsi="Times New Roman" w:cs="Times New Roman"/>
          <w:sz w:val="24"/>
          <w:szCs w:val="24"/>
        </w:rPr>
        <w:t xml:space="preserve"> </w:t>
      </w:r>
      <w:r w:rsidR="009D3336" w:rsidRPr="004045AD">
        <w:rPr>
          <w:rFonts w:ascii="Times New Roman" w:hAnsi="Times New Roman" w:cs="Times New Roman"/>
          <w:sz w:val="24"/>
          <w:szCs w:val="24"/>
        </w:rPr>
        <w:t>This means from 2013 onwards Innscor had become aware that acquiring a shareholding below 50% does n</w:t>
      </w:r>
      <w:r w:rsidR="009E362E" w:rsidRPr="004045AD">
        <w:rPr>
          <w:rFonts w:ascii="Times New Roman" w:hAnsi="Times New Roman" w:cs="Times New Roman"/>
          <w:sz w:val="24"/>
          <w:szCs w:val="24"/>
        </w:rPr>
        <w:t>o</w:t>
      </w:r>
      <w:r w:rsidR="009D3336" w:rsidRPr="004045AD">
        <w:rPr>
          <w:rFonts w:ascii="Times New Roman" w:hAnsi="Times New Roman" w:cs="Times New Roman"/>
          <w:sz w:val="24"/>
          <w:szCs w:val="24"/>
        </w:rPr>
        <w:t>t absolve one from th</w:t>
      </w:r>
      <w:r w:rsidR="005E3FB0" w:rsidRPr="004045AD">
        <w:rPr>
          <w:rFonts w:ascii="Times New Roman" w:hAnsi="Times New Roman" w:cs="Times New Roman"/>
          <w:sz w:val="24"/>
          <w:szCs w:val="24"/>
        </w:rPr>
        <w:t>e duty to notify the appellant of the merger.</w:t>
      </w:r>
      <w:r w:rsidR="001A1554" w:rsidRPr="004045AD">
        <w:rPr>
          <w:rFonts w:ascii="Times New Roman" w:hAnsi="Times New Roman" w:cs="Times New Roman"/>
          <w:sz w:val="24"/>
          <w:szCs w:val="24"/>
        </w:rPr>
        <w:t xml:space="preserve"> </w:t>
      </w:r>
      <w:r w:rsidRPr="004045AD">
        <w:rPr>
          <w:rFonts w:ascii="Times New Roman" w:hAnsi="Times New Roman" w:cs="Times New Roman"/>
          <w:sz w:val="24"/>
          <w:szCs w:val="24"/>
        </w:rPr>
        <w:t xml:space="preserve">  </w:t>
      </w:r>
      <w:r w:rsidR="00874AF5" w:rsidRPr="004045AD">
        <w:rPr>
          <w:rFonts w:ascii="Times New Roman" w:hAnsi="Times New Roman" w:cs="Times New Roman"/>
          <w:sz w:val="24"/>
          <w:szCs w:val="24"/>
        </w:rPr>
        <w:t xml:space="preserve">It </w:t>
      </w:r>
      <w:r w:rsidR="00AE406C" w:rsidRPr="004045AD">
        <w:rPr>
          <w:rFonts w:ascii="Times New Roman" w:hAnsi="Times New Roman" w:cs="Times New Roman"/>
          <w:sz w:val="24"/>
          <w:szCs w:val="24"/>
        </w:rPr>
        <w:t>i</w:t>
      </w:r>
      <w:r w:rsidR="00874AF5" w:rsidRPr="004045AD">
        <w:rPr>
          <w:rFonts w:ascii="Times New Roman" w:hAnsi="Times New Roman" w:cs="Times New Roman"/>
          <w:sz w:val="24"/>
          <w:szCs w:val="24"/>
        </w:rPr>
        <w:t>s</w:t>
      </w:r>
      <w:r w:rsidR="00AE406C" w:rsidRPr="004045AD">
        <w:rPr>
          <w:rFonts w:ascii="Times New Roman" w:hAnsi="Times New Roman" w:cs="Times New Roman"/>
          <w:sz w:val="24"/>
          <w:szCs w:val="24"/>
        </w:rPr>
        <w:t xml:space="preserve"> apparent</w:t>
      </w:r>
      <w:r w:rsidR="00874AF5" w:rsidRPr="004045AD">
        <w:rPr>
          <w:rFonts w:ascii="Times New Roman" w:hAnsi="Times New Roman" w:cs="Times New Roman"/>
          <w:sz w:val="24"/>
          <w:szCs w:val="24"/>
        </w:rPr>
        <w:t xml:space="preserve"> </w:t>
      </w:r>
      <w:r w:rsidR="009E362E" w:rsidRPr="004045AD">
        <w:rPr>
          <w:rFonts w:ascii="Times New Roman" w:hAnsi="Times New Roman" w:cs="Times New Roman"/>
          <w:sz w:val="24"/>
          <w:szCs w:val="24"/>
        </w:rPr>
        <w:t>Innscor</w:t>
      </w:r>
      <w:r w:rsidR="00890115" w:rsidRPr="004045AD">
        <w:rPr>
          <w:rFonts w:ascii="Times New Roman" w:hAnsi="Times New Roman" w:cs="Times New Roman"/>
          <w:sz w:val="24"/>
          <w:szCs w:val="24"/>
        </w:rPr>
        <w:t xml:space="preserve"> in this case</w:t>
      </w:r>
      <w:r w:rsidR="00AE406C" w:rsidRPr="004045AD">
        <w:rPr>
          <w:rFonts w:ascii="Times New Roman" w:hAnsi="Times New Roman" w:cs="Times New Roman"/>
          <w:sz w:val="24"/>
          <w:szCs w:val="24"/>
        </w:rPr>
        <w:t xml:space="preserve"> merely sought to have </w:t>
      </w:r>
      <w:r w:rsidR="00874AF5" w:rsidRPr="004045AD">
        <w:rPr>
          <w:rFonts w:ascii="Times New Roman" w:hAnsi="Times New Roman" w:cs="Times New Roman"/>
          <w:sz w:val="24"/>
          <w:szCs w:val="24"/>
        </w:rPr>
        <w:t>i</w:t>
      </w:r>
      <w:r w:rsidR="00AE406C" w:rsidRPr="004045AD">
        <w:rPr>
          <w:rFonts w:ascii="Times New Roman" w:hAnsi="Times New Roman" w:cs="Times New Roman"/>
          <w:sz w:val="24"/>
          <w:szCs w:val="24"/>
        </w:rPr>
        <w:t>t</w:t>
      </w:r>
      <w:r w:rsidR="00874AF5" w:rsidRPr="004045AD">
        <w:rPr>
          <w:rFonts w:ascii="Times New Roman" w:hAnsi="Times New Roman" w:cs="Times New Roman"/>
          <w:sz w:val="24"/>
          <w:szCs w:val="24"/>
        </w:rPr>
        <w:t xml:space="preserve">s way </w:t>
      </w:r>
      <w:r w:rsidR="00890115" w:rsidRPr="004045AD">
        <w:rPr>
          <w:rFonts w:ascii="Times New Roman" w:hAnsi="Times New Roman" w:cs="Times New Roman"/>
          <w:sz w:val="24"/>
          <w:szCs w:val="24"/>
        </w:rPr>
        <w:t>in spite</w:t>
      </w:r>
      <w:r w:rsidR="00874AF5" w:rsidRPr="004045AD">
        <w:rPr>
          <w:rFonts w:ascii="Times New Roman" w:hAnsi="Times New Roman" w:cs="Times New Roman"/>
          <w:sz w:val="24"/>
          <w:szCs w:val="24"/>
        </w:rPr>
        <w:t xml:space="preserve"> o</w:t>
      </w:r>
      <w:r w:rsidR="00890115" w:rsidRPr="004045AD">
        <w:rPr>
          <w:rFonts w:ascii="Times New Roman" w:hAnsi="Times New Roman" w:cs="Times New Roman"/>
          <w:sz w:val="24"/>
          <w:szCs w:val="24"/>
        </w:rPr>
        <w:t>f i</w:t>
      </w:r>
      <w:r w:rsidR="00AE406C" w:rsidRPr="004045AD">
        <w:rPr>
          <w:rFonts w:ascii="Times New Roman" w:hAnsi="Times New Roman" w:cs="Times New Roman"/>
          <w:sz w:val="24"/>
          <w:szCs w:val="24"/>
        </w:rPr>
        <w:t>t</w:t>
      </w:r>
      <w:r w:rsidR="00890115" w:rsidRPr="004045AD">
        <w:rPr>
          <w:rFonts w:ascii="Times New Roman" w:hAnsi="Times New Roman" w:cs="Times New Roman"/>
          <w:sz w:val="24"/>
          <w:szCs w:val="24"/>
        </w:rPr>
        <w:t>s knowledge of</w:t>
      </w:r>
      <w:r w:rsidR="00DD0623" w:rsidRPr="004045AD">
        <w:rPr>
          <w:rFonts w:ascii="Times New Roman" w:hAnsi="Times New Roman" w:cs="Times New Roman"/>
          <w:sz w:val="24"/>
          <w:szCs w:val="24"/>
        </w:rPr>
        <w:t xml:space="preserve"> the correct procedure as provided by</w:t>
      </w:r>
      <w:r w:rsidR="00890115" w:rsidRPr="004045AD">
        <w:rPr>
          <w:rFonts w:ascii="Times New Roman" w:hAnsi="Times New Roman" w:cs="Times New Roman"/>
          <w:sz w:val="24"/>
          <w:szCs w:val="24"/>
        </w:rPr>
        <w:t xml:space="preserve"> the law.</w:t>
      </w:r>
      <w:r w:rsidRPr="004045AD">
        <w:rPr>
          <w:rFonts w:ascii="Times New Roman" w:hAnsi="Times New Roman" w:cs="Times New Roman"/>
          <w:sz w:val="24"/>
          <w:szCs w:val="24"/>
        </w:rPr>
        <w:t xml:space="preserve">                                                                                           </w:t>
      </w:r>
    </w:p>
    <w:p w:rsidR="00F925E4" w:rsidRPr="004045AD" w:rsidRDefault="00C6059C" w:rsidP="003C58C0">
      <w:pPr>
        <w:spacing w:after="0" w:line="480" w:lineRule="auto"/>
        <w:ind w:firstLine="567"/>
        <w:jc w:val="both"/>
        <w:rPr>
          <w:rFonts w:ascii="Times New Roman" w:hAnsi="Times New Roman" w:cs="Times New Roman"/>
          <w:sz w:val="24"/>
          <w:szCs w:val="24"/>
        </w:rPr>
      </w:pPr>
      <w:r w:rsidRPr="004045AD">
        <w:rPr>
          <w:rFonts w:ascii="Times New Roman" w:hAnsi="Times New Roman" w:cs="Times New Roman"/>
          <w:sz w:val="24"/>
          <w:szCs w:val="24"/>
        </w:rPr>
        <w:t xml:space="preserve"> </w:t>
      </w:r>
      <w:r w:rsidR="007022F2" w:rsidRPr="004045AD">
        <w:rPr>
          <w:rFonts w:ascii="Times New Roman" w:hAnsi="Times New Roman" w:cs="Times New Roman"/>
          <w:sz w:val="24"/>
          <w:szCs w:val="24"/>
        </w:rPr>
        <w:t xml:space="preserve">                               </w:t>
      </w:r>
      <w:r w:rsidRPr="004045AD">
        <w:rPr>
          <w:rFonts w:ascii="Times New Roman" w:hAnsi="Times New Roman" w:cs="Times New Roman"/>
          <w:sz w:val="24"/>
          <w:szCs w:val="24"/>
        </w:rPr>
        <w:t xml:space="preserve">                                                                                                                                                                                                                                                                                                                                                                                                                                                                                                                                                                                                                                                                                                                                                                                                                                                                                                                                                                                                                                                 </w:t>
      </w:r>
      <w:r w:rsidR="00AD7261" w:rsidRPr="004045AD">
        <w:rPr>
          <w:rFonts w:ascii="Times New Roman" w:hAnsi="Times New Roman" w:cs="Times New Roman"/>
          <w:sz w:val="24"/>
          <w:szCs w:val="24"/>
        </w:rPr>
        <w:t xml:space="preserve">               </w:t>
      </w:r>
      <w:r w:rsidR="00CF0C8E" w:rsidRPr="004045AD">
        <w:rPr>
          <w:rFonts w:ascii="Times New Roman" w:hAnsi="Times New Roman" w:cs="Times New Roman"/>
          <w:sz w:val="24"/>
          <w:szCs w:val="24"/>
        </w:rPr>
        <w:t xml:space="preserve">           </w:t>
      </w:r>
      <w:r w:rsidR="00AD7261" w:rsidRPr="004045AD">
        <w:rPr>
          <w:rFonts w:ascii="Times New Roman" w:hAnsi="Times New Roman" w:cs="Times New Roman"/>
          <w:sz w:val="24"/>
          <w:szCs w:val="24"/>
        </w:rPr>
        <w:t xml:space="preserve">[39] </w:t>
      </w:r>
      <w:r w:rsidR="00F925E4" w:rsidRPr="004045AD">
        <w:rPr>
          <w:rFonts w:ascii="Times New Roman" w:hAnsi="Times New Roman" w:cs="Times New Roman"/>
          <w:sz w:val="24"/>
          <w:szCs w:val="24"/>
        </w:rPr>
        <w:t>It is on record that</w:t>
      </w:r>
      <w:r w:rsidR="00FC7013" w:rsidRPr="004045AD">
        <w:rPr>
          <w:rFonts w:ascii="Times New Roman" w:hAnsi="Times New Roman" w:cs="Times New Roman"/>
          <w:sz w:val="24"/>
          <w:szCs w:val="24"/>
        </w:rPr>
        <w:t xml:space="preserve">, </w:t>
      </w:r>
      <w:r w:rsidR="00C1574C" w:rsidRPr="004045AD">
        <w:rPr>
          <w:rFonts w:ascii="Times New Roman" w:hAnsi="Times New Roman" w:cs="Times New Roman"/>
          <w:sz w:val="24"/>
          <w:szCs w:val="24"/>
        </w:rPr>
        <w:t>Innscor</w:t>
      </w:r>
      <w:r w:rsidR="00FC7013" w:rsidRPr="004045AD">
        <w:rPr>
          <w:rFonts w:ascii="Times New Roman" w:hAnsi="Times New Roman" w:cs="Times New Roman"/>
          <w:sz w:val="24"/>
          <w:szCs w:val="24"/>
        </w:rPr>
        <w:t xml:space="preserve"> </w:t>
      </w:r>
      <w:r w:rsidR="006477C9" w:rsidRPr="004045AD">
        <w:rPr>
          <w:rFonts w:ascii="Times New Roman" w:hAnsi="Times New Roman" w:cs="Times New Roman"/>
          <w:sz w:val="24"/>
          <w:szCs w:val="24"/>
        </w:rPr>
        <w:t xml:space="preserve">has </w:t>
      </w:r>
      <w:r w:rsidR="00C1574C" w:rsidRPr="004045AD">
        <w:rPr>
          <w:rFonts w:ascii="Times New Roman" w:hAnsi="Times New Roman" w:cs="Times New Roman"/>
          <w:sz w:val="24"/>
          <w:szCs w:val="24"/>
        </w:rPr>
        <w:t xml:space="preserve">on two </w:t>
      </w:r>
      <w:r w:rsidR="006477C9" w:rsidRPr="004045AD">
        <w:rPr>
          <w:rFonts w:ascii="Times New Roman" w:hAnsi="Times New Roman" w:cs="Times New Roman"/>
          <w:sz w:val="24"/>
          <w:szCs w:val="24"/>
        </w:rPr>
        <w:t>occasions</w:t>
      </w:r>
      <w:r w:rsidR="005851B1">
        <w:rPr>
          <w:rFonts w:ascii="Times New Roman" w:hAnsi="Times New Roman" w:cs="Times New Roman"/>
          <w:sz w:val="24"/>
          <w:szCs w:val="24"/>
        </w:rPr>
        <w:t>,</w:t>
      </w:r>
      <w:r w:rsidR="006477C9" w:rsidRPr="004045AD">
        <w:rPr>
          <w:rFonts w:ascii="Times New Roman" w:hAnsi="Times New Roman" w:cs="Times New Roman"/>
          <w:sz w:val="24"/>
          <w:szCs w:val="24"/>
        </w:rPr>
        <w:t xml:space="preserve"> </w:t>
      </w:r>
      <w:r w:rsidR="008735BD">
        <w:rPr>
          <w:rFonts w:ascii="Times New Roman" w:hAnsi="Times New Roman" w:cs="Times New Roman"/>
          <w:sz w:val="24"/>
          <w:szCs w:val="24"/>
        </w:rPr>
        <w:t xml:space="preserve">contravened competition law </w:t>
      </w:r>
      <w:r w:rsidR="003C58C0">
        <w:rPr>
          <w:rFonts w:ascii="Times New Roman" w:hAnsi="Times New Roman" w:cs="Times New Roman"/>
          <w:sz w:val="24"/>
          <w:szCs w:val="24"/>
        </w:rPr>
        <w:t xml:space="preserve">           </w:t>
      </w:r>
      <w:r w:rsidR="006477C9" w:rsidRPr="004045AD">
        <w:rPr>
          <w:rFonts w:ascii="Times New Roman" w:hAnsi="Times New Roman" w:cs="Times New Roman"/>
          <w:sz w:val="24"/>
          <w:szCs w:val="24"/>
        </w:rPr>
        <w:t>b</w:t>
      </w:r>
      <w:r w:rsidR="008735BD">
        <w:rPr>
          <w:rFonts w:ascii="Times New Roman" w:hAnsi="Times New Roman" w:cs="Times New Roman"/>
          <w:sz w:val="24"/>
          <w:szCs w:val="24"/>
        </w:rPr>
        <w:t>y</w:t>
      </w:r>
      <w:r w:rsidR="007022F2" w:rsidRPr="004045AD">
        <w:rPr>
          <w:rFonts w:ascii="Times New Roman" w:hAnsi="Times New Roman" w:cs="Times New Roman"/>
          <w:sz w:val="24"/>
          <w:szCs w:val="24"/>
        </w:rPr>
        <w:t> </w:t>
      </w:r>
      <w:r w:rsidR="00826A73" w:rsidRPr="004045AD">
        <w:rPr>
          <w:rFonts w:ascii="Times New Roman" w:hAnsi="Times New Roman" w:cs="Times New Roman"/>
          <w:sz w:val="24"/>
          <w:szCs w:val="24"/>
        </w:rPr>
        <w:t>faili</w:t>
      </w:r>
      <w:r w:rsidRPr="004045AD">
        <w:rPr>
          <w:rFonts w:ascii="Times New Roman" w:hAnsi="Times New Roman" w:cs="Times New Roman"/>
          <w:sz w:val="24"/>
          <w:szCs w:val="24"/>
        </w:rPr>
        <w:t>n</w:t>
      </w:r>
      <w:r w:rsidR="007022F2" w:rsidRPr="004045AD">
        <w:rPr>
          <w:rFonts w:ascii="Times New Roman" w:hAnsi="Times New Roman" w:cs="Times New Roman"/>
          <w:sz w:val="24"/>
          <w:szCs w:val="24"/>
        </w:rPr>
        <w:t>g to notify</w:t>
      </w:r>
      <w:r w:rsidR="00E10EF0" w:rsidRPr="004045AD">
        <w:rPr>
          <w:rFonts w:ascii="Times New Roman" w:hAnsi="Times New Roman" w:cs="Times New Roman"/>
          <w:sz w:val="24"/>
          <w:szCs w:val="24"/>
        </w:rPr>
        <w:t xml:space="preserve"> the</w:t>
      </w:r>
      <w:r w:rsidR="00FC7013" w:rsidRPr="004045AD">
        <w:rPr>
          <w:rFonts w:ascii="Times New Roman" w:hAnsi="Times New Roman" w:cs="Times New Roman"/>
          <w:sz w:val="24"/>
          <w:szCs w:val="24"/>
        </w:rPr>
        <w:t xml:space="preserve"> appellant of a merger within thirty days</w:t>
      </w:r>
      <w:r w:rsidR="00BF3DB7" w:rsidRPr="004045AD">
        <w:rPr>
          <w:rFonts w:ascii="Times New Roman" w:hAnsi="Times New Roman" w:cs="Times New Roman"/>
          <w:sz w:val="24"/>
          <w:szCs w:val="24"/>
        </w:rPr>
        <w:t xml:space="preserve">. </w:t>
      </w:r>
      <w:r w:rsidR="00A83BDC" w:rsidRPr="004045AD">
        <w:rPr>
          <w:rFonts w:ascii="Times New Roman" w:hAnsi="Times New Roman" w:cs="Times New Roman"/>
          <w:sz w:val="24"/>
          <w:szCs w:val="24"/>
        </w:rPr>
        <w:t xml:space="preserve"> </w:t>
      </w:r>
      <w:r w:rsidR="00BF3DB7" w:rsidRPr="004045AD">
        <w:rPr>
          <w:rFonts w:ascii="Times New Roman" w:hAnsi="Times New Roman" w:cs="Times New Roman"/>
          <w:sz w:val="24"/>
          <w:szCs w:val="24"/>
        </w:rPr>
        <w:t xml:space="preserve">This proves that </w:t>
      </w:r>
      <w:r w:rsidR="007223E3" w:rsidRPr="004045AD">
        <w:rPr>
          <w:rFonts w:ascii="Times New Roman" w:hAnsi="Times New Roman" w:cs="Times New Roman"/>
          <w:sz w:val="24"/>
          <w:szCs w:val="24"/>
        </w:rPr>
        <w:t>Innscor</w:t>
      </w:r>
      <w:r w:rsidR="00FC7013" w:rsidRPr="004045AD">
        <w:rPr>
          <w:rFonts w:ascii="Times New Roman" w:hAnsi="Times New Roman" w:cs="Times New Roman"/>
          <w:sz w:val="24"/>
          <w:szCs w:val="24"/>
        </w:rPr>
        <w:t xml:space="preserve"> </w:t>
      </w:r>
      <w:r w:rsidR="00BF3DB7" w:rsidRPr="004045AD">
        <w:rPr>
          <w:rFonts w:ascii="Times New Roman" w:hAnsi="Times New Roman" w:cs="Times New Roman"/>
          <w:sz w:val="24"/>
          <w:szCs w:val="24"/>
        </w:rPr>
        <w:t>can</w:t>
      </w:r>
      <w:r w:rsidR="00346C63">
        <w:rPr>
          <w:rFonts w:ascii="Times New Roman" w:hAnsi="Times New Roman" w:cs="Times New Roman"/>
          <w:sz w:val="24"/>
          <w:szCs w:val="24"/>
        </w:rPr>
        <w:t>,</w:t>
      </w:r>
      <w:r w:rsidR="00646CBE">
        <w:rPr>
          <w:rFonts w:ascii="Times New Roman" w:hAnsi="Times New Roman" w:cs="Times New Roman"/>
          <w:sz w:val="24"/>
          <w:szCs w:val="24"/>
        </w:rPr>
        <w:t xml:space="preserve"> not</w:t>
      </w:r>
      <w:r w:rsidR="00BF3DB7" w:rsidRPr="004045AD">
        <w:rPr>
          <w:rFonts w:ascii="Times New Roman" w:hAnsi="Times New Roman" w:cs="Times New Roman"/>
          <w:sz w:val="24"/>
          <w:szCs w:val="24"/>
        </w:rPr>
        <w:t xml:space="preserve"> where it suits it avoid</w:t>
      </w:r>
      <w:r w:rsidR="008B37D4" w:rsidRPr="004045AD">
        <w:rPr>
          <w:rFonts w:ascii="Times New Roman" w:hAnsi="Times New Roman" w:cs="Times New Roman"/>
          <w:sz w:val="24"/>
          <w:szCs w:val="24"/>
        </w:rPr>
        <w:t xml:space="preserve"> complying with </w:t>
      </w:r>
      <w:r w:rsidR="0027366C" w:rsidRPr="004045AD">
        <w:rPr>
          <w:rFonts w:ascii="Times New Roman" w:hAnsi="Times New Roman" w:cs="Times New Roman"/>
          <w:sz w:val="24"/>
          <w:szCs w:val="24"/>
        </w:rPr>
        <w:t>competition</w:t>
      </w:r>
      <w:r w:rsidR="008B37D4" w:rsidRPr="004045AD">
        <w:rPr>
          <w:rFonts w:ascii="Times New Roman" w:hAnsi="Times New Roman" w:cs="Times New Roman"/>
          <w:sz w:val="24"/>
          <w:szCs w:val="24"/>
        </w:rPr>
        <w:t xml:space="preserve"> law</w:t>
      </w:r>
      <w:r w:rsidR="00BF3DB7" w:rsidRPr="004045AD">
        <w:rPr>
          <w:rFonts w:ascii="Times New Roman" w:hAnsi="Times New Roman" w:cs="Times New Roman"/>
          <w:sz w:val="24"/>
          <w:szCs w:val="24"/>
        </w:rPr>
        <w:t>.</w:t>
      </w:r>
      <w:r w:rsidR="007022F2" w:rsidRPr="004045AD">
        <w:rPr>
          <w:rFonts w:ascii="Times New Roman" w:hAnsi="Times New Roman" w:cs="Times New Roman"/>
          <w:sz w:val="24"/>
          <w:szCs w:val="24"/>
        </w:rPr>
        <w:t xml:space="preserve">  </w:t>
      </w:r>
      <w:r w:rsidR="00F925E4" w:rsidRPr="004045AD">
        <w:rPr>
          <w:rFonts w:ascii="Times New Roman" w:hAnsi="Times New Roman" w:cs="Times New Roman"/>
          <w:sz w:val="24"/>
          <w:szCs w:val="24"/>
        </w:rPr>
        <w:t xml:space="preserve">This fact should have guided the court </w:t>
      </w:r>
      <w:r w:rsidR="00F925E4" w:rsidRPr="004045AD">
        <w:rPr>
          <w:rFonts w:ascii="Times New Roman" w:hAnsi="Times New Roman" w:cs="Times New Roman"/>
          <w:i/>
          <w:sz w:val="24"/>
          <w:szCs w:val="24"/>
        </w:rPr>
        <w:t>a quo</w:t>
      </w:r>
      <w:r w:rsidR="00F925E4" w:rsidRPr="004045AD">
        <w:rPr>
          <w:rFonts w:ascii="Times New Roman" w:hAnsi="Times New Roman" w:cs="Times New Roman"/>
          <w:sz w:val="24"/>
          <w:szCs w:val="24"/>
        </w:rPr>
        <w:t xml:space="preserve"> in determining whether or</w:t>
      </w:r>
      <w:r w:rsidR="00646CBE">
        <w:rPr>
          <w:rFonts w:ascii="Times New Roman" w:hAnsi="Times New Roman" w:cs="Times New Roman"/>
          <w:sz w:val="24"/>
          <w:szCs w:val="24"/>
        </w:rPr>
        <w:t xml:space="preserve"> not</w:t>
      </w:r>
      <w:r w:rsidR="00F925E4" w:rsidRPr="004045AD">
        <w:rPr>
          <w:rFonts w:ascii="Times New Roman" w:hAnsi="Times New Roman" w:cs="Times New Roman"/>
          <w:sz w:val="24"/>
          <w:szCs w:val="24"/>
        </w:rPr>
        <w:t xml:space="preserve"> </w:t>
      </w:r>
      <w:r w:rsidR="00DE04C1">
        <w:rPr>
          <w:rFonts w:ascii="Times New Roman" w:hAnsi="Times New Roman" w:cs="Times New Roman"/>
          <w:sz w:val="24"/>
          <w:szCs w:val="24"/>
        </w:rPr>
        <w:t>a</w:t>
      </w:r>
      <w:r w:rsidR="00F925E4" w:rsidRPr="004045AD">
        <w:rPr>
          <w:rFonts w:ascii="Times New Roman" w:hAnsi="Times New Roman" w:cs="Times New Roman"/>
          <w:sz w:val="24"/>
          <w:szCs w:val="24"/>
        </w:rPr>
        <w:t xml:space="preserve"> merger</w:t>
      </w:r>
      <w:r w:rsidR="00314D84" w:rsidRPr="004045AD">
        <w:rPr>
          <w:rFonts w:ascii="Times New Roman" w:hAnsi="Times New Roman" w:cs="Times New Roman"/>
          <w:sz w:val="24"/>
          <w:szCs w:val="24"/>
        </w:rPr>
        <w:t xml:space="preserve"> in which </w:t>
      </w:r>
      <w:r w:rsidR="007223E3" w:rsidRPr="004045AD">
        <w:rPr>
          <w:rFonts w:ascii="Times New Roman" w:hAnsi="Times New Roman" w:cs="Times New Roman"/>
          <w:sz w:val="24"/>
          <w:szCs w:val="24"/>
        </w:rPr>
        <w:t>i</w:t>
      </w:r>
      <w:r w:rsidR="00BF3DB7" w:rsidRPr="004045AD">
        <w:rPr>
          <w:rFonts w:ascii="Times New Roman" w:hAnsi="Times New Roman" w:cs="Times New Roman"/>
          <w:sz w:val="24"/>
          <w:szCs w:val="24"/>
        </w:rPr>
        <w:t>t</w:t>
      </w:r>
      <w:r w:rsidR="00314D84" w:rsidRPr="004045AD">
        <w:rPr>
          <w:rFonts w:ascii="Times New Roman" w:hAnsi="Times New Roman" w:cs="Times New Roman"/>
          <w:sz w:val="24"/>
          <w:szCs w:val="24"/>
        </w:rPr>
        <w:t xml:space="preserve"> was a participant</w:t>
      </w:r>
      <w:r w:rsidR="00F925E4" w:rsidRPr="004045AD">
        <w:rPr>
          <w:rFonts w:ascii="Times New Roman" w:hAnsi="Times New Roman" w:cs="Times New Roman"/>
          <w:sz w:val="24"/>
          <w:szCs w:val="24"/>
        </w:rPr>
        <w:t xml:space="preserve"> was in the public interest.</w:t>
      </w:r>
      <w:r w:rsidR="00547B21" w:rsidRPr="004045AD">
        <w:rPr>
          <w:rFonts w:ascii="Times New Roman" w:hAnsi="Times New Roman" w:cs="Times New Roman"/>
          <w:sz w:val="24"/>
          <w:szCs w:val="24"/>
        </w:rPr>
        <w:t xml:space="preserve"> It is highly unlikely that a </w:t>
      </w:r>
      <w:r w:rsidR="007223E3" w:rsidRPr="004045AD">
        <w:rPr>
          <w:rFonts w:ascii="Times New Roman" w:hAnsi="Times New Roman" w:cs="Times New Roman"/>
          <w:sz w:val="24"/>
          <w:szCs w:val="24"/>
        </w:rPr>
        <w:t>merger in which one of the participants</w:t>
      </w:r>
      <w:r w:rsidR="00547B21" w:rsidRPr="004045AD">
        <w:rPr>
          <w:rFonts w:ascii="Times New Roman" w:hAnsi="Times New Roman" w:cs="Times New Roman"/>
          <w:sz w:val="24"/>
          <w:szCs w:val="24"/>
        </w:rPr>
        <w:t xml:space="preserve"> has demonstrated</w:t>
      </w:r>
      <w:r w:rsidR="00542940" w:rsidRPr="004045AD">
        <w:rPr>
          <w:rFonts w:ascii="Times New Roman" w:hAnsi="Times New Roman" w:cs="Times New Roman"/>
          <w:sz w:val="24"/>
          <w:szCs w:val="24"/>
        </w:rPr>
        <w:t xml:space="preserve"> a propensity to disregard comp</w:t>
      </w:r>
      <w:r w:rsidR="00547B21" w:rsidRPr="004045AD">
        <w:rPr>
          <w:rFonts w:ascii="Times New Roman" w:hAnsi="Times New Roman" w:cs="Times New Roman"/>
          <w:sz w:val="24"/>
          <w:szCs w:val="24"/>
        </w:rPr>
        <w:t>e</w:t>
      </w:r>
      <w:r w:rsidR="00542940" w:rsidRPr="004045AD">
        <w:rPr>
          <w:rFonts w:ascii="Times New Roman" w:hAnsi="Times New Roman" w:cs="Times New Roman"/>
          <w:sz w:val="24"/>
          <w:szCs w:val="24"/>
        </w:rPr>
        <w:t>ti</w:t>
      </w:r>
      <w:r w:rsidR="00547B21" w:rsidRPr="004045AD">
        <w:rPr>
          <w:rFonts w:ascii="Times New Roman" w:hAnsi="Times New Roman" w:cs="Times New Roman"/>
          <w:sz w:val="24"/>
          <w:szCs w:val="24"/>
        </w:rPr>
        <w:t xml:space="preserve">tion law can be trusted to the extent of being allowed to create a merger </w:t>
      </w:r>
      <w:r w:rsidR="00646CBE">
        <w:rPr>
          <w:rFonts w:ascii="Times New Roman" w:hAnsi="Times New Roman" w:cs="Times New Roman"/>
          <w:sz w:val="24"/>
          <w:szCs w:val="24"/>
        </w:rPr>
        <w:t xml:space="preserve">which is </w:t>
      </w:r>
      <w:r w:rsidR="00547B21" w:rsidRPr="004045AD">
        <w:rPr>
          <w:rFonts w:ascii="Times New Roman" w:hAnsi="Times New Roman" w:cs="Times New Roman"/>
          <w:sz w:val="24"/>
          <w:szCs w:val="24"/>
        </w:rPr>
        <w:t xml:space="preserve">subject to its control which will not create monopolistic situations and other anti- competition </w:t>
      </w:r>
      <w:r w:rsidR="00547B21" w:rsidRPr="004045AD">
        <w:rPr>
          <w:rFonts w:ascii="Times New Roman" w:hAnsi="Times New Roman" w:cs="Times New Roman"/>
          <w:sz w:val="24"/>
          <w:szCs w:val="24"/>
        </w:rPr>
        <w:lastRenderedPageBreak/>
        <w:t>situations in the long</w:t>
      </w:r>
      <w:r w:rsidR="007223E3" w:rsidRPr="004045AD">
        <w:rPr>
          <w:rFonts w:ascii="Times New Roman" w:hAnsi="Times New Roman" w:cs="Times New Roman"/>
          <w:sz w:val="24"/>
          <w:szCs w:val="24"/>
        </w:rPr>
        <w:t>-</w:t>
      </w:r>
      <w:r w:rsidR="00547B21" w:rsidRPr="004045AD">
        <w:rPr>
          <w:rFonts w:ascii="Times New Roman" w:hAnsi="Times New Roman" w:cs="Times New Roman"/>
          <w:sz w:val="24"/>
          <w:szCs w:val="24"/>
        </w:rPr>
        <w:t>term</w:t>
      </w:r>
      <w:r w:rsidR="00032D73" w:rsidRPr="004045AD">
        <w:rPr>
          <w:rFonts w:ascii="Times New Roman" w:hAnsi="Times New Roman" w:cs="Times New Roman"/>
          <w:sz w:val="24"/>
          <w:szCs w:val="24"/>
        </w:rPr>
        <w:t xml:space="preserve">. Failure to take this into consideration is a serious misdirection on the part of the court </w:t>
      </w:r>
      <w:r w:rsidR="00032D73" w:rsidRPr="004045AD">
        <w:rPr>
          <w:rFonts w:ascii="Times New Roman" w:hAnsi="Times New Roman" w:cs="Times New Roman"/>
          <w:i/>
          <w:sz w:val="24"/>
          <w:szCs w:val="24"/>
        </w:rPr>
        <w:t>a quo</w:t>
      </w:r>
      <w:r w:rsidR="00032D73" w:rsidRPr="004045AD">
        <w:rPr>
          <w:rFonts w:ascii="Times New Roman" w:hAnsi="Times New Roman" w:cs="Times New Roman"/>
          <w:sz w:val="24"/>
          <w:szCs w:val="24"/>
        </w:rPr>
        <w:t>.</w:t>
      </w:r>
    </w:p>
    <w:p w:rsidR="00C6059C" w:rsidRPr="004045AD" w:rsidRDefault="00FF000F" w:rsidP="00FD6C75">
      <w:pPr>
        <w:spacing w:after="0" w:line="480" w:lineRule="auto"/>
        <w:jc w:val="both"/>
        <w:rPr>
          <w:rFonts w:ascii="Times New Roman" w:eastAsia="Calibri" w:hAnsi="Times New Roman" w:cs="Times New Roman"/>
          <w:sz w:val="24"/>
          <w:szCs w:val="24"/>
        </w:rPr>
      </w:pPr>
      <w:r w:rsidRPr="004045AD">
        <w:rPr>
          <w:rFonts w:ascii="Times New Roman" w:hAnsi="Times New Roman" w:cs="Times New Roman"/>
          <w:sz w:val="24"/>
          <w:szCs w:val="24"/>
        </w:rPr>
        <w:t xml:space="preserve"> </w:t>
      </w:r>
    </w:p>
    <w:p w:rsidR="00FF000F" w:rsidRPr="004045AD" w:rsidRDefault="00C6059C" w:rsidP="001E3909">
      <w:pPr>
        <w:pStyle w:val="lrpara-a"/>
        <w:tabs>
          <w:tab w:val="clear" w:pos="680"/>
          <w:tab w:val="right" w:pos="567"/>
        </w:tabs>
        <w:spacing w:line="480" w:lineRule="auto"/>
        <w:ind w:left="567" w:hanging="567"/>
        <w:rPr>
          <w:rFonts w:eastAsiaTheme="minorHAnsi"/>
          <w:sz w:val="24"/>
          <w:szCs w:val="24"/>
          <w:lang w:val="en-US"/>
        </w:rPr>
      </w:pPr>
      <w:r w:rsidRPr="004045AD">
        <w:rPr>
          <w:rFonts w:eastAsiaTheme="minorHAnsi"/>
          <w:sz w:val="24"/>
          <w:szCs w:val="24"/>
          <w:lang w:val="en-US"/>
        </w:rPr>
        <w:t>[</w:t>
      </w:r>
      <w:r w:rsidR="00A349EC" w:rsidRPr="004045AD">
        <w:rPr>
          <w:rFonts w:eastAsiaTheme="minorHAnsi"/>
          <w:sz w:val="24"/>
          <w:szCs w:val="24"/>
          <w:lang w:val="en-US"/>
        </w:rPr>
        <w:t>40</w:t>
      </w:r>
      <w:r w:rsidRPr="004045AD">
        <w:rPr>
          <w:rFonts w:eastAsiaTheme="minorHAnsi"/>
          <w:sz w:val="24"/>
          <w:szCs w:val="24"/>
          <w:lang w:val="en-US"/>
        </w:rPr>
        <w:t xml:space="preserve">] </w:t>
      </w:r>
      <w:r w:rsidR="00A349EC" w:rsidRPr="004045AD">
        <w:rPr>
          <w:rFonts w:eastAsiaTheme="minorHAnsi"/>
          <w:sz w:val="24"/>
          <w:szCs w:val="24"/>
          <w:lang w:val="en-US"/>
        </w:rPr>
        <w:t xml:space="preserve"> </w:t>
      </w:r>
      <w:r w:rsidR="007022F2" w:rsidRPr="004045AD">
        <w:rPr>
          <w:rFonts w:eastAsiaTheme="minorHAnsi"/>
          <w:sz w:val="24"/>
          <w:szCs w:val="24"/>
          <w:lang w:val="en-US"/>
        </w:rPr>
        <w:t xml:space="preserve"> </w:t>
      </w:r>
      <w:r w:rsidR="00A03137" w:rsidRPr="004045AD">
        <w:rPr>
          <w:rFonts w:eastAsiaTheme="minorHAnsi"/>
          <w:sz w:val="24"/>
          <w:szCs w:val="24"/>
          <w:lang w:val="en-US"/>
        </w:rPr>
        <w:t>The issue of cont</w:t>
      </w:r>
      <w:r w:rsidR="00FF000F" w:rsidRPr="004045AD">
        <w:rPr>
          <w:rFonts w:eastAsiaTheme="minorHAnsi"/>
          <w:sz w:val="24"/>
          <w:szCs w:val="24"/>
          <w:lang w:val="en-US"/>
        </w:rPr>
        <w:t>rol</w:t>
      </w:r>
      <w:r w:rsidR="00A03137" w:rsidRPr="004045AD">
        <w:rPr>
          <w:rFonts w:eastAsiaTheme="minorHAnsi"/>
          <w:sz w:val="24"/>
          <w:szCs w:val="24"/>
          <w:lang w:val="en-US"/>
        </w:rPr>
        <w:t xml:space="preserve">ling monopolies dates back as far as 1911. </w:t>
      </w:r>
      <w:r w:rsidR="00A349EC" w:rsidRPr="004045AD">
        <w:rPr>
          <w:rFonts w:eastAsiaTheme="minorHAnsi"/>
          <w:sz w:val="24"/>
          <w:szCs w:val="24"/>
          <w:lang w:val="en-US"/>
        </w:rPr>
        <w:t xml:space="preserve"> </w:t>
      </w:r>
      <w:r w:rsidR="00A03137" w:rsidRPr="004045AD">
        <w:rPr>
          <w:rFonts w:eastAsiaTheme="minorHAnsi"/>
          <w:sz w:val="24"/>
          <w:szCs w:val="24"/>
          <w:lang w:val="en-US"/>
        </w:rPr>
        <w:t xml:space="preserve">In the case of </w:t>
      </w:r>
      <w:r w:rsidR="00A03137" w:rsidRPr="004045AD">
        <w:rPr>
          <w:rFonts w:eastAsiaTheme="minorHAnsi"/>
          <w:i/>
          <w:sz w:val="24"/>
          <w:szCs w:val="24"/>
          <w:lang w:val="en-US"/>
        </w:rPr>
        <w:t xml:space="preserve">Standard Oil Company of New Jersey </w:t>
      </w:r>
      <w:r w:rsidR="00A03137" w:rsidRPr="004045AD">
        <w:rPr>
          <w:rFonts w:eastAsiaTheme="minorHAnsi"/>
          <w:sz w:val="24"/>
          <w:szCs w:val="24"/>
          <w:lang w:val="en-US"/>
        </w:rPr>
        <w:t>v</w:t>
      </w:r>
      <w:r w:rsidR="00A03137" w:rsidRPr="004045AD">
        <w:rPr>
          <w:rFonts w:eastAsiaTheme="minorHAnsi"/>
          <w:i/>
          <w:sz w:val="24"/>
          <w:szCs w:val="24"/>
          <w:lang w:val="en-US"/>
        </w:rPr>
        <w:t xml:space="preserve"> United States</w:t>
      </w:r>
      <w:r w:rsidR="009E5E00">
        <w:rPr>
          <w:rFonts w:eastAsiaTheme="minorHAnsi"/>
          <w:i/>
          <w:sz w:val="24"/>
          <w:szCs w:val="24"/>
          <w:lang w:val="en-US"/>
        </w:rPr>
        <w:t xml:space="preserve"> </w:t>
      </w:r>
      <w:r w:rsidR="009E5E00">
        <w:rPr>
          <w:rFonts w:eastAsiaTheme="minorHAnsi"/>
          <w:sz w:val="24"/>
          <w:szCs w:val="24"/>
          <w:lang w:val="en-US"/>
        </w:rPr>
        <w:t>221 US 1</w:t>
      </w:r>
      <w:r w:rsidR="00A03137" w:rsidRPr="004045AD">
        <w:rPr>
          <w:rFonts w:eastAsiaTheme="minorHAnsi"/>
          <w:i/>
          <w:sz w:val="24"/>
          <w:szCs w:val="24"/>
          <w:lang w:val="en-US"/>
        </w:rPr>
        <w:t xml:space="preserve"> </w:t>
      </w:r>
      <w:r w:rsidR="00A03137" w:rsidRPr="004045AD">
        <w:rPr>
          <w:rFonts w:eastAsiaTheme="minorHAnsi"/>
          <w:sz w:val="24"/>
          <w:szCs w:val="24"/>
          <w:lang w:val="en-US"/>
        </w:rPr>
        <w:t>(1911)</w:t>
      </w:r>
      <w:r w:rsidR="00FF000F" w:rsidRPr="004045AD">
        <w:rPr>
          <w:rFonts w:eastAsiaTheme="minorHAnsi"/>
          <w:sz w:val="24"/>
          <w:szCs w:val="24"/>
          <w:lang w:val="en-US"/>
        </w:rPr>
        <w:t>,</w:t>
      </w:r>
      <w:r w:rsidR="00C95AE9" w:rsidRPr="004045AD">
        <w:rPr>
          <w:rFonts w:eastAsiaTheme="minorHAnsi"/>
          <w:sz w:val="24"/>
          <w:szCs w:val="24"/>
          <w:lang w:val="en-US"/>
        </w:rPr>
        <w:t xml:space="preserve"> </w:t>
      </w:r>
      <w:r w:rsidR="00FF000F" w:rsidRPr="004045AD">
        <w:rPr>
          <w:rFonts w:eastAsiaTheme="minorHAnsi"/>
          <w:sz w:val="24"/>
          <w:szCs w:val="24"/>
          <w:lang w:val="en-US"/>
        </w:rPr>
        <w:t>the appellant a major oil conglomerate violated the Sherman Anti-trust Act through anti-competitive actions of forming a monopoly. The Supreme Court</w:t>
      </w:r>
      <w:r w:rsidR="00907448" w:rsidRPr="004045AD">
        <w:rPr>
          <w:rFonts w:eastAsiaTheme="minorHAnsi"/>
          <w:sz w:val="24"/>
          <w:szCs w:val="24"/>
          <w:lang w:val="en-US"/>
        </w:rPr>
        <w:t xml:space="preserve"> of the United States of America,</w:t>
      </w:r>
      <w:r w:rsidR="00FF000F" w:rsidRPr="004045AD">
        <w:rPr>
          <w:rFonts w:eastAsiaTheme="minorHAnsi"/>
          <w:sz w:val="24"/>
          <w:szCs w:val="24"/>
          <w:lang w:val="en-US"/>
        </w:rPr>
        <w:t xml:space="preserve"> ordered that the appellant be geographically split as a measure to control competition.</w:t>
      </w:r>
    </w:p>
    <w:p w:rsidR="00A349EC" w:rsidRPr="004045AD" w:rsidRDefault="00A349EC" w:rsidP="00441FF4">
      <w:pPr>
        <w:pStyle w:val="lrpara-a"/>
        <w:tabs>
          <w:tab w:val="clear" w:pos="680"/>
          <w:tab w:val="right" w:pos="567"/>
        </w:tabs>
        <w:spacing w:after="0" w:line="240" w:lineRule="auto"/>
        <w:ind w:left="567" w:hanging="567"/>
        <w:rPr>
          <w:rFonts w:eastAsiaTheme="minorHAnsi"/>
          <w:sz w:val="24"/>
          <w:szCs w:val="24"/>
          <w:lang w:val="en-US"/>
        </w:rPr>
      </w:pPr>
    </w:p>
    <w:p w:rsidR="00EC1F9C" w:rsidRPr="004045AD" w:rsidRDefault="00C95AE9" w:rsidP="00A349EC">
      <w:pPr>
        <w:pStyle w:val="lrpara-a"/>
        <w:tabs>
          <w:tab w:val="clear" w:pos="680"/>
          <w:tab w:val="right" w:pos="567"/>
        </w:tabs>
        <w:spacing w:line="480" w:lineRule="auto"/>
        <w:ind w:left="567" w:hanging="567"/>
        <w:rPr>
          <w:rFonts w:eastAsiaTheme="minorHAnsi"/>
          <w:sz w:val="24"/>
          <w:szCs w:val="24"/>
          <w:lang w:val="en-US"/>
        </w:rPr>
      </w:pPr>
      <w:r w:rsidRPr="004045AD">
        <w:rPr>
          <w:rFonts w:eastAsiaTheme="minorHAnsi"/>
          <w:sz w:val="24"/>
          <w:szCs w:val="24"/>
          <w:lang w:val="en-US"/>
        </w:rPr>
        <w:t>[</w:t>
      </w:r>
      <w:r w:rsidR="00A349EC" w:rsidRPr="004045AD">
        <w:rPr>
          <w:rFonts w:eastAsiaTheme="minorHAnsi"/>
          <w:sz w:val="24"/>
          <w:szCs w:val="24"/>
          <w:lang w:val="en-US"/>
        </w:rPr>
        <w:t>41</w:t>
      </w:r>
      <w:r w:rsidRPr="004045AD">
        <w:rPr>
          <w:rFonts w:eastAsiaTheme="minorHAnsi"/>
          <w:sz w:val="24"/>
          <w:szCs w:val="24"/>
          <w:lang w:val="en-US"/>
        </w:rPr>
        <w:t xml:space="preserve">] </w:t>
      </w:r>
      <w:r w:rsidR="00A349EC" w:rsidRPr="004045AD">
        <w:rPr>
          <w:rFonts w:eastAsiaTheme="minorHAnsi"/>
          <w:sz w:val="24"/>
          <w:szCs w:val="24"/>
          <w:lang w:val="en-US"/>
        </w:rPr>
        <w:t xml:space="preserve"> </w:t>
      </w:r>
      <w:r w:rsidR="00423776" w:rsidRPr="004045AD">
        <w:rPr>
          <w:rFonts w:eastAsiaTheme="minorHAnsi"/>
          <w:sz w:val="24"/>
          <w:szCs w:val="24"/>
          <w:lang w:val="en-US"/>
        </w:rPr>
        <w:t xml:space="preserve"> </w:t>
      </w:r>
      <w:r w:rsidR="00A548BD" w:rsidRPr="004045AD">
        <w:rPr>
          <w:rFonts w:eastAsiaTheme="minorHAnsi"/>
          <w:sz w:val="24"/>
          <w:szCs w:val="24"/>
          <w:lang w:val="en-US"/>
        </w:rPr>
        <w:t xml:space="preserve">In a case involving </w:t>
      </w:r>
      <w:r w:rsidR="00A548BD" w:rsidRPr="004045AD">
        <w:rPr>
          <w:rFonts w:eastAsiaTheme="minorHAnsi"/>
          <w:i/>
          <w:sz w:val="24"/>
          <w:szCs w:val="24"/>
          <w:lang w:val="en-US"/>
        </w:rPr>
        <w:t>Akzo Nobel N.V, Kansai Plascon Africa Ltd and Kansai Plascon East Africa Propriet</w:t>
      </w:r>
      <w:r w:rsidR="009A7D4A">
        <w:rPr>
          <w:rFonts w:eastAsiaTheme="minorHAnsi"/>
          <w:i/>
          <w:sz w:val="24"/>
          <w:szCs w:val="24"/>
          <w:lang w:val="en-US"/>
        </w:rPr>
        <w:t>ar</w:t>
      </w:r>
      <w:r w:rsidR="00A548BD" w:rsidRPr="004045AD">
        <w:rPr>
          <w:rFonts w:eastAsiaTheme="minorHAnsi"/>
          <w:i/>
          <w:sz w:val="24"/>
          <w:szCs w:val="24"/>
          <w:lang w:val="en-US"/>
        </w:rPr>
        <w:t xml:space="preserve">y Ltd </w:t>
      </w:r>
      <w:r w:rsidR="00A548BD" w:rsidRPr="004045AD">
        <w:rPr>
          <w:rFonts w:eastAsiaTheme="minorHAnsi"/>
          <w:sz w:val="24"/>
          <w:szCs w:val="24"/>
          <w:lang w:val="en-US"/>
        </w:rPr>
        <w:t xml:space="preserve">Case Number IM147Nov22, the Common Market for Eastern &amp; Southern Africa (COMESA) prohibited the proposed merger of companies which are in the market of manufacturing and supply of decorative coating or paint. </w:t>
      </w:r>
      <w:r w:rsidR="00A349EC" w:rsidRPr="004045AD">
        <w:rPr>
          <w:rFonts w:eastAsiaTheme="minorHAnsi"/>
          <w:sz w:val="24"/>
          <w:szCs w:val="24"/>
          <w:lang w:val="en-US"/>
        </w:rPr>
        <w:t xml:space="preserve">  </w:t>
      </w:r>
      <w:r w:rsidR="00A548BD" w:rsidRPr="004045AD">
        <w:rPr>
          <w:rFonts w:eastAsiaTheme="minorHAnsi"/>
          <w:sz w:val="24"/>
          <w:szCs w:val="24"/>
          <w:lang w:val="en-US"/>
        </w:rPr>
        <w:t>Akzo Nobel N.V was set to acquire 83.3% of the issued share capital of Kansai Plascon Africa Ltd and 100% of the issued share capital of Kansai Plascon East Africa Propriet</w:t>
      </w:r>
      <w:r w:rsidR="00FE5ABE">
        <w:rPr>
          <w:rFonts w:eastAsiaTheme="minorHAnsi"/>
          <w:sz w:val="24"/>
          <w:szCs w:val="24"/>
          <w:lang w:val="en-US"/>
        </w:rPr>
        <w:t>ar</w:t>
      </w:r>
      <w:r w:rsidR="00A548BD" w:rsidRPr="004045AD">
        <w:rPr>
          <w:rFonts w:eastAsiaTheme="minorHAnsi"/>
          <w:sz w:val="24"/>
          <w:szCs w:val="24"/>
          <w:lang w:val="en-US"/>
        </w:rPr>
        <w:t>y Ltd</w:t>
      </w:r>
      <w:r w:rsidR="00A548BD" w:rsidRPr="004045AD">
        <w:rPr>
          <w:rFonts w:eastAsiaTheme="minorHAnsi"/>
          <w:i/>
          <w:sz w:val="24"/>
          <w:szCs w:val="24"/>
          <w:lang w:val="en-US"/>
        </w:rPr>
        <w:t xml:space="preserve">. </w:t>
      </w:r>
      <w:r w:rsidR="00A548BD" w:rsidRPr="004045AD">
        <w:rPr>
          <w:rFonts w:eastAsiaTheme="minorHAnsi"/>
          <w:sz w:val="24"/>
          <w:szCs w:val="24"/>
          <w:lang w:val="en-US"/>
        </w:rPr>
        <w:t>The COMESA Competition Commission</w:t>
      </w:r>
      <w:r w:rsidR="00314D84" w:rsidRPr="004045AD">
        <w:rPr>
          <w:rFonts w:eastAsiaTheme="minorHAnsi"/>
          <w:sz w:val="24"/>
          <w:szCs w:val="24"/>
          <w:lang w:val="en-US"/>
        </w:rPr>
        <w:t>,</w:t>
      </w:r>
      <w:r w:rsidR="00A548BD" w:rsidRPr="004045AD">
        <w:rPr>
          <w:rFonts w:eastAsiaTheme="minorHAnsi"/>
          <w:sz w:val="24"/>
          <w:szCs w:val="24"/>
          <w:lang w:val="en-US"/>
        </w:rPr>
        <w:t xml:space="preserve"> identified several competition concerns arising f</w:t>
      </w:r>
      <w:r w:rsidR="00FC50F8" w:rsidRPr="004045AD">
        <w:rPr>
          <w:rFonts w:eastAsiaTheme="minorHAnsi"/>
          <w:sz w:val="24"/>
          <w:szCs w:val="24"/>
          <w:lang w:val="en-US"/>
        </w:rPr>
        <w:t>r</w:t>
      </w:r>
      <w:r w:rsidR="00A548BD" w:rsidRPr="004045AD">
        <w:rPr>
          <w:rFonts w:eastAsiaTheme="minorHAnsi"/>
          <w:sz w:val="24"/>
          <w:szCs w:val="24"/>
          <w:lang w:val="en-US"/>
        </w:rPr>
        <w:t xml:space="preserve">om the proposed merger. </w:t>
      </w:r>
      <w:r w:rsidR="00A349EC" w:rsidRPr="004045AD">
        <w:rPr>
          <w:rFonts w:eastAsiaTheme="minorHAnsi"/>
          <w:sz w:val="24"/>
          <w:szCs w:val="24"/>
          <w:lang w:val="en-US"/>
        </w:rPr>
        <w:t xml:space="preserve"> </w:t>
      </w:r>
      <w:r w:rsidR="00A548BD" w:rsidRPr="004045AD">
        <w:rPr>
          <w:rFonts w:eastAsiaTheme="minorHAnsi"/>
          <w:sz w:val="24"/>
          <w:szCs w:val="24"/>
          <w:lang w:val="en-US"/>
        </w:rPr>
        <w:t xml:space="preserve">More specifically, it found that the merger would result in a combination of two strong paint brands that is Dulux and Plascon and that there </w:t>
      </w:r>
      <w:r w:rsidR="00482B5A" w:rsidRPr="004045AD">
        <w:rPr>
          <w:rFonts w:eastAsiaTheme="minorHAnsi"/>
          <w:sz w:val="24"/>
          <w:szCs w:val="24"/>
          <w:lang w:val="en-US"/>
        </w:rPr>
        <w:t>w</w:t>
      </w:r>
      <w:r w:rsidR="00AA3076" w:rsidRPr="004045AD">
        <w:rPr>
          <w:rFonts w:eastAsiaTheme="minorHAnsi"/>
          <w:sz w:val="24"/>
          <w:szCs w:val="24"/>
          <w:lang w:val="en-US"/>
        </w:rPr>
        <w:t>as</w:t>
      </w:r>
      <w:r w:rsidR="00482B5A" w:rsidRPr="004045AD">
        <w:rPr>
          <w:rFonts w:eastAsiaTheme="minorHAnsi"/>
          <w:sz w:val="24"/>
          <w:szCs w:val="24"/>
          <w:lang w:val="en-US"/>
        </w:rPr>
        <w:t xml:space="preserve"> no effective competition present wh</w:t>
      </w:r>
      <w:r w:rsidR="00AA3076" w:rsidRPr="004045AD">
        <w:rPr>
          <w:rFonts w:eastAsiaTheme="minorHAnsi"/>
          <w:sz w:val="24"/>
          <w:szCs w:val="24"/>
          <w:lang w:val="en-US"/>
        </w:rPr>
        <w:t>ich</w:t>
      </w:r>
      <w:r w:rsidR="00482B5A" w:rsidRPr="004045AD">
        <w:rPr>
          <w:rFonts w:eastAsiaTheme="minorHAnsi"/>
          <w:sz w:val="24"/>
          <w:szCs w:val="24"/>
          <w:lang w:val="en-US"/>
        </w:rPr>
        <w:t xml:space="preserve"> would pose a real ability to counter the undue market power and unilateral conduct arising there</w:t>
      </w:r>
      <w:r w:rsidR="00DE04C1">
        <w:rPr>
          <w:rFonts w:eastAsiaTheme="minorHAnsi"/>
          <w:sz w:val="24"/>
          <w:szCs w:val="24"/>
          <w:lang w:val="en-US"/>
        </w:rPr>
        <w:t>from</w:t>
      </w:r>
      <w:r w:rsidR="00482B5A" w:rsidRPr="004045AD">
        <w:rPr>
          <w:rFonts w:eastAsiaTheme="minorHAnsi"/>
          <w:sz w:val="24"/>
          <w:szCs w:val="24"/>
          <w:lang w:val="en-US"/>
        </w:rPr>
        <w:t>. The C</w:t>
      </w:r>
      <w:r w:rsidR="0079290D" w:rsidRPr="004045AD">
        <w:rPr>
          <w:rFonts w:eastAsiaTheme="minorHAnsi"/>
          <w:sz w:val="24"/>
          <w:szCs w:val="24"/>
          <w:lang w:val="en-US"/>
        </w:rPr>
        <w:t>ommission</w:t>
      </w:r>
      <w:r w:rsidR="00482B5A" w:rsidRPr="004045AD">
        <w:rPr>
          <w:rFonts w:eastAsiaTheme="minorHAnsi"/>
          <w:sz w:val="24"/>
          <w:szCs w:val="24"/>
          <w:lang w:val="en-US"/>
        </w:rPr>
        <w:t xml:space="preserve"> ruled that the commitments proffered by the merging companies would not sufficiently remedy the decrease in competition in the market. </w:t>
      </w:r>
      <w:r w:rsidR="0079290D" w:rsidRPr="004045AD">
        <w:rPr>
          <w:rFonts w:eastAsiaTheme="minorHAnsi"/>
          <w:sz w:val="24"/>
          <w:szCs w:val="24"/>
          <w:lang w:val="en-US"/>
        </w:rPr>
        <w:t>It</w:t>
      </w:r>
      <w:r w:rsidR="00482B5A" w:rsidRPr="004045AD">
        <w:rPr>
          <w:rFonts w:eastAsiaTheme="minorHAnsi"/>
          <w:sz w:val="24"/>
          <w:szCs w:val="24"/>
          <w:lang w:val="en-US"/>
        </w:rPr>
        <w:t xml:space="preserve"> prohibited the merger in Eswatini, Zambia and Zimbabwe.</w:t>
      </w:r>
    </w:p>
    <w:p w:rsidR="00A349EC" w:rsidRPr="004045AD" w:rsidRDefault="00A349EC" w:rsidP="00A349EC">
      <w:pPr>
        <w:pStyle w:val="lrpara-a"/>
        <w:tabs>
          <w:tab w:val="clear" w:pos="680"/>
          <w:tab w:val="right" w:pos="567"/>
        </w:tabs>
        <w:spacing w:after="0" w:line="240" w:lineRule="auto"/>
        <w:ind w:left="567" w:hanging="567"/>
        <w:rPr>
          <w:rFonts w:eastAsiaTheme="minorHAnsi"/>
          <w:sz w:val="24"/>
          <w:szCs w:val="24"/>
          <w:lang w:val="en-US"/>
        </w:rPr>
      </w:pPr>
    </w:p>
    <w:p w:rsidR="00A548BD" w:rsidRPr="004045AD" w:rsidRDefault="00EC1F9C" w:rsidP="00A349EC">
      <w:pPr>
        <w:pStyle w:val="lrpara-a"/>
        <w:spacing w:line="480" w:lineRule="auto"/>
        <w:ind w:left="567" w:hanging="567"/>
        <w:rPr>
          <w:rFonts w:eastAsiaTheme="minorHAnsi"/>
          <w:sz w:val="24"/>
          <w:szCs w:val="24"/>
          <w:lang w:val="en-US"/>
        </w:rPr>
      </w:pPr>
      <w:r w:rsidRPr="004045AD">
        <w:rPr>
          <w:rFonts w:eastAsiaTheme="minorHAnsi"/>
          <w:sz w:val="24"/>
          <w:szCs w:val="24"/>
          <w:lang w:val="en-US"/>
        </w:rPr>
        <w:lastRenderedPageBreak/>
        <w:t>[</w:t>
      </w:r>
      <w:r w:rsidR="00A349EC" w:rsidRPr="004045AD">
        <w:rPr>
          <w:rFonts w:eastAsiaTheme="minorHAnsi"/>
          <w:sz w:val="24"/>
          <w:szCs w:val="24"/>
          <w:lang w:val="en-US"/>
        </w:rPr>
        <w:t>42</w:t>
      </w:r>
      <w:r w:rsidRPr="004045AD">
        <w:rPr>
          <w:rFonts w:eastAsiaTheme="minorHAnsi"/>
          <w:sz w:val="24"/>
          <w:szCs w:val="24"/>
          <w:lang w:val="en-US"/>
        </w:rPr>
        <w:t>]</w:t>
      </w:r>
      <w:r w:rsidR="00482B5A" w:rsidRPr="004045AD">
        <w:rPr>
          <w:rFonts w:eastAsiaTheme="minorHAnsi"/>
          <w:sz w:val="24"/>
          <w:szCs w:val="24"/>
          <w:lang w:val="en-US"/>
        </w:rPr>
        <w:t xml:space="preserve"> </w:t>
      </w:r>
      <w:r w:rsidR="00A349EC" w:rsidRPr="004045AD">
        <w:rPr>
          <w:rFonts w:eastAsiaTheme="minorHAnsi"/>
          <w:sz w:val="24"/>
          <w:szCs w:val="24"/>
          <w:lang w:val="en-US"/>
        </w:rPr>
        <w:t xml:space="preserve">  </w:t>
      </w:r>
      <w:r w:rsidR="00482B5A" w:rsidRPr="004045AD">
        <w:rPr>
          <w:rFonts w:eastAsiaTheme="minorHAnsi"/>
          <w:sz w:val="24"/>
          <w:szCs w:val="24"/>
          <w:lang w:val="en-US"/>
        </w:rPr>
        <w:t xml:space="preserve">In the present case, the court </w:t>
      </w:r>
      <w:r w:rsidR="00482B5A" w:rsidRPr="004045AD">
        <w:rPr>
          <w:rFonts w:eastAsiaTheme="minorHAnsi"/>
          <w:i/>
          <w:sz w:val="24"/>
          <w:szCs w:val="24"/>
          <w:lang w:val="en-US"/>
        </w:rPr>
        <w:t>a quo</w:t>
      </w:r>
      <w:r w:rsidR="00482B5A" w:rsidRPr="004045AD">
        <w:rPr>
          <w:rFonts w:eastAsiaTheme="minorHAnsi"/>
          <w:sz w:val="24"/>
          <w:szCs w:val="24"/>
          <w:lang w:val="en-US"/>
        </w:rPr>
        <w:t xml:space="preserve"> ought to have upheld the prohibition of the </w:t>
      </w:r>
      <w:r w:rsidR="006B0225" w:rsidRPr="004045AD">
        <w:rPr>
          <w:rFonts w:eastAsiaTheme="minorHAnsi"/>
          <w:sz w:val="24"/>
          <w:szCs w:val="24"/>
          <w:lang w:val="en-US"/>
        </w:rPr>
        <w:t xml:space="preserve">merger taking </w:t>
      </w:r>
      <w:r w:rsidR="00AA3076" w:rsidRPr="004045AD">
        <w:rPr>
          <w:rFonts w:eastAsiaTheme="minorHAnsi"/>
          <w:sz w:val="24"/>
          <w:szCs w:val="24"/>
          <w:lang w:val="en-US"/>
        </w:rPr>
        <w:t xml:space="preserve">into </w:t>
      </w:r>
      <w:r w:rsidR="006B0225" w:rsidRPr="004045AD">
        <w:rPr>
          <w:rFonts w:eastAsiaTheme="minorHAnsi"/>
          <w:sz w:val="24"/>
          <w:szCs w:val="24"/>
          <w:lang w:val="en-US"/>
        </w:rPr>
        <w:t>co</w:t>
      </w:r>
      <w:r w:rsidR="0079290D" w:rsidRPr="004045AD">
        <w:rPr>
          <w:rFonts w:eastAsiaTheme="minorHAnsi"/>
          <w:sz w:val="24"/>
          <w:szCs w:val="24"/>
          <w:lang w:val="en-US"/>
        </w:rPr>
        <w:t>nsideration the merging of Profeeds and National Foods which resulted in the concentration of industrial power in the</w:t>
      </w:r>
      <w:r w:rsidR="0027422A" w:rsidRPr="004045AD">
        <w:rPr>
          <w:rFonts w:eastAsiaTheme="minorHAnsi"/>
          <w:sz w:val="24"/>
          <w:szCs w:val="24"/>
          <w:lang w:val="en-US"/>
        </w:rPr>
        <w:t xml:space="preserve"> two biggest companies in the stock feed industry</w:t>
      </w:r>
      <w:r w:rsidR="0079290D" w:rsidRPr="004045AD">
        <w:rPr>
          <w:rFonts w:eastAsiaTheme="minorHAnsi"/>
          <w:sz w:val="24"/>
          <w:szCs w:val="24"/>
          <w:lang w:val="en-US"/>
        </w:rPr>
        <w:t>.</w:t>
      </w:r>
      <w:r w:rsidR="00482B5A" w:rsidRPr="004045AD">
        <w:rPr>
          <w:rFonts w:eastAsiaTheme="minorHAnsi"/>
          <w:sz w:val="24"/>
          <w:szCs w:val="24"/>
          <w:lang w:val="en-US"/>
        </w:rPr>
        <w:t xml:space="preserve"> </w:t>
      </w:r>
      <w:r w:rsidR="00423776" w:rsidRPr="004045AD">
        <w:rPr>
          <w:rFonts w:eastAsiaTheme="minorHAnsi"/>
          <w:sz w:val="24"/>
          <w:szCs w:val="24"/>
          <w:lang w:val="en-US"/>
        </w:rPr>
        <w:t xml:space="preserve"> </w:t>
      </w:r>
      <w:r w:rsidR="0079290D" w:rsidRPr="004045AD">
        <w:rPr>
          <w:rFonts w:eastAsiaTheme="minorHAnsi"/>
          <w:sz w:val="24"/>
          <w:szCs w:val="24"/>
          <w:lang w:val="en-US"/>
        </w:rPr>
        <w:t>There are striking similarities between</w:t>
      </w:r>
      <w:r w:rsidR="00BE503C" w:rsidRPr="004045AD">
        <w:rPr>
          <w:rFonts w:eastAsiaTheme="minorHAnsi"/>
          <w:sz w:val="24"/>
          <w:szCs w:val="24"/>
          <w:lang w:val="en-US"/>
        </w:rPr>
        <w:t xml:space="preserve"> this case and</w:t>
      </w:r>
      <w:r w:rsidR="0079290D" w:rsidRPr="004045AD">
        <w:rPr>
          <w:rFonts w:eastAsiaTheme="minorHAnsi"/>
          <w:sz w:val="24"/>
          <w:szCs w:val="24"/>
          <w:lang w:val="en-US"/>
        </w:rPr>
        <w:t xml:space="preserve"> the </w:t>
      </w:r>
      <w:r w:rsidR="0079290D" w:rsidRPr="00875459">
        <w:rPr>
          <w:rFonts w:eastAsiaTheme="minorHAnsi"/>
          <w:i/>
          <w:sz w:val="24"/>
          <w:szCs w:val="24"/>
          <w:lang w:val="en-US"/>
        </w:rPr>
        <w:t>Akzo</w:t>
      </w:r>
      <w:r w:rsidR="0079290D" w:rsidRPr="004045AD">
        <w:rPr>
          <w:rFonts w:eastAsiaTheme="minorHAnsi"/>
          <w:sz w:val="24"/>
          <w:szCs w:val="24"/>
          <w:lang w:val="en-US"/>
        </w:rPr>
        <w:t xml:space="preserve"> case</w:t>
      </w:r>
      <w:r w:rsidR="00292269" w:rsidRPr="004045AD">
        <w:rPr>
          <w:rFonts w:eastAsiaTheme="minorHAnsi"/>
          <w:sz w:val="24"/>
          <w:szCs w:val="24"/>
          <w:lang w:val="en-US"/>
        </w:rPr>
        <w:t>.</w:t>
      </w:r>
    </w:p>
    <w:p w:rsidR="00292269" w:rsidRPr="004045AD" w:rsidRDefault="00292269" w:rsidP="00292269">
      <w:pPr>
        <w:pStyle w:val="lrpara-a"/>
        <w:spacing w:after="0" w:line="240" w:lineRule="auto"/>
        <w:ind w:left="567" w:hanging="567"/>
        <w:rPr>
          <w:rFonts w:eastAsiaTheme="minorHAnsi"/>
          <w:sz w:val="24"/>
          <w:szCs w:val="24"/>
          <w:lang w:val="en-US"/>
        </w:rPr>
      </w:pPr>
    </w:p>
    <w:p w:rsidR="00A03137" w:rsidRPr="004045AD" w:rsidRDefault="00C95AE9" w:rsidP="00F76D2F">
      <w:pPr>
        <w:pStyle w:val="lrpara-a"/>
        <w:tabs>
          <w:tab w:val="clear" w:pos="680"/>
          <w:tab w:val="right" w:pos="567"/>
        </w:tabs>
        <w:spacing w:line="480" w:lineRule="auto"/>
        <w:ind w:left="567" w:hanging="567"/>
        <w:rPr>
          <w:rFonts w:eastAsiaTheme="minorHAnsi"/>
          <w:i/>
          <w:sz w:val="24"/>
          <w:szCs w:val="24"/>
          <w:lang w:val="en-US"/>
        </w:rPr>
      </w:pPr>
      <w:r w:rsidRPr="004045AD">
        <w:rPr>
          <w:rFonts w:eastAsiaTheme="minorHAnsi"/>
          <w:sz w:val="24"/>
          <w:szCs w:val="24"/>
          <w:lang w:val="en-US"/>
        </w:rPr>
        <w:t>[</w:t>
      </w:r>
      <w:r w:rsidR="00292269" w:rsidRPr="004045AD">
        <w:rPr>
          <w:rFonts w:eastAsiaTheme="minorHAnsi"/>
          <w:sz w:val="24"/>
          <w:szCs w:val="24"/>
          <w:lang w:val="en-US"/>
        </w:rPr>
        <w:t>43</w:t>
      </w:r>
      <w:r w:rsidRPr="004045AD">
        <w:rPr>
          <w:rFonts w:eastAsiaTheme="minorHAnsi"/>
          <w:sz w:val="24"/>
          <w:szCs w:val="24"/>
          <w:lang w:val="en-US"/>
        </w:rPr>
        <w:t xml:space="preserve">] </w:t>
      </w:r>
      <w:r w:rsidR="00F76D2F">
        <w:rPr>
          <w:rFonts w:eastAsiaTheme="minorHAnsi"/>
          <w:sz w:val="24"/>
          <w:szCs w:val="24"/>
          <w:lang w:val="en-US"/>
        </w:rPr>
        <w:t xml:space="preserve"> </w:t>
      </w:r>
      <w:r w:rsidR="004202CA">
        <w:rPr>
          <w:rFonts w:eastAsiaTheme="minorHAnsi"/>
          <w:sz w:val="24"/>
          <w:szCs w:val="24"/>
          <w:lang w:val="en-US"/>
        </w:rPr>
        <w:t xml:space="preserve"> </w:t>
      </w:r>
      <w:r w:rsidR="004E66B4" w:rsidRPr="004045AD">
        <w:rPr>
          <w:rFonts w:eastAsiaTheme="minorHAnsi"/>
          <w:sz w:val="24"/>
          <w:szCs w:val="24"/>
          <w:lang w:val="en-US"/>
        </w:rPr>
        <w:t xml:space="preserve">Too much control </w:t>
      </w:r>
      <w:r w:rsidR="009766A8" w:rsidRPr="004045AD">
        <w:rPr>
          <w:rFonts w:eastAsiaTheme="minorHAnsi"/>
          <w:sz w:val="24"/>
          <w:szCs w:val="24"/>
          <w:lang w:val="en-US"/>
        </w:rPr>
        <w:t>of</w:t>
      </w:r>
      <w:r w:rsidR="004E66B4" w:rsidRPr="004045AD">
        <w:rPr>
          <w:rFonts w:eastAsiaTheme="minorHAnsi"/>
          <w:sz w:val="24"/>
          <w:szCs w:val="24"/>
          <w:lang w:val="en-US"/>
        </w:rPr>
        <w:t xml:space="preserve"> </w:t>
      </w:r>
      <w:r w:rsidR="005D62EC" w:rsidRPr="004045AD">
        <w:rPr>
          <w:rFonts w:eastAsiaTheme="minorHAnsi"/>
          <w:sz w:val="24"/>
          <w:szCs w:val="24"/>
          <w:lang w:val="en-US"/>
        </w:rPr>
        <w:t>a</w:t>
      </w:r>
      <w:r w:rsidR="004E66B4" w:rsidRPr="004045AD">
        <w:rPr>
          <w:rFonts w:eastAsiaTheme="minorHAnsi"/>
          <w:sz w:val="24"/>
          <w:szCs w:val="24"/>
          <w:lang w:val="en-US"/>
        </w:rPr>
        <w:t xml:space="preserve"> </w:t>
      </w:r>
      <w:r w:rsidR="00A03137" w:rsidRPr="004045AD">
        <w:rPr>
          <w:rFonts w:eastAsiaTheme="minorHAnsi"/>
          <w:sz w:val="24"/>
          <w:szCs w:val="24"/>
          <w:lang w:val="en-US"/>
        </w:rPr>
        <w:t>market</w:t>
      </w:r>
      <w:r w:rsidR="009766A8" w:rsidRPr="004045AD">
        <w:rPr>
          <w:rFonts w:eastAsiaTheme="minorHAnsi"/>
          <w:sz w:val="24"/>
          <w:szCs w:val="24"/>
          <w:lang w:val="en-US"/>
        </w:rPr>
        <w:t xml:space="preserve"> by</w:t>
      </w:r>
      <w:r w:rsidR="004E66B4" w:rsidRPr="004045AD">
        <w:rPr>
          <w:rFonts w:eastAsiaTheme="minorHAnsi"/>
          <w:sz w:val="24"/>
          <w:szCs w:val="24"/>
          <w:lang w:val="en-US"/>
        </w:rPr>
        <w:t xml:space="preserve"> </w:t>
      </w:r>
      <w:r w:rsidR="00A03137" w:rsidRPr="004045AD">
        <w:rPr>
          <w:rFonts w:eastAsiaTheme="minorHAnsi"/>
          <w:sz w:val="24"/>
          <w:szCs w:val="24"/>
          <w:lang w:val="en-US"/>
        </w:rPr>
        <w:t>one entity shows that the merger is contrary to</w:t>
      </w:r>
      <w:r w:rsidR="00875459">
        <w:rPr>
          <w:rFonts w:eastAsiaTheme="minorHAnsi"/>
          <w:sz w:val="24"/>
          <w:szCs w:val="24"/>
          <w:lang w:val="en-US"/>
        </w:rPr>
        <w:t xml:space="preserve"> the</w:t>
      </w:r>
      <w:r w:rsidR="00A03137" w:rsidRPr="004045AD">
        <w:rPr>
          <w:rFonts w:eastAsiaTheme="minorHAnsi"/>
          <w:sz w:val="24"/>
          <w:szCs w:val="24"/>
          <w:lang w:val="en-US"/>
        </w:rPr>
        <w:t xml:space="preserve"> public interest. </w:t>
      </w:r>
      <w:r w:rsidR="003B6128" w:rsidRPr="004045AD">
        <w:rPr>
          <w:rFonts w:eastAsiaTheme="minorHAnsi"/>
          <w:sz w:val="24"/>
          <w:szCs w:val="24"/>
          <w:lang w:val="en-US"/>
        </w:rPr>
        <w:t xml:space="preserve"> This </w:t>
      </w:r>
      <w:r w:rsidR="008806F5" w:rsidRPr="004045AD">
        <w:rPr>
          <w:rFonts w:eastAsiaTheme="minorHAnsi"/>
          <w:sz w:val="24"/>
          <w:szCs w:val="24"/>
          <w:lang w:val="en-US"/>
        </w:rPr>
        <w:t xml:space="preserve">should have been taken into consideration by the court </w:t>
      </w:r>
      <w:r w:rsidR="008806F5" w:rsidRPr="004045AD">
        <w:rPr>
          <w:rFonts w:eastAsiaTheme="minorHAnsi"/>
          <w:i/>
          <w:sz w:val="24"/>
          <w:szCs w:val="24"/>
          <w:lang w:val="en-US"/>
        </w:rPr>
        <w:t>a quo.</w:t>
      </w:r>
    </w:p>
    <w:p w:rsidR="00DE1387" w:rsidRPr="004045AD" w:rsidRDefault="00DE1387" w:rsidP="00DE1387">
      <w:pPr>
        <w:pStyle w:val="lrpara-a"/>
        <w:tabs>
          <w:tab w:val="clear" w:pos="680"/>
          <w:tab w:val="right" w:pos="567"/>
        </w:tabs>
        <w:spacing w:after="0" w:line="240" w:lineRule="auto"/>
        <w:ind w:left="567" w:hanging="567"/>
        <w:rPr>
          <w:sz w:val="24"/>
          <w:szCs w:val="24"/>
        </w:rPr>
      </w:pPr>
    </w:p>
    <w:p w:rsidR="004C30B5" w:rsidRPr="004045AD" w:rsidRDefault="00C95AE9" w:rsidP="00FD6C75">
      <w:pPr>
        <w:pStyle w:val="lrdefinition-a"/>
        <w:tabs>
          <w:tab w:val="left" w:pos="567"/>
        </w:tabs>
        <w:spacing w:line="480" w:lineRule="auto"/>
        <w:ind w:left="567" w:hanging="567"/>
        <w:rPr>
          <w:sz w:val="24"/>
          <w:szCs w:val="24"/>
        </w:rPr>
      </w:pPr>
      <w:r w:rsidRPr="004045AD">
        <w:rPr>
          <w:sz w:val="24"/>
          <w:szCs w:val="24"/>
        </w:rPr>
        <w:t>[</w:t>
      </w:r>
      <w:r w:rsidR="008806F5" w:rsidRPr="004045AD">
        <w:rPr>
          <w:sz w:val="24"/>
          <w:szCs w:val="24"/>
        </w:rPr>
        <w:t>4</w:t>
      </w:r>
      <w:r w:rsidR="004501C4" w:rsidRPr="004045AD">
        <w:rPr>
          <w:sz w:val="24"/>
          <w:szCs w:val="24"/>
        </w:rPr>
        <w:t>4</w:t>
      </w:r>
      <w:r w:rsidRPr="004045AD">
        <w:rPr>
          <w:sz w:val="24"/>
          <w:szCs w:val="24"/>
        </w:rPr>
        <w:t xml:space="preserve">] </w:t>
      </w:r>
      <w:r w:rsidR="00292269" w:rsidRPr="004045AD">
        <w:rPr>
          <w:sz w:val="24"/>
          <w:szCs w:val="24"/>
        </w:rPr>
        <w:t xml:space="preserve"> </w:t>
      </w:r>
      <w:r w:rsidR="00FD6C75" w:rsidRPr="004045AD">
        <w:rPr>
          <w:sz w:val="24"/>
          <w:szCs w:val="24"/>
        </w:rPr>
        <w:t xml:space="preserve"> </w:t>
      </w:r>
      <w:r w:rsidR="00A239D9" w:rsidRPr="004045AD">
        <w:rPr>
          <w:sz w:val="24"/>
          <w:szCs w:val="24"/>
        </w:rPr>
        <w:t>I</w:t>
      </w:r>
      <w:r w:rsidR="00232790" w:rsidRPr="004045AD">
        <w:rPr>
          <w:sz w:val="24"/>
          <w:szCs w:val="24"/>
        </w:rPr>
        <w:t>n view of</w:t>
      </w:r>
      <w:r w:rsidR="00A03137" w:rsidRPr="004045AD">
        <w:rPr>
          <w:sz w:val="24"/>
          <w:szCs w:val="24"/>
        </w:rPr>
        <w:t xml:space="preserve"> th</w:t>
      </w:r>
      <w:r w:rsidR="0089232C" w:rsidRPr="004045AD">
        <w:rPr>
          <w:sz w:val="24"/>
          <w:szCs w:val="24"/>
        </w:rPr>
        <w:t>is</w:t>
      </w:r>
      <w:r w:rsidR="00A03137" w:rsidRPr="004045AD">
        <w:rPr>
          <w:sz w:val="24"/>
          <w:szCs w:val="24"/>
        </w:rPr>
        <w:t xml:space="preserve"> </w:t>
      </w:r>
      <w:r w:rsidR="00087602" w:rsidRPr="004045AD">
        <w:rPr>
          <w:sz w:val="24"/>
          <w:szCs w:val="24"/>
        </w:rPr>
        <w:t>C</w:t>
      </w:r>
      <w:r w:rsidR="00524435" w:rsidRPr="004045AD">
        <w:rPr>
          <w:sz w:val="24"/>
          <w:szCs w:val="24"/>
        </w:rPr>
        <w:t>ourt’s</w:t>
      </w:r>
      <w:r w:rsidR="00A3519C" w:rsidRPr="004045AD">
        <w:rPr>
          <w:sz w:val="24"/>
          <w:szCs w:val="24"/>
        </w:rPr>
        <w:t xml:space="preserve"> observations and</w:t>
      </w:r>
      <w:r w:rsidR="00524435" w:rsidRPr="004045AD">
        <w:rPr>
          <w:sz w:val="24"/>
          <w:szCs w:val="24"/>
        </w:rPr>
        <w:t xml:space="preserve"> the</w:t>
      </w:r>
      <w:r w:rsidR="00A03137" w:rsidRPr="004045AD">
        <w:rPr>
          <w:sz w:val="24"/>
          <w:szCs w:val="24"/>
        </w:rPr>
        <w:t xml:space="preserve"> authorities</w:t>
      </w:r>
      <w:r w:rsidR="00524435" w:rsidRPr="004045AD">
        <w:rPr>
          <w:sz w:val="24"/>
          <w:szCs w:val="24"/>
        </w:rPr>
        <w:t xml:space="preserve"> cited</w:t>
      </w:r>
      <w:r w:rsidR="00A03137" w:rsidRPr="004045AD">
        <w:rPr>
          <w:sz w:val="24"/>
          <w:szCs w:val="24"/>
        </w:rPr>
        <w:t xml:space="preserve">, it </w:t>
      </w:r>
      <w:r w:rsidR="00232790" w:rsidRPr="004045AD">
        <w:rPr>
          <w:sz w:val="24"/>
          <w:szCs w:val="24"/>
        </w:rPr>
        <w:t>i</w:t>
      </w:r>
      <w:r w:rsidR="00A03137" w:rsidRPr="004045AD">
        <w:rPr>
          <w:sz w:val="24"/>
          <w:szCs w:val="24"/>
        </w:rPr>
        <w:t>s</w:t>
      </w:r>
      <w:r w:rsidR="00232790" w:rsidRPr="004045AD">
        <w:rPr>
          <w:sz w:val="24"/>
          <w:szCs w:val="24"/>
        </w:rPr>
        <w:t xml:space="preserve"> apparent</w:t>
      </w:r>
      <w:r w:rsidR="00A03137" w:rsidRPr="004045AD">
        <w:rPr>
          <w:sz w:val="24"/>
          <w:szCs w:val="24"/>
        </w:rPr>
        <w:t xml:space="preserve"> that public interest </w:t>
      </w:r>
      <w:r w:rsidR="00232790" w:rsidRPr="004045AD">
        <w:rPr>
          <w:sz w:val="24"/>
          <w:szCs w:val="24"/>
        </w:rPr>
        <w:t>should be distinguished from</w:t>
      </w:r>
      <w:r w:rsidR="00A03137" w:rsidRPr="004045AD">
        <w:rPr>
          <w:sz w:val="24"/>
          <w:szCs w:val="24"/>
        </w:rPr>
        <w:t xml:space="preserve"> private</w:t>
      </w:r>
      <w:r w:rsidR="00232790" w:rsidRPr="004045AD">
        <w:rPr>
          <w:sz w:val="24"/>
          <w:szCs w:val="24"/>
        </w:rPr>
        <w:t xml:space="preserve"> interest</w:t>
      </w:r>
      <w:r w:rsidR="00A03137" w:rsidRPr="004045AD">
        <w:rPr>
          <w:sz w:val="24"/>
          <w:szCs w:val="24"/>
        </w:rPr>
        <w:t>. It means that competition has to be in the interest of the public and should not</w:t>
      </w:r>
      <w:r w:rsidR="00232790" w:rsidRPr="004045AD">
        <w:rPr>
          <w:sz w:val="24"/>
          <w:szCs w:val="24"/>
        </w:rPr>
        <w:t xml:space="preserve"> only</w:t>
      </w:r>
      <w:r w:rsidR="00A03137" w:rsidRPr="004045AD">
        <w:rPr>
          <w:sz w:val="24"/>
          <w:szCs w:val="24"/>
        </w:rPr>
        <w:t xml:space="preserve"> benefit the merging companies.</w:t>
      </w:r>
      <w:r w:rsidR="00292269" w:rsidRPr="004045AD">
        <w:rPr>
          <w:rFonts w:eastAsiaTheme="minorHAnsi"/>
          <w:sz w:val="24"/>
          <w:szCs w:val="24"/>
          <w:lang w:val="en-US"/>
        </w:rPr>
        <w:t xml:space="preserve">  </w:t>
      </w:r>
      <w:r w:rsidR="006B0225" w:rsidRPr="004045AD">
        <w:rPr>
          <w:rFonts w:eastAsiaTheme="minorHAnsi"/>
          <w:sz w:val="24"/>
          <w:szCs w:val="24"/>
          <w:lang w:val="en-US"/>
        </w:rPr>
        <w:t xml:space="preserve">Therefore, the court </w:t>
      </w:r>
      <w:r w:rsidR="006B0225" w:rsidRPr="004045AD">
        <w:rPr>
          <w:rFonts w:eastAsiaTheme="minorHAnsi"/>
          <w:i/>
          <w:sz w:val="24"/>
          <w:szCs w:val="24"/>
          <w:lang w:val="en-US"/>
        </w:rPr>
        <w:t>a quo</w:t>
      </w:r>
      <w:r w:rsidR="006B0225" w:rsidRPr="004045AD">
        <w:rPr>
          <w:rFonts w:eastAsiaTheme="minorHAnsi"/>
          <w:sz w:val="24"/>
          <w:szCs w:val="24"/>
          <w:lang w:val="en-US"/>
        </w:rPr>
        <w:t xml:space="preserve"> erred in allowing the merger. The decision of the court </w:t>
      </w:r>
      <w:r w:rsidR="006B0225" w:rsidRPr="004045AD">
        <w:rPr>
          <w:rFonts w:eastAsiaTheme="minorHAnsi"/>
          <w:i/>
          <w:sz w:val="24"/>
          <w:szCs w:val="24"/>
          <w:lang w:val="en-US"/>
        </w:rPr>
        <w:t>a quo</w:t>
      </w:r>
      <w:r w:rsidR="006B0225" w:rsidRPr="004045AD">
        <w:rPr>
          <w:rFonts w:eastAsiaTheme="minorHAnsi"/>
          <w:sz w:val="24"/>
          <w:szCs w:val="24"/>
          <w:lang w:val="en-US"/>
        </w:rPr>
        <w:t xml:space="preserve"> ought to be </w:t>
      </w:r>
      <w:r w:rsidR="00692D66" w:rsidRPr="004045AD">
        <w:rPr>
          <w:rFonts w:eastAsiaTheme="minorHAnsi"/>
          <w:sz w:val="24"/>
          <w:szCs w:val="24"/>
          <w:lang w:val="en-US"/>
        </w:rPr>
        <w:t>set aside as it failed to take into consideration</w:t>
      </w:r>
      <w:r w:rsidR="006B0225" w:rsidRPr="004045AD">
        <w:rPr>
          <w:rFonts w:eastAsiaTheme="minorHAnsi"/>
          <w:sz w:val="24"/>
          <w:szCs w:val="24"/>
          <w:lang w:val="en-US"/>
        </w:rPr>
        <w:t xml:space="preserve"> long</w:t>
      </w:r>
      <w:r w:rsidR="000F2B6B" w:rsidRPr="004045AD">
        <w:rPr>
          <w:rFonts w:eastAsiaTheme="minorHAnsi"/>
          <w:sz w:val="24"/>
          <w:szCs w:val="24"/>
          <w:lang w:val="en-US"/>
        </w:rPr>
        <w:t>-</w:t>
      </w:r>
      <w:r w:rsidR="006B0225" w:rsidRPr="004045AD">
        <w:rPr>
          <w:rFonts w:eastAsiaTheme="minorHAnsi"/>
          <w:sz w:val="24"/>
          <w:szCs w:val="24"/>
          <w:lang w:val="en-US"/>
        </w:rPr>
        <w:t>term effects of the proposed merger thereby</w:t>
      </w:r>
      <w:r w:rsidR="00EC1F9C" w:rsidRPr="004045AD">
        <w:rPr>
          <w:rFonts w:eastAsiaTheme="minorHAnsi"/>
          <w:sz w:val="24"/>
          <w:szCs w:val="24"/>
          <w:lang w:val="en-US"/>
        </w:rPr>
        <w:t xml:space="preserve"> incorrectly</w:t>
      </w:r>
      <w:r w:rsidR="006B0225" w:rsidRPr="004045AD">
        <w:rPr>
          <w:rFonts w:eastAsiaTheme="minorHAnsi"/>
          <w:sz w:val="24"/>
          <w:szCs w:val="24"/>
          <w:lang w:val="en-US"/>
        </w:rPr>
        <w:t xml:space="preserve"> holding that the merger was not contrary to </w:t>
      </w:r>
      <w:r w:rsidR="00E31271">
        <w:rPr>
          <w:rFonts w:eastAsiaTheme="minorHAnsi"/>
          <w:sz w:val="24"/>
          <w:szCs w:val="24"/>
          <w:lang w:val="en-US"/>
        </w:rPr>
        <w:t xml:space="preserve">the </w:t>
      </w:r>
      <w:r w:rsidR="006B0225" w:rsidRPr="004045AD">
        <w:rPr>
          <w:rFonts w:eastAsiaTheme="minorHAnsi"/>
          <w:sz w:val="24"/>
          <w:szCs w:val="24"/>
          <w:lang w:val="en-US"/>
        </w:rPr>
        <w:t xml:space="preserve">public </w:t>
      </w:r>
      <w:r w:rsidR="008806F5" w:rsidRPr="004045AD">
        <w:rPr>
          <w:rFonts w:eastAsiaTheme="minorHAnsi"/>
          <w:sz w:val="24"/>
          <w:szCs w:val="24"/>
          <w:lang w:val="en-US"/>
        </w:rPr>
        <w:t>interest</w:t>
      </w:r>
      <w:r w:rsidR="006B0225" w:rsidRPr="004045AD">
        <w:rPr>
          <w:rFonts w:eastAsiaTheme="minorHAnsi"/>
          <w:sz w:val="24"/>
          <w:szCs w:val="24"/>
          <w:lang w:val="en-US"/>
        </w:rPr>
        <w:t xml:space="preserve">. </w:t>
      </w:r>
    </w:p>
    <w:p w:rsidR="00FD6C75" w:rsidRPr="004045AD" w:rsidRDefault="00FD6C75" w:rsidP="000F2B6B">
      <w:pPr>
        <w:spacing w:after="0" w:line="240" w:lineRule="auto"/>
        <w:jc w:val="both"/>
        <w:rPr>
          <w:rFonts w:ascii="Times New Roman" w:eastAsia="Calibri" w:hAnsi="Times New Roman" w:cs="Times New Roman"/>
          <w:b/>
          <w:sz w:val="24"/>
          <w:szCs w:val="24"/>
        </w:rPr>
      </w:pPr>
    </w:p>
    <w:p w:rsidR="00423776" w:rsidRPr="004045AD" w:rsidRDefault="006B0225" w:rsidP="000F2B6B">
      <w:pPr>
        <w:spacing w:after="0" w:line="240" w:lineRule="auto"/>
        <w:jc w:val="both"/>
        <w:rPr>
          <w:rFonts w:ascii="Times New Roman" w:eastAsia="Calibri" w:hAnsi="Times New Roman" w:cs="Times New Roman"/>
          <w:b/>
          <w:sz w:val="24"/>
          <w:szCs w:val="24"/>
        </w:rPr>
      </w:pPr>
      <w:r w:rsidRPr="004045AD">
        <w:rPr>
          <w:rFonts w:ascii="Times New Roman" w:eastAsia="Calibri" w:hAnsi="Times New Roman" w:cs="Times New Roman"/>
          <w:b/>
          <w:sz w:val="24"/>
          <w:szCs w:val="24"/>
        </w:rPr>
        <w:t xml:space="preserve">Whether or not the court </w:t>
      </w:r>
      <w:r w:rsidRPr="004045AD">
        <w:rPr>
          <w:rFonts w:ascii="Times New Roman" w:eastAsia="Calibri" w:hAnsi="Times New Roman" w:cs="Times New Roman"/>
          <w:b/>
          <w:i/>
          <w:sz w:val="24"/>
          <w:szCs w:val="24"/>
        </w:rPr>
        <w:t>a quo</w:t>
      </w:r>
      <w:r w:rsidRPr="004045AD">
        <w:rPr>
          <w:rFonts w:ascii="Times New Roman" w:eastAsia="Calibri" w:hAnsi="Times New Roman" w:cs="Times New Roman"/>
          <w:b/>
          <w:sz w:val="24"/>
          <w:szCs w:val="24"/>
        </w:rPr>
        <w:t xml:space="preserve"> erred in holding that the monetary penalty was </w:t>
      </w:r>
      <w:r w:rsidR="0017242A" w:rsidRPr="004045AD">
        <w:rPr>
          <w:rFonts w:ascii="Times New Roman" w:eastAsia="Calibri" w:hAnsi="Times New Roman" w:cs="Times New Roman"/>
          <w:b/>
          <w:sz w:val="24"/>
          <w:szCs w:val="24"/>
        </w:rPr>
        <w:t>not justified</w:t>
      </w:r>
      <w:r w:rsidRPr="004045AD">
        <w:rPr>
          <w:rFonts w:ascii="Times New Roman" w:eastAsia="Calibri" w:hAnsi="Times New Roman" w:cs="Times New Roman"/>
          <w:b/>
          <w:sz w:val="24"/>
          <w:szCs w:val="24"/>
        </w:rPr>
        <w:t>.</w:t>
      </w:r>
    </w:p>
    <w:p w:rsidR="00505A8E" w:rsidRPr="004045AD" w:rsidRDefault="00505A8E" w:rsidP="00505A8E">
      <w:pPr>
        <w:pStyle w:val="ListParagraph"/>
        <w:spacing w:after="0" w:line="240" w:lineRule="auto"/>
        <w:ind w:left="360"/>
        <w:jc w:val="both"/>
        <w:rPr>
          <w:rFonts w:ascii="Times New Roman" w:eastAsia="Calibri" w:hAnsi="Times New Roman" w:cs="Times New Roman"/>
          <w:b/>
          <w:sz w:val="24"/>
          <w:szCs w:val="24"/>
        </w:rPr>
      </w:pPr>
    </w:p>
    <w:p w:rsidR="00A362CA" w:rsidRPr="004045AD" w:rsidRDefault="00C95AE9" w:rsidP="00292269">
      <w:pPr>
        <w:spacing w:after="0"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3206A4" w:rsidRPr="004045AD">
        <w:rPr>
          <w:rFonts w:ascii="Times New Roman" w:eastAsia="Calibri" w:hAnsi="Times New Roman" w:cs="Times New Roman"/>
          <w:sz w:val="24"/>
          <w:szCs w:val="24"/>
        </w:rPr>
        <w:t>4</w:t>
      </w:r>
      <w:r w:rsidR="00A362CA" w:rsidRPr="004045AD">
        <w:rPr>
          <w:rFonts w:ascii="Times New Roman" w:eastAsia="Calibri" w:hAnsi="Times New Roman" w:cs="Times New Roman"/>
          <w:sz w:val="24"/>
          <w:szCs w:val="24"/>
        </w:rPr>
        <w:t>5</w:t>
      </w:r>
      <w:r w:rsidRPr="004045AD">
        <w:rPr>
          <w:rFonts w:ascii="Times New Roman" w:eastAsia="Calibri" w:hAnsi="Times New Roman" w:cs="Times New Roman"/>
          <w:sz w:val="24"/>
          <w:szCs w:val="24"/>
        </w:rPr>
        <w:t xml:space="preserve">] </w:t>
      </w:r>
      <w:r w:rsidR="00292269" w:rsidRPr="004045AD">
        <w:rPr>
          <w:rFonts w:ascii="Times New Roman" w:eastAsia="Calibri" w:hAnsi="Times New Roman" w:cs="Times New Roman"/>
          <w:sz w:val="24"/>
          <w:szCs w:val="24"/>
        </w:rPr>
        <w:t xml:space="preserve"> </w:t>
      </w:r>
      <w:r w:rsidR="00423776" w:rsidRPr="004045AD">
        <w:rPr>
          <w:rFonts w:ascii="Times New Roman" w:eastAsia="Calibri" w:hAnsi="Times New Roman" w:cs="Times New Roman"/>
          <w:sz w:val="24"/>
          <w:szCs w:val="24"/>
        </w:rPr>
        <w:t xml:space="preserve"> </w:t>
      </w:r>
      <w:r w:rsidR="00AD4963" w:rsidRPr="004045AD">
        <w:rPr>
          <w:rFonts w:ascii="Times New Roman" w:eastAsia="Calibri" w:hAnsi="Times New Roman" w:cs="Times New Roman"/>
          <w:sz w:val="24"/>
          <w:szCs w:val="24"/>
        </w:rPr>
        <w:t xml:space="preserve">In determining the issue of penalty the court </w:t>
      </w:r>
      <w:r w:rsidR="00AD4963" w:rsidRPr="004045AD">
        <w:rPr>
          <w:rFonts w:ascii="Times New Roman" w:eastAsia="Calibri" w:hAnsi="Times New Roman" w:cs="Times New Roman"/>
          <w:i/>
          <w:sz w:val="24"/>
          <w:szCs w:val="24"/>
        </w:rPr>
        <w:t>a quo</w:t>
      </w:r>
      <w:r w:rsidR="00AD4963" w:rsidRPr="004045AD">
        <w:rPr>
          <w:rFonts w:ascii="Times New Roman" w:eastAsia="Calibri" w:hAnsi="Times New Roman" w:cs="Times New Roman"/>
          <w:sz w:val="24"/>
          <w:szCs w:val="24"/>
        </w:rPr>
        <w:t xml:space="preserve"> reasoned as follows:</w:t>
      </w:r>
    </w:p>
    <w:p w:rsidR="00AD4963" w:rsidRPr="004045AD" w:rsidRDefault="00DE1387" w:rsidP="00DE1387">
      <w:pPr>
        <w:spacing w:after="0" w:line="240" w:lineRule="auto"/>
        <w:ind w:left="1134" w:hanging="414"/>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w:t>
      </w:r>
      <w:r w:rsidR="00AD4963" w:rsidRPr="004045AD">
        <w:rPr>
          <w:rFonts w:ascii="Times New Roman" w:eastAsia="Calibri" w:hAnsi="Times New Roman" w:cs="Times New Roman"/>
          <w:sz w:val="24"/>
          <w:szCs w:val="24"/>
        </w:rPr>
        <w:t>“</w:t>
      </w:r>
      <w:r w:rsidR="007D68C6" w:rsidRPr="004045AD">
        <w:rPr>
          <w:rFonts w:ascii="Times New Roman" w:eastAsia="Calibri" w:hAnsi="Times New Roman" w:cs="Times New Roman"/>
          <w:sz w:val="24"/>
          <w:szCs w:val="24"/>
        </w:rPr>
        <w:t>The appellants have been co-operative with the respondent.</w:t>
      </w:r>
      <w:r w:rsidR="00170C27" w:rsidRPr="004045AD">
        <w:rPr>
          <w:rFonts w:ascii="Times New Roman" w:eastAsia="Calibri" w:hAnsi="Times New Roman" w:cs="Times New Roman"/>
          <w:sz w:val="24"/>
          <w:szCs w:val="24"/>
        </w:rPr>
        <w:t xml:space="preserve"> </w:t>
      </w:r>
      <w:r w:rsidR="007D68C6" w:rsidRPr="004045AD">
        <w:rPr>
          <w:rFonts w:ascii="Times New Roman" w:eastAsia="Calibri" w:hAnsi="Times New Roman" w:cs="Times New Roman"/>
          <w:sz w:val="24"/>
          <w:szCs w:val="24"/>
        </w:rPr>
        <w:t>An examination of the notification of the merger shows that there has been no harm</w:t>
      </w:r>
      <w:r w:rsidR="00170C27" w:rsidRPr="004045AD">
        <w:rPr>
          <w:rFonts w:ascii="Times New Roman" w:eastAsia="Calibri" w:hAnsi="Times New Roman" w:cs="Times New Roman"/>
          <w:sz w:val="24"/>
          <w:szCs w:val="24"/>
        </w:rPr>
        <w:t xml:space="preserve"> to Zimbabwe’s economy. Instead companies which were ailing are now thriving and expanding their operations. Sufficient time has passed for one to observe that the merger, though not notified to the respondent, has actually been beneficial to society. It was in the public interest.</w:t>
      </w:r>
    </w:p>
    <w:p w:rsidR="00723907" w:rsidRPr="004045AD" w:rsidRDefault="00723907" w:rsidP="00DE1387">
      <w:pPr>
        <w:spacing w:after="0" w:line="240" w:lineRule="auto"/>
        <w:ind w:left="1134" w:hanging="414"/>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w:t>
      </w:r>
    </w:p>
    <w:p w:rsidR="00170C27" w:rsidRPr="004045AD" w:rsidRDefault="00170C27" w:rsidP="00723907">
      <w:pPr>
        <w:spacing w:after="0" w:line="240" w:lineRule="auto"/>
        <w:ind w:left="1134"/>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In those circumstances, a minimal penalty such as a caution and discharge appears to suffice. The penalty imposed in this case is harsh and not called for in the case of subsidiaries of the fourth appellant who are not part of the</w:t>
      </w:r>
      <w:r w:rsidR="00EC6E9A" w:rsidRPr="004045AD">
        <w:rPr>
          <w:rFonts w:ascii="Times New Roman" w:eastAsia="Calibri" w:hAnsi="Times New Roman" w:cs="Times New Roman"/>
          <w:sz w:val="24"/>
          <w:szCs w:val="24"/>
        </w:rPr>
        <w:t xml:space="preserve"> first appellant.</w:t>
      </w:r>
    </w:p>
    <w:p w:rsidR="00EC6E9A" w:rsidRPr="004045AD" w:rsidRDefault="00DE1387" w:rsidP="00DE1387">
      <w:pPr>
        <w:spacing w:after="0" w:line="240" w:lineRule="auto"/>
        <w:ind w:left="1134"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w:t>
      </w:r>
      <w:r w:rsidR="00EC6E9A" w:rsidRPr="004045AD">
        <w:rPr>
          <w:rFonts w:ascii="Times New Roman" w:eastAsia="Calibri" w:hAnsi="Times New Roman" w:cs="Times New Roman"/>
          <w:sz w:val="24"/>
          <w:szCs w:val="24"/>
        </w:rPr>
        <w:t>The third ground of appeal is accordingly upheld with the modification spelt out in this judgment.”</w:t>
      </w:r>
    </w:p>
    <w:p w:rsidR="00DE1387" w:rsidRPr="004045AD" w:rsidRDefault="00DE1387" w:rsidP="00DE1387">
      <w:pPr>
        <w:spacing w:after="0" w:line="240" w:lineRule="auto"/>
        <w:ind w:left="1134" w:hanging="567"/>
        <w:jc w:val="both"/>
        <w:rPr>
          <w:rFonts w:ascii="Times New Roman" w:eastAsia="Calibri" w:hAnsi="Times New Roman" w:cs="Times New Roman"/>
          <w:sz w:val="24"/>
          <w:szCs w:val="24"/>
        </w:rPr>
      </w:pPr>
    </w:p>
    <w:p w:rsidR="00A362CA" w:rsidRPr="004045AD" w:rsidRDefault="00F709AA" w:rsidP="00EC6E9A">
      <w:pPr>
        <w:spacing w:after="0" w:line="480" w:lineRule="auto"/>
        <w:ind w:left="567" w:hanging="567"/>
        <w:jc w:val="both"/>
        <w:rPr>
          <w:rFonts w:ascii="Times New Roman" w:eastAsia="Times New Roman" w:hAnsi="Times New Roman" w:cs="Times New Roman"/>
          <w:sz w:val="24"/>
          <w:szCs w:val="24"/>
          <w:lang w:val="en-ZA"/>
        </w:rPr>
      </w:pPr>
      <w:r w:rsidRPr="004045AD">
        <w:rPr>
          <w:rFonts w:ascii="Times New Roman" w:eastAsia="Calibri" w:hAnsi="Times New Roman" w:cs="Times New Roman"/>
          <w:sz w:val="24"/>
          <w:szCs w:val="24"/>
        </w:rPr>
        <w:t xml:space="preserve">         The court</w:t>
      </w:r>
      <w:r w:rsidR="00EC6E9A" w:rsidRPr="004045AD">
        <w:rPr>
          <w:rFonts w:ascii="Times New Roman" w:eastAsia="Calibri" w:hAnsi="Times New Roman" w:cs="Times New Roman"/>
          <w:sz w:val="24"/>
          <w:szCs w:val="24"/>
        </w:rPr>
        <w:t xml:space="preserve"> </w:t>
      </w:r>
      <w:r w:rsidR="00EC6E9A" w:rsidRPr="004045AD">
        <w:rPr>
          <w:rFonts w:ascii="Times New Roman" w:eastAsia="Calibri" w:hAnsi="Times New Roman" w:cs="Times New Roman"/>
          <w:i/>
          <w:sz w:val="24"/>
          <w:szCs w:val="24"/>
        </w:rPr>
        <w:t>a quo</w:t>
      </w:r>
      <w:r w:rsidR="00EC6E9A" w:rsidRPr="004045AD">
        <w:rPr>
          <w:rFonts w:ascii="Times New Roman" w:eastAsia="Calibri" w:hAnsi="Times New Roman" w:cs="Times New Roman"/>
          <w:sz w:val="24"/>
          <w:szCs w:val="24"/>
        </w:rPr>
        <w:t xml:space="preserve"> considered three factors which it should have considered in terms of s 34A (5) of the Act namely paragraphs</w:t>
      </w:r>
      <w:r w:rsidR="00607B7D">
        <w:rPr>
          <w:rFonts w:ascii="Times New Roman" w:eastAsia="Calibri" w:hAnsi="Times New Roman" w:cs="Times New Roman"/>
          <w:sz w:val="24"/>
          <w:szCs w:val="24"/>
        </w:rPr>
        <w:t xml:space="preserve"> (b), (</w:t>
      </w:r>
      <w:r w:rsidR="004202CA">
        <w:rPr>
          <w:rFonts w:ascii="Times New Roman" w:eastAsia="Calibri" w:hAnsi="Times New Roman" w:cs="Times New Roman"/>
          <w:sz w:val="24"/>
          <w:szCs w:val="24"/>
        </w:rPr>
        <w:t>e)</w:t>
      </w:r>
      <w:r w:rsidR="00607B7D">
        <w:rPr>
          <w:rFonts w:ascii="Times New Roman" w:eastAsia="Calibri" w:hAnsi="Times New Roman" w:cs="Times New Roman"/>
          <w:sz w:val="24"/>
          <w:szCs w:val="24"/>
        </w:rPr>
        <w:t xml:space="preserve"> and (f)</w:t>
      </w:r>
      <w:r w:rsidR="002341D8">
        <w:rPr>
          <w:rFonts w:ascii="Times New Roman" w:eastAsia="Calibri" w:hAnsi="Times New Roman" w:cs="Times New Roman"/>
          <w:sz w:val="24"/>
          <w:szCs w:val="24"/>
        </w:rPr>
        <w:t>;</w:t>
      </w:r>
      <w:r w:rsidR="00505A8E" w:rsidRPr="004045AD">
        <w:rPr>
          <w:rFonts w:ascii="Times New Roman" w:eastAsia="Calibri" w:hAnsi="Times New Roman" w:cs="Times New Roman"/>
          <w:sz w:val="24"/>
          <w:szCs w:val="24"/>
        </w:rPr>
        <w:t xml:space="preserve"> </w:t>
      </w:r>
      <w:r w:rsidR="002341D8">
        <w:rPr>
          <w:rFonts w:ascii="Times New Roman" w:eastAsia="Calibri" w:hAnsi="Times New Roman" w:cs="Times New Roman"/>
          <w:sz w:val="24"/>
          <w:szCs w:val="24"/>
        </w:rPr>
        <w:t>p</w:t>
      </w:r>
      <w:r w:rsidR="00607B7D">
        <w:rPr>
          <w:rFonts w:ascii="Times New Roman" w:eastAsia="Calibri" w:hAnsi="Times New Roman" w:cs="Times New Roman"/>
          <w:sz w:val="24"/>
          <w:szCs w:val="24"/>
        </w:rPr>
        <w:t>a</w:t>
      </w:r>
      <w:r w:rsidR="00505A8E" w:rsidRPr="004045AD">
        <w:rPr>
          <w:rFonts w:ascii="Times New Roman" w:eastAsia="Calibri" w:hAnsi="Times New Roman" w:cs="Times New Roman"/>
          <w:sz w:val="24"/>
          <w:szCs w:val="24"/>
        </w:rPr>
        <w:t>ra</w:t>
      </w:r>
      <w:r w:rsidR="00EC6E9A" w:rsidRPr="004045AD">
        <w:rPr>
          <w:rFonts w:ascii="Times New Roman" w:eastAsia="Calibri" w:hAnsi="Times New Roman" w:cs="Times New Roman"/>
          <w:sz w:val="24"/>
          <w:szCs w:val="24"/>
        </w:rPr>
        <w:t xml:space="preserve"> (b)</w:t>
      </w:r>
      <w:r w:rsidR="00505A8E" w:rsidRPr="004045AD">
        <w:rPr>
          <w:rFonts w:ascii="Times New Roman" w:eastAsia="Calibri" w:hAnsi="Times New Roman" w:cs="Times New Roman"/>
          <w:sz w:val="24"/>
          <w:szCs w:val="24"/>
        </w:rPr>
        <w:t xml:space="preserve"> being</w:t>
      </w:r>
      <w:r w:rsidR="00EC6E9A" w:rsidRPr="004045AD">
        <w:rPr>
          <w:rFonts w:ascii="Times New Roman" w:eastAsia="Calibri" w:hAnsi="Times New Roman" w:cs="Times New Roman"/>
          <w:sz w:val="24"/>
          <w:szCs w:val="24"/>
        </w:rPr>
        <w:t>, on</w:t>
      </w:r>
      <w:r w:rsidR="00EC6E9A" w:rsidRPr="004045AD">
        <w:rPr>
          <w:rFonts w:ascii="Times New Roman" w:eastAsia="Times New Roman" w:hAnsi="Times New Roman" w:cs="Times New Roman"/>
          <w:sz w:val="24"/>
          <w:szCs w:val="24"/>
          <w:lang w:val="en-ZA"/>
        </w:rPr>
        <w:t xml:space="preserve"> any loss or damage </w:t>
      </w:r>
      <w:r w:rsidR="00EC6E9A" w:rsidRPr="004045AD">
        <w:rPr>
          <w:rFonts w:ascii="Times New Roman" w:eastAsia="Times New Roman" w:hAnsi="Times New Roman" w:cs="Times New Roman"/>
          <w:sz w:val="24"/>
          <w:szCs w:val="24"/>
          <w:lang w:val="en-ZA"/>
        </w:rPr>
        <w:lastRenderedPageBreak/>
        <w:t>suffered as a result of the contravention;</w:t>
      </w:r>
      <w:r w:rsidR="00D55772" w:rsidRPr="004045AD">
        <w:rPr>
          <w:rFonts w:ascii="Times New Roman" w:eastAsia="Times New Roman" w:hAnsi="Times New Roman" w:cs="Times New Roman"/>
          <w:sz w:val="24"/>
          <w:szCs w:val="24"/>
          <w:lang w:val="en-ZA"/>
        </w:rPr>
        <w:t xml:space="preserve"> para, (e)</w:t>
      </w:r>
      <w:r w:rsidR="00505A8E" w:rsidRPr="004045AD">
        <w:rPr>
          <w:rFonts w:ascii="Times New Roman" w:eastAsia="Times New Roman" w:hAnsi="Times New Roman" w:cs="Times New Roman"/>
          <w:sz w:val="24"/>
          <w:szCs w:val="24"/>
          <w:lang w:val="en-ZA"/>
        </w:rPr>
        <w:t xml:space="preserve"> being,</w:t>
      </w:r>
      <w:r w:rsidR="00D55772" w:rsidRPr="004045AD">
        <w:rPr>
          <w:rFonts w:ascii="Times New Roman" w:eastAsia="Times New Roman" w:hAnsi="Times New Roman" w:cs="Times New Roman"/>
          <w:sz w:val="24"/>
          <w:szCs w:val="24"/>
          <w:lang w:val="en-ZA"/>
        </w:rPr>
        <w:t xml:space="preserve"> on the level of profit derived from the contravention; and</w:t>
      </w:r>
      <w:r w:rsidR="000A642C" w:rsidRPr="004045AD">
        <w:rPr>
          <w:rFonts w:ascii="Times New Roman" w:eastAsia="Times New Roman" w:hAnsi="Times New Roman" w:cs="Times New Roman"/>
          <w:sz w:val="24"/>
          <w:szCs w:val="24"/>
          <w:lang w:val="en-ZA"/>
        </w:rPr>
        <w:t xml:space="preserve"> para</w:t>
      </w:r>
      <w:r w:rsidR="00D55772" w:rsidRPr="004045AD">
        <w:rPr>
          <w:rFonts w:ascii="Times New Roman" w:eastAsia="Times New Roman" w:hAnsi="Times New Roman" w:cs="Times New Roman"/>
          <w:sz w:val="24"/>
          <w:szCs w:val="24"/>
          <w:lang w:val="en-ZA"/>
        </w:rPr>
        <w:t xml:space="preserve"> (f)</w:t>
      </w:r>
      <w:r w:rsidR="00505A8E" w:rsidRPr="004045AD">
        <w:rPr>
          <w:rFonts w:ascii="Times New Roman" w:eastAsia="Times New Roman" w:hAnsi="Times New Roman" w:cs="Times New Roman"/>
          <w:sz w:val="24"/>
          <w:szCs w:val="24"/>
          <w:lang w:val="en-ZA"/>
        </w:rPr>
        <w:t>, being</w:t>
      </w:r>
      <w:r w:rsidR="00D55772" w:rsidRPr="004045AD">
        <w:rPr>
          <w:rFonts w:ascii="Times New Roman" w:eastAsia="Times New Roman" w:hAnsi="Times New Roman" w:cs="Times New Roman"/>
          <w:sz w:val="24"/>
          <w:szCs w:val="24"/>
          <w:lang w:val="en-ZA"/>
        </w:rPr>
        <w:t xml:space="preserve"> on the degree to which the parties have co-operated with the Commission</w:t>
      </w:r>
      <w:r w:rsidR="0051307D" w:rsidRPr="004045AD">
        <w:rPr>
          <w:rFonts w:ascii="Times New Roman" w:eastAsia="Times New Roman" w:hAnsi="Times New Roman" w:cs="Times New Roman"/>
          <w:sz w:val="24"/>
          <w:szCs w:val="24"/>
          <w:lang w:val="en-ZA"/>
        </w:rPr>
        <w:t xml:space="preserve">. It did not </w:t>
      </w:r>
      <w:r w:rsidR="00415C25" w:rsidRPr="004045AD">
        <w:rPr>
          <w:rFonts w:ascii="Times New Roman" w:eastAsia="Times New Roman" w:hAnsi="Times New Roman" w:cs="Times New Roman"/>
          <w:sz w:val="24"/>
          <w:szCs w:val="24"/>
          <w:lang w:val="en-ZA"/>
        </w:rPr>
        <w:t>comment on nor analyse</w:t>
      </w:r>
      <w:r w:rsidR="0051307D" w:rsidRPr="004045AD">
        <w:rPr>
          <w:rFonts w:ascii="Times New Roman" w:eastAsia="Times New Roman" w:hAnsi="Times New Roman" w:cs="Times New Roman"/>
          <w:sz w:val="24"/>
          <w:szCs w:val="24"/>
          <w:lang w:val="en-ZA"/>
        </w:rPr>
        <w:t xml:space="preserve"> paras (a), (</w:t>
      </w:r>
      <w:r w:rsidR="0054292F" w:rsidRPr="004045AD">
        <w:rPr>
          <w:rFonts w:ascii="Times New Roman" w:eastAsia="Times New Roman" w:hAnsi="Times New Roman" w:cs="Times New Roman"/>
          <w:sz w:val="24"/>
          <w:szCs w:val="24"/>
          <w:lang w:val="en-ZA"/>
        </w:rPr>
        <w:t>c)</w:t>
      </w:r>
      <w:r w:rsidR="0051307D" w:rsidRPr="004045AD">
        <w:rPr>
          <w:rFonts w:ascii="Times New Roman" w:eastAsia="Times New Roman" w:hAnsi="Times New Roman" w:cs="Times New Roman"/>
          <w:sz w:val="24"/>
          <w:szCs w:val="24"/>
          <w:lang w:val="en-ZA"/>
        </w:rPr>
        <w:t>, (d) and (g) of s 34A (5) of the Act.</w:t>
      </w:r>
      <w:r w:rsidR="00D55772" w:rsidRPr="004045AD">
        <w:rPr>
          <w:rFonts w:ascii="Times New Roman" w:eastAsia="Times New Roman" w:hAnsi="Times New Roman" w:cs="Times New Roman"/>
          <w:sz w:val="24"/>
          <w:szCs w:val="24"/>
          <w:lang w:val="en-ZA"/>
        </w:rPr>
        <w:t xml:space="preserve"> </w:t>
      </w:r>
    </w:p>
    <w:p w:rsidR="0054292F" w:rsidRPr="004045AD" w:rsidRDefault="0054292F" w:rsidP="004356EC">
      <w:pPr>
        <w:spacing w:after="0" w:line="480" w:lineRule="auto"/>
        <w:ind w:left="567" w:hanging="567"/>
        <w:jc w:val="both"/>
        <w:rPr>
          <w:rFonts w:ascii="Times New Roman" w:eastAsia="Calibri" w:hAnsi="Times New Roman" w:cs="Times New Roman"/>
          <w:sz w:val="24"/>
          <w:szCs w:val="24"/>
        </w:rPr>
      </w:pPr>
    </w:p>
    <w:p w:rsidR="006B0225" w:rsidRPr="004045AD" w:rsidRDefault="00A362CA" w:rsidP="00292269">
      <w:pPr>
        <w:spacing w:after="0"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[46] </w:t>
      </w:r>
      <w:r w:rsidR="006B0225" w:rsidRPr="004045AD">
        <w:rPr>
          <w:rFonts w:ascii="Times New Roman" w:eastAsia="Calibri" w:hAnsi="Times New Roman" w:cs="Times New Roman"/>
          <w:sz w:val="24"/>
          <w:szCs w:val="24"/>
        </w:rPr>
        <w:t xml:space="preserve">The appellant takes issue with the decision of the court </w:t>
      </w:r>
      <w:r w:rsidR="006B0225" w:rsidRPr="004045AD">
        <w:rPr>
          <w:rFonts w:ascii="Times New Roman" w:eastAsia="Calibri" w:hAnsi="Times New Roman" w:cs="Times New Roman"/>
          <w:i/>
          <w:sz w:val="24"/>
          <w:szCs w:val="24"/>
        </w:rPr>
        <w:t>a quo</w:t>
      </w:r>
      <w:r w:rsidR="006B0225" w:rsidRPr="004045AD">
        <w:rPr>
          <w:rFonts w:ascii="Times New Roman" w:eastAsia="Calibri" w:hAnsi="Times New Roman" w:cs="Times New Roman"/>
          <w:sz w:val="24"/>
          <w:szCs w:val="24"/>
        </w:rPr>
        <w:t xml:space="preserve"> wherein it interfered with the monetary penalty that was imposed on </w:t>
      </w:r>
      <w:r w:rsidR="002B68A0">
        <w:rPr>
          <w:rFonts w:ascii="Times New Roman" w:eastAsia="Calibri" w:hAnsi="Times New Roman" w:cs="Times New Roman"/>
          <w:sz w:val="24"/>
          <w:szCs w:val="24"/>
        </w:rPr>
        <w:t>Innscor</w:t>
      </w:r>
      <w:r w:rsidR="006B0225" w:rsidRPr="004045AD">
        <w:rPr>
          <w:rFonts w:ascii="Times New Roman" w:eastAsia="Calibri" w:hAnsi="Times New Roman" w:cs="Times New Roman"/>
          <w:sz w:val="24"/>
          <w:szCs w:val="24"/>
        </w:rPr>
        <w:t xml:space="preserve">.  The appellant is of the view that the court imposed a </w:t>
      </w:r>
      <w:r w:rsidR="00CE5BAA" w:rsidRPr="004045AD">
        <w:rPr>
          <w:rFonts w:ascii="Times New Roman" w:eastAsia="Calibri" w:hAnsi="Times New Roman" w:cs="Times New Roman"/>
          <w:sz w:val="24"/>
          <w:szCs w:val="24"/>
        </w:rPr>
        <w:t>none</w:t>
      </w:r>
      <w:r w:rsidR="0017242A" w:rsidRPr="004045AD">
        <w:rPr>
          <w:rFonts w:ascii="Times New Roman" w:eastAsia="Calibri" w:hAnsi="Times New Roman" w:cs="Times New Roman"/>
          <w:sz w:val="24"/>
          <w:szCs w:val="24"/>
        </w:rPr>
        <w:t>-</w:t>
      </w:r>
      <w:r w:rsidR="00607B7D">
        <w:rPr>
          <w:rFonts w:ascii="Times New Roman" w:eastAsia="Calibri" w:hAnsi="Times New Roman" w:cs="Times New Roman"/>
          <w:sz w:val="24"/>
          <w:szCs w:val="24"/>
        </w:rPr>
        <w:t>deterrent and i</w:t>
      </w:r>
      <w:r w:rsidR="006B0225" w:rsidRPr="004045AD">
        <w:rPr>
          <w:rFonts w:ascii="Times New Roman" w:eastAsia="Calibri" w:hAnsi="Times New Roman" w:cs="Times New Roman"/>
          <w:sz w:val="24"/>
          <w:szCs w:val="24"/>
        </w:rPr>
        <w:t xml:space="preserve">neffective penalty. </w:t>
      </w:r>
      <w:r w:rsidR="00292269" w:rsidRPr="004045AD">
        <w:rPr>
          <w:rFonts w:ascii="Times New Roman" w:eastAsia="Calibri" w:hAnsi="Times New Roman" w:cs="Times New Roman"/>
          <w:sz w:val="24"/>
          <w:szCs w:val="24"/>
        </w:rPr>
        <w:t xml:space="preserve"> </w:t>
      </w:r>
      <w:r w:rsidR="006B0225" w:rsidRPr="004045AD">
        <w:rPr>
          <w:rFonts w:ascii="Times New Roman" w:eastAsia="Calibri" w:hAnsi="Times New Roman" w:cs="Times New Roman"/>
          <w:sz w:val="24"/>
          <w:szCs w:val="24"/>
        </w:rPr>
        <w:t>Section 34A of the Act provides as follows</w:t>
      </w:r>
    </w:p>
    <w:p w:rsidR="006B0225" w:rsidRPr="004045AD" w:rsidRDefault="00427D51" w:rsidP="001E3909">
      <w:pPr>
        <w:keepNext/>
        <w:keepLines/>
        <w:tabs>
          <w:tab w:val="left" w:pos="624"/>
        </w:tabs>
        <w:spacing w:after="0" w:line="240" w:lineRule="auto"/>
        <w:ind w:left="2127" w:hanging="993"/>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w:t>
      </w:r>
      <w:r w:rsidR="0054292F" w:rsidRPr="004045AD">
        <w:rPr>
          <w:rFonts w:ascii="Times New Roman" w:eastAsia="Times New Roman" w:hAnsi="Times New Roman" w:cs="Times New Roman"/>
          <w:sz w:val="24"/>
          <w:szCs w:val="24"/>
          <w:lang w:val="en-ZA"/>
        </w:rPr>
        <w:t>34 A</w:t>
      </w:r>
      <w:r w:rsidR="00423776" w:rsidRPr="004045AD">
        <w:rPr>
          <w:rFonts w:ascii="Times New Roman" w:eastAsia="Times New Roman" w:hAnsi="Times New Roman" w:cs="Times New Roman"/>
          <w:sz w:val="24"/>
          <w:szCs w:val="24"/>
          <w:lang w:val="en-ZA"/>
        </w:rPr>
        <w:t xml:space="preserve"> </w:t>
      </w:r>
      <w:r w:rsidR="006B0225" w:rsidRPr="004045AD">
        <w:rPr>
          <w:rFonts w:ascii="Times New Roman" w:eastAsia="Times New Roman" w:hAnsi="Times New Roman" w:cs="Times New Roman"/>
          <w:sz w:val="24"/>
          <w:szCs w:val="24"/>
          <w:lang w:val="en-ZA"/>
        </w:rPr>
        <w:t>(1) A party to a notifiable merger shall notify the Commission in writing of the proposed merger within thirty days of—</w:t>
      </w:r>
    </w:p>
    <w:p w:rsidR="00423776" w:rsidRPr="004045AD" w:rsidRDefault="00423776" w:rsidP="00423776">
      <w:pPr>
        <w:keepNext/>
        <w:keepLines/>
        <w:tabs>
          <w:tab w:val="left" w:pos="624"/>
        </w:tabs>
        <w:spacing w:after="0" w:line="240" w:lineRule="auto"/>
        <w:ind w:left="1983" w:hanging="849"/>
        <w:rPr>
          <w:rFonts w:ascii="Times New Roman" w:eastAsia="Times New Roman" w:hAnsi="Times New Roman" w:cs="Times New Roman"/>
          <w:sz w:val="24"/>
          <w:szCs w:val="24"/>
          <w:lang w:val="en-ZA"/>
        </w:rPr>
      </w:pPr>
    </w:p>
    <w:p w:rsidR="006B0225" w:rsidRPr="004045AD" w:rsidRDefault="006B0225" w:rsidP="00423776">
      <w:pPr>
        <w:pStyle w:val="ListParagraph"/>
        <w:numPr>
          <w:ilvl w:val="0"/>
          <w:numId w:val="18"/>
        </w:numPr>
        <w:tabs>
          <w:tab w:val="right" w:pos="680"/>
          <w:tab w:val="left" w:pos="822"/>
          <w:tab w:val="left" w:pos="1276"/>
        </w:tabs>
        <w:spacing w:after="0" w:line="240" w:lineRule="auto"/>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the conclusion of the merger agreement between the merging parties; or</w:t>
      </w:r>
    </w:p>
    <w:p w:rsidR="00423776" w:rsidRPr="004045AD" w:rsidRDefault="00423776" w:rsidP="00423776">
      <w:pPr>
        <w:pStyle w:val="ListParagraph"/>
        <w:tabs>
          <w:tab w:val="right" w:pos="680"/>
          <w:tab w:val="left" w:pos="822"/>
          <w:tab w:val="left" w:pos="1276"/>
        </w:tabs>
        <w:spacing w:after="0" w:line="240" w:lineRule="auto"/>
        <w:ind w:left="2533"/>
        <w:jc w:val="both"/>
        <w:rPr>
          <w:rFonts w:ascii="Times New Roman" w:eastAsia="Times New Roman" w:hAnsi="Times New Roman" w:cs="Times New Roman"/>
          <w:sz w:val="24"/>
          <w:szCs w:val="24"/>
          <w:lang w:val="en-ZA"/>
        </w:rPr>
      </w:pPr>
    </w:p>
    <w:p w:rsidR="00292269" w:rsidRPr="004045AD" w:rsidRDefault="00292269" w:rsidP="00423776">
      <w:pPr>
        <w:tabs>
          <w:tab w:val="right" w:pos="680"/>
          <w:tab w:val="left" w:pos="822"/>
          <w:tab w:val="left" w:pos="1276"/>
        </w:tabs>
        <w:spacing w:after="0" w:line="240" w:lineRule="auto"/>
        <w:ind w:left="2127"/>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ab/>
        <w:t xml:space="preserve">(b) </w:t>
      </w:r>
      <w:r w:rsidR="006B0225" w:rsidRPr="004045AD">
        <w:rPr>
          <w:rFonts w:ascii="Times New Roman" w:eastAsia="Times New Roman" w:hAnsi="Times New Roman" w:cs="Times New Roman"/>
          <w:sz w:val="24"/>
          <w:szCs w:val="24"/>
          <w:lang w:val="en-ZA"/>
        </w:rPr>
        <w:t xml:space="preserve">the acquisition by any one of the parties to that merger of a controlling </w:t>
      </w:r>
      <w:r w:rsidRPr="004045AD">
        <w:rPr>
          <w:rFonts w:ascii="Times New Roman" w:eastAsia="Times New Roman" w:hAnsi="Times New Roman" w:cs="Times New Roman"/>
          <w:sz w:val="24"/>
          <w:szCs w:val="24"/>
          <w:lang w:val="en-ZA"/>
        </w:rPr>
        <w:t xml:space="preserve">  </w:t>
      </w:r>
    </w:p>
    <w:p w:rsidR="006B0225" w:rsidRPr="004045AD" w:rsidRDefault="00292269" w:rsidP="00423776">
      <w:pPr>
        <w:tabs>
          <w:tab w:val="right" w:pos="680"/>
          <w:tab w:val="left" w:pos="822"/>
          <w:tab w:val="left" w:pos="1276"/>
        </w:tabs>
        <w:spacing w:after="0" w:line="240" w:lineRule="auto"/>
        <w:ind w:left="2127"/>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 xml:space="preserve">      </w:t>
      </w:r>
      <w:r w:rsidR="006B0225" w:rsidRPr="004045AD">
        <w:rPr>
          <w:rFonts w:ascii="Times New Roman" w:eastAsia="Times New Roman" w:hAnsi="Times New Roman" w:cs="Times New Roman"/>
          <w:sz w:val="24"/>
          <w:szCs w:val="24"/>
          <w:lang w:val="en-ZA"/>
        </w:rPr>
        <w:t>interest in another.</w:t>
      </w:r>
    </w:p>
    <w:p w:rsidR="00423776" w:rsidRPr="004045AD" w:rsidRDefault="00423776" w:rsidP="00423776">
      <w:pPr>
        <w:tabs>
          <w:tab w:val="right" w:pos="680"/>
          <w:tab w:val="left" w:pos="822"/>
          <w:tab w:val="left" w:pos="1276"/>
        </w:tabs>
        <w:spacing w:after="0" w:line="240" w:lineRule="auto"/>
        <w:ind w:left="2127"/>
        <w:jc w:val="both"/>
        <w:rPr>
          <w:rFonts w:ascii="Times New Roman" w:eastAsia="Times New Roman" w:hAnsi="Times New Roman" w:cs="Times New Roman"/>
          <w:sz w:val="24"/>
          <w:szCs w:val="24"/>
          <w:lang w:val="en-ZA"/>
        </w:rPr>
      </w:pPr>
    </w:p>
    <w:p w:rsidR="006B0225" w:rsidRPr="004045AD" w:rsidRDefault="006B0225" w:rsidP="001E3909">
      <w:pPr>
        <w:pStyle w:val="ListParagraph"/>
        <w:numPr>
          <w:ilvl w:val="0"/>
          <w:numId w:val="14"/>
        </w:numPr>
        <w:tabs>
          <w:tab w:val="left" w:pos="369"/>
        </w:tabs>
        <w:spacing w:after="0" w:line="240" w:lineRule="auto"/>
        <w:ind w:left="2127" w:hanging="284"/>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Noti</w:t>
      </w:r>
      <w:r w:rsidR="0054292F" w:rsidRPr="004045AD">
        <w:rPr>
          <w:rFonts w:ascii="Times New Roman" w:eastAsia="Times New Roman" w:hAnsi="Times New Roman" w:cs="Times New Roman"/>
          <w:sz w:val="24"/>
          <w:szCs w:val="24"/>
          <w:lang w:val="en-ZA"/>
        </w:rPr>
        <w:t xml:space="preserve">fication in terms of subs </w:t>
      </w:r>
      <w:r w:rsidRPr="004045AD">
        <w:rPr>
          <w:rFonts w:ascii="Times New Roman" w:eastAsia="Times New Roman" w:hAnsi="Times New Roman" w:cs="Times New Roman"/>
          <w:sz w:val="24"/>
          <w:szCs w:val="24"/>
          <w:lang w:val="en-ZA"/>
        </w:rPr>
        <w:t>(1) shall be made in such form and manner as may be prescribed and shall be accompanied by the prescribed fee, if any, and such information and particulars as may be prescribed or as the Commission may reasonably require.</w:t>
      </w:r>
    </w:p>
    <w:p w:rsidR="00423776" w:rsidRPr="004045AD" w:rsidRDefault="00423776" w:rsidP="00423776">
      <w:pPr>
        <w:pStyle w:val="ListParagraph"/>
        <w:tabs>
          <w:tab w:val="left" w:pos="369"/>
        </w:tabs>
        <w:spacing w:after="0" w:line="240" w:lineRule="auto"/>
        <w:jc w:val="both"/>
        <w:rPr>
          <w:rFonts w:ascii="Times New Roman" w:eastAsia="Times New Roman" w:hAnsi="Times New Roman" w:cs="Times New Roman"/>
          <w:sz w:val="24"/>
          <w:szCs w:val="24"/>
          <w:lang w:val="en-ZA"/>
        </w:rPr>
      </w:pPr>
    </w:p>
    <w:p w:rsidR="006B0225" w:rsidRPr="004045AD" w:rsidRDefault="006B0225" w:rsidP="00423776">
      <w:pPr>
        <w:tabs>
          <w:tab w:val="left" w:pos="369"/>
        </w:tabs>
        <w:spacing w:after="0" w:line="240" w:lineRule="auto"/>
        <w:ind w:left="999" w:firstLine="13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(3)  </w:t>
      </w:r>
      <w:r w:rsidR="00423776" w:rsidRPr="004045AD">
        <w:rPr>
          <w:rFonts w:ascii="Times New Roman" w:eastAsia="Times New Roman" w:hAnsi="Times New Roman" w:cs="Times New Roman"/>
          <w:sz w:val="24"/>
          <w:szCs w:val="24"/>
          <w:lang w:val="en-ZA"/>
        </w:rPr>
        <w:t xml:space="preserve"> </w:t>
      </w:r>
      <w:r w:rsidRPr="004045AD">
        <w:rPr>
          <w:rFonts w:ascii="Times New Roman" w:eastAsia="Times New Roman" w:hAnsi="Times New Roman" w:cs="Times New Roman"/>
          <w:sz w:val="24"/>
          <w:szCs w:val="24"/>
          <w:lang w:val="en-ZA"/>
        </w:rPr>
        <w:t>The Commission may impose a penalty if the parties to a merger—</w:t>
      </w:r>
    </w:p>
    <w:p w:rsidR="006B0225" w:rsidRPr="004045AD" w:rsidRDefault="006B0225" w:rsidP="00EA48E8">
      <w:pPr>
        <w:tabs>
          <w:tab w:val="right" w:pos="680"/>
          <w:tab w:val="left" w:pos="822"/>
          <w:tab w:val="left" w:pos="1276"/>
        </w:tabs>
        <w:spacing w:after="0" w:line="240" w:lineRule="auto"/>
        <w:ind w:left="2268" w:hanging="1269"/>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ab/>
      </w:r>
      <w:r w:rsidR="00292269" w:rsidRPr="004045AD">
        <w:rPr>
          <w:rFonts w:ascii="Times New Roman" w:eastAsia="Times New Roman" w:hAnsi="Times New Roman" w:cs="Times New Roman"/>
          <w:sz w:val="24"/>
          <w:szCs w:val="24"/>
          <w:lang w:val="en-ZA"/>
        </w:rPr>
        <w:t xml:space="preserve">               (a) </w:t>
      </w:r>
      <w:r w:rsidRPr="004045AD">
        <w:rPr>
          <w:rFonts w:ascii="Times New Roman" w:eastAsia="Times New Roman" w:hAnsi="Times New Roman" w:cs="Times New Roman"/>
          <w:sz w:val="24"/>
          <w:szCs w:val="24"/>
          <w:lang w:val="en-ZA"/>
        </w:rPr>
        <w:t xml:space="preserve">fail to give notice of the </w:t>
      </w:r>
      <w:r w:rsidR="00087602" w:rsidRPr="004045AD">
        <w:rPr>
          <w:rFonts w:ascii="Times New Roman" w:eastAsia="Times New Roman" w:hAnsi="Times New Roman" w:cs="Times New Roman"/>
          <w:sz w:val="24"/>
          <w:szCs w:val="24"/>
          <w:lang w:val="en-ZA"/>
        </w:rPr>
        <w:t>merger as required by subs</w:t>
      </w:r>
      <w:r w:rsidRPr="004045AD">
        <w:rPr>
          <w:rFonts w:ascii="Times New Roman" w:eastAsia="Times New Roman" w:hAnsi="Times New Roman" w:cs="Times New Roman"/>
          <w:sz w:val="24"/>
          <w:szCs w:val="24"/>
          <w:lang w:val="en-ZA"/>
        </w:rPr>
        <w:t xml:space="preserve"> (1);</w:t>
      </w:r>
    </w:p>
    <w:p w:rsidR="00292269" w:rsidRPr="004045AD" w:rsidRDefault="00087602" w:rsidP="00EA48E8">
      <w:pPr>
        <w:tabs>
          <w:tab w:val="right" w:pos="680"/>
          <w:tab w:val="left" w:pos="822"/>
          <w:tab w:val="left" w:pos="1276"/>
        </w:tabs>
        <w:spacing w:after="0" w:line="240" w:lineRule="auto"/>
        <w:ind w:left="2127"/>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 xml:space="preserve"> </w:t>
      </w:r>
      <w:r w:rsidR="00292269" w:rsidRPr="004045AD">
        <w:rPr>
          <w:rFonts w:ascii="Times New Roman" w:eastAsia="Times New Roman" w:hAnsi="Times New Roman" w:cs="Times New Roman"/>
          <w:sz w:val="24"/>
          <w:szCs w:val="24"/>
          <w:lang w:val="en-ZA"/>
        </w:rPr>
        <w:t xml:space="preserve">(b) </w:t>
      </w:r>
      <w:r w:rsidR="006B0225" w:rsidRPr="004045AD">
        <w:rPr>
          <w:rFonts w:ascii="Times New Roman" w:eastAsia="Times New Roman" w:hAnsi="Times New Roman" w:cs="Times New Roman"/>
          <w:sz w:val="24"/>
          <w:szCs w:val="24"/>
          <w:lang w:val="en-ZA"/>
        </w:rPr>
        <w:t xml:space="preserve">proceed to implement the merger without the approval of the </w:t>
      </w:r>
      <w:r w:rsidR="00292269" w:rsidRPr="004045AD">
        <w:rPr>
          <w:rFonts w:ascii="Times New Roman" w:eastAsia="Times New Roman" w:hAnsi="Times New Roman" w:cs="Times New Roman"/>
          <w:sz w:val="24"/>
          <w:szCs w:val="24"/>
          <w:lang w:val="en-ZA"/>
        </w:rPr>
        <w:t xml:space="preserve">  </w:t>
      </w:r>
    </w:p>
    <w:p w:rsidR="006B0225" w:rsidRPr="004045AD" w:rsidRDefault="00292269" w:rsidP="00EA48E8">
      <w:pPr>
        <w:tabs>
          <w:tab w:val="right" w:pos="680"/>
          <w:tab w:val="left" w:pos="822"/>
          <w:tab w:val="left" w:pos="1276"/>
        </w:tabs>
        <w:spacing w:after="0" w:line="240" w:lineRule="auto"/>
        <w:ind w:left="2127"/>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 xml:space="preserve">      </w:t>
      </w:r>
      <w:r w:rsidR="006B0225" w:rsidRPr="004045AD">
        <w:rPr>
          <w:rFonts w:ascii="Times New Roman" w:eastAsia="Times New Roman" w:hAnsi="Times New Roman" w:cs="Times New Roman"/>
          <w:sz w:val="24"/>
          <w:szCs w:val="24"/>
          <w:lang w:val="en-ZA"/>
        </w:rPr>
        <w:t>Comm</w:t>
      </w:r>
      <w:r w:rsidRPr="004045AD">
        <w:rPr>
          <w:rFonts w:ascii="Times New Roman" w:eastAsia="Times New Roman" w:hAnsi="Times New Roman" w:cs="Times New Roman"/>
          <w:sz w:val="24"/>
          <w:szCs w:val="24"/>
          <w:lang w:val="en-ZA"/>
        </w:rPr>
        <w:t>ission as required by subs</w:t>
      </w:r>
      <w:r w:rsidR="006B0225" w:rsidRPr="004045AD">
        <w:rPr>
          <w:rFonts w:ascii="Times New Roman" w:eastAsia="Times New Roman" w:hAnsi="Times New Roman" w:cs="Times New Roman"/>
          <w:sz w:val="24"/>
          <w:szCs w:val="24"/>
          <w:lang w:val="en-ZA"/>
        </w:rPr>
        <w:t xml:space="preserve"> (2).</w:t>
      </w:r>
    </w:p>
    <w:p w:rsidR="00423776" w:rsidRPr="004045AD" w:rsidRDefault="00423776" w:rsidP="00EA48E8">
      <w:pPr>
        <w:tabs>
          <w:tab w:val="right" w:pos="680"/>
          <w:tab w:val="left" w:pos="822"/>
          <w:tab w:val="left" w:pos="1276"/>
        </w:tabs>
        <w:spacing w:after="0" w:line="240" w:lineRule="auto"/>
        <w:ind w:left="2127"/>
        <w:rPr>
          <w:rFonts w:ascii="Times New Roman" w:eastAsia="Times New Roman" w:hAnsi="Times New Roman" w:cs="Times New Roman"/>
          <w:sz w:val="24"/>
          <w:szCs w:val="24"/>
          <w:lang w:val="en-ZA"/>
        </w:rPr>
      </w:pPr>
    </w:p>
    <w:p w:rsidR="006B0225" w:rsidRPr="009E422E" w:rsidRDefault="006B0225" w:rsidP="009E422E">
      <w:pPr>
        <w:pStyle w:val="ListParagraph"/>
        <w:numPr>
          <w:ilvl w:val="0"/>
          <w:numId w:val="21"/>
        </w:numPr>
        <w:tabs>
          <w:tab w:val="left" w:pos="369"/>
        </w:tabs>
        <w:spacing w:after="0" w:line="240" w:lineRule="auto"/>
        <w:ind w:left="1701" w:hanging="567"/>
        <w:jc w:val="both"/>
        <w:rPr>
          <w:rFonts w:ascii="Times New Roman" w:eastAsia="Times New Roman" w:hAnsi="Times New Roman" w:cs="Times New Roman"/>
          <w:sz w:val="24"/>
          <w:szCs w:val="24"/>
          <w:lang w:val="en-ZA"/>
        </w:rPr>
      </w:pPr>
      <w:r w:rsidRPr="009E422E">
        <w:rPr>
          <w:rFonts w:ascii="Times New Roman" w:eastAsia="Times New Roman" w:hAnsi="Times New Roman" w:cs="Times New Roman"/>
          <w:sz w:val="24"/>
          <w:szCs w:val="24"/>
          <w:lang w:val="en-ZA"/>
        </w:rPr>
        <w:t>A penalty</w:t>
      </w:r>
      <w:r w:rsidR="00292269" w:rsidRPr="009E422E">
        <w:rPr>
          <w:rFonts w:ascii="Times New Roman" w:eastAsia="Times New Roman" w:hAnsi="Times New Roman" w:cs="Times New Roman"/>
          <w:sz w:val="24"/>
          <w:szCs w:val="24"/>
          <w:lang w:val="en-ZA"/>
        </w:rPr>
        <w:t xml:space="preserve"> imposed in terms of subs </w:t>
      </w:r>
      <w:r w:rsidRPr="009E422E">
        <w:rPr>
          <w:rFonts w:ascii="Times New Roman" w:eastAsia="Times New Roman" w:hAnsi="Times New Roman" w:cs="Times New Roman"/>
          <w:sz w:val="24"/>
          <w:szCs w:val="24"/>
          <w:lang w:val="en-ZA"/>
        </w:rPr>
        <w:t xml:space="preserve">(3) may not exceed ten </w:t>
      </w:r>
      <w:r w:rsidRPr="009E422E">
        <w:rPr>
          <w:rFonts w:ascii="Times New Roman" w:eastAsia="Times New Roman" w:hAnsi="Times New Roman" w:cs="Times New Roman"/>
          <w:i/>
          <w:sz w:val="24"/>
          <w:szCs w:val="24"/>
          <w:lang w:val="en-ZA"/>
        </w:rPr>
        <w:t>per centum</w:t>
      </w:r>
      <w:r w:rsidRPr="009E422E">
        <w:rPr>
          <w:rFonts w:ascii="Times New Roman" w:eastAsia="Times New Roman" w:hAnsi="Times New Roman" w:cs="Times New Roman"/>
          <w:sz w:val="24"/>
          <w:szCs w:val="24"/>
          <w:lang w:val="en-ZA"/>
        </w:rPr>
        <w:t xml:space="preserve"> of either or both of the merging parties’ annual turnover in Zimbabwe as reflected in the accounts of any party concerned for the preceding financial year.</w:t>
      </w:r>
    </w:p>
    <w:p w:rsidR="00423776" w:rsidRPr="004045AD" w:rsidRDefault="00423776" w:rsidP="00423776">
      <w:pPr>
        <w:pStyle w:val="ListParagraph"/>
        <w:tabs>
          <w:tab w:val="left" w:pos="369"/>
        </w:tabs>
        <w:spacing w:after="0" w:line="240" w:lineRule="auto"/>
        <w:jc w:val="both"/>
        <w:rPr>
          <w:rFonts w:ascii="Times New Roman" w:eastAsia="Times New Roman" w:hAnsi="Times New Roman" w:cs="Times New Roman"/>
          <w:sz w:val="24"/>
          <w:szCs w:val="24"/>
          <w:lang w:val="en-ZA"/>
        </w:rPr>
      </w:pPr>
    </w:p>
    <w:p w:rsidR="006B0225" w:rsidRPr="004045AD" w:rsidRDefault="006B0225" w:rsidP="00423776">
      <w:pPr>
        <w:tabs>
          <w:tab w:val="left" w:pos="369"/>
        </w:tabs>
        <w:spacing w:after="0" w:line="240" w:lineRule="auto"/>
        <w:ind w:left="1560" w:hanging="426"/>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(5)  When determining an appropriate penalty, the Commission shall consider the following factors—</w:t>
      </w:r>
    </w:p>
    <w:p w:rsidR="00423776" w:rsidRPr="004045AD" w:rsidRDefault="00423776" w:rsidP="00423776">
      <w:pPr>
        <w:tabs>
          <w:tab w:val="left" w:pos="369"/>
        </w:tabs>
        <w:spacing w:after="0" w:line="240" w:lineRule="auto"/>
        <w:ind w:left="1560" w:hanging="426"/>
        <w:jc w:val="both"/>
        <w:rPr>
          <w:rFonts w:ascii="Times New Roman" w:eastAsia="Times New Roman" w:hAnsi="Times New Roman" w:cs="Times New Roman"/>
          <w:sz w:val="24"/>
          <w:szCs w:val="24"/>
          <w:lang w:val="en-ZA"/>
        </w:rPr>
      </w:pPr>
    </w:p>
    <w:p w:rsidR="006B0225" w:rsidRPr="004045AD" w:rsidRDefault="00292269" w:rsidP="00423776">
      <w:pPr>
        <w:tabs>
          <w:tab w:val="right" w:pos="680"/>
          <w:tab w:val="left" w:pos="822"/>
          <w:tab w:val="left" w:pos="1276"/>
        </w:tabs>
        <w:spacing w:after="0" w:line="240" w:lineRule="auto"/>
        <w:ind w:left="1821" w:firstLine="306"/>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ab/>
        <w:t xml:space="preserve">(a) </w:t>
      </w:r>
      <w:r w:rsidR="006B0225" w:rsidRPr="004045AD">
        <w:rPr>
          <w:rFonts w:ascii="Times New Roman" w:eastAsia="Times New Roman" w:hAnsi="Times New Roman" w:cs="Times New Roman"/>
          <w:sz w:val="24"/>
          <w:szCs w:val="24"/>
          <w:lang w:val="en-ZA"/>
        </w:rPr>
        <w:t>the nature, duration, gravity and extent of the contravention; and</w:t>
      </w:r>
    </w:p>
    <w:p w:rsidR="006B0225" w:rsidRPr="004045AD" w:rsidRDefault="00292269" w:rsidP="00423776">
      <w:pPr>
        <w:tabs>
          <w:tab w:val="right" w:pos="680"/>
          <w:tab w:val="left" w:pos="822"/>
          <w:tab w:val="left" w:pos="1276"/>
        </w:tabs>
        <w:spacing w:after="0" w:line="240" w:lineRule="auto"/>
        <w:ind w:left="1821" w:firstLine="164"/>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ab/>
        <w:t xml:space="preserve">(b) </w:t>
      </w:r>
      <w:r w:rsidR="006B0225" w:rsidRPr="004045AD">
        <w:rPr>
          <w:rFonts w:ascii="Times New Roman" w:eastAsia="Times New Roman" w:hAnsi="Times New Roman" w:cs="Times New Roman"/>
          <w:sz w:val="24"/>
          <w:szCs w:val="24"/>
          <w:lang w:val="en-ZA"/>
        </w:rPr>
        <w:t>any loss or damage suffered as a result of the contravention; and</w:t>
      </w:r>
    </w:p>
    <w:p w:rsidR="006B0225" w:rsidRPr="004045AD" w:rsidRDefault="006B0225" w:rsidP="00423776">
      <w:pPr>
        <w:tabs>
          <w:tab w:val="right" w:pos="680"/>
          <w:tab w:val="left" w:pos="822"/>
          <w:tab w:val="left" w:pos="1276"/>
          <w:tab w:val="left" w:pos="6510"/>
        </w:tabs>
        <w:spacing w:after="0" w:line="240" w:lineRule="auto"/>
        <w:ind w:left="1821" w:hanging="120"/>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ab/>
      </w:r>
      <w:r w:rsidR="00292269" w:rsidRPr="004045AD">
        <w:rPr>
          <w:rFonts w:ascii="Times New Roman" w:eastAsia="Times New Roman" w:hAnsi="Times New Roman" w:cs="Times New Roman"/>
          <w:sz w:val="24"/>
          <w:szCs w:val="24"/>
          <w:lang w:val="en-ZA"/>
        </w:rPr>
        <w:t xml:space="preserve">    </w:t>
      </w:r>
      <w:r w:rsidR="00087602" w:rsidRPr="004045AD">
        <w:rPr>
          <w:rFonts w:ascii="Times New Roman" w:eastAsia="Times New Roman" w:hAnsi="Times New Roman" w:cs="Times New Roman"/>
          <w:sz w:val="24"/>
          <w:szCs w:val="24"/>
          <w:lang w:val="en-ZA"/>
        </w:rPr>
        <w:t xml:space="preserve">  </w:t>
      </w:r>
      <w:r w:rsidR="00292269" w:rsidRPr="004045AD">
        <w:rPr>
          <w:rFonts w:ascii="Times New Roman" w:eastAsia="Times New Roman" w:hAnsi="Times New Roman" w:cs="Times New Roman"/>
          <w:sz w:val="24"/>
          <w:szCs w:val="24"/>
          <w:lang w:val="en-ZA"/>
        </w:rPr>
        <w:t xml:space="preserve">(c) </w:t>
      </w:r>
      <w:r w:rsidRPr="004045AD">
        <w:rPr>
          <w:rFonts w:ascii="Times New Roman" w:eastAsia="Times New Roman" w:hAnsi="Times New Roman" w:cs="Times New Roman"/>
          <w:sz w:val="24"/>
          <w:szCs w:val="24"/>
          <w:lang w:val="en-ZA"/>
        </w:rPr>
        <w:t>the behaviour of the parties concerned; and</w:t>
      </w:r>
      <w:r w:rsidRPr="004045AD">
        <w:rPr>
          <w:rFonts w:ascii="Times New Roman" w:eastAsia="Times New Roman" w:hAnsi="Times New Roman" w:cs="Times New Roman"/>
          <w:sz w:val="24"/>
          <w:szCs w:val="24"/>
          <w:lang w:val="en-ZA"/>
        </w:rPr>
        <w:tab/>
      </w:r>
    </w:p>
    <w:p w:rsidR="006B0225" w:rsidRPr="004045AD" w:rsidRDefault="00292269" w:rsidP="00423776">
      <w:pPr>
        <w:tabs>
          <w:tab w:val="right" w:pos="680"/>
          <w:tab w:val="left" w:pos="822"/>
          <w:tab w:val="left" w:pos="1276"/>
        </w:tabs>
        <w:spacing w:after="0" w:line="240" w:lineRule="auto"/>
        <w:ind w:left="1821" w:firstLine="306"/>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lastRenderedPageBreak/>
        <w:tab/>
        <w:t xml:space="preserve">(d) </w:t>
      </w:r>
      <w:r w:rsidR="006B0225" w:rsidRPr="004045AD">
        <w:rPr>
          <w:rFonts w:ascii="Times New Roman" w:eastAsia="Times New Roman" w:hAnsi="Times New Roman" w:cs="Times New Roman"/>
          <w:sz w:val="24"/>
          <w:szCs w:val="24"/>
          <w:lang w:val="en-ZA"/>
        </w:rPr>
        <w:t>the market circumstances in which the contravention took place; and</w:t>
      </w:r>
    </w:p>
    <w:p w:rsidR="006B0225" w:rsidRPr="004045AD" w:rsidRDefault="00292269" w:rsidP="00423776">
      <w:pPr>
        <w:tabs>
          <w:tab w:val="right" w:pos="680"/>
          <w:tab w:val="left" w:pos="822"/>
          <w:tab w:val="left" w:pos="1276"/>
        </w:tabs>
        <w:spacing w:after="0" w:line="240" w:lineRule="auto"/>
        <w:ind w:left="1821" w:firstLine="306"/>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ab/>
        <w:t xml:space="preserve">(e) </w:t>
      </w:r>
      <w:r w:rsidR="006B0225" w:rsidRPr="004045AD">
        <w:rPr>
          <w:rFonts w:ascii="Times New Roman" w:eastAsia="Times New Roman" w:hAnsi="Times New Roman" w:cs="Times New Roman"/>
          <w:sz w:val="24"/>
          <w:szCs w:val="24"/>
          <w:lang w:val="en-ZA"/>
        </w:rPr>
        <w:t>the level of profit derived from the contravention; and</w:t>
      </w:r>
    </w:p>
    <w:p w:rsidR="00292269" w:rsidRPr="004045AD" w:rsidRDefault="00292269" w:rsidP="00423776">
      <w:pPr>
        <w:tabs>
          <w:tab w:val="right" w:pos="680"/>
          <w:tab w:val="left" w:pos="822"/>
          <w:tab w:val="left" w:pos="1276"/>
        </w:tabs>
        <w:spacing w:after="0" w:line="240" w:lineRule="auto"/>
        <w:ind w:left="2127"/>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ab/>
        <w:t xml:space="preserve">(f) </w:t>
      </w:r>
      <w:r w:rsidR="006B0225" w:rsidRPr="004045AD">
        <w:rPr>
          <w:rFonts w:ascii="Times New Roman" w:eastAsia="Times New Roman" w:hAnsi="Times New Roman" w:cs="Times New Roman"/>
          <w:sz w:val="24"/>
          <w:szCs w:val="24"/>
          <w:lang w:val="en-ZA"/>
        </w:rPr>
        <w:t xml:space="preserve">the degree to which the parties have co-operated with the Commission ; </w:t>
      </w:r>
      <w:r w:rsidRPr="004045AD">
        <w:rPr>
          <w:rFonts w:ascii="Times New Roman" w:eastAsia="Times New Roman" w:hAnsi="Times New Roman" w:cs="Times New Roman"/>
          <w:sz w:val="24"/>
          <w:szCs w:val="24"/>
          <w:lang w:val="en-ZA"/>
        </w:rPr>
        <w:t xml:space="preserve"> </w:t>
      </w:r>
    </w:p>
    <w:p w:rsidR="006B0225" w:rsidRPr="004045AD" w:rsidRDefault="00292269" w:rsidP="00423776">
      <w:pPr>
        <w:tabs>
          <w:tab w:val="right" w:pos="680"/>
          <w:tab w:val="left" w:pos="822"/>
          <w:tab w:val="left" w:pos="1276"/>
        </w:tabs>
        <w:spacing w:after="0" w:line="240" w:lineRule="auto"/>
        <w:ind w:left="2127"/>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 xml:space="preserve">      </w:t>
      </w:r>
      <w:r w:rsidR="006B0225" w:rsidRPr="004045AD">
        <w:rPr>
          <w:rFonts w:ascii="Times New Roman" w:eastAsia="Times New Roman" w:hAnsi="Times New Roman" w:cs="Times New Roman"/>
          <w:sz w:val="24"/>
          <w:szCs w:val="24"/>
          <w:lang w:val="en-ZA"/>
        </w:rPr>
        <w:t>and</w:t>
      </w:r>
    </w:p>
    <w:p w:rsidR="00292269" w:rsidRPr="004045AD" w:rsidRDefault="00292269" w:rsidP="00423776">
      <w:pPr>
        <w:tabs>
          <w:tab w:val="right" w:pos="680"/>
          <w:tab w:val="left" w:pos="822"/>
          <w:tab w:val="left" w:pos="1276"/>
        </w:tabs>
        <w:spacing w:after="0" w:line="240" w:lineRule="auto"/>
        <w:ind w:left="198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ab/>
        <w:t xml:space="preserve">(g) </w:t>
      </w:r>
      <w:r w:rsidR="006B0225" w:rsidRPr="004045AD">
        <w:rPr>
          <w:rFonts w:ascii="Times New Roman" w:eastAsia="Times New Roman" w:hAnsi="Times New Roman" w:cs="Times New Roman"/>
          <w:sz w:val="24"/>
          <w:szCs w:val="24"/>
          <w:lang w:val="en-ZA"/>
        </w:rPr>
        <w:t xml:space="preserve">whether the parties have previously been found in contravention of this </w:t>
      </w:r>
    </w:p>
    <w:p w:rsidR="006B0225" w:rsidRPr="004045AD" w:rsidRDefault="00292269" w:rsidP="00423776">
      <w:pPr>
        <w:tabs>
          <w:tab w:val="right" w:pos="680"/>
          <w:tab w:val="left" w:pos="822"/>
          <w:tab w:val="left" w:pos="1276"/>
        </w:tabs>
        <w:spacing w:after="0" w:line="240" w:lineRule="auto"/>
        <w:ind w:left="1985"/>
        <w:jc w:val="both"/>
        <w:rPr>
          <w:rFonts w:ascii="Times New Roman" w:eastAsia="Times New Roman" w:hAnsi="Times New Roman" w:cs="Times New Roman"/>
          <w:sz w:val="24"/>
          <w:szCs w:val="24"/>
          <w:lang w:val="en-ZA"/>
        </w:rPr>
      </w:pPr>
      <w:r w:rsidRPr="004045AD">
        <w:rPr>
          <w:rFonts w:ascii="Times New Roman" w:eastAsia="Times New Roman" w:hAnsi="Times New Roman" w:cs="Times New Roman"/>
          <w:sz w:val="24"/>
          <w:szCs w:val="24"/>
          <w:lang w:val="en-ZA"/>
        </w:rPr>
        <w:t xml:space="preserve">         </w:t>
      </w:r>
      <w:r w:rsidR="006B0225" w:rsidRPr="004045AD">
        <w:rPr>
          <w:rFonts w:ascii="Times New Roman" w:eastAsia="Times New Roman" w:hAnsi="Times New Roman" w:cs="Times New Roman"/>
          <w:sz w:val="24"/>
          <w:szCs w:val="24"/>
          <w:lang w:val="en-ZA"/>
        </w:rPr>
        <w:t>Act</w:t>
      </w:r>
      <w:r w:rsidR="00427D51" w:rsidRPr="004045AD">
        <w:rPr>
          <w:rFonts w:ascii="Times New Roman" w:eastAsia="Times New Roman" w:hAnsi="Times New Roman" w:cs="Times New Roman"/>
          <w:sz w:val="24"/>
          <w:szCs w:val="24"/>
          <w:lang w:val="en-ZA"/>
        </w:rPr>
        <w:t>”</w:t>
      </w:r>
      <w:r w:rsidR="0082152F" w:rsidRPr="004045AD">
        <w:rPr>
          <w:rFonts w:ascii="Times New Roman" w:eastAsia="Times New Roman" w:hAnsi="Times New Roman" w:cs="Times New Roman"/>
          <w:sz w:val="24"/>
          <w:szCs w:val="24"/>
          <w:lang w:val="en-ZA"/>
        </w:rPr>
        <w:t>.</w:t>
      </w:r>
    </w:p>
    <w:p w:rsidR="00423776" w:rsidRPr="004045AD" w:rsidRDefault="00423776" w:rsidP="00423776">
      <w:pPr>
        <w:tabs>
          <w:tab w:val="right" w:pos="680"/>
          <w:tab w:val="left" w:pos="822"/>
          <w:tab w:val="left" w:pos="1276"/>
        </w:tabs>
        <w:spacing w:after="0" w:line="240" w:lineRule="auto"/>
        <w:ind w:left="1985"/>
        <w:jc w:val="both"/>
        <w:rPr>
          <w:rFonts w:ascii="Times New Roman" w:eastAsia="Times New Roman" w:hAnsi="Times New Roman" w:cs="Times New Roman"/>
          <w:sz w:val="24"/>
          <w:szCs w:val="24"/>
          <w:lang w:val="en-ZA"/>
        </w:rPr>
      </w:pPr>
    </w:p>
    <w:p w:rsidR="00423776" w:rsidRPr="004045AD" w:rsidRDefault="00423776" w:rsidP="000937CB">
      <w:pPr>
        <w:tabs>
          <w:tab w:val="right" w:pos="680"/>
          <w:tab w:val="left" w:pos="822"/>
          <w:tab w:val="left" w:pos="1276"/>
        </w:tabs>
        <w:spacing w:after="0" w:line="240" w:lineRule="auto"/>
        <w:ind w:left="1985"/>
        <w:jc w:val="both"/>
        <w:rPr>
          <w:rFonts w:ascii="Times New Roman" w:eastAsia="Times New Roman" w:hAnsi="Times New Roman" w:cs="Times New Roman"/>
          <w:sz w:val="24"/>
          <w:szCs w:val="24"/>
          <w:lang w:val="en-ZA"/>
        </w:rPr>
      </w:pPr>
    </w:p>
    <w:p w:rsidR="002140C2" w:rsidRPr="004045AD" w:rsidRDefault="00C95AE9" w:rsidP="009E7226">
      <w:pPr>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3206A4" w:rsidRPr="004045AD">
        <w:rPr>
          <w:rFonts w:ascii="Times New Roman" w:eastAsia="Calibri" w:hAnsi="Times New Roman" w:cs="Times New Roman"/>
          <w:sz w:val="24"/>
          <w:szCs w:val="24"/>
        </w:rPr>
        <w:t>4</w:t>
      </w:r>
      <w:r w:rsidR="0051307D" w:rsidRPr="004045AD">
        <w:rPr>
          <w:rFonts w:ascii="Times New Roman" w:eastAsia="Calibri" w:hAnsi="Times New Roman" w:cs="Times New Roman"/>
          <w:sz w:val="24"/>
          <w:szCs w:val="24"/>
        </w:rPr>
        <w:t>7</w:t>
      </w:r>
      <w:r w:rsidR="003206A4" w:rsidRPr="004045AD">
        <w:rPr>
          <w:rFonts w:ascii="Times New Roman" w:eastAsia="Calibri" w:hAnsi="Times New Roman" w:cs="Times New Roman"/>
          <w:sz w:val="24"/>
          <w:szCs w:val="24"/>
        </w:rPr>
        <w:t xml:space="preserve">] </w:t>
      </w:r>
      <w:r w:rsidR="002140C2" w:rsidRPr="004045AD">
        <w:rPr>
          <w:rFonts w:ascii="Times New Roman" w:eastAsia="Calibri" w:hAnsi="Times New Roman" w:cs="Times New Roman"/>
          <w:sz w:val="24"/>
          <w:szCs w:val="24"/>
        </w:rPr>
        <w:t xml:space="preserve"> </w:t>
      </w:r>
      <w:r w:rsidR="00423776" w:rsidRPr="004045AD">
        <w:rPr>
          <w:rFonts w:ascii="Times New Roman" w:eastAsia="Calibri" w:hAnsi="Times New Roman" w:cs="Times New Roman"/>
          <w:sz w:val="24"/>
          <w:szCs w:val="24"/>
        </w:rPr>
        <w:t xml:space="preserve"> </w:t>
      </w:r>
      <w:r w:rsidR="0082152F" w:rsidRPr="004045AD">
        <w:rPr>
          <w:rFonts w:ascii="Times New Roman" w:eastAsia="Calibri" w:hAnsi="Times New Roman" w:cs="Times New Roman"/>
          <w:sz w:val="24"/>
          <w:szCs w:val="24"/>
        </w:rPr>
        <w:t xml:space="preserve">In terms of s </w:t>
      </w:r>
      <w:r w:rsidR="0017242A" w:rsidRPr="004045AD">
        <w:rPr>
          <w:rFonts w:ascii="Times New Roman" w:eastAsia="Calibri" w:hAnsi="Times New Roman" w:cs="Times New Roman"/>
          <w:sz w:val="24"/>
          <w:szCs w:val="24"/>
        </w:rPr>
        <w:t>34A (3)</w:t>
      </w:r>
      <w:r w:rsidR="006B0225" w:rsidRPr="004045AD">
        <w:rPr>
          <w:rFonts w:ascii="Times New Roman" w:eastAsia="Calibri" w:hAnsi="Times New Roman" w:cs="Times New Roman"/>
          <w:sz w:val="24"/>
          <w:szCs w:val="24"/>
        </w:rPr>
        <w:t xml:space="preserve"> parties</w:t>
      </w:r>
      <w:r w:rsidR="0017242A" w:rsidRPr="004045AD">
        <w:rPr>
          <w:rFonts w:ascii="Times New Roman" w:eastAsia="Calibri" w:hAnsi="Times New Roman" w:cs="Times New Roman"/>
          <w:sz w:val="24"/>
          <w:szCs w:val="24"/>
        </w:rPr>
        <w:t xml:space="preserve"> wh</w:t>
      </w:r>
      <w:r w:rsidR="008C15F8" w:rsidRPr="004045AD">
        <w:rPr>
          <w:rFonts w:ascii="Times New Roman" w:eastAsia="Calibri" w:hAnsi="Times New Roman" w:cs="Times New Roman"/>
          <w:sz w:val="24"/>
          <w:szCs w:val="24"/>
        </w:rPr>
        <w:t>ich</w:t>
      </w:r>
      <w:r w:rsidR="006B0225" w:rsidRPr="004045AD">
        <w:rPr>
          <w:rFonts w:ascii="Times New Roman" w:eastAsia="Calibri" w:hAnsi="Times New Roman" w:cs="Times New Roman"/>
          <w:sz w:val="24"/>
          <w:szCs w:val="24"/>
        </w:rPr>
        <w:t xml:space="preserve"> fail to notify the appellant of a merger within thirty days,</w:t>
      </w:r>
      <w:r w:rsidR="0017242A" w:rsidRPr="004045AD">
        <w:rPr>
          <w:rFonts w:ascii="Times New Roman" w:eastAsia="Calibri" w:hAnsi="Times New Roman" w:cs="Times New Roman"/>
          <w:sz w:val="24"/>
          <w:szCs w:val="24"/>
        </w:rPr>
        <w:t xml:space="preserve"> are liable to a penalty</w:t>
      </w:r>
      <w:r w:rsidR="003206A4" w:rsidRPr="004045AD">
        <w:rPr>
          <w:rFonts w:ascii="Times New Roman" w:eastAsia="Calibri" w:hAnsi="Times New Roman" w:cs="Times New Roman"/>
          <w:sz w:val="24"/>
          <w:szCs w:val="24"/>
        </w:rPr>
        <w:t xml:space="preserve">. </w:t>
      </w:r>
      <w:r w:rsidR="00423776" w:rsidRPr="004045AD">
        <w:rPr>
          <w:rFonts w:ascii="Times New Roman" w:eastAsia="Calibri" w:hAnsi="Times New Roman" w:cs="Times New Roman"/>
          <w:sz w:val="24"/>
          <w:szCs w:val="24"/>
        </w:rPr>
        <w:t xml:space="preserve"> </w:t>
      </w:r>
      <w:r w:rsidR="003206A4" w:rsidRPr="004045AD">
        <w:rPr>
          <w:rFonts w:ascii="Times New Roman" w:eastAsia="Calibri" w:hAnsi="Times New Roman" w:cs="Times New Roman"/>
          <w:sz w:val="24"/>
          <w:szCs w:val="24"/>
        </w:rPr>
        <w:t xml:space="preserve">Parties are also liable to a penalty for consummating a merger without the approval of the Commission. </w:t>
      </w:r>
      <w:r w:rsidR="002140C2" w:rsidRPr="004045AD">
        <w:rPr>
          <w:rFonts w:ascii="Times New Roman" w:eastAsia="Calibri" w:hAnsi="Times New Roman" w:cs="Times New Roman"/>
          <w:sz w:val="24"/>
          <w:szCs w:val="24"/>
        </w:rPr>
        <w:t xml:space="preserve"> </w:t>
      </w:r>
      <w:r w:rsidR="003206A4" w:rsidRPr="004045AD">
        <w:rPr>
          <w:rFonts w:ascii="Times New Roman" w:eastAsia="Calibri" w:hAnsi="Times New Roman" w:cs="Times New Roman"/>
          <w:sz w:val="24"/>
          <w:szCs w:val="24"/>
        </w:rPr>
        <w:t xml:space="preserve">In this case these two factors should have been taken into consideration in determining the respondents’ penalty as they are guilty of both not notifying within thirty days and consummating the merger without the appellant’s approval. </w:t>
      </w:r>
      <w:r w:rsidR="0052717C" w:rsidRPr="004045AD">
        <w:rPr>
          <w:rFonts w:ascii="Times New Roman" w:eastAsia="Calibri" w:hAnsi="Times New Roman" w:cs="Times New Roman"/>
          <w:sz w:val="24"/>
          <w:szCs w:val="24"/>
        </w:rPr>
        <w:t xml:space="preserve">Not taking these factors into consideration and giving them due weight, will encourage the respondents and others to disregard the law. </w:t>
      </w:r>
      <w:r w:rsidR="00412F49" w:rsidRPr="004045AD">
        <w:rPr>
          <w:rFonts w:ascii="Times New Roman" w:eastAsia="Calibri" w:hAnsi="Times New Roman" w:cs="Times New Roman"/>
          <w:sz w:val="24"/>
          <w:szCs w:val="24"/>
        </w:rPr>
        <w:t xml:space="preserve">The fact that the respondents are guilty of contravening both s 34A (3) (a) and (b) aggravates their contravention of the law as provided in </w:t>
      </w:r>
      <w:r w:rsidR="00087602" w:rsidRPr="004045AD">
        <w:rPr>
          <w:rFonts w:ascii="Times New Roman" w:eastAsia="Calibri" w:hAnsi="Times New Roman" w:cs="Times New Roman"/>
          <w:sz w:val="24"/>
          <w:szCs w:val="24"/>
        </w:rPr>
        <w:t>para (c</w:t>
      </w:r>
      <w:r w:rsidR="00412F49" w:rsidRPr="004045AD">
        <w:rPr>
          <w:rFonts w:ascii="Times New Roman" w:eastAsia="Calibri" w:hAnsi="Times New Roman" w:cs="Times New Roman"/>
          <w:sz w:val="24"/>
          <w:szCs w:val="24"/>
        </w:rPr>
        <w:t>) of</w:t>
      </w:r>
      <w:r w:rsidR="004356EC" w:rsidRPr="004045AD">
        <w:rPr>
          <w:rFonts w:ascii="Times New Roman" w:eastAsia="Calibri" w:hAnsi="Times New Roman" w:cs="Times New Roman"/>
          <w:sz w:val="24"/>
          <w:szCs w:val="24"/>
        </w:rPr>
        <w:t xml:space="preserve">                  </w:t>
      </w:r>
      <w:r w:rsidR="00412F49" w:rsidRPr="004045AD">
        <w:rPr>
          <w:rFonts w:ascii="Times New Roman" w:eastAsia="Calibri" w:hAnsi="Times New Roman" w:cs="Times New Roman"/>
          <w:sz w:val="24"/>
          <w:szCs w:val="24"/>
        </w:rPr>
        <w:t xml:space="preserve"> s 34A (5). </w:t>
      </w:r>
      <w:r w:rsidR="00423776" w:rsidRPr="004045AD">
        <w:rPr>
          <w:rFonts w:ascii="Times New Roman" w:eastAsia="Calibri" w:hAnsi="Times New Roman" w:cs="Times New Roman"/>
          <w:sz w:val="24"/>
          <w:szCs w:val="24"/>
        </w:rPr>
        <w:t xml:space="preserve"> </w:t>
      </w:r>
    </w:p>
    <w:p w:rsidR="003206A4" w:rsidRPr="004045AD" w:rsidRDefault="006B0225" w:rsidP="002140C2">
      <w:pPr>
        <w:spacing w:after="0" w:line="24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w:t>
      </w:r>
    </w:p>
    <w:p w:rsidR="007E1A61" w:rsidRPr="004045AD" w:rsidRDefault="0051307D" w:rsidP="00282F16">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[48</w:t>
      </w:r>
      <w:r w:rsidR="00BC7EF0" w:rsidRPr="004045AD">
        <w:rPr>
          <w:rFonts w:ascii="Times New Roman" w:eastAsia="Calibri" w:hAnsi="Times New Roman" w:cs="Times New Roman"/>
          <w:sz w:val="24"/>
          <w:szCs w:val="24"/>
        </w:rPr>
        <w:t xml:space="preserve">] </w:t>
      </w:r>
      <w:r w:rsidR="002140C2" w:rsidRPr="004045AD">
        <w:rPr>
          <w:rFonts w:ascii="Times New Roman" w:eastAsia="Calibri" w:hAnsi="Times New Roman" w:cs="Times New Roman"/>
          <w:sz w:val="24"/>
          <w:szCs w:val="24"/>
        </w:rPr>
        <w:t xml:space="preserve">  </w:t>
      </w:r>
      <w:r w:rsidR="0051587B" w:rsidRPr="004045AD">
        <w:rPr>
          <w:rFonts w:ascii="Times New Roman" w:eastAsia="Calibri" w:hAnsi="Times New Roman" w:cs="Times New Roman"/>
          <w:sz w:val="24"/>
          <w:szCs w:val="24"/>
        </w:rPr>
        <w:t>In terms of sub</w:t>
      </w:r>
      <w:r w:rsidR="002140C2" w:rsidRPr="004045AD">
        <w:rPr>
          <w:rFonts w:ascii="Times New Roman" w:eastAsia="Calibri" w:hAnsi="Times New Roman" w:cs="Times New Roman"/>
          <w:sz w:val="24"/>
          <w:szCs w:val="24"/>
        </w:rPr>
        <w:t>s</w:t>
      </w:r>
      <w:r w:rsidR="006B0225" w:rsidRPr="004045AD">
        <w:rPr>
          <w:rFonts w:ascii="Times New Roman" w:eastAsia="Calibri" w:hAnsi="Times New Roman" w:cs="Times New Roman"/>
          <w:sz w:val="24"/>
          <w:szCs w:val="24"/>
        </w:rPr>
        <w:t xml:space="preserve"> </w:t>
      </w:r>
      <w:r w:rsidR="001B21D7">
        <w:rPr>
          <w:rFonts w:ascii="Times New Roman" w:eastAsia="Calibri" w:hAnsi="Times New Roman" w:cs="Times New Roman"/>
          <w:sz w:val="24"/>
          <w:szCs w:val="24"/>
        </w:rPr>
        <w:t>(</w:t>
      </w:r>
      <w:r w:rsidR="006B0225" w:rsidRPr="004045AD">
        <w:rPr>
          <w:rFonts w:ascii="Times New Roman" w:eastAsia="Calibri" w:hAnsi="Times New Roman" w:cs="Times New Roman"/>
          <w:sz w:val="24"/>
          <w:szCs w:val="24"/>
        </w:rPr>
        <w:t>5</w:t>
      </w:r>
      <w:r w:rsidR="001B21D7">
        <w:rPr>
          <w:rFonts w:ascii="Times New Roman" w:eastAsia="Calibri" w:hAnsi="Times New Roman" w:cs="Times New Roman"/>
          <w:sz w:val="24"/>
          <w:szCs w:val="24"/>
        </w:rPr>
        <w:t>)</w:t>
      </w:r>
      <w:r w:rsidR="006B0225" w:rsidRPr="004045AD">
        <w:rPr>
          <w:rFonts w:ascii="Times New Roman" w:eastAsia="Calibri" w:hAnsi="Times New Roman" w:cs="Times New Roman"/>
          <w:sz w:val="24"/>
          <w:szCs w:val="24"/>
        </w:rPr>
        <w:t xml:space="preserve"> of </w:t>
      </w:r>
      <w:r w:rsidR="002140C2" w:rsidRPr="004045AD">
        <w:rPr>
          <w:rFonts w:ascii="Times New Roman" w:eastAsia="Calibri" w:hAnsi="Times New Roman" w:cs="Times New Roman"/>
          <w:sz w:val="24"/>
          <w:szCs w:val="24"/>
        </w:rPr>
        <w:t xml:space="preserve">s </w:t>
      </w:r>
      <w:r w:rsidR="00BC7EF0" w:rsidRPr="004045AD">
        <w:rPr>
          <w:rFonts w:ascii="Times New Roman" w:eastAsia="Calibri" w:hAnsi="Times New Roman" w:cs="Times New Roman"/>
          <w:sz w:val="24"/>
          <w:szCs w:val="24"/>
        </w:rPr>
        <w:t>34A</w:t>
      </w:r>
      <w:r w:rsidR="006B0225" w:rsidRPr="004045AD">
        <w:rPr>
          <w:rFonts w:ascii="Times New Roman" w:eastAsia="Calibri" w:hAnsi="Times New Roman" w:cs="Times New Roman"/>
          <w:sz w:val="24"/>
          <w:szCs w:val="24"/>
        </w:rPr>
        <w:t xml:space="preserve">, seven factors </w:t>
      </w:r>
      <w:r w:rsidR="00427D51" w:rsidRPr="004045AD">
        <w:rPr>
          <w:rFonts w:ascii="Times New Roman" w:eastAsia="Calibri" w:hAnsi="Times New Roman" w:cs="Times New Roman"/>
          <w:sz w:val="24"/>
          <w:szCs w:val="24"/>
        </w:rPr>
        <w:t>s</w:t>
      </w:r>
      <w:r w:rsidR="006B0225" w:rsidRPr="004045AD">
        <w:rPr>
          <w:rFonts w:ascii="Times New Roman" w:eastAsia="Calibri" w:hAnsi="Times New Roman" w:cs="Times New Roman"/>
          <w:sz w:val="24"/>
          <w:szCs w:val="24"/>
        </w:rPr>
        <w:t>h</w:t>
      </w:r>
      <w:r w:rsidR="00427D51" w:rsidRPr="004045AD">
        <w:rPr>
          <w:rFonts w:ascii="Times New Roman" w:eastAsia="Calibri" w:hAnsi="Times New Roman" w:cs="Times New Roman"/>
          <w:sz w:val="24"/>
          <w:szCs w:val="24"/>
        </w:rPr>
        <w:t>ould</w:t>
      </w:r>
      <w:r w:rsidR="006B0225" w:rsidRPr="004045AD">
        <w:rPr>
          <w:rFonts w:ascii="Times New Roman" w:eastAsia="Calibri" w:hAnsi="Times New Roman" w:cs="Times New Roman"/>
          <w:sz w:val="24"/>
          <w:szCs w:val="24"/>
        </w:rPr>
        <w:t xml:space="preserve"> be</w:t>
      </w:r>
      <w:r w:rsidR="00427D51" w:rsidRPr="004045AD">
        <w:rPr>
          <w:rFonts w:ascii="Times New Roman" w:eastAsia="Calibri" w:hAnsi="Times New Roman" w:cs="Times New Roman"/>
          <w:sz w:val="24"/>
          <w:szCs w:val="24"/>
        </w:rPr>
        <w:t xml:space="preserve"> taken into</w:t>
      </w:r>
      <w:r w:rsidR="006B0225" w:rsidRPr="004045AD">
        <w:rPr>
          <w:rFonts w:ascii="Times New Roman" w:eastAsia="Calibri" w:hAnsi="Times New Roman" w:cs="Times New Roman"/>
          <w:sz w:val="24"/>
          <w:szCs w:val="24"/>
        </w:rPr>
        <w:t xml:space="preserve"> consider</w:t>
      </w:r>
      <w:r w:rsidR="00427D51" w:rsidRPr="004045AD">
        <w:rPr>
          <w:rFonts w:ascii="Times New Roman" w:eastAsia="Calibri" w:hAnsi="Times New Roman" w:cs="Times New Roman"/>
          <w:sz w:val="24"/>
          <w:szCs w:val="24"/>
        </w:rPr>
        <w:t>ation</w:t>
      </w:r>
      <w:r w:rsidR="006B0225" w:rsidRPr="004045AD">
        <w:rPr>
          <w:rFonts w:ascii="Times New Roman" w:eastAsia="Calibri" w:hAnsi="Times New Roman" w:cs="Times New Roman"/>
          <w:sz w:val="24"/>
          <w:szCs w:val="24"/>
        </w:rPr>
        <w:t>.</w:t>
      </w:r>
      <w:r w:rsidR="00812C1D" w:rsidRPr="004045AD">
        <w:rPr>
          <w:rFonts w:ascii="Times New Roman" w:eastAsia="Calibri" w:hAnsi="Times New Roman" w:cs="Times New Roman"/>
          <w:sz w:val="24"/>
          <w:szCs w:val="24"/>
        </w:rPr>
        <w:t xml:space="preserve"> </w:t>
      </w:r>
      <w:r w:rsidR="002140C2" w:rsidRPr="004045AD">
        <w:rPr>
          <w:rFonts w:ascii="Times New Roman" w:eastAsia="Calibri" w:hAnsi="Times New Roman" w:cs="Times New Roman"/>
          <w:sz w:val="24"/>
          <w:szCs w:val="24"/>
        </w:rPr>
        <w:t xml:space="preserve"> </w:t>
      </w:r>
      <w:r w:rsidR="00812C1D" w:rsidRPr="004045AD">
        <w:rPr>
          <w:rFonts w:ascii="Times New Roman" w:eastAsia="Calibri" w:hAnsi="Times New Roman" w:cs="Times New Roman"/>
          <w:sz w:val="24"/>
          <w:szCs w:val="24"/>
        </w:rPr>
        <w:t>The section provides that “</w:t>
      </w:r>
      <w:r w:rsidR="00812C1D" w:rsidRPr="004045AD">
        <w:rPr>
          <w:rFonts w:ascii="Times New Roman" w:eastAsia="Times New Roman" w:hAnsi="Times New Roman" w:cs="Times New Roman"/>
          <w:sz w:val="24"/>
          <w:szCs w:val="24"/>
          <w:lang w:val="en-ZA"/>
        </w:rPr>
        <w:t xml:space="preserve">When </w:t>
      </w:r>
      <w:r w:rsidR="00812C1D" w:rsidRPr="004045AD">
        <w:rPr>
          <w:rFonts w:ascii="Times New Roman" w:eastAsia="Times New Roman" w:hAnsi="Times New Roman" w:cs="Times New Roman"/>
          <w:b/>
          <w:sz w:val="24"/>
          <w:szCs w:val="24"/>
          <w:lang w:val="en-ZA"/>
        </w:rPr>
        <w:t xml:space="preserve">determining an appropriate penalty, the Commission all consider the following factors.” </w:t>
      </w:r>
      <w:r w:rsidR="00812C1D" w:rsidRPr="004045AD">
        <w:rPr>
          <w:rFonts w:ascii="Times New Roman" w:eastAsia="Times New Roman" w:hAnsi="Times New Roman" w:cs="Times New Roman"/>
          <w:sz w:val="24"/>
          <w:szCs w:val="24"/>
          <w:lang w:val="en-ZA"/>
        </w:rPr>
        <w:t xml:space="preserve">The use of the word </w:t>
      </w:r>
      <w:r w:rsidR="00D65D1D" w:rsidRPr="004045AD">
        <w:rPr>
          <w:rFonts w:ascii="Times New Roman" w:eastAsia="Times New Roman" w:hAnsi="Times New Roman" w:cs="Times New Roman"/>
          <w:sz w:val="24"/>
          <w:szCs w:val="24"/>
          <w:lang w:val="en-ZA"/>
        </w:rPr>
        <w:t>“</w:t>
      </w:r>
      <w:r w:rsidR="00812C1D" w:rsidRPr="004045AD">
        <w:rPr>
          <w:rFonts w:ascii="Times New Roman" w:eastAsia="Times New Roman" w:hAnsi="Times New Roman" w:cs="Times New Roman"/>
          <w:sz w:val="24"/>
          <w:szCs w:val="24"/>
          <w:lang w:val="en-ZA"/>
        </w:rPr>
        <w:t>shall</w:t>
      </w:r>
      <w:r w:rsidR="00D65D1D" w:rsidRPr="004045AD">
        <w:rPr>
          <w:rFonts w:ascii="Times New Roman" w:eastAsia="Times New Roman" w:hAnsi="Times New Roman" w:cs="Times New Roman"/>
          <w:sz w:val="24"/>
          <w:szCs w:val="24"/>
          <w:lang w:val="en-ZA"/>
        </w:rPr>
        <w:t>”</w:t>
      </w:r>
      <w:r w:rsidR="00793D7B">
        <w:rPr>
          <w:rFonts w:ascii="Times New Roman" w:eastAsia="Times New Roman" w:hAnsi="Times New Roman" w:cs="Times New Roman"/>
          <w:sz w:val="24"/>
          <w:szCs w:val="24"/>
          <w:lang w:val="en-ZA"/>
        </w:rPr>
        <w:t xml:space="preserve"> and the conjunctive “and” after each subparagraph</w:t>
      </w:r>
      <w:r w:rsidR="00812C1D" w:rsidRPr="004045AD">
        <w:rPr>
          <w:rFonts w:ascii="Times New Roman" w:eastAsia="Times New Roman" w:hAnsi="Times New Roman" w:cs="Times New Roman"/>
          <w:sz w:val="24"/>
          <w:szCs w:val="24"/>
          <w:lang w:val="en-ZA"/>
        </w:rPr>
        <w:t xml:space="preserve"> indicates that each factor should be taken into consideration</w:t>
      </w:r>
      <w:r w:rsidR="007E1A61" w:rsidRPr="004045AD">
        <w:rPr>
          <w:rFonts w:ascii="Times New Roman" w:eastAsia="Times New Roman" w:hAnsi="Times New Roman" w:cs="Times New Roman"/>
          <w:sz w:val="24"/>
          <w:szCs w:val="24"/>
          <w:lang w:val="en-ZA"/>
        </w:rPr>
        <w:t>.</w:t>
      </w:r>
      <w:r w:rsidR="00BC7EF0" w:rsidRPr="004045AD">
        <w:rPr>
          <w:rFonts w:ascii="Times New Roman" w:eastAsia="Calibri" w:hAnsi="Times New Roman" w:cs="Times New Roman"/>
          <w:sz w:val="24"/>
          <w:szCs w:val="24"/>
        </w:rPr>
        <w:t xml:space="preserve"> </w:t>
      </w:r>
      <w:r w:rsidR="00423776" w:rsidRPr="004045AD">
        <w:rPr>
          <w:rFonts w:ascii="Times New Roman" w:eastAsia="Calibri" w:hAnsi="Times New Roman" w:cs="Times New Roman"/>
          <w:sz w:val="24"/>
          <w:szCs w:val="24"/>
        </w:rPr>
        <w:t xml:space="preserve"> </w:t>
      </w:r>
      <w:r w:rsidR="00BC7EF0" w:rsidRPr="004045AD">
        <w:rPr>
          <w:rFonts w:ascii="Times New Roman" w:eastAsia="Calibri" w:hAnsi="Times New Roman" w:cs="Times New Roman"/>
          <w:sz w:val="24"/>
          <w:szCs w:val="24"/>
        </w:rPr>
        <w:t>Each</w:t>
      </w:r>
      <w:r w:rsidR="00D65D1D" w:rsidRPr="004045AD">
        <w:rPr>
          <w:rFonts w:ascii="Times New Roman" w:eastAsia="Calibri" w:hAnsi="Times New Roman" w:cs="Times New Roman"/>
          <w:sz w:val="24"/>
          <w:szCs w:val="24"/>
        </w:rPr>
        <w:t xml:space="preserve"> of the seven</w:t>
      </w:r>
      <w:r w:rsidR="00BC7EF0" w:rsidRPr="004045AD">
        <w:rPr>
          <w:rFonts w:ascii="Times New Roman" w:eastAsia="Calibri" w:hAnsi="Times New Roman" w:cs="Times New Roman"/>
          <w:sz w:val="24"/>
          <w:szCs w:val="24"/>
        </w:rPr>
        <w:t xml:space="preserve"> factor</w:t>
      </w:r>
      <w:r w:rsidR="00EE1B8C" w:rsidRPr="004045AD">
        <w:rPr>
          <w:rFonts w:ascii="Times New Roman" w:eastAsia="Calibri" w:hAnsi="Times New Roman" w:cs="Times New Roman"/>
          <w:sz w:val="24"/>
          <w:szCs w:val="24"/>
        </w:rPr>
        <w:t>s</w:t>
      </w:r>
      <w:r w:rsidR="00BC7EF0" w:rsidRPr="004045AD">
        <w:rPr>
          <w:rFonts w:ascii="Times New Roman" w:eastAsia="Calibri" w:hAnsi="Times New Roman" w:cs="Times New Roman"/>
          <w:sz w:val="24"/>
          <w:szCs w:val="24"/>
        </w:rPr>
        <w:t xml:space="preserve"> was discussed by the appellant in </w:t>
      </w:r>
      <w:r w:rsidR="00BF0C2B" w:rsidRPr="004045AD">
        <w:rPr>
          <w:rFonts w:ascii="Times New Roman" w:eastAsia="Calibri" w:hAnsi="Times New Roman" w:cs="Times New Roman"/>
          <w:sz w:val="24"/>
          <w:szCs w:val="24"/>
        </w:rPr>
        <w:t>the</w:t>
      </w:r>
      <w:r w:rsidR="00BC7EF0" w:rsidRPr="004045AD">
        <w:rPr>
          <w:rFonts w:ascii="Times New Roman" w:eastAsia="Calibri" w:hAnsi="Times New Roman" w:cs="Times New Roman"/>
          <w:sz w:val="24"/>
          <w:szCs w:val="24"/>
        </w:rPr>
        <w:t xml:space="preserve"> reasons for its decision.</w:t>
      </w:r>
      <w:r w:rsidR="006B0225" w:rsidRPr="004045AD">
        <w:rPr>
          <w:rFonts w:ascii="Times New Roman" w:eastAsia="Calibri" w:hAnsi="Times New Roman" w:cs="Times New Roman"/>
          <w:sz w:val="24"/>
          <w:szCs w:val="24"/>
        </w:rPr>
        <w:t xml:space="preserve"> </w:t>
      </w:r>
      <w:r w:rsidR="00BC7EF0" w:rsidRPr="004045AD">
        <w:rPr>
          <w:rFonts w:ascii="Times New Roman" w:eastAsia="Calibri" w:hAnsi="Times New Roman" w:cs="Times New Roman"/>
          <w:sz w:val="24"/>
          <w:szCs w:val="24"/>
        </w:rPr>
        <w:t xml:space="preserve">It is common cause that the court </w:t>
      </w:r>
      <w:r w:rsidR="00BC7EF0" w:rsidRPr="004045AD">
        <w:rPr>
          <w:rFonts w:ascii="Times New Roman" w:eastAsia="Calibri" w:hAnsi="Times New Roman" w:cs="Times New Roman"/>
          <w:i/>
          <w:sz w:val="24"/>
          <w:szCs w:val="24"/>
        </w:rPr>
        <w:t>a quo</w:t>
      </w:r>
      <w:r w:rsidR="00BC7EF0" w:rsidRPr="004045AD">
        <w:rPr>
          <w:rFonts w:ascii="Times New Roman" w:eastAsia="Calibri" w:hAnsi="Times New Roman" w:cs="Times New Roman"/>
          <w:sz w:val="24"/>
          <w:szCs w:val="24"/>
        </w:rPr>
        <w:t xml:space="preserve"> </w:t>
      </w:r>
      <w:r w:rsidR="004D38A4" w:rsidRPr="004045AD">
        <w:rPr>
          <w:rFonts w:ascii="Times New Roman" w:eastAsia="Calibri" w:hAnsi="Times New Roman" w:cs="Times New Roman"/>
          <w:sz w:val="24"/>
          <w:szCs w:val="24"/>
        </w:rPr>
        <w:t xml:space="preserve">did not take all of </w:t>
      </w:r>
      <w:r w:rsidR="007E1A61" w:rsidRPr="004045AD">
        <w:rPr>
          <w:rFonts w:ascii="Times New Roman" w:eastAsia="Calibri" w:hAnsi="Times New Roman" w:cs="Times New Roman"/>
          <w:sz w:val="24"/>
          <w:szCs w:val="24"/>
        </w:rPr>
        <w:t>the seven factors</w:t>
      </w:r>
      <w:r w:rsidR="004D38A4" w:rsidRPr="004045AD">
        <w:rPr>
          <w:rFonts w:ascii="Times New Roman" w:eastAsia="Calibri" w:hAnsi="Times New Roman" w:cs="Times New Roman"/>
          <w:sz w:val="24"/>
          <w:szCs w:val="24"/>
        </w:rPr>
        <w:t xml:space="preserve"> into consideration</w:t>
      </w:r>
      <w:r w:rsidR="007E1A61" w:rsidRPr="004045AD">
        <w:rPr>
          <w:rFonts w:ascii="Times New Roman" w:eastAsia="Calibri" w:hAnsi="Times New Roman" w:cs="Times New Roman"/>
          <w:sz w:val="24"/>
          <w:szCs w:val="24"/>
        </w:rPr>
        <w:t>.</w:t>
      </w:r>
      <w:r w:rsidR="00423776" w:rsidRPr="004045AD">
        <w:rPr>
          <w:rFonts w:ascii="Times New Roman" w:eastAsia="Calibri" w:hAnsi="Times New Roman" w:cs="Times New Roman"/>
          <w:sz w:val="24"/>
          <w:szCs w:val="24"/>
        </w:rPr>
        <w:t xml:space="preserve">  </w:t>
      </w:r>
      <w:r w:rsidR="00B32BF6" w:rsidRPr="004045AD">
        <w:rPr>
          <w:rFonts w:ascii="Times New Roman" w:eastAsia="Calibri" w:hAnsi="Times New Roman" w:cs="Times New Roman"/>
          <w:sz w:val="24"/>
          <w:szCs w:val="24"/>
        </w:rPr>
        <w:t xml:space="preserve">This is </w:t>
      </w:r>
      <w:r w:rsidR="00D65D1D" w:rsidRPr="004045AD">
        <w:rPr>
          <w:rFonts w:ascii="Times New Roman" w:eastAsia="Calibri" w:hAnsi="Times New Roman" w:cs="Times New Roman"/>
          <w:sz w:val="24"/>
          <w:szCs w:val="24"/>
        </w:rPr>
        <w:t>a failure to consider</w:t>
      </w:r>
      <w:r w:rsidR="005302E0">
        <w:rPr>
          <w:rFonts w:ascii="Times New Roman" w:eastAsia="Calibri" w:hAnsi="Times New Roman" w:cs="Times New Roman"/>
          <w:sz w:val="24"/>
          <w:szCs w:val="24"/>
        </w:rPr>
        <w:t xml:space="preserve"> a factor which the law requires it to consider</w:t>
      </w:r>
      <w:r w:rsidR="00D65D1D" w:rsidRPr="004045AD">
        <w:rPr>
          <w:rFonts w:ascii="Times New Roman" w:eastAsia="Calibri" w:hAnsi="Times New Roman" w:cs="Times New Roman"/>
          <w:sz w:val="24"/>
          <w:szCs w:val="24"/>
        </w:rPr>
        <w:t xml:space="preserve"> and </w:t>
      </w:r>
      <w:r w:rsidR="00943212" w:rsidRPr="004045AD">
        <w:rPr>
          <w:rFonts w:ascii="Times New Roman" w:eastAsia="Calibri" w:hAnsi="Times New Roman" w:cs="Times New Roman"/>
          <w:sz w:val="24"/>
          <w:szCs w:val="24"/>
        </w:rPr>
        <w:t xml:space="preserve">is </w:t>
      </w:r>
      <w:r w:rsidR="00B32BF6" w:rsidRPr="004045AD">
        <w:rPr>
          <w:rFonts w:ascii="Times New Roman" w:eastAsia="Calibri" w:hAnsi="Times New Roman" w:cs="Times New Roman"/>
          <w:sz w:val="24"/>
          <w:szCs w:val="24"/>
        </w:rPr>
        <w:t xml:space="preserve">a serious misdirection which justifies interference with the penalty it imposed on </w:t>
      </w:r>
      <w:r w:rsidR="00A35FA8" w:rsidRPr="004045AD">
        <w:rPr>
          <w:rFonts w:ascii="Times New Roman" w:eastAsia="Calibri" w:hAnsi="Times New Roman" w:cs="Times New Roman"/>
          <w:sz w:val="24"/>
          <w:szCs w:val="24"/>
        </w:rPr>
        <w:t>Innscor</w:t>
      </w:r>
      <w:r w:rsidR="00B32BF6" w:rsidRPr="004045AD">
        <w:rPr>
          <w:rFonts w:ascii="Times New Roman" w:eastAsia="Calibri" w:hAnsi="Times New Roman" w:cs="Times New Roman"/>
          <w:sz w:val="24"/>
          <w:szCs w:val="24"/>
        </w:rPr>
        <w:t xml:space="preserve">. </w:t>
      </w:r>
      <w:r w:rsidR="00423776" w:rsidRPr="004045AD">
        <w:rPr>
          <w:rFonts w:ascii="Times New Roman" w:eastAsia="Calibri" w:hAnsi="Times New Roman" w:cs="Times New Roman"/>
          <w:sz w:val="24"/>
          <w:szCs w:val="24"/>
        </w:rPr>
        <w:t xml:space="preserve"> </w:t>
      </w:r>
      <w:r w:rsidR="00B32BF6" w:rsidRPr="004045AD">
        <w:rPr>
          <w:rFonts w:ascii="Times New Roman" w:eastAsia="Calibri" w:hAnsi="Times New Roman" w:cs="Times New Roman"/>
          <w:sz w:val="24"/>
          <w:szCs w:val="24"/>
        </w:rPr>
        <w:t xml:space="preserve">The seven factors were enacted to enable the </w:t>
      </w:r>
      <w:r w:rsidR="00CB00D2">
        <w:rPr>
          <w:rFonts w:ascii="Times New Roman" w:eastAsia="Calibri" w:hAnsi="Times New Roman" w:cs="Times New Roman"/>
          <w:sz w:val="24"/>
          <w:szCs w:val="24"/>
        </w:rPr>
        <w:t>appellant</w:t>
      </w:r>
      <w:r w:rsidR="00B32BF6" w:rsidRPr="004045AD">
        <w:rPr>
          <w:rFonts w:ascii="Times New Roman" w:eastAsia="Calibri" w:hAnsi="Times New Roman" w:cs="Times New Roman"/>
          <w:sz w:val="24"/>
          <w:szCs w:val="24"/>
        </w:rPr>
        <w:t xml:space="preserve"> or the court </w:t>
      </w:r>
      <w:r w:rsidR="00B32BF6" w:rsidRPr="004045AD">
        <w:rPr>
          <w:rFonts w:ascii="Times New Roman" w:eastAsia="Calibri" w:hAnsi="Times New Roman" w:cs="Times New Roman"/>
          <w:i/>
          <w:sz w:val="24"/>
          <w:szCs w:val="24"/>
        </w:rPr>
        <w:t>a quo</w:t>
      </w:r>
      <w:r w:rsidR="00B32BF6" w:rsidRPr="004045AD">
        <w:rPr>
          <w:rFonts w:ascii="Times New Roman" w:eastAsia="Calibri" w:hAnsi="Times New Roman" w:cs="Times New Roman"/>
          <w:sz w:val="24"/>
          <w:szCs w:val="24"/>
        </w:rPr>
        <w:t xml:space="preserve"> to properly and adequately assess the appropriate penalty.</w:t>
      </w:r>
    </w:p>
    <w:p w:rsidR="00736310" w:rsidRPr="004045AD" w:rsidRDefault="00BC7EF0" w:rsidP="004A3288">
      <w:pPr>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lastRenderedPageBreak/>
        <w:t>[4</w:t>
      </w:r>
      <w:r w:rsidR="008553E9" w:rsidRPr="004045AD">
        <w:rPr>
          <w:rFonts w:ascii="Times New Roman" w:eastAsia="Calibri" w:hAnsi="Times New Roman" w:cs="Times New Roman"/>
          <w:sz w:val="24"/>
          <w:szCs w:val="24"/>
        </w:rPr>
        <w:t>9</w:t>
      </w:r>
      <w:r w:rsidRPr="004045AD">
        <w:rPr>
          <w:rFonts w:ascii="Times New Roman" w:eastAsia="Calibri" w:hAnsi="Times New Roman" w:cs="Times New Roman"/>
          <w:sz w:val="24"/>
          <w:szCs w:val="24"/>
        </w:rPr>
        <w:t xml:space="preserve">] </w:t>
      </w:r>
      <w:r w:rsidR="002F5A2D" w:rsidRPr="004045AD">
        <w:rPr>
          <w:rFonts w:ascii="Times New Roman" w:eastAsia="Calibri" w:hAnsi="Times New Roman" w:cs="Times New Roman"/>
          <w:sz w:val="24"/>
          <w:szCs w:val="24"/>
        </w:rPr>
        <w:t xml:space="preserve"> </w:t>
      </w:r>
      <w:r w:rsidR="00423776" w:rsidRPr="004045AD">
        <w:rPr>
          <w:rFonts w:ascii="Times New Roman" w:eastAsia="Calibri" w:hAnsi="Times New Roman" w:cs="Times New Roman"/>
          <w:sz w:val="24"/>
          <w:szCs w:val="24"/>
        </w:rPr>
        <w:t xml:space="preserve"> </w:t>
      </w:r>
      <w:r w:rsidR="006B0225" w:rsidRPr="004045AD">
        <w:rPr>
          <w:rFonts w:ascii="Times New Roman" w:eastAsia="Calibri" w:hAnsi="Times New Roman" w:cs="Times New Roman"/>
          <w:sz w:val="24"/>
          <w:szCs w:val="24"/>
        </w:rPr>
        <w:t>It took the respondents more than 3 years</w:t>
      </w:r>
      <w:r w:rsidR="008553E9" w:rsidRPr="004045AD">
        <w:rPr>
          <w:rFonts w:ascii="Times New Roman" w:eastAsia="Calibri" w:hAnsi="Times New Roman" w:cs="Times New Roman"/>
          <w:sz w:val="24"/>
          <w:szCs w:val="24"/>
        </w:rPr>
        <w:t xml:space="preserve"> and 9 months</w:t>
      </w:r>
      <w:r w:rsidR="006B0225" w:rsidRPr="004045AD">
        <w:rPr>
          <w:rFonts w:ascii="Times New Roman" w:eastAsia="Calibri" w:hAnsi="Times New Roman" w:cs="Times New Roman"/>
          <w:sz w:val="24"/>
          <w:szCs w:val="24"/>
        </w:rPr>
        <w:t xml:space="preserve"> to notify the appellant of the merger</w:t>
      </w:r>
      <w:r w:rsidRPr="004045AD">
        <w:rPr>
          <w:rFonts w:ascii="Times New Roman" w:eastAsia="Calibri" w:hAnsi="Times New Roman" w:cs="Times New Roman"/>
          <w:sz w:val="24"/>
          <w:szCs w:val="24"/>
        </w:rPr>
        <w:t xml:space="preserve"> which it had already consummated</w:t>
      </w:r>
      <w:r w:rsidR="006B0225" w:rsidRPr="004045AD">
        <w:rPr>
          <w:rFonts w:ascii="Times New Roman" w:eastAsia="Calibri" w:hAnsi="Times New Roman" w:cs="Times New Roman"/>
          <w:sz w:val="24"/>
          <w:szCs w:val="24"/>
        </w:rPr>
        <w:t xml:space="preserve">. </w:t>
      </w:r>
      <w:r w:rsidR="008553E9" w:rsidRPr="004045AD">
        <w:rPr>
          <w:rFonts w:ascii="Times New Roman" w:eastAsia="Calibri" w:hAnsi="Times New Roman" w:cs="Times New Roman"/>
          <w:sz w:val="24"/>
          <w:szCs w:val="24"/>
        </w:rPr>
        <w:t>This</w:t>
      </w:r>
      <w:r w:rsidR="00EE1B14">
        <w:rPr>
          <w:rFonts w:ascii="Times New Roman" w:eastAsia="Calibri" w:hAnsi="Times New Roman" w:cs="Times New Roman"/>
          <w:sz w:val="24"/>
          <w:szCs w:val="24"/>
        </w:rPr>
        <w:t>,</w:t>
      </w:r>
      <w:r w:rsidR="008553E9" w:rsidRPr="004045AD">
        <w:rPr>
          <w:rFonts w:ascii="Times New Roman" w:eastAsia="Calibri" w:hAnsi="Times New Roman" w:cs="Times New Roman"/>
          <w:sz w:val="24"/>
          <w:szCs w:val="24"/>
        </w:rPr>
        <w:t xml:space="preserve"> in terms of s 34A (5) (a)</w:t>
      </w:r>
      <w:r w:rsidR="00EE1B14">
        <w:rPr>
          <w:rFonts w:ascii="Times New Roman" w:eastAsia="Calibri" w:hAnsi="Times New Roman" w:cs="Times New Roman"/>
          <w:sz w:val="24"/>
          <w:szCs w:val="24"/>
        </w:rPr>
        <w:t>,</w:t>
      </w:r>
      <w:r w:rsidR="008553E9" w:rsidRPr="004045AD">
        <w:rPr>
          <w:rFonts w:ascii="Times New Roman" w:eastAsia="Calibri" w:hAnsi="Times New Roman" w:cs="Times New Roman"/>
          <w:sz w:val="24"/>
          <w:szCs w:val="24"/>
        </w:rPr>
        <w:t xml:space="preserve"> demonstrates the nature, duration, gravity and extent of the contraventio</w:t>
      </w:r>
      <w:r w:rsidR="002D3E71" w:rsidRPr="004045AD">
        <w:rPr>
          <w:rFonts w:ascii="Times New Roman" w:eastAsia="Calibri" w:hAnsi="Times New Roman" w:cs="Times New Roman"/>
          <w:sz w:val="24"/>
          <w:szCs w:val="24"/>
        </w:rPr>
        <w:t>n of the law by the respondents. It</w:t>
      </w:r>
      <w:r w:rsidR="00943212" w:rsidRPr="004045AD">
        <w:rPr>
          <w:rFonts w:ascii="Times New Roman" w:eastAsia="Calibri" w:hAnsi="Times New Roman" w:cs="Times New Roman"/>
          <w:sz w:val="24"/>
          <w:szCs w:val="24"/>
        </w:rPr>
        <w:t xml:space="preserve"> i</w:t>
      </w:r>
      <w:r w:rsidR="002D3E71" w:rsidRPr="004045AD">
        <w:rPr>
          <w:rFonts w:ascii="Times New Roman" w:eastAsia="Calibri" w:hAnsi="Times New Roman" w:cs="Times New Roman"/>
          <w:sz w:val="24"/>
          <w:szCs w:val="24"/>
        </w:rPr>
        <w:t xml:space="preserve">s apparent </w:t>
      </w:r>
      <w:r w:rsidR="00943212" w:rsidRPr="004045AD">
        <w:rPr>
          <w:rFonts w:ascii="Times New Roman" w:eastAsia="Calibri" w:hAnsi="Times New Roman" w:cs="Times New Roman"/>
          <w:sz w:val="24"/>
          <w:szCs w:val="24"/>
        </w:rPr>
        <w:t xml:space="preserve">that during </w:t>
      </w:r>
      <w:r w:rsidR="002D3E71" w:rsidRPr="004045AD">
        <w:rPr>
          <w:rFonts w:ascii="Times New Roman" w:eastAsia="Calibri" w:hAnsi="Times New Roman" w:cs="Times New Roman"/>
          <w:sz w:val="24"/>
          <w:szCs w:val="24"/>
        </w:rPr>
        <w:t>the 3</w:t>
      </w:r>
      <w:r w:rsidR="00282F16" w:rsidRPr="004045AD">
        <w:rPr>
          <w:rFonts w:ascii="Times New Roman" w:eastAsia="Calibri" w:hAnsi="Times New Roman" w:cs="Times New Roman"/>
          <w:sz w:val="24"/>
          <w:szCs w:val="24"/>
        </w:rPr>
        <w:t xml:space="preserve"> </w:t>
      </w:r>
      <w:r w:rsidR="002D3E71" w:rsidRPr="004045AD">
        <w:rPr>
          <w:rFonts w:ascii="Times New Roman" w:eastAsia="Calibri" w:hAnsi="Times New Roman" w:cs="Times New Roman"/>
          <w:sz w:val="24"/>
          <w:szCs w:val="24"/>
        </w:rPr>
        <w:t>years and 9 months</w:t>
      </w:r>
      <w:r w:rsidR="00943212" w:rsidRPr="004045AD">
        <w:rPr>
          <w:rFonts w:ascii="Times New Roman" w:eastAsia="Calibri" w:hAnsi="Times New Roman" w:cs="Times New Roman"/>
          <w:sz w:val="24"/>
          <w:szCs w:val="24"/>
        </w:rPr>
        <w:t xml:space="preserve"> the respondents,</w:t>
      </w:r>
      <w:r w:rsidR="002D3E71" w:rsidRPr="004045AD">
        <w:rPr>
          <w:rFonts w:ascii="Times New Roman" w:eastAsia="Calibri" w:hAnsi="Times New Roman" w:cs="Times New Roman"/>
          <w:sz w:val="24"/>
          <w:szCs w:val="24"/>
        </w:rPr>
        <w:t xml:space="preserve"> were acting in defiance of the law. This is demonstrated by the fact that sin</w:t>
      </w:r>
      <w:r w:rsidR="0054292F" w:rsidRPr="004045AD">
        <w:rPr>
          <w:rFonts w:ascii="Times New Roman" w:eastAsia="Calibri" w:hAnsi="Times New Roman" w:cs="Times New Roman"/>
          <w:sz w:val="24"/>
          <w:szCs w:val="24"/>
        </w:rPr>
        <w:t>ce 201</w:t>
      </w:r>
      <w:r w:rsidR="00850368">
        <w:rPr>
          <w:rFonts w:ascii="Times New Roman" w:eastAsia="Calibri" w:hAnsi="Times New Roman" w:cs="Times New Roman"/>
          <w:sz w:val="24"/>
          <w:szCs w:val="24"/>
        </w:rPr>
        <w:t>8</w:t>
      </w:r>
      <w:r w:rsidR="0054292F" w:rsidRPr="004045AD">
        <w:rPr>
          <w:rFonts w:ascii="Times New Roman" w:eastAsia="Calibri" w:hAnsi="Times New Roman" w:cs="Times New Roman"/>
          <w:sz w:val="24"/>
          <w:szCs w:val="24"/>
        </w:rPr>
        <w:t xml:space="preserve"> as exposed by the </w:t>
      </w:r>
      <w:r w:rsidR="00992C67" w:rsidRPr="00992C67">
        <w:rPr>
          <w:rFonts w:ascii="Times New Roman" w:eastAsia="Calibri" w:hAnsi="Times New Roman" w:cs="Times New Roman"/>
          <w:i/>
          <w:sz w:val="24"/>
          <w:szCs w:val="24"/>
        </w:rPr>
        <w:t>I</w:t>
      </w:r>
      <w:r w:rsidR="0054292F" w:rsidRPr="00A76042">
        <w:rPr>
          <w:rFonts w:ascii="Times New Roman" w:eastAsia="Calibri" w:hAnsi="Times New Roman" w:cs="Times New Roman"/>
          <w:i/>
          <w:sz w:val="24"/>
          <w:szCs w:val="24"/>
        </w:rPr>
        <w:t>n</w:t>
      </w:r>
      <w:r w:rsidR="006F1E97" w:rsidRPr="00A76042">
        <w:rPr>
          <w:rFonts w:ascii="Times New Roman" w:eastAsia="Calibri" w:hAnsi="Times New Roman" w:cs="Times New Roman"/>
          <w:i/>
          <w:sz w:val="24"/>
          <w:szCs w:val="24"/>
        </w:rPr>
        <w:t>n</w:t>
      </w:r>
      <w:r w:rsidR="0054292F" w:rsidRPr="00A76042">
        <w:rPr>
          <w:rFonts w:ascii="Times New Roman" w:eastAsia="Calibri" w:hAnsi="Times New Roman" w:cs="Times New Roman"/>
          <w:i/>
          <w:sz w:val="24"/>
          <w:szCs w:val="24"/>
        </w:rPr>
        <w:t>sco</w:t>
      </w:r>
      <w:r w:rsidR="002D3E71" w:rsidRPr="00A76042">
        <w:rPr>
          <w:rFonts w:ascii="Times New Roman" w:eastAsia="Calibri" w:hAnsi="Times New Roman" w:cs="Times New Roman"/>
          <w:i/>
          <w:sz w:val="24"/>
          <w:szCs w:val="24"/>
        </w:rPr>
        <w:t>r</w:t>
      </w:r>
      <w:r w:rsidR="002D3E71" w:rsidRPr="004045AD">
        <w:rPr>
          <w:rFonts w:ascii="Times New Roman" w:eastAsia="Calibri" w:hAnsi="Times New Roman" w:cs="Times New Roman"/>
          <w:sz w:val="24"/>
          <w:szCs w:val="24"/>
        </w:rPr>
        <w:t xml:space="preserve"> judgment (</w:t>
      </w:r>
      <w:r w:rsidR="002D3E71" w:rsidRPr="0010274D">
        <w:rPr>
          <w:rFonts w:ascii="Times New Roman" w:eastAsia="Calibri" w:hAnsi="Times New Roman" w:cs="Times New Roman"/>
          <w:i/>
          <w:sz w:val="24"/>
          <w:szCs w:val="24"/>
        </w:rPr>
        <w:t>supra</w:t>
      </w:r>
      <w:r w:rsidR="002D3E71" w:rsidRPr="004045AD">
        <w:rPr>
          <w:rFonts w:ascii="Times New Roman" w:eastAsia="Calibri" w:hAnsi="Times New Roman" w:cs="Times New Roman"/>
          <w:sz w:val="24"/>
          <w:szCs w:val="24"/>
        </w:rPr>
        <w:t xml:space="preserve">) </w:t>
      </w:r>
      <w:r w:rsidR="00A35FA8" w:rsidRPr="004045AD">
        <w:rPr>
          <w:rFonts w:ascii="Times New Roman" w:eastAsia="Calibri" w:hAnsi="Times New Roman" w:cs="Times New Roman"/>
          <w:sz w:val="24"/>
          <w:szCs w:val="24"/>
        </w:rPr>
        <w:t>and Innscor’s con</w:t>
      </w:r>
      <w:r w:rsidR="00A31061">
        <w:rPr>
          <w:rFonts w:ascii="Times New Roman" w:eastAsia="Calibri" w:hAnsi="Times New Roman" w:cs="Times New Roman"/>
          <w:sz w:val="24"/>
          <w:szCs w:val="24"/>
        </w:rPr>
        <w:t>travention of competition law in</w:t>
      </w:r>
      <w:r w:rsidR="00A35FA8" w:rsidRPr="004045AD">
        <w:rPr>
          <w:rFonts w:ascii="Times New Roman" w:eastAsia="Calibri" w:hAnsi="Times New Roman" w:cs="Times New Roman"/>
          <w:sz w:val="24"/>
          <w:szCs w:val="24"/>
        </w:rPr>
        <w:t xml:space="preserve"> 2013</w:t>
      </w:r>
      <w:r w:rsidR="00992C67">
        <w:rPr>
          <w:rFonts w:ascii="Times New Roman" w:eastAsia="Calibri" w:hAnsi="Times New Roman" w:cs="Times New Roman"/>
          <w:sz w:val="24"/>
          <w:szCs w:val="24"/>
        </w:rPr>
        <w:t>,</w:t>
      </w:r>
      <w:r w:rsidR="00A35FA8" w:rsidRPr="004045AD">
        <w:rPr>
          <w:rFonts w:ascii="Times New Roman" w:eastAsia="Calibri" w:hAnsi="Times New Roman" w:cs="Times New Roman"/>
          <w:sz w:val="24"/>
          <w:szCs w:val="24"/>
        </w:rPr>
        <w:t xml:space="preserve"> in respect of its </w:t>
      </w:r>
      <w:r w:rsidR="0010274D">
        <w:rPr>
          <w:rFonts w:ascii="Times New Roman" w:eastAsia="Calibri" w:hAnsi="Times New Roman" w:cs="Times New Roman"/>
          <w:sz w:val="24"/>
          <w:szCs w:val="24"/>
        </w:rPr>
        <w:t xml:space="preserve">failure to </w:t>
      </w:r>
      <w:r w:rsidR="00A35FA8" w:rsidRPr="004045AD">
        <w:rPr>
          <w:rFonts w:ascii="Times New Roman" w:eastAsia="Calibri" w:hAnsi="Times New Roman" w:cs="Times New Roman"/>
          <w:sz w:val="24"/>
          <w:szCs w:val="24"/>
        </w:rPr>
        <w:t>notify the appellant of its acquisition of 36% of National Foods’ shares</w:t>
      </w:r>
      <w:r w:rsidR="00CA1C32">
        <w:rPr>
          <w:rFonts w:ascii="Times New Roman" w:eastAsia="Calibri" w:hAnsi="Times New Roman" w:cs="Times New Roman"/>
          <w:sz w:val="24"/>
          <w:szCs w:val="24"/>
        </w:rPr>
        <w:t>,</w:t>
      </w:r>
      <w:r w:rsidR="00A35FA8" w:rsidRPr="004045AD">
        <w:rPr>
          <w:rFonts w:ascii="Times New Roman" w:eastAsia="Calibri" w:hAnsi="Times New Roman" w:cs="Times New Roman"/>
          <w:sz w:val="24"/>
          <w:szCs w:val="24"/>
        </w:rPr>
        <w:t xml:space="preserve"> means it</w:t>
      </w:r>
      <w:r w:rsidR="00B67FC8">
        <w:rPr>
          <w:rFonts w:ascii="Times New Roman" w:eastAsia="Calibri" w:hAnsi="Times New Roman" w:cs="Times New Roman"/>
          <w:sz w:val="24"/>
          <w:szCs w:val="24"/>
        </w:rPr>
        <w:t>’</w:t>
      </w:r>
      <w:r w:rsidR="00A35FA8" w:rsidRPr="004045AD">
        <w:rPr>
          <w:rFonts w:ascii="Times New Roman" w:eastAsia="Calibri" w:hAnsi="Times New Roman" w:cs="Times New Roman"/>
          <w:sz w:val="24"/>
          <w:szCs w:val="24"/>
        </w:rPr>
        <w:t xml:space="preserve"> was aware that acquisitions of shares below 50% are notifiable</w:t>
      </w:r>
      <w:r w:rsidR="00132C06">
        <w:rPr>
          <w:rFonts w:ascii="Times New Roman" w:eastAsia="Calibri" w:hAnsi="Times New Roman" w:cs="Times New Roman"/>
          <w:sz w:val="24"/>
          <w:szCs w:val="24"/>
        </w:rPr>
        <w:t>.</w:t>
      </w:r>
      <w:r w:rsidR="00A35FA8" w:rsidRPr="004045AD">
        <w:rPr>
          <w:rFonts w:ascii="Times New Roman" w:eastAsia="Calibri" w:hAnsi="Times New Roman" w:cs="Times New Roman"/>
          <w:sz w:val="24"/>
          <w:szCs w:val="24"/>
        </w:rPr>
        <w:t xml:space="preserve"> </w:t>
      </w:r>
      <w:r w:rsidR="00132C06">
        <w:rPr>
          <w:rFonts w:ascii="Times New Roman" w:eastAsia="Calibri" w:hAnsi="Times New Roman" w:cs="Times New Roman"/>
          <w:sz w:val="24"/>
          <w:szCs w:val="24"/>
        </w:rPr>
        <w:t>I</w:t>
      </w:r>
      <w:r w:rsidR="00A35FA8" w:rsidRPr="004045AD">
        <w:rPr>
          <w:rFonts w:ascii="Times New Roman" w:eastAsia="Calibri" w:hAnsi="Times New Roman" w:cs="Times New Roman"/>
          <w:sz w:val="24"/>
          <w:szCs w:val="24"/>
        </w:rPr>
        <w:t>t was</w:t>
      </w:r>
      <w:r w:rsidR="00132C06">
        <w:rPr>
          <w:rFonts w:ascii="Times New Roman" w:eastAsia="Calibri" w:hAnsi="Times New Roman" w:cs="Times New Roman"/>
          <w:sz w:val="24"/>
          <w:szCs w:val="24"/>
        </w:rPr>
        <w:t xml:space="preserve"> further</w:t>
      </w:r>
      <w:r w:rsidR="002D3E71" w:rsidRPr="004045AD">
        <w:rPr>
          <w:rFonts w:ascii="Times New Roman" w:eastAsia="Calibri" w:hAnsi="Times New Roman" w:cs="Times New Roman"/>
          <w:sz w:val="24"/>
          <w:szCs w:val="24"/>
        </w:rPr>
        <w:t xml:space="preserve"> awa</w:t>
      </w:r>
      <w:r w:rsidR="00943212" w:rsidRPr="004045AD">
        <w:rPr>
          <w:rFonts w:ascii="Times New Roman" w:eastAsia="Calibri" w:hAnsi="Times New Roman" w:cs="Times New Roman"/>
          <w:sz w:val="24"/>
          <w:szCs w:val="24"/>
        </w:rPr>
        <w:t>re</w:t>
      </w:r>
      <w:r w:rsidR="002D3E71" w:rsidRPr="004045AD">
        <w:rPr>
          <w:rFonts w:ascii="Times New Roman" w:eastAsia="Calibri" w:hAnsi="Times New Roman" w:cs="Times New Roman"/>
          <w:sz w:val="24"/>
          <w:szCs w:val="24"/>
        </w:rPr>
        <w:t xml:space="preserve"> that notification of a merger was regulated by s 34 of the Act as read with SI 195 of 2002</w:t>
      </w:r>
      <w:r w:rsidR="00EF568D" w:rsidRPr="004045AD">
        <w:rPr>
          <w:rFonts w:ascii="Times New Roman" w:eastAsia="Calibri" w:hAnsi="Times New Roman" w:cs="Times New Roman"/>
          <w:sz w:val="24"/>
          <w:szCs w:val="24"/>
        </w:rPr>
        <w:t xml:space="preserve">. </w:t>
      </w:r>
      <w:r w:rsidR="00AF0662" w:rsidRPr="004045AD">
        <w:rPr>
          <w:rFonts w:ascii="Times New Roman" w:eastAsia="Calibri" w:hAnsi="Times New Roman" w:cs="Times New Roman"/>
          <w:sz w:val="24"/>
          <w:szCs w:val="24"/>
        </w:rPr>
        <w:t xml:space="preserve"> </w:t>
      </w:r>
      <w:r w:rsidR="007C7595">
        <w:rPr>
          <w:rFonts w:ascii="Times New Roman" w:eastAsia="Calibri" w:hAnsi="Times New Roman" w:cs="Times New Roman"/>
          <w:sz w:val="24"/>
          <w:szCs w:val="24"/>
        </w:rPr>
        <w:t>S.I 195 o</w:t>
      </w:r>
      <w:r w:rsidR="00EF568D" w:rsidRPr="004045AD">
        <w:rPr>
          <w:rFonts w:ascii="Times New Roman" w:eastAsia="Calibri" w:hAnsi="Times New Roman" w:cs="Times New Roman"/>
          <w:sz w:val="24"/>
          <w:szCs w:val="24"/>
        </w:rPr>
        <w:t>f 2002 was however</w:t>
      </w:r>
      <w:r w:rsidR="00943212" w:rsidRPr="004045AD">
        <w:rPr>
          <w:rFonts w:ascii="Times New Roman" w:eastAsia="Calibri" w:hAnsi="Times New Roman" w:cs="Times New Roman"/>
          <w:sz w:val="24"/>
          <w:szCs w:val="24"/>
        </w:rPr>
        <w:t xml:space="preserve"> subsequently repealed and substituted by other Regulations</w:t>
      </w:r>
      <w:r w:rsidR="004319E2" w:rsidRPr="004045AD">
        <w:rPr>
          <w:rFonts w:ascii="Times New Roman" w:eastAsia="Calibri" w:hAnsi="Times New Roman" w:cs="Times New Roman"/>
          <w:sz w:val="24"/>
          <w:szCs w:val="24"/>
        </w:rPr>
        <w:t>,</w:t>
      </w:r>
      <w:r w:rsidR="00943212" w:rsidRPr="004045AD">
        <w:rPr>
          <w:rFonts w:ascii="Times New Roman" w:eastAsia="Calibri" w:hAnsi="Times New Roman" w:cs="Times New Roman"/>
          <w:sz w:val="24"/>
          <w:szCs w:val="24"/>
        </w:rPr>
        <w:t xml:space="preserve"> the current one being S.I </w:t>
      </w:r>
      <w:r w:rsidR="00EF568D" w:rsidRPr="004045AD">
        <w:rPr>
          <w:rFonts w:ascii="Times New Roman" w:eastAsia="Calibri" w:hAnsi="Times New Roman" w:cs="Times New Roman"/>
          <w:sz w:val="24"/>
          <w:szCs w:val="24"/>
        </w:rPr>
        <w:t>126 of 2020 which</w:t>
      </w:r>
      <w:r w:rsidR="002D3E71" w:rsidRPr="004045AD">
        <w:rPr>
          <w:rFonts w:ascii="Times New Roman" w:eastAsia="Calibri" w:hAnsi="Times New Roman" w:cs="Times New Roman"/>
          <w:sz w:val="24"/>
          <w:szCs w:val="24"/>
        </w:rPr>
        <w:t xml:space="preserve"> sets out the</w:t>
      </w:r>
      <w:r w:rsidR="00EF568D" w:rsidRPr="004045AD">
        <w:rPr>
          <w:rFonts w:ascii="Times New Roman" w:eastAsia="Calibri" w:hAnsi="Times New Roman" w:cs="Times New Roman"/>
          <w:sz w:val="24"/>
          <w:szCs w:val="24"/>
        </w:rPr>
        <w:t xml:space="preserve"> current</w:t>
      </w:r>
      <w:r w:rsidR="002D3E71" w:rsidRPr="004045AD">
        <w:rPr>
          <w:rFonts w:ascii="Times New Roman" w:eastAsia="Calibri" w:hAnsi="Times New Roman" w:cs="Times New Roman"/>
          <w:sz w:val="24"/>
          <w:szCs w:val="24"/>
        </w:rPr>
        <w:t xml:space="preserve"> threshold for notifiable mergers. </w:t>
      </w:r>
      <w:r w:rsidR="00943212" w:rsidRPr="004045AD">
        <w:rPr>
          <w:rFonts w:ascii="Times New Roman" w:eastAsia="Calibri" w:hAnsi="Times New Roman" w:cs="Times New Roman"/>
          <w:sz w:val="24"/>
          <w:szCs w:val="24"/>
        </w:rPr>
        <w:t xml:space="preserve">The respondents </w:t>
      </w:r>
      <w:r w:rsidR="006B0225" w:rsidRPr="004045AD">
        <w:rPr>
          <w:rFonts w:ascii="Times New Roman" w:eastAsia="Calibri" w:hAnsi="Times New Roman" w:cs="Times New Roman"/>
          <w:sz w:val="24"/>
          <w:szCs w:val="24"/>
        </w:rPr>
        <w:t xml:space="preserve">made a lot of profits as </w:t>
      </w:r>
      <w:r w:rsidR="00427D51" w:rsidRPr="004045AD">
        <w:rPr>
          <w:rFonts w:ascii="Times New Roman" w:eastAsia="Calibri" w:hAnsi="Times New Roman" w:cs="Times New Roman"/>
          <w:sz w:val="24"/>
          <w:szCs w:val="24"/>
        </w:rPr>
        <w:t>was</w:t>
      </w:r>
      <w:r w:rsidR="006B0225" w:rsidRPr="004045AD">
        <w:rPr>
          <w:rFonts w:ascii="Times New Roman" w:eastAsia="Calibri" w:hAnsi="Times New Roman" w:cs="Times New Roman"/>
          <w:sz w:val="24"/>
          <w:szCs w:val="24"/>
        </w:rPr>
        <w:t xml:space="preserve"> </w:t>
      </w:r>
      <w:r w:rsidR="00427D51" w:rsidRPr="004045AD">
        <w:rPr>
          <w:rFonts w:ascii="Times New Roman" w:eastAsia="Calibri" w:hAnsi="Times New Roman" w:cs="Times New Roman"/>
          <w:sz w:val="24"/>
          <w:szCs w:val="24"/>
        </w:rPr>
        <w:t>established</w:t>
      </w:r>
      <w:r w:rsidR="006B0225" w:rsidRPr="004045AD">
        <w:rPr>
          <w:rFonts w:ascii="Times New Roman" w:eastAsia="Calibri" w:hAnsi="Times New Roman" w:cs="Times New Roman"/>
          <w:sz w:val="24"/>
          <w:szCs w:val="24"/>
        </w:rPr>
        <w:t xml:space="preserve"> by the number of stock feeds shops</w:t>
      </w:r>
      <w:r w:rsidR="007E1A61" w:rsidRPr="004045AD">
        <w:rPr>
          <w:rFonts w:ascii="Times New Roman" w:eastAsia="Calibri" w:hAnsi="Times New Roman" w:cs="Times New Roman"/>
          <w:sz w:val="24"/>
          <w:szCs w:val="24"/>
        </w:rPr>
        <w:t>,</w:t>
      </w:r>
      <w:r w:rsidR="006B0225" w:rsidRPr="004045AD">
        <w:rPr>
          <w:rFonts w:ascii="Times New Roman" w:eastAsia="Calibri" w:hAnsi="Times New Roman" w:cs="Times New Roman"/>
          <w:sz w:val="24"/>
          <w:szCs w:val="24"/>
        </w:rPr>
        <w:t xml:space="preserve"> </w:t>
      </w:r>
      <w:r w:rsidR="009371F4" w:rsidRPr="004045AD">
        <w:rPr>
          <w:rFonts w:ascii="Times New Roman" w:eastAsia="Calibri" w:hAnsi="Times New Roman" w:cs="Times New Roman"/>
          <w:sz w:val="24"/>
          <w:szCs w:val="24"/>
        </w:rPr>
        <w:t>Profeeds</w:t>
      </w:r>
      <w:r w:rsidR="00B32BF6" w:rsidRPr="004045AD">
        <w:rPr>
          <w:rFonts w:ascii="Times New Roman" w:eastAsia="Calibri" w:hAnsi="Times New Roman" w:cs="Times New Roman"/>
          <w:sz w:val="24"/>
          <w:szCs w:val="24"/>
        </w:rPr>
        <w:t xml:space="preserve"> was able to establish in the</w:t>
      </w:r>
      <w:r w:rsidR="006B0225" w:rsidRPr="004045AD">
        <w:rPr>
          <w:rFonts w:ascii="Times New Roman" w:eastAsia="Calibri" w:hAnsi="Times New Roman" w:cs="Times New Roman"/>
          <w:sz w:val="24"/>
          <w:szCs w:val="24"/>
        </w:rPr>
        <w:t xml:space="preserve"> </w:t>
      </w:r>
      <w:r w:rsidR="00B32BF6" w:rsidRPr="004045AD">
        <w:rPr>
          <w:rFonts w:ascii="Times New Roman" w:eastAsia="Calibri" w:hAnsi="Times New Roman" w:cs="Times New Roman"/>
          <w:sz w:val="24"/>
          <w:szCs w:val="24"/>
        </w:rPr>
        <w:t>country</w:t>
      </w:r>
      <w:r w:rsidR="00C43C29" w:rsidRPr="004045AD">
        <w:rPr>
          <w:rFonts w:ascii="Times New Roman" w:eastAsia="Calibri" w:hAnsi="Times New Roman" w:cs="Times New Roman"/>
          <w:sz w:val="24"/>
          <w:szCs w:val="24"/>
        </w:rPr>
        <w:t xml:space="preserve"> </w:t>
      </w:r>
      <w:r w:rsidR="006B0225" w:rsidRPr="004045AD">
        <w:rPr>
          <w:rFonts w:ascii="Times New Roman" w:eastAsia="Calibri" w:hAnsi="Times New Roman" w:cs="Times New Roman"/>
          <w:sz w:val="24"/>
          <w:szCs w:val="24"/>
        </w:rPr>
        <w:t>which increased</w:t>
      </w:r>
      <w:r w:rsidR="004E3189" w:rsidRPr="004045AD">
        <w:rPr>
          <w:rFonts w:ascii="Times New Roman" w:eastAsia="Calibri" w:hAnsi="Times New Roman" w:cs="Times New Roman"/>
          <w:sz w:val="24"/>
          <w:szCs w:val="24"/>
        </w:rPr>
        <w:t xml:space="preserve"> from 19</w:t>
      </w:r>
      <w:r w:rsidR="00427D51" w:rsidRPr="004045AD">
        <w:rPr>
          <w:rFonts w:ascii="Times New Roman" w:eastAsia="Calibri" w:hAnsi="Times New Roman" w:cs="Times New Roman"/>
          <w:sz w:val="24"/>
          <w:szCs w:val="24"/>
        </w:rPr>
        <w:t xml:space="preserve"> to 4</w:t>
      </w:r>
      <w:r w:rsidR="00EF568D" w:rsidRPr="004045AD">
        <w:rPr>
          <w:rFonts w:ascii="Times New Roman" w:eastAsia="Calibri" w:hAnsi="Times New Roman" w:cs="Times New Roman"/>
          <w:sz w:val="24"/>
          <w:szCs w:val="24"/>
        </w:rPr>
        <w:t>0</w:t>
      </w:r>
      <w:r w:rsidR="00C43C29" w:rsidRPr="004045AD">
        <w:rPr>
          <w:rFonts w:ascii="Times New Roman" w:eastAsia="Calibri" w:hAnsi="Times New Roman" w:cs="Times New Roman"/>
          <w:sz w:val="24"/>
          <w:szCs w:val="24"/>
        </w:rPr>
        <w:t>.</w:t>
      </w:r>
      <w:r w:rsidR="002D3E71" w:rsidRPr="004045AD">
        <w:rPr>
          <w:rFonts w:ascii="Times New Roman" w:eastAsia="Calibri" w:hAnsi="Times New Roman" w:cs="Times New Roman"/>
          <w:sz w:val="24"/>
          <w:szCs w:val="24"/>
        </w:rPr>
        <w:t xml:space="preserve"> This satisfies the requirements of s 34A (5) (c) on the level of profit derived from the contravention.</w:t>
      </w:r>
      <w:r w:rsidR="006B0225" w:rsidRPr="004045AD">
        <w:rPr>
          <w:rFonts w:ascii="Times New Roman" w:eastAsia="Calibri" w:hAnsi="Times New Roman" w:cs="Times New Roman"/>
          <w:sz w:val="24"/>
          <w:szCs w:val="24"/>
        </w:rPr>
        <w:t xml:space="preserve"> </w:t>
      </w:r>
      <w:r w:rsidR="00416566" w:rsidRPr="004045AD">
        <w:rPr>
          <w:rFonts w:ascii="Times New Roman" w:eastAsia="Calibri" w:hAnsi="Times New Roman" w:cs="Times New Roman"/>
          <w:sz w:val="24"/>
          <w:szCs w:val="24"/>
        </w:rPr>
        <w:t>It is also on record that</w:t>
      </w:r>
      <w:r w:rsidR="006B0225" w:rsidRPr="004045AD">
        <w:rPr>
          <w:rFonts w:ascii="Times New Roman" w:eastAsia="Calibri" w:hAnsi="Times New Roman" w:cs="Times New Roman"/>
          <w:sz w:val="24"/>
          <w:szCs w:val="24"/>
        </w:rPr>
        <w:t xml:space="preserve">, </w:t>
      </w:r>
      <w:r w:rsidR="00C96F64">
        <w:rPr>
          <w:rFonts w:ascii="Times New Roman" w:eastAsia="Calibri" w:hAnsi="Times New Roman" w:cs="Times New Roman"/>
          <w:sz w:val="24"/>
          <w:szCs w:val="24"/>
        </w:rPr>
        <w:t>Innscor</w:t>
      </w:r>
      <w:r w:rsidR="006B0225" w:rsidRPr="004045AD">
        <w:rPr>
          <w:rFonts w:ascii="Times New Roman" w:eastAsia="Calibri" w:hAnsi="Times New Roman" w:cs="Times New Roman"/>
          <w:sz w:val="24"/>
          <w:szCs w:val="24"/>
        </w:rPr>
        <w:t xml:space="preserve"> has contravened competition laws before.</w:t>
      </w:r>
      <w:r w:rsidR="00416566" w:rsidRPr="004045AD">
        <w:rPr>
          <w:rFonts w:ascii="Times New Roman" w:eastAsia="Calibri" w:hAnsi="Times New Roman" w:cs="Times New Roman"/>
          <w:sz w:val="24"/>
          <w:szCs w:val="24"/>
        </w:rPr>
        <w:t xml:space="preserve"> This</w:t>
      </w:r>
      <w:r w:rsidR="002112E3">
        <w:rPr>
          <w:rFonts w:ascii="Times New Roman" w:eastAsia="Calibri" w:hAnsi="Times New Roman" w:cs="Times New Roman"/>
          <w:sz w:val="24"/>
          <w:szCs w:val="24"/>
        </w:rPr>
        <w:t>,</w:t>
      </w:r>
      <w:r w:rsidR="00416566" w:rsidRPr="004045AD">
        <w:rPr>
          <w:rFonts w:ascii="Times New Roman" w:eastAsia="Calibri" w:hAnsi="Times New Roman" w:cs="Times New Roman"/>
          <w:sz w:val="24"/>
          <w:szCs w:val="24"/>
        </w:rPr>
        <w:t xml:space="preserve"> in terms of s 34A (5) (g)</w:t>
      </w:r>
      <w:r w:rsidR="002112E3">
        <w:rPr>
          <w:rFonts w:ascii="Times New Roman" w:eastAsia="Calibri" w:hAnsi="Times New Roman" w:cs="Times New Roman"/>
          <w:sz w:val="24"/>
          <w:szCs w:val="24"/>
        </w:rPr>
        <w:t>,</w:t>
      </w:r>
      <w:r w:rsidR="00416566" w:rsidRPr="004045AD">
        <w:rPr>
          <w:rFonts w:ascii="Times New Roman" w:eastAsia="Calibri" w:hAnsi="Times New Roman" w:cs="Times New Roman"/>
          <w:sz w:val="24"/>
          <w:szCs w:val="24"/>
        </w:rPr>
        <w:t xml:space="preserve"> is aggravating as this conviction increases to three</w:t>
      </w:r>
      <w:r w:rsidR="002112E3">
        <w:rPr>
          <w:rFonts w:ascii="Times New Roman" w:eastAsia="Calibri" w:hAnsi="Times New Roman" w:cs="Times New Roman"/>
          <w:sz w:val="24"/>
          <w:szCs w:val="24"/>
        </w:rPr>
        <w:t>,</w:t>
      </w:r>
      <w:r w:rsidR="00416566" w:rsidRPr="004045AD">
        <w:rPr>
          <w:rFonts w:ascii="Times New Roman" w:eastAsia="Calibri" w:hAnsi="Times New Roman" w:cs="Times New Roman"/>
          <w:sz w:val="24"/>
          <w:szCs w:val="24"/>
        </w:rPr>
        <w:t xml:space="preserve"> </w:t>
      </w:r>
      <w:r w:rsidR="009371F4" w:rsidRPr="004045AD">
        <w:rPr>
          <w:rFonts w:ascii="Times New Roman" w:eastAsia="Calibri" w:hAnsi="Times New Roman" w:cs="Times New Roman"/>
          <w:sz w:val="24"/>
          <w:szCs w:val="24"/>
        </w:rPr>
        <w:t>Innscor’s</w:t>
      </w:r>
      <w:r w:rsidR="00416566" w:rsidRPr="004045AD">
        <w:rPr>
          <w:rFonts w:ascii="Times New Roman" w:eastAsia="Calibri" w:hAnsi="Times New Roman" w:cs="Times New Roman"/>
          <w:sz w:val="24"/>
          <w:szCs w:val="24"/>
        </w:rPr>
        <w:t xml:space="preserve"> contraventions of competition laws. It shows its persistence in disregarding competition laws.</w:t>
      </w:r>
      <w:r w:rsidR="001F6AC8" w:rsidRPr="004045AD">
        <w:rPr>
          <w:rFonts w:ascii="Times New Roman" w:eastAsia="Calibri" w:hAnsi="Times New Roman" w:cs="Times New Roman"/>
          <w:sz w:val="24"/>
          <w:szCs w:val="24"/>
        </w:rPr>
        <w:t xml:space="preserve">  </w:t>
      </w:r>
      <w:r w:rsidR="006B0225" w:rsidRPr="004045AD">
        <w:rPr>
          <w:rFonts w:ascii="Times New Roman" w:eastAsia="Calibri" w:hAnsi="Times New Roman" w:cs="Times New Roman"/>
          <w:sz w:val="24"/>
          <w:szCs w:val="24"/>
        </w:rPr>
        <w:t xml:space="preserve">It is </w:t>
      </w:r>
      <w:r w:rsidR="005E6F14" w:rsidRPr="004045AD">
        <w:rPr>
          <w:rFonts w:ascii="Times New Roman" w:eastAsia="Calibri" w:hAnsi="Times New Roman" w:cs="Times New Roman"/>
          <w:sz w:val="24"/>
          <w:szCs w:val="24"/>
        </w:rPr>
        <w:t>this court’s</w:t>
      </w:r>
      <w:r w:rsidR="006B0225" w:rsidRPr="004045AD">
        <w:rPr>
          <w:rFonts w:ascii="Times New Roman" w:eastAsia="Calibri" w:hAnsi="Times New Roman" w:cs="Times New Roman"/>
          <w:sz w:val="24"/>
          <w:szCs w:val="24"/>
        </w:rPr>
        <w:t xml:space="preserve"> view that the monetary penalty was justifiable. </w:t>
      </w:r>
      <w:r w:rsidR="002F5A2D" w:rsidRPr="004045AD">
        <w:rPr>
          <w:rFonts w:ascii="Times New Roman" w:eastAsia="Calibri" w:hAnsi="Times New Roman" w:cs="Times New Roman"/>
          <w:sz w:val="24"/>
          <w:szCs w:val="24"/>
        </w:rPr>
        <w:t xml:space="preserve"> </w:t>
      </w:r>
      <w:r w:rsidR="00087602" w:rsidRPr="004045AD">
        <w:rPr>
          <w:rFonts w:ascii="Times New Roman" w:eastAsia="Calibri" w:hAnsi="Times New Roman" w:cs="Times New Roman"/>
          <w:sz w:val="24"/>
          <w:szCs w:val="24"/>
        </w:rPr>
        <w:t xml:space="preserve">An amount of approximately </w:t>
      </w:r>
      <w:r w:rsidR="006B0225" w:rsidRPr="004045AD">
        <w:rPr>
          <w:rFonts w:ascii="Times New Roman" w:eastAsia="Calibri" w:hAnsi="Times New Roman" w:cs="Times New Roman"/>
          <w:sz w:val="24"/>
          <w:szCs w:val="24"/>
        </w:rPr>
        <w:t>$</w:t>
      </w:r>
      <w:r w:rsidR="0051587B" w:rsidRPr="004045AD">
        <w:rPr>
          <w:rFonts w:ascii="Times New Roman" w:eastAsia="Calibri" w:hAnsi="Times New Roman" w:cs="Times New Roman"/>
          <w:sz w:val="24"/>
          <w:szCs w:val="24"/>
        </w:rPr>
        <w:t xml:space="preserve"> </w:t>
      </w:r>
      <w:r w:rsidR="006B0225" w:rsidRPr="004045AD">
        <w:rPr>
          <w:rFonts w:ascii="Times New Roman" w:eastAsia="Calibri" w:hAnsi="Times New Roman" w:cs="Times New Roman"/>
          <w:sz w:val="24"/>
          <w:szCs w:val="24"/>
        </w:rPr>
        <w:t>40 000</w:t>
      </w:r>
      <w:r w:rsidR="009371F4" w:rsidRPr="004045AD">
        <w:rPr>
          <w:rFonts w:ascii="Times New Roman" w:eastAsia="Calibri" w:hAnsi="Times New Roman" w:cs="Times New Roman"/>
          <w:sz w:val="24"/>
          <w:szCs w:val="24"/>
        </w:rPr>
        <w:t xml:space="preserve"> 000-00</w:t>
      </w:r>
      <w:r w:rsidR="006B0225" w:rsidRPr="004045AD">
        <w:rPr>
          <w:rFonts w:ascii="Times New Roman" w:eastAsia="Calibri" w:hAnsi="Times New Roman" w:cs="Times New Roman"/>
          <w:sz w:val="24"/>
          <w:szCs w:val="24"/>
        </w:rPr>
        <w:t xml:space="preserve"> ZWL was not excessive considering the amounts of </w:t>
      </w:r>
      <w:r w:rsidR="002056F8" w:rsidRPr="004045AD">
        <w:rPr>
          <w:rFonts w:ascii="Times New Roman" w:eastAsia="Calibri" w:hAnsi="Times New Roman" w:cs="Times New Roman"/>
          <w:sz w:val="24"/>
          <w:szCs w:val="24"/>
        </w:rPr>
        <w:t>profit</w:t>
      </w:r>
      <w:r w:rsidR="006B0225" w:rsidRPr="004045AD">
        <w:rPr>
          <w:rFonts w:ascii="Times New Roman" w:eastAsia="Calibri" w:hAnsi="Times New Roman" w:cs="Times New Roman"/>
          <w:sz w:val="24"/>
          <w:szCs w:val="24"/>
        </w:rPr>
        <w:t xml:space="preserve"> the merger generated</w:t>
      </w:r>
      <w:r w:rsidR="00416566" w:rsidRPr="004045AD">
        <w:rPr>
          <w:rFonts w:ascii="Times New Roman" w:eastAsia="Calibri" w:hAnsi="Times New Roman" w:cs="Times New Roman"/>
          <w:sz w:val="24"/>
          <w:szCs w:val="24"/>
        </w:rPr>
        <w:t xml:space="preserve"> and</w:t>
      </w:r>
      <w:r w:rsidR="00C51A50">
        <w:rPr>
          <w:rFonts w:ascii="Times New Roman" w:eastAsia="Calibri" w:hAnsi="Times New Roman" w:cs="Times New Roman"/>
          <w:sz w:val="24"/>
          <w:szCs w:val="24"/>
        </w:rPr>
        <w:t xml:space="preserve"> the fact</w:t>
      </w:r>
      <w:r w:rsidR="00416566" w:rsidRPr="004045AD">
        <w:rPr>
          <w:rFonts w:ascii="Times New Roman" w:eastAsia="Calibri" w:hAnsi="Times New Roman" w:cs="Times New Roman"/>
          <w:sz w:val="24"/>
          <w:szCs w:val="24"/>
        </w:rPr>
        <w:t xml:space="preserve"> that </w:t>
      </w:r>
      <w:r w:rsidR="009371F4" w:rsidRPr="004045AD">
        <w:rPr>
          <w:rFonts w:ascii="Times New Roman" w:eastAsia="Calibri" w:hAnsi="Times New Roman" w:cs="Times New Roman"/>
          <w:sz w:val="24"/>
          <w:szCs w:val="24"/>
        </w:rPr>
        <w:t>Innscor</w:t>
      </w:r>
      <w:r w:rsidR="00416566" w:rsidRPr="004045AD">
        <w:rPr>
          <w:rFonts w:ascii="Times New Roman" w:eastAsia="Calibri" w:hAnsi="Times New Roman" w:cs="Times New Roman"/>
          <w:sz w:val="24"/>
          <w:szCs w:val="24"/>
        </w:rPr>
        <w:t xml:space="preserve"> had shown a propensity towards contravening competition laws.</w:t>
      </w:r>
      <w:r w:rsidR="006B0225" w:rsidRPr="004045AD">
        <w:rPr>
          <w:rFonts w:ascii="Times New Roman" w:eastAsia="Calibri" w:hAnsi="Times New Roman" w:cs="Times New Roman"/>
          <w:sz w:val="24"/>
          <w:szCs w:val="24"/>
        </w:rPr>
        <w:t xml:space="preserve"> The court</w:t>
      </w:r>
      <w:r w:rsidR="006B0225" w:rsidRPr="004045AD">
        <w:rPr>
          <w:rFonts w:ascii="Times New Roman" w:eastAsia="Calibri" w:hAnsi="Times New Roman" w:cs="Times New Roman"/>
          <w:i/>
          <w:sz w:val="24"/>
          <w:szCs w:val="24"/>
        </w:rPr>
        <w:t xml:space="preserve"> </w:t>
      </w:r>
      <w:r w:rsidR="004E3189" w:rsidRPr="004045AD">
        <w:rPr>
          <w:rFonts w:ascii="Times New Roman" w:eastAsia="Calibri" w:hAnsi="Times New Roman" w:cs="Times New Roman"/>
          <w:i/>
          <w:sz w:val="24"/>
          <w:szCs w:val="24"/>
        </w:rPr>
        <w:t>a quo</w:t>
      </w:r>
      <w:r w:rsidR="004E3189" w:rsidRPr="004045AD">
        <w:rPr>
          <w:rFonts w:ascii="Times New Roman" w:eastAsia="Calibri" w:hAnsi="Times New Roman" w:cs="Times New Roman"/>
          <w:sz w:val="24"/>
          <w:szCs w:val="24"/>
        </w:rPr>
        <w:t xml:space="preserve"> </w:t>
      </w:r>
      <w:r w:rsidR="006B0225" w:rsidRPr="004045AD">
        <w:rPr>
          <w:rFonts w:ascii="Times New Roman" w:eastAsia="Calibri" w:hAnsi="Times New Roman" w:cs="Times New Roman"/>
          <w:sz w:val="24"/>
          <w:szCs w:val="24"/>
        </w:rPr>
        <w:t>warn</w:t>
      </w:r>
      <w:r w:rsidR="004E3189" w:rsidRPr="004045AD">
        <w:rPr>
          <w:rFonts w:ascii="Times New Roman" w:eastAsia="Calibri" w:hAnsi="Times New Roman" w:cs="Times New Roman"/>
          <w:sz w:val="24"/>
          <w:szCs w:val="24"/>
        </w:rPr>
        <w:t>ed</w:t>
      </w:r>
      <w:r w:rsidR="006B0225" w:rsidRPr="004045AD">
        <w:rPr>
          <w:rFonts w:ascii="Times New Roman" w:eastAsia="Calibri" w:hAnsi="Times New Roman" w:cs="Times New Roman"/>
          <w:sz w:val="24"/>
          <w:szCs w:val="24"/>
        </w:rPr>
        <w:t xml:space="preserve"> and caution</w:t>
      </w:r>
      <w:r w:rsidR="004E3189" w:rsidRPr="004045AD">
        <w:rPr>
          <w:rFonts w:ascii="Times New Roman" w:eastAsia="Calibri" w:hAnsi="Times New Roman" w:cs="Times New Roman"/>
          <w:sz w:val="24"/>
          <w:szCs w:val="24"/>
        </w:rPr>
        <w:t>ed</w:t>
      </w:r>
      <w:r w:rsidR="006B0225" w:rsidRPr="004045AD">
        <w:rPr>
          <w:rFonts w:ascii="Times New Roman" w:eastAsia="Calibri" w:hAnsi="Times New Roman" w:cs="Times New Roman"/>
          <w:sz w:val="24"/>
          <w:szCs w:val="24"/>
        </w:rPr>
        <w:t xml:space="preserve"> the respondents</w:t>
      </w:r>
      <w:r w:rsidR="004E3189" w:rsidRPr="004045AD">
        <w:rPr>
          <w:rFonts w:ascii="Times New Roman" w:eastAsia="Calibri" w:hAnsi="Times New Roman" w:cs="Times New Roman"/>
          <w:sz w:val="24"/>
          <w:szCs w:val="24"/>
        </w:rPr>
        <w:t xml:space="preserve"> without taking into consideration</w:t>
      </w:r>
      <w:r w:rsidR="00656F98">
        <w:rPr>
          <w:rFonts w:ascii="Times New Roman" w:eastAsia="Calibri" w:hAnsi="Times New Roman" w:cs="Times New Roman"/>
          <w:sz w:val="24"/>
          <w:szCs w:val="24"/>
        </w:rPr>
        <w:t xml:space="preserve"> all</w:t>
      </w:r>
      <w:r w:rsidR="004E3189" w:rsidRPr="004045AD">
        <w:rPr>
          <w:rFonts w:ascii="Times New Roman" w:eastAsia="Calibri" w:hAnsi="Times New Roman" w:cs="Times New Roman"/>
          <w:sz w:val="24"/>
          <w:szCs w:val="24"/>
        </w:rPr>
        <w:t xml:space="preserve"> the seven factors provided in s 34A (5) of the Act and the circumstances in which the respondents contravened the law</w:t>
      </w:r>
      <w:r w:rsidR="006B0225" w:rsidRPr="004045AD">
        <w:rPr>
          <w:rFonts w:ascii="Times New Roman" w:eastAsia="Calibri" w:hAnsi="Times New Roman" w:cs="Times New Roman"/>
          <w:sz w:val="24"/>
          <w:szCs w:val="24"/>
        </w:rPr>
        <w:t xml:space="preserve">. </w:t>
      </w:r>
      <w:r w:rsidR="002F5A2D" w:rsidRPr="004045AD">
        <w:rPr>
          <w:rFonts w:ascii="Times New Roman" w:eastAsia="Calibri" w:hAnsi="Times New Roman" w:cs="Times New Roman"/>
          <w:sz w:val="24"/>
          <w:szCs w:val="24"/>
        </w:rPr>
        <w:t xml:space="preserve"> </w:t>
      </w:r>
    </w:p>
    <w:p w:rsidR="006B0225" w:rsidRPr="004045AD" w:rsidRDefault="00C43C29" w:rsidP="0038495E">
      <w:pPr>
        <w:tabs>
          <w:tab w:val="left" w:pos="567"/>
        </w:tabs>
        <w:spacing w:after="0"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lastRenderedPageBreak/>
        <w:t>[</w:t>
      </w:r>
      <w:r w:rsidR="00B72615" w:rsidRPr="004045AD">
        <w:rPr>
          <w:rFonts w:ascii="Times New Roman" w:eastAsia="Calibri" w:hAnsi="Times New Roman" w:cs="Times New Roman"/>
          <w:sz w:val="24"/>
          <w:szCs w:val="24"/>
        </w:rPr>
        <w:t>50</w:t>
      </w:r>
      <w:r w:rsidR="00F47E20" w:rsidRPr="004045AD">
        <w:rPr>
          <w:rFonts w:ascii="Times New Roman" w:eastAsia="Calibri" w:hAnsi="Times New Roman" w:cs="Times New Roman"/>
          <w:sz w:val="24"/>
          <w:szCs w:val="24"/>
        </w:rPr>
        <w:t xml:space="preserve">] </w:t>
      </w:r>
      <w:r w:rsidR="002F5A2D" w:rsidRPr="004045AD">
        <w:rPr>
          <w:rFonts w:ascii="Times New Roman" w:eastAsia="Calibri" w:hAnsi="Times New Roman" w:cs="Times New Roman"/>
          <w:sz w:val="24"/>
          <w:szCs w:val="24"/>
        </w:rPr>
        <w:t xml:space="preserve"> </w:t>
      </w:r>
      <w:r w:rsidR="004202CA">
        <w:rPr>
          <w:rFonts w:ascii="Times New Roman" w:eastAsia="Calibri" w:hAnsi="Times New Roman" w:cs="Times New Roman"/>
          <w:sz w:val="24"/>
          <w:szCs w:val="24"/>
        </w:rPr>
        <w:t xml:space="preserve"> </w:t>
      </w:r>
      <w:r w:rsidR="001C78A5" w:rsidRPr="004045AD">
        <w:rPr>
          <w:rFonts w:ascii="Times New Roman" w:eastAsia="Calibri" w:hAnsi="Times New Roman" w:cs="Times New Roman"/>
          <w:sz w:val="24"/>
          <w:szCs w:val="24"/>
        </w:rPr>
        <w:t xml:space="preserve">The court </w:t>
      </w:r>
      <w:r w:rsidR="001C78A5" w:rsidRPr="004045AD">
        <w:rPr>
          <w:rFonts w:ascii="Times New Roman" w:eastAsia="Calibri" w:hAnsi="Times New Roman" w:cs="Times New Roman"/>
          <w:i/>
          <w:sz w:val="24"/>
          <w:szCs w:val="24"/>
        </w:rPr>
        <w:t>a quo</w:t>
      </w:r>
      <w:r w:rsidR="001C78A5" w:rsidRPr="004045AD">
        <w:rPr>
          <w:rFonts w:ascii="Times New Roman" w:eastAsia="Calibri" w:hAnsi="Times New Roman" w:cs="Times New Roman"/>
          <w:sz w:val="24"/>
          <w:szCs w:val="24"/>
        </w:rPr>
        <w:t xml:space="preserve"> did not correctly assess the facts of the case before it. </w:t>
      </w:r>
      <w:r w:rsidR="001F6AC8" w:rsidRPr="004045AD">
        <w:rPr>
          <w:rFonts w:ascii="Times New Roman" w:eastAsia="Calibri" w:hAnsi="Times New Roman" w:cs="Times New Roman"/>
          <w:sz w:val="24"/>
          <w:szCs w:val="24"/>
        </w:rPr>
        <w:t xml:space="preserve"> </w:t>
      </w:r>
      <w:r w:rsidR="001C78A5" w:rsidRPr="004045AD">
        <w:rPr>
          <w:rFonts w:ascii="Times New Roman" w:eastAsia="Calibri" w:hAnsi="Times New Roman" w:cs="Times New Roman"/>
          <w:sz w:val="24"/>
          <w:szCs w:val="24"/>
        </w:rPr>
        <w:t>It relied on</w:t>
      </w:r>
      <w:r w:rsidR="00F709AA" w:rsidRPr="004045AD">
        <w:rPr>
          <w:rFonts w:ascii="Times New Roman" w:eastAsia="Calibri" w:hAnsi="Times New Roman" w:cs="Times New Roman"/>
          <w:sz w:val="24"/>
          <w:szCs w:val="24"/>
        </w:rPr>
        <w:t xml:space="preserve"> the conduct of the respondents’ operations during</w:t>
      </w:r>
      <w:r w:rsidR="001C78A5" w:rsidRPr="004045AD">
        <w:rPr>
          <w:rFonts w:ascii="Times New Roman" w:eastAsia="Calibri" w:hAnsi="Times New Roman" w:cs="Times New Roman"/>
          <w:sz w:val="24"/>
          <w:szCs w:val="24"/>
        </w:rPr>
        <w:t xml:space="preserve"> the 3</w:t>
      </w:r>
      <w:r w:rsidR="00181783" w:rsidRPr="004045AD">
        <w:rPr>
          <w:rFonts w:ascii="Times New Roman" w:eastAsia="Calibri" w:hAnsi="Times New Roman" w:cs="Times New Roman"/>
          <w:sz w:val="24"/>
          <w:szCs w:val="24"/>
        </w:rPr>
        <w:t xml:space="preserve"> </w:t>
      </w:r>
      <w:r w:rsidR="001C78A5" w:rsidRPr="004045AD">
        <w:rPr>
          <w:rFonts w:ascii="Times New Roman" w:eastAsia="Calibri" w:hAnsi="Times New Roman" w:cs="Times New Roman"/>
          <w:sz w:val="24"/>
          <w:szCs w:val="24"/>
        </w:rPr>
        <w:t>years and 9 months before</w:t>
      </w:r>
      <w:r w:rsidR="00F709AA" w:rsidRPr="004045AD">
        <w:rPr>
          <w:rFonts w:ascii="Times New Roman" w:eastAsia="Calibri" w:hAnsi="Times New Roman" w:cs="Times New Roman"/>
          <w:sz w:val="24"/>
          <w:szCs w:val="24"/>
        </w:rPr>
        <w:t xml:space="preserve"> they</w:t>
      </w:r>
      <w:r w:rsidR="001C78A5" w:rsidRPr="004045AD">
        <w:rPr>
          <w:rFonts w:ascii="Times New Roman" w:eastAsia="Calibri" w:hAnsi="Times New Roman" w:cs="Times New Roman"/>
          <w:sz w:val="24"/>
          <w:szCs w:val="24"/>
        </w:rPr>
        <w:t xml:space="preserve"> notifi</w:t>
      </w:r>
      <w:r w:rsidR="00F709AA" w:rsidRPr="004045AD">
        <w:rPr>
          <w:rFonts w:ascii="Times New Roman" w:eastAsia="Calibri" w:hAnsi="Times New Roman" w:cs="Times New Roman"/>
          <w:sz w:val="24"/>
          <w:szCs w:val="24"/>
        </w:rPr>
        <w:t>ed</w:t>
      </w:r>
      <w:r w:rsidR="001C78A5" w:rsidRPr="004045AD">
        <w:rPr>
          <w:rFonts w:ascii="Times New Roman" w:eastAsia="Calibri" w:hAnsi="Times New Roman" w:cs="Times New Roman"/>
          <w:sz w:val="24"/>
          <w:szCs w:val="24"/>
        </w:rPr>
        <w:t xml:space="preserve"> the appellant of the merger</w:t>
      </w:r>
      <w:r w:rsidR="004319E2" w:rsidRPr="004045AD">
        <w:rPr>
          <w:rFonts w:ascii="Times New Roman" w:eastAsia="Calibri" w:hAnsi="Times New Roman" w:cs="Times New Roman"/>
          <w:sz w:val="24"/>
          <w:szCs w:val="24"/>
        </w:rPr>
        <w:t>,</w:t>
      </w:r>
      <w:r w:rsidR="00407A93" w:rsidRPr="004045AD">
        <w:rPr>
          <w:rFonts w:ascii="Times New Roman" w:eastAsia="Calibri" w:hAnsi="Times New Roman" w:cs="Times New Roman"/>
          <w:sz w:val="24"/>
          <w:szCs w:val="24"/>
        </w:rPr>
        <w:t xml:space="preserve"> find</w:t>
      </w:r>
      <w:r w:rsidR="004319E2" w:rsidRPr="004045AD">
        <w:rPr>
          <w:rFonts w:ascii="Times New Roman" w:eastAsia="Calibri" w:hAnsi="Times New Roman" w:cs="Times New Roman"/>
          <w:sz w:val="24"/>
          <w:szCs w:val="24"/>
        </w:rPr>
        <w:t>ing</w:t>
      </w:r>
      <w:r w:rsidR="00407A93" w:rsidRPr="004045AD">
        <w:rPr>
          <w:rFonts w:ascii="Times New Roman" w:eastAsia="Calibri" w:hAnsi="Times New Roman" w:cs="Times New Roman"/>
          <w:sz w:val="24"/>
          <w:szCs w:val="24"/>
        </w:rPr>
        <w:t xml:space="preserve"> that the merger was in the public interest</w:t>
      </w:r>
      <w:r w:rsidR="001C78A5" w:rsidRPr="004045AD">
        <w:rPr>
          <w:rFonts w:ascii="Times New Roman" w:eastAsia="Calibri" w:hAnsi="Times New Roman" w:cs="Times New Roman"/>
          <w:sz w:val="24"/>
          <w:szCs w:val="24"/>
        </w:rPr>
        <w:t>. It did not realise that the period was too short to indicate what could</w:t>
      </w:r>
      <w:r w:rsidR="005E2ED7" w:rsidRPr="004045AD">
        <w:rPr>
          <w:rFonts w:ascii="Times New Roman" w:eastAsia="Calibri" w:hAnsi="Times New Roman" w:cs="Times New Roman"/>
          <w:sz w:val="24"/>
          <w:szCs w:val="24"/>
        </w:rPr>
        <w:t xml:space="preserve"> potentially happen in the long-</w:t>
      </w:r>
      <w:r w:rsidR="001C78A5" w:rsidRPr="004045AD">
        <w:rPr>
          <w:rFonts w:ascii="Times New Roman" w:eastAsia="Calibri" w:hAnsi="Times New Roman" w:cs="Times New Roman"/>
          <w:sz w:val="24"/>
          <w:szCs w:val="24"/>
        </w:rPr>
        <w:t>term. It also did not realise that the respondents</w:t>
      </w:r>
      <w:r w:rsidR="006D7307">
        <w:rPr>
          <w:rFonts w:ascii="Times New Roman" w:eastAsia="Calibri" w:hAnsi="Times New Roman" w:cs="Times New Roman"/>
          <w:sz w:val="24"/>
          <w:szCs w:val="24"/>
        </w:rPr>
        <w:t>,</w:t>
      </w:r>
      <w:r w:rsidR="001C78A5" w:rsidRPr="004045AD">
        <w:rPr>
          <w:rFonts w:ascii="Times New Roman" w:eastAsia="Calibri" w:hAnsi="Times New Roman" w:cs="Times New Roman"/>
          <w:sz w:val="24"/>
          <w:szCs w:val="24"/>
        </w:rPr>
        <w:t xml:space="preserve"> being conscious</w:t>
      </w:r>
      <w:r w:rsidR="00407A93" w:rsidRPr="004045AD">
        <w:rPr>
          <w:rFonts w:ascii="Times New Roman" w:eastAsia="Calibri" w:hAnsi="Times New Roman" w:cs="Times New Roman"/>
          <w:sz w:val="24"/>
          <w:szCs w:val="24"/>
        </w:rPr>
        <w:t xml:space="preserve"> of the fact</w:t>
      </w:r>
      <w:r w:rsidR="001C78A5" w:rsidRPr="004045AD">
        <w:rPr>
          <w:rFonts w:ascii="Times New Roman" w:eastAsia="Calibri" w:hAnsi="Times New Roman" w:cs="Times New Roman"/>
          <w:sz w:val="24"/>
          <w:szCs w:val="24"/>
        </w:rPr>
        <w:t xml:space="preserve"> that they were </w:t>
      </w:r>
      <w:r w:rsidR="00F709AA" w:rsidRPr="004045AD">
        <w:rPr>
          <w:rFonts w:ascii="Times New Roman" w:eastAsia="Calibri" w:hAnsi="Times New Roman" w:cs="Times New Roman"/>
          <w:sz w:val="24"/>
          <w:szCs w:val="24"/>
        </w:rPr>
        <w:t>operating without</w:t>
      </w:r>
      <w:r w:rsidR="00407A93" w:rsidRPr="004045AD">
        <w:rPr>
          <w:rFonts w:ascii="Times New Roman" w:eastAsia="Calibri" w:hAnsi="Times New Roman" w:cs="Times New Roman"/>
          <w:sz w:val="24"/>
          <w:szCs w:val="24"/>
        </w:rPr>
        <w:t xml:space="preserve"> notifying the appellant of their merger and</w:t>
      </w:r>
      <w:r w:rsidR="001C78A5" w:rsidRPr="004045AD">
        <w:rPr>
          <w:rFonts w:ascii="Times New Roman" w:eastAsia="Calibri" w:hAnsi="Times New Roman" w:cs="Times New Roman"/>
          <w:sz w:val="24"/>
          <w:szCs w:val="24"/>
        </w:rPr>
        <w:t xml:space="preserve"> in contrav</w:t>
      </w:r>
      <w:r w:rsidR="00995231" w:rsidRPr="004045AD">
        <w:rPr>
          <w:rFonts w:ascii="Times New Roman" w:eastAsia="Calibri" w:hAnsi="Times New Roman" w:cs="Times New Roman"/>
          <w:sz w:val="24"/>
          <w:szCs w:val="24"/>
        </w:rPr>
        <w:t>ention</w:t>
      </w:r>
      <w:r w:rsidR="00F709AA" w:rsidRPr="004045AD">
        <w:rPr>
          <w:rFonts w:ascii="Times New Roman" w:eastAsia="Calibri" w:hAnsi="Times New Roman" w:cs="Times New Roman"/>
          <w:sz w:val="24"/>
          <w:szCs w:val="24"/>
        </w:rPr>
        <w:t xml:space="preserve"> of the law</w:t>
      </w:r>
      <w:r w:rsidR="006D7307">
        <w:rPr>
          <w:rFonts w:ascii="Times New Roman" w:eastAsia="Calibri" w:hAnsi="Times New Roman" w:cs="Times New Roman"/>
          <w:sz w:val="24"/>
          <w:szCs w:val="24"/>
        </w:rPr>
        <w:t>,</w:t>
      </w:r>
      <w:r w:rsidR="00995231" w:rsidRPr="004045AD">
        <w:rPr>
          <w:rFonts w:ascii="Times New Roman" w:eastAsia="Calibri" w:hAnsi="Times New Roman" w:cs="Times New Roman"/>
          <w:sz w:val="24"/>
          <w:szCs w:val="24"/>
        </w:rPr>
        <w:t xml:space="preserve"> had to</w:t>
      </w:r>
      <w:r w:rsidR="00D12B03">
        <w:rPr>
          <w:rFonts w:ascii="Times New Roman" w:eastAsia="Calibri" w:hAnsi="Times New Roman" w:cs="Times New Roman"/>
          <w:sz w:val="24"/>
          <w:szCs w:val="24"/>
        </w:rPr>
        <w:t>,</w:t>
      </w:r>
      <w:r w:rsidR="00995231" w:rsidRPr="004045AD">
        <w:rPr>
          <w:rFonts w:ascii="Times New Roman" w:eastAsia="Calibri" w:hAnsi="Times New Roman" w:cs="Times New Roman"/>
          <w:sz w:val="24"/>
          <w:szCs w:val="24"/>
        </w:rPr>
        <w:t xml:space="preserve"> </w:t>
      </w:r>
      <w:r w:rsidR="00D34CA5" w:rsidRPr="004045AD">
        <w:rPr>
          <w:rFonts w:ascii="Times New Roman" w:eastAsia="Calibri" w:hAnsi="Times New Roman" w:cs="Times New Roman"/>
          <w:sz w:val="24"/>
          <w:szCs w:val="24"/>
        </w:rPr>
        <w:t>during that period</w:t>
      </w:r>
      <w:r w:rsidR="001835C4">
        <w:rPr>
          <w:rFonts w:ascii="Times New Roman" w:eastAsia="Calibri" w:hAnsi="Times New Roman" w:cs="Times New Roman"/>
          <w:sz w:val="24"/>
          <w:szCs w:val="24"/>
        </w:rPr>
        <w:t>, deliberately and or deceptively,</w:t>
      </w:r>
      <w:r w:rsidR="004319E2" w:rsidRPr="004045AD">
        <w:rPr>
          <w:rFonts w:ascii="Times New Roman" w:eastAsia="Calibri" w:hAnsi="Times New Roman" w:cs="Times New Roman"/>
          <w:sz w:val="24"/>
          <w:szCs w:val="24"/>
        </w:rPr>
        <w:t xml:space="preserve"> </w:t>
      </w:r>
      <w:r w:rsidR="00995231" w:rsidRPr="004045AD">
        <w:rPr>
          <w:rFonts w:ascii="Times New Roman" w:eastAsia="Calibri" w:hAnsi="Times New Roman" w:cs="Times New Roman"/>
          <w:sz w:val="24"/>
          <w:szCs w:val="24"/>
        </w:rPr>
        <w:t>do things which w</w:t>
      </w:r>
      <w:r w:rsidR="001C78A5" w:rsidRPr="004045AD">
        <w:rPr>
          <w:rFonts w:ascii="Times New Roman" w:eastAsia="Calibri" w:hAnsi="Times New Roman" w:cs="Times New Roman"/>
          <w:sz w:val="24"/>
          <w:szCs w:val="24"/>
        </w:rPr>
        <w:t xml:space="preserve">ere </w:t>
      </w:r>
      <w:r w:rsidR="001835C4">
        <w:rPr>
          <w:rFonts w:ascii="Times New Roman" w:eastAsia="Calibri" w:hAnsi="Times New Roman" w:cs="Times New Roman"/>
          <w:sz w:val="24"/>
          <w:szCs w:val="24"/>
        </w:rPr>
        <w:t>meant</w:t>
      </w:r>
      <w:r w:rsidR="001C78A5" w:rsidRPr="004045AD">
        <w:rPr>
          <w:rFonts w:ascii="Times New Roman" w:eastAsia="Calibri" w:hAnsi="Times New Roman" w:cs="Times New Roman"/>
          <w:sz w:val="24"/>
          <w:szCs w:val="24"/>
        </w:rPr>
        <w:t xml:space="preserve"> to show them in good</w:t>
      </w:r>
      <w:r w:rsidR="00995231" w:rsidRPr="004045AD">
        <w:rPr>
          <w:rFonts w:ascii="Times New Roman" w:eastAsia="Calibri" w:hAnsi="Times New Roman" w:cs="Times New Roman"/>
          <w:sz w:val="24"/>
          <w:szCs w:val="24"/>
        </w:rPr>
        <w:t xml:space="preserve"> light.</w:t>
      </w:r>
      <w:r w:rsidR="00F709AA" w:rsidRPr="004045AD">
        <w:rPr>
          <w:rFonts w:ascii="Times New Roman" w:eastAsia="Calibri" w:hAnsi="Times New Roman" w:cs="Times New Roman"/>
          <w:sz w:val="24"/>
          <w:szCs w:val="24"/>
        </w:rPr>
        <w:t xml:space="preserve"> </w:t>
      </w:r>
    </w:p>
    <w:p w:rsidR="002F5A2D" w:rsidRPr="004045AD" w:rsidRDefault="001C78A5" w:rsidP="00ED20EB">
      <w:pPr>
        <w:tabs>
          <w:tab w:val="left" w:pos="567"/>
        </w:tabs>
        <w:spacing w:after="0"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w:t>
      </w:r>
    </w:p>
    <w:p w:rsidR="00736310" w:rsidRPr="004045AD" w:rsidRDefault="00736310" w:rsidP="006B0225">
      <w:pPr>
        <w:spacing w:line="360" w:lineRule="auto"/>
        <w:jc w:val="both"/>
        <w:rPr>
          <w:rFonts w:ascii="Times New Roman" w:eastAsia="Calibri" w:hAnsi="Times New Roman" w:cs="Times New Roman"/>
          <w:b/>
          <w:sz w:val="24"/>
          <w:szCs w:val="24"/>
          <w:u w:val="single"/>
        </w:rPr>
      </w:pPr>
      <w:r w:rsidRPr="004045AD">
        <w:rPr>
          <w:rFonts w:ascii="Times New Roman" w:eastAsia="Calibri" w:hAnsi="Times New Roman" w:cs="Times New Roman"/>
          <w:b/>
          <w:sz w:val="24"/>
          <w:szCs w:val="24"/>
          <w:u w:val="single"/>
        </w:rPr>
        <w:t>DISPOSITION</w:t>
      </w:r>
    </w:p>
    <w:p w:rsidR="003637B0" w:rsidRPr="004045AD" w:rsidRDefault="002F5A2D" w:rsidP="00054407">
      <w:pPr>
        <w:tabs>
          <w:tab w:val="left" w:pos="567"/>
        </w:tabs>
        <w:spacing w:line="480" w:lineRule="auto"/>
        <w:ind w:left="567" w:hanging="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w:t>
      </w:r>
      <w:r w:rsidR="009D2F08" w:rsidRPr="004045AD">
        <w:rPr>
          <w:rFonts w:ascii="Times New Roman" w:eastAsia="Calibri" w:hAnsi="Times New Roman" w:cs="Times New Roman"/>
          <w:sz w:val="24"/>
          <w:szCs w:val="24"/>
        </w:rPr>
        <w:t>5</w:t>
      </w:r>
      <w:r w:rsidR="007B6870" w:rsidRPr="004045AD">
        <w:rPr>
          <w:rFonts w:ascii="Times New Roman" w:eastAsia="Calibri" w:hAnsi="Times New Roman" w:cs="Times New Roman"/>
          <w:sz w:val="24"/>
          <w:szCs w:val="24"/>
        </w:rPr>
        <w:t>1</w:t>
      </w:r>
      <w:r w:rsidR="003637B0" w:rsidRPr="004045AD">
        <w:rPr>
          <w:rFonts w:ascii="Times New Roman" w:eastAsia="Calibri" w:hAnsi="Times New Roman" w:cs="Times New Roman"/>
          <w:sz w:val="24"/>
          <w:szCs w:val="24"/>
        </w:rPr>
        <w:t xml:space="preserve">] </w:t>
      </w:r>
      <w:r w:rsidRPr="004045AD">
        <w:rPr>
          <w:rFonts w:ascii="Times New Roman" w:eastAsia="Calibri" w:hAnsi="Times New Roman" w:cs="Times New Roman"/>
          <w:sz w:val="24"/>
          <w:szCs w:val="24"/>
        </w:rPr>
        <w:t xml:space="preserve"> </w:t>
      </w:r>
      <w:r w:rsidR="00DC52BF" w:rsidRPr="004045AD">
        <w:rPr>
          <w:rFonts w:ascii="Times New Roman" w:eastAsia="Calibri" w:hAnsi="Times New Roman" w:cs="Times New Roman"/>
          <w:sz w:val="24"/>
          <w:szCs w:val="24"/>
        </w:rPr>
        <w:t xml:space="preserve"> </w:t>
      </w:r>
      <w:r w:rsidR="00D04338" w:rsidRPr="004045AD">
        <w:rPr>
          <w:rFonts w:ascii="Times New Roman" w:eastAsia="Calibri" w:hAnsi="Times New Roman" w:cs="Times New Roman"/>
          <w:sz w:val="24"/>
          <w:szCs w:val="24"/>
        </w:rPr>
        <w:t>It is apparent from this C</w:t>
      </w:r>
      <w:r w:rsidR="003637B0" w:rsidRPr="004045AD">
        <w:rPr>
          <w:rFonts w:ascii="Times New Roman" w:eastAsia="Calibri" w:hAnsi="Times New Roman" w:cs="Times New Roman"/>
          <w:sz w:val="24"/>
          <w:szCs w:val="24"/>
        </w:rPr>
        <w:t xml:space="preserve">ourt’s observations that the appeal should be allowed. </w:t>
      </w:r>
      <w:r w:rsidR="00DC52BF" w:rsidRPr="004045AD">
        <w:rPr>
          <w:rFonts w:ascii="Times New Roman" w:eastAsia="Calibri" w:hAnsi="Times New Roman" w:cs="Times New Roman"/>
          <w:sz w:val="24"/>
          <w:szCs w:val="24"/>
        </w:rPr>
        <w:t xml:space="preserve"> </w:t>
      </w:r>
      <w:r w:rsidR="003637B0" w:rsidRPr="004045AD">
        <w:rPr>
          <w:rFonts w:ascii="Times New Roman" w:eastAsia="Calibri" w:hAnsi="Times New Roman" w:cs="Times New Roman"/>
          <w:sz w:val="24"/>
          <w:szCs w:val="24"/>
        </w:rPr>
        <w:t>There is no reason why costs should not follow the result</w:t>
      </w:r>
      <w:r w:rsidRPr="004045AD">
        <w:rPr>
          <w:rFonts w:ascii="Times New Roman" w:eastAsia="Calibri" w:hAnsi="Times New Roman" w:cs="Times New Roman"/>
          <w:sz w:val="24"/>
          <w:szCs w:val="24"/>
        </w:rPr>
        <w:t>.</w:t>
      </w:r>
      <w:r w:rsidR="003637B0" w:rsidRPr="004045AD">
        <w:rPr>
          <w:rFonts w:ascii="Times New Roman" w:eastAsia="Calibri" w:hAnsi="Times New Roman" w:cs="Times New Roman"/>
          <w:sz w:val="24"/>
          <w:szCs w:val="24"/>
        </w:rPr>
        <w:t xml:space="preserve"> </w:t>
      </w:r>
    </w:p>
    <w:p w:rsidR="00DC52BF" w:rsidRDefault="00422E09" w:rsidP="00D6458B">
      <w:pPr>
        <w:spacing w:after="0" w:line="240" w:lineRule="auto"/>
        <w:ind w:firstLine="567"/>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In the result it is ordered as follows:</w:t>
      </w:r>
    </w:p>
    <w:p w:rsidR="004A3288" w:rsidRPr="004045AD" w:rsidRDefault="004A3288" w:rsidP="00D6458B">
      <w:pPr>
        <w:spacing w:after="0" w:line="240" w:lineRule="auto"/>
        <w:ind w:firstLine="567"/>
        <w:jc w:val="both"/>
        <w:rPr>
          <w:rFonts w:ascii="Times New Roman" w:eastAsia="Calibri" w:hAnsi="Times New Roman" w:cs="Times New Roman"/>
          <w:sz w:val="24"/>
          <w:szCs w:val="24"/>
        </w:rPr>
      </w:pPr>
    </w:p>
    <w:p w:rsidR="00422E09" w:rsidRPr="004045AD" w:rsidRDefault="00422E09" w:rsidP="004D21E7">
      <w:pPr>
        <w:tabs>
          <w:tab w:val="left" w:pos="567"/>
        </w:tabs>
        <w:spacing w:after="0" w:line="240" w:lineRule="auto"/>
        <w:ind w:left="284" w:firstLine="850"/>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“1. The appeal succeeds with costs.</w:t>
      </w:r>
    </w:p>
    <w:p w:rsidR="00DC52BF" w:rsidRPr="004045AD" w:rsidRDefault="00DC52BF" w:rsidP="00DC52BF">
      <w:pPr>
        <w:spacing w:after="0" w:line="240" w:lineRule="auto"/>
        <w:ind w:left="284" w:firstLine="850"/>
        <w:jc w:val="both"/>
        <w:rPr>
          <w:rFonts w:ascii="Times New Roman" w:eastAsia="Calibri" w:hAnsi="Times New Roman" w:cs="Times New Roman"/>
          <w:sz w:val="24"/>
          <w:szCs w:val="24"/>
        </w:rPr>
      </w:pPr>
    </w:p>
    <w:p w:rsidR="00422E09" w:rsidRPr="004045AD" w:rsidRDefault="00DC52BF" w:rsidP="002F5A2D">
      <w:pPr>
        <w:pStyle w:val="NoSpacing"/>
        <w:ind w:firstLine="1134"/>
        <w:rPr>
          <w:rFonts w:ascii="Times New Roman" w:hAnsi="Times New Roman" w:cs="Times New Roman"/>
          <w:sz w:val="24"/>
          <w:szCs w:val="24"/>
        </w:rPr>
      </w:pPr>
      <w:r w:rsidRPr="004045AD">
        <w:rPr>
          <w:rFonts w:ascii="Times New Roman" w:hAnsi="Times New Roman" w:cs="Times New Roman"/>
          <w:sz w:val="24"/>
          <w:szCs w:val="24"/>
        </w:rPr>
        <w:t xml:space="preserve"> </w:t>
      </w:r>
      <w:r w:rsidR="002F5A2D" w:rsidRPr="004045AD">
        <w:rPr>
          <w:rFonts w:ascii="Times New Roman" w:hAnsi="Times New Roman" w:cs="Times New Roman"/>
          <w:sz w:val="24"/>
          <w:szCs w:val="24"/>
        </w:rPr>
        <w:t xml:space="preserve">2. </w:t>
      </w:r>
      <w:r w:rsidR="00422E09" w:rsidRPr="004045AD">
        <w:rPr>
          <w:rFonts w:ascii="Times New Roman" w:hAnsi="Times New Roman" w:cs="Times New Roman"/>
          <w:sz w:val="24"/>
          <w:szCs w:val="24"/>
        </w:rPr>
        <w:t>Th</w:t>
      </w:r>
      <w:r w:rsidR="001C6F23" w:rsidRPr="004045AD">
        <w:rPr>
          <w:rFonts w:ascii="Times New Roman" w:hAnsi="Times New Roman" w:cs="Times New Roman"/>
          <w:sz w:val="24"/>
          <w:szCs w:val="24"/>
        </w:rPr>
        <w:t>e</w:t>
      </w:r>
      <w:r w:rsidR="00422E09" w:rsidRPr="004045AD">
        <w:rPr>
          <w:rFonts w:ascii="Times New Roman" w:hAnsi="Times New Roman" w:cs="Times New Roman"/>
          <w:sz w:val="24"/>
          <w:szCs w:val="24"/>
        </w:rPr>
        <w:t xml:space="preserve"> judgment of the court </w:t>
      </w:r>
      <w:r w:rsidR="00422E09" w:rsidRPr="004045AD">
        <w:rPr>
          <w:rFonts w:ascii="Times New Roman" w:hAnsi="Times New Roman" w:cs="Times New Roman"/>
          <w:i/>
          <w:sz w:val="24"/>
          <w:szCs w:val="24"/>
        </w:rPr>
        <w:t>a quo</w:t>
      </w:r>
      <w:r w:rsidR="00422E09" w:rsidRPr="004045AD">
        <w:rPr>
          <w:rFonts w:ascii="Times New Roman" w:hAnsi="Times New Roman" w:cs="Times New Roman"/>
          <w:sz w:val="24"/>
          <w:szCs w:val="24"/>
        </w:rPr>
        <w:t xml:space="preserve"> is set aside and</w:t>
      </w:r>
      <w:r w:rsidR="00B24EC6" w:rsidRPr="004045AD">
        <w:rPr>
          <w:rFonts w:ascii="Times New Roman" w:hAnsi="Times New Roman" w:cs="Times New Roman"/>
          <w:sz w:val="24"/>
          <w:szCs w:val="24"/>
        </w:rPr>
        <w:t xml:space="preserve"> is</w:t>
      </w:r>
      <w:r w:rsidR="00422E09" w:rsidRPr="004045AD">
        <w:rPr>
          <w:rFonts w:ascii="Times New Roman" w:hAnsi="Times New Roman" w:cs="Times New Roman"/>
          <w:sz w:val="24"/>
          <w:szCs w:val="24"/>
        </w:rPr>
        <w:t xml:space="preserve"> substituted with the following:</w:t>
      </w:r>
    </w:p>
    <w:p w:rsidR="00422E09" w:rsidRPr="004045AD" w:rsidRDefault="002F5A2D" w:rsidP="002F5A2D">
      <w:pPr>
        <w:pStyle w:val="NoSpacing"/>
        <w:tabs>
          <w:tab w:val="left" w:pos="1134"/>
        </w:tabs>
        <w:ind w:left="720"/>
        <w:rPr>
          <w:rFonts w:ascii="Times New Roman" w:hAnsi="Times New Roman" w:cs="Times New Roman"/>
          <w:sz w:val="24"/>
          <w:szCs w:val="24"/>
        </w:rPr>
      </w:pPr>
      <w:r w:rsidRPr="004045AD">
        <w:rPr>
          <w:rFonts w:ascii="Times New Roman" w:hAnsi="Times New Roman" w:cs="Times New Roman"/>
          <w:sz w:val="24"/>
          <w:szCs w:val="24"/>
        </w:rPr>
        <w:t xml:space="preserve">       </w:t>
      </w:r>
      <w:r w:rsidR="00087602" w:rsidRPr="004045AD">
        <w:rPr>
          <w:rFonts w:ascii="Times New Roman" w:hAnsi="Times New Roman" w:cs="Times New Roman"/>
          <w:sz w:val="24"/>
          <w:szCs w:val="24"/>
        </w:rPr>
        <w:t xml:space="preserve"> </w:t>
      </w:r>
      <w:r w:rsidR="00087602" w:rsidRPr="004045AD">
        <w:rPr>
          <w:rFonts w:ascii="Times New Roman" w:hAnsi="Times New Roman" w:cs="Times New Roman"/>
          <w:sz w:val="24"/>
          <w:szCs w:val="24"/>
        </w:rPr>
        <w:tab/>
        <w:t xml:space="preserve">    ‘</w:t>
      </w:r>
      <w:r w:rsidR="00422E09" w:rsidRPr="004045AD">
        <w:rPr>
          <w:rFonts w:ascii="Times New Roman" w:hAnsi="Times New Roman" w:cs="Times New Roman"/>
          <w:sz w:val="24"/>
          <w:szCs w:val="24"/>
        </w:rPr>
        <w:t>The appeal be and is hereby dismissed with costs.</w:t>
      </w:r>
      <w:r w:rsidR="00DC52BF" w:rsidRPr="004045AD">
        <w:rPr>
          <w:rFonts w:ascii="Times New Roman" w:hAnsi="Times New Roman" w:cs="Times New Roman"/>
          <w:sz w:val="24"/>
          <w:szCs w:val="24"/>
        </w:rPr>
        <w:t>’</w:t>
      </w:r>
      <w:r w:rsidR="00422E09" w:rsidRPr="004045AD">
        <w:rPr>
          <w:rFonts w:ascii="Times New Roman" w:hAnsi="Times New Roman" w:cs="Times New Roman"/>
          <w:sz w:val="24"/>
          <w:szCs w:val="24"/>
        </w:rPr>
        <w:t>”</w:t>
      </w:r>
    </w:p>
    <w:p w:rsidR="00422E09" w:rsidRPr="004045AD" w:rsidRDefault="00422E09" w:rsidP="00422E09">
      <w:pPr>
        <w:pStyle w:val="NoSpacing"/>
        <w:rPr>
          <w:rFonts w:ascii="Times New Roman" w:hAnsi="Times New Roman" w:cs="Times New Roman"/>
          <w:sz w:val="24"/>
          <w:szCs w:val="24"/>
        </w:rPr>
      </w:pPr>
    </w:p>
    <w:p w:rsidR="00422E09" w:rsidRPr="004045AD" w:rsidRDefault="00422E09" w:rsidP="00422E09">
      <w:pPr>
        <w:pStyle w:val="NoSpacing"/>
        <w:ind w:left="720"/>
        <w:rPr>
          <w:rFonts w:ascii="Times New Roman" w:hAnsi="Times New Roman" w:cs="Times New Roman"/>
          <w:sz w:val="24"/>
          <w:szCs w:val="24"/>
        </w:rPr>
      </w:pPr>
    </w:p>
    <w:p w:rsidR="00422E09" w:rsidRPr="004045AD" w:rsidRDefault="00422E09" w:rsidP="00422E09">
      <w:pPr>
        <w:spacing w:line="360" w:lineRule="auto"/>
        <w:ind w:left="720"/>
        <w:jc w:val="both"/>
        <w:rPr>
          <w:rFonts w:ascii="Times New Roman" w:eastAsia="Calibri" w:hAnsi="Times New Roman" w:cs="Times New Roman"/>
          <w:sz w:val="24"/>
          <w:szCs w:val="24"/>
        </w:rPr>
      </w:pPr>
      <w:r w:rsidRPr="004045AD">
        <w:rPr>
          <w:rFonts w:ascii="Times New Roman" w:eastAsia="Calibri" w:hAnsi="Times New Roman" w:cs="Times New Roman"/>
          <w:sz w:val="24"/>
          <w:szCs w:val="24"/>
        </w:rPr>
        <w:t xml:space="preserve"> </w:t>
      </w:r>
    </w:p>
    <w:p w:rsidR="002F5A2D" w:rsidRPr="004045AD" w:rsidRDefault="002F5A2D" w:rsidP="00422E09">
      <w:pPr>
        <w:spacing w:line="360" w:lineRule="auto"/>
        <w:jc w:val="both"/>
        <w:rPr>
          <w:rFonts w:ascii="Times New Roman" w:eastAsia="Calibri" w:hAnsi="Times New Roman" w:cs="Times New Roman"/>
          <w:sz w:val="24"/>
          <w:szCs w:val="24"/>
        </w:rPr>
      </w:pPr>
    </w:p>
    <w:p w:rsidR="00422E09" w:rsidRPr="004045AD" w:rsidRDefault="00F81DA5" w:rsidP="00F146E5">
      <w:pPr>
        <w:tabs>
          <w:tab w:val="left" w:pos="567"/>
        </w:tabs>
        <w:spacing w:line="360" w:lineRule="auto"/>
        <w:ind w:firstLine="1134"/>
        <w:jc w:val="both"/>
        <w:rPr>
          <w:rFonts w:ascii="Times New Roman" w:eastAsia="Calibri" w:hAnsi="Times New Roman" w:cs="Times New Roman"/>
          <w:sz w:val="24"/>
          <w:szCs w:val="24"/>
        </w:rPr>
      </w:pPr>
      <w:r w:rsidRPr="004045AD">
        <w:rPr>
          <w:rFonts w:ascii="Times New Roman" w:eastAsia="Calibri" w:hAnsi="Times New Roman" w:cs="Times New Roman"/>
          <w:b/>
          <w:sz w:val="24"/>
          <w:szCs w:val="24"/>
        </w:rPr>
        <w:tab/>
      </w:r>
      <w:r w:rsidR="003637B0" w:rsidRPr="004045AD">
        <w:rPr>
          <w:rFonts w:ascii="Times New Roman" w:eastAsia="Calibri" w:hAnsi="Times New Roman" w:cs="Times New Roman"/>
          <w:b/>
          <w:sz w:val="24"/>
          <w:szCs w:val="24"/>
        </w:rPr>
        <w:t xml:space="preserve">MATHONSI </w:t>
      </w:r>
      <w:r w:rsidR="00422E09" w:rsidRPr="004045AD">
        <w:rPr>
          <w:rFonts w:ascii="Times New Roman" w:eastAsia="Calibri" w:hAnsi="Times New Roman" w:cs="Times New Roman"/>
          <w:b/>
          <w:sz w:val="24"/>
          <w:szCs w:val="24"/>
        </w:rPr>
        <w:t>JA</w:t>
      </w:r>
      <w:r w:rsidR="002F5A2D" w:rsidRPr="004045AD">
        <w:rPr>
          <w:rFonts w:ascii="Times New Roman" w:eastAsia="Calibri" w:hAnsi="Times New Roman" w:cs="Times New Roman"/>
          <w:b/>
          <w:sz w:val="24"/>
          <w:szCs w:val="24"/>
        </w:rPr>
        <w:tab/>
      </w:r>
      <w:r w:rsidRPr="004045AD">
        <w:rPr>
          <w:rFonts w:ascii="Times New Roman" w:eastAsia="Calibri" w:hAnsi="Times New Roman" w:cs="Times New Roman"/>
          <w:sz w:val="24"/>
          <w:szCs w:val="24"/>
        </w:rPr>
        <w:t>:</w:t>
      </w:r>
      <w:r w:rsidRPr="004045AD">
        <w:rPr>
          <w:rFonts w:ascii="Times New Roman" w:eastAsia="Calibri" w:hAnsi="Times New Roman" w:cs="Times New Roman"/>
          <w:sz w:val="24"/>
          <w:szCs w:val="24"/>
        </w:rPr>
        <w:tab/>
      </w:r>
      <w:r w:rsidR="00422E09" w:rsidRPr="004045AD">
        <w:rPr>
          <w:rFonts w:ascii="Times New Roman" w:eastAsia="Calibri" w:hAnsi="Times New Roman" w:cs="Times New Roman"/>
          <w:sz w:val="24"/>
          <w:szCs w:val="24"/>
        </w:rPr>
        <w:t xml:space="preserve">I </w:t>
      </w:r>
      <w:r w:rsidR="002F5A2D" w:rsidRPr="004045AD">
        <w:rPr>
          <w:rFonts w:ascii="Times New Roman" w:eastAsia="Calibri" w:hAnsi="Times New Roman" w:cs="Times New Roman"/>
          <w:sz w:val="24"/>
          <w:szCs w:val="24"/>
        </w:rPr>
        <w:t>agree</w:t>
      </w:r>
    </w:p>
    <w:p w:rsidR="00422E09" w:rsidRPr="004045AD" w:rsidRDefault="00422E09" w:rsidP="00422E09">
      <w:pPr>
        <w:spacing w:line="360" w:lineRule="auto"/>
        <w:jc w:val="both"/>
        <w:rPr>
          <w:rFonts w:ascii="Times New Roman" w:eastAsia="Calibri" w:hAnsi="Times New Roman" w:cs="Times New Roman"/>
          <w:sz w:val="24"/>
          <w:szCs w:val="24"/>
        </w:rPr>
      </w:pPr>
    </w:p>
    <w:p w:rsidR="00F146E5" w:rsidRPr="004045AD" w:rsidRDefault="00F146E5" w:rsidP="00422E09">
      <w:pPr>
        <w:spacing w:line="360" w:lineRule="auto"/>
        <w:jc w:val="both"/>
        <w:rPr>
          <w:rFonts w:ascii="Times New Roman" w:eastAsia="Calibri" w:hAnsi="Times New Roman" w:cs="Times New Roman"/>
          <w:sz w:val="24"/>
          <w:szCs w:val="24"/>
        </w:rPr>
      </w:pPr>
    </w:p>
    <w:p w:rsidR="00DD7FE9" w:rsidRPr="00C063E1" w:rsidRDefault="003637B0" w:rsidP="00C063E1">
      <w:pPr>
        <w:spacing w:line="360" w:lineRule="auto"/>
        <w:ind w:left="306" w:firstLine="1134"/>
        <w:jc w:val="both"/>
        <w:rPr>
          <w:rFonts w:ascii="Times New Roman" w:eastAsia="Calibri" w:hAnsi="Times New Roman" w:cs="Times New Roman"/>
          <w:sz w:val="24"/>
          <w:szCs w:val="24"/>
        </w:rPr>
      </w:pPr>
      <w:r w:rsidRPr="004045AD">
        <w:rPr>
          <w:rFonts w:ascii="Times New Roman" w:eastAsia="Calibri" w:hAnsi="Times New Roman" w:cs="Times New Roman"/>
          <w:b/>
          <w:sz w:val="24"/>
          <w:szCs w:val="24"/>
        </w:rPr>
        <w:t xml:space="preserve">CHATUKUTA </w:t>
      </w:r>
      <w:r w:rsidR="00422E09" w:rsidRPr="004045AD">
        <w:rPr>
          <w:rFonts w:ascii="Times New Roman" w:eastAsia="Calibri" w:hAnsi="Times New Roman" w:cs="Times New Roman"/>
          <w:b/>
          <w:sz w:val="24"/>
          <w:szCs w:val="24"/>
        </w:rPr>
        <w:t>JA</w:t>
      </w:r>
      <w:r w:rsidR="002F5A2D" w:rsidRPr="004045AD">
        <w:rPr>
          <w:rFonts w:ascii="Times New Roman" w:eastAsia="Calibri" w:hAnsi="Times New Roman" w:cs="Times New Roman"/>
          <w:b/>
          <w:sz w:val="24"/>
          <w:szCs w:val="24"/>
        </w:rPr>
        <w:tab/>
      </w:r>
      <w:r w:rsidR="00F81DA5" w:rsidRPr="004045AD">
        <w:rPr>
          <w:rFonts w:ascii="Times New Roman" w:eastAsia="Calibri" w:hAnsi="Times New Roman" w:cs="Times New Roman"/>
          <w:sz w:val="24"/>
          <w:szCs w:val="24"/>
        </w:rPr>
        <w:t>:</w:t>
      </w:r>
      <w:r w:rsidR="00F81DA5" w:rsidRPr="004045AD">
        <w:rPr>
          <w:rFonts w:ascii="Times New Roman" w:eastAsia="Calibri" w:hAnsi="Times New Roman" w:cs="Times New Roman"/>
          <w:sz w:val="24"/>
          <w:szCs w:val="24"/>
        </w:rPr>
        <w:tab/>
      </w:r>
      <w:r w:rsidR="00422E09" w:rsidRPr="004045AD">
        <w:rPr>
          <w:rFonts w:ascii="Times New Roman" w:eastAsia="Calibri" w:hAnsi="Times New Roman" w:cs="Times New Roman"/>
          <w:sz w:val="24"/>
          <w:szCs w:val="24"/>
        </w:rPr>
        <w:t xml:space="preserve">I </w:t>
      </w:r>
      <w:r w:rsidR="002F5A2D" w:rsidRPr="004045AD">
        <w:rPr>
          <w:rFonts w:ascii="Times New Roman" w:eastAsia="Calibri" w:hAnsi="Times New Roman" w:cs="Times New Roman"/>
          <w:sz w:val="24"/>
          <w:szCs w:val="24"/>
        </w:rPr>
        <w:t xml:space="preserve">agree </w:t>
      </w:r>
      <w:r w:rsidR="00422E09" w:rsidRPr="004045AD">
        <w:rPr>
          <w:rFonts w:ascii="Times New Roman" w:eastAsia="Calibri" w:hAnsi="Times New Roman" w:cs="Times New Roman"/>
          <w:sz w:val="24"/>
          <w:szCs w:val="24"/>
        </w:rPr>
        <w:t xml:space="preserve">     </w:t>
      </w:r>
    </w:p>
    <w:p w:rsidR="00DD7FE9" w:rsidRPr="004045AD" w:rsidRDefault="00DD7FE9">
      <w:pPr>
        <w:rPr>
          <w:rFonts w:ascii="Times New Roman" w:hAnsi="Times New Roman" w:cs="Times New Roman"/>
          <w:i/>
          <w:sz w:val="24"/>
          <w:szCs w:val="24"/>
        </w:rPr>
      </w:pPr>
    </w:p>
    <w:p w:rsidR="007A3FEE" w:rsidRPr="004045AD" w:rsidRDefault="00422E09" w:rsidP="00F81DA5">
      <w:pPr>
        <w:spacing w:after="0" w:line="240" w:lineRule="auto"/>
        <w:rPr>
          <w:rFonts w:ascii="Times New Roman" w:hAnsi="Times New Roman" w:cs="Times New Roman"/>
          <w:i/>
          <w:sz w:val="24"/>
          <w:szCs w:val="24"/>
        </w:rPr>
      </w:pPr>
      <w:r w:rsidRPr="004045AD">
        <w:rPr>
          <w:rFonts w:ascii="Times New Roman" w:hAnsi="Times New Roman" w:cs="Times New Roman"/>
          <w:i/>
          <w:sz w:val="24"/>
          <w:szCs w:val="24"/>
        </w:rPr>
        <w:lastRenderedPageBreak/>
        <w:t>Chihambakwe, Mutizwa &amp; Partners</w:t>
      </w:r>
      <w:r w:rsidRPr="004045AD">
        <w:rPr>
          <w:rFonts w:ascii="Times New Roman" w:hAnsi="Times New Roman" w:cs="Times New Roman"/>
          <w:sz w:val="24"/>
          <w:szCs w:val="24"/>
        </w:rPr>
        <w:t xml:space="preserve">, </w:t>
      </w:r>
      <w:r w:rsidR="00DD7FE9" w:rsidRPr="004045AD">
        <w:rPr>
          <w:rFonts w:ascii="Times New Roman" w:hAnsi="Times New Roman" w:cs="Times New Roman"/>
          <w:sz w:val="24"/>
          <w:szCs w:val="24"/>
        </w:rPr>
        <w:t>a</w:t>
      </w:r>
      <w:r w:rsidRPr="004045AD">
        <w:rPr>
          <w:rFonts w:ascii="Times New Roman" w:hAnsi="Times New Roman" w:cs="Times New Roman"/>
          <w:sz w:val="24"/>
          <w:szCs w:val="24"/>
        </w:rPr>
        <w:t>ppellant’s legal practitioners.</w:t>
      </w:r>
    </w:p>
    <w:p w:rsidR="009C72A5" w:rsidRPr="004045AD" w:rsidRDefault="009C72A5" w:rsidP="00F81DA5">
      <w:pPr>
        <w:spacing w:after="0" w:line="240" w:lineRule="auto"/>
        <w:rPr>
          <w:rFonts w:ascii="Times New Roman" w:hAnsi="Times New Roman" w:cs="Times New Roman"/>
          <w:i/>
          <w:sz w:val="24"/>
          <w:szCs w:val="24"/>
        </w:rPr>
      </w:pPr>
    </w:p>
    <w:p w:rsidR="009C72A5" w:rsidRPr="004045AD" w:rsidRDefault="009C72A5" w:rsidP="00F81DA5">
      <w:pPr>
        <w:spacing w:after="0" w:line="240" w:lineRule="auto"/>
        <w:rPr>
          <w:rFonts w:ascii="Times New Roman" w:hAnsi="Times New Roman" w:cs="Times New Roman"/>
          <w:sz w:val="24"/>
          <w:szCs w:val="24"/>
        </w:rPr>
      </w:pPr>
      <w:r w:rsidRPr="004045AD">
        <w:rPr>
          <w:rFonts w:ascii="Times New Roman" w:hAnsi="Times New Roman" w:cs="Times New Roman"/>
          <w:i/>
          <w:sz w:val="24"/>
          <w:szCs w:val="24"/>
        </w:rPr>
        <w:t xml:space="preserve">Dube, Manikai &amp; Hwacha, </w:t>
      </w:r>
      <w:r w:rsidR="00DD7FE9" w:rsidRPr="004045AD">
        <w:rPr>
          <w:rFonts w:ascii="Times New Roman" w:hAnsi="Times New Roman" w:cs="Times New Roman"/>
          <w:sz w:val="24"/>
          <w:szCs w:val="24"/>
        </w:rPr>
        <w:t>r</w:t>
      </w:r>
      <w:r w:rsidRPr="004045AD">
        <w:rPr>
          <w:rFonts w:ascii="Times New Roman" w:hAnsi="Times New Roman" w:cs="Times New Roman"/>
          <w:sz w:val="24"/>
          <w:szCs w:val="24"/>
        </w:rPr>
        <w:t>espondent’s legal practitioners.</w:t>
      </w:r>
    </w:p>
    <w:p w:rsidR="00F81DA5" w:rsidRPr="004045AD" w:rsidRDefault="00F81DA5" w:rsidP="00F81DA5">
      <w:pPr>
        <w:spacing w:after="0" w:line="240" w:lineRule="auto"/>
        <w:rPr>
          <w:rFonts w:ascii="Times New Roman" w:hAnsi="Times New Roman" w:cs="Times New Roman"/>
          <w:sz w:val="24"/>
          <w:szCs w:val="24"/>
        </w:rPr>
      </w:pPr>
    </w:p>
    <w:p w:rsidR="00F81DA5" w:rsidRPr="004045AD" w:rsidRDefault="00F81DA5" w:rsidP="00F81DA5">
      <w:pPr>
        <w:spacing w:after="0" w:line="240" w:lineRule="auto"/>
        <w:rPr>
          <w:rFonts w:ascii="Times New Roman" w:hAnsi="Times New Roman" w:cs="Times New Roman"/>
          <w:sz w:val="24"/>
          <w:szCs w:val="24"/>
        </w:rPr>
      </w:pPr>
    </w:p>
    <w:p w:rsidR="00F81DA5" w:rsidRPr="004045AD" w:rsidRDefault="00F81DA5" w:rsidP="00F81DA5">
      <w:pPr>
        <w:spacing w:after="0" w:line="240" w:lineRule="auto"/>
        <w:rPr>
          <w:rFonts w:ascii="Times New Roman" w:hAnsi="Times New Roman" w:cs="Times New Roman"/>
          <w:sz w:val="24"/>
          <w:szCs w:val="24"/>
        </w:rPr>
      </w:pPr>
    </w:p>
    <w:p w:rsidR="00F81DA5" w:rsidRPr="004045AD" w:rsidRDefault="00F81DA5" w:rsidP="00F81DA5">
      <w:pPr>
        <w:spacing w:after="0" w:line="240" w:lineRule="auto"/>
        <w:rPr>
          <w:rFonts w:ascii="Times New Roman" w:hAnsi="Times New Roman" w:cs="Times New Roman"/>
          <w:sz w:val="24"/>
          <w:szCs w:val="24"/>
        </w:rPr>
      </w:pPr>
    </w:p>
    <w:p w:rsidR="00F81DA5" w:rsidRPr="004045AD" w:rsidRDefault="00F81DA5" w:rsidP="00F81DA5">
      <w:pPr>
        <w:spacing w:after="0" w:line="240" w:lineRule="auto"/>
        <w:rPr>
          <w:rFonts w:ascii="Times New Roman" w:hAnsi="Times New Roman" w:cs="Times New Roman"/>
          <w:sz w:val="24"/>
          <w:szCs w:val="24"/>
        </w:rPr>
      </w:pPr>
    </w:p>
    <w:p w:rsidR="00F81DA5" w:rsidRPr="004045AD" w:rsidRDefault="00F81DA5" w:rsidP="00F81DA5">
      <w:pPr>
        <w:spacing w:after="0" w:line="240" w:lineRule="auto"/>
        <w:rPr>
          <w:rFonts w:ascii="Times New Roman" w:hAnsi="Times New Roman" w:cs="Times New Roman"/>
          <w:sz w:val="24"/>
          <w:szCs w:val="24"/>
        </w:rPr>
      </w:pPr>
    </w:p>
    <w:p w:rsidR="00F81DA5" w:rsidRPr="004045AD" w:rsidRDefault="00F81DA5" w:rsidP="00F81DA5">
      <w:pPr>
        <w:spacing w:after="0" w:line="240" w:lineRule="auto"/>
        <w:rPr>
          <w:rFonts w:ascii="Times New Roman" w:hAnsi="Times New Roman" w:cs="Times New Roman"/>
          <w:i/>
          <w:sz w:val="24"/>
          <w:szCs w:val="24"/>
        </w:rPr>
      </w:pPr>
    </w:p>
    <w:p w:rsidR="00812C1D" w:rsidRPr="004045AD" w:rsidRDefault="00812C1D">
      <w:pPr>
        <w:rPr>
          <w:rFonts w:ascii="Times New Roman" w:hAnsi="Times New Roman" w:cs="Times New Roman"/>
          <w:i/>
          <w:sz w:val="24"/>
          <w:szCs w:val="24"/>
        </w:rPr>
      </w:pPr>
    </w:p>
    <w:sectPr w:rsidR="00812C1D" w:rsidRPr="004045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B18" w:rsidRDefault="001E6B18" w:rsidP="00432C6D">
      <w:pPr>
        <w:spacing w:after="0" w:line="240" w:lineRule="auto"/>
      </w:pPr>
      <w:r>
        <w:separator/>
      </w:r>
    </w:p>
  </w:endnote>
  <w:endnote w:type="continuationSeparator" w:id="0">
    <w:p w:rsidR="001E6B18" w:rsidRDefault="001E6B18" w:rsidP="00432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B18" w:rsidRDefault="001E6B18" w:rsidP="00432C6D">
      <w:pPr>
        <w:spacing w:after="0" w:line="240" w:lineRule="auto"/>
      </w:pPr>
      <w:r>
        <w:separator/>
      </w:r>
    </w:p>
  </w:footnote>
  <w:footnote w:type="continuationSeparator" w:id="0">
    <w:p w:rsidR="001E6B18" w:rsidRDefault="001E6B18" w:rsidP="00432C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F27" w:rsidRDefault="000E5F27">
    <w:pPr>
      <w:pStyle w:val="Header"/>
    </w:pPr>
    <w:r>
      <w:rPr>
        <w:noProof/>
        <w:lang w:val="en-ZW" w:eastAsia="en-ZW"/>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F27" w:rsidRPr="002112B5" w:rsidRDefault="000E5F27">
                          <w:pPr>
                            <w:spacing w:after="0" w:line="240" w:lineRule="auto"/>
                            <w:jc w:val="right"/>
                            <w:rPr>
                              <w:rFonts w:ascii="Times New Roman" w:hAnsi="Times New Roman" w:cs="Times New Roman"/>
                              <w:b/>
                              <w:noProof/>
                              <w:sz w:val="24"/>
                              <w:szCs w:val="24"/>
                              <w:lang w:val="en-ZW"/>
                            </w:rPr>
                          </w:pPr>
                          <w:r w:rsidRPr="002112B5">
                            <w:rPr>
                              <w:rFonts w:ascii="Times New Roman" w:hAnsi="Times New Roman" w:cs="Times New Roman"/>
                              <w:b/>
                              <w:noProof/>
                              <w:sz w:val="24"/>
                              <w:szCs w:val="24"/>
                              <w:lang w:val="en-ZW"/>
                            </w:rPr>
                            <w:t>Judgment No</w:t>
                          </w:r>
                          <w:r>
                            <w:rPr>
                              <w:rFonts w:ascii="Times New Roman" w:hAnsi="Times New Roman" w:cs="Times New Roman"/>
                              <w:b/>
                              <w:noProof/>
                              <w:sz w:val="24"/>
                              <w:szCs w:val="24"/>
                              <w:lang w:val="en-ZW"/>
                            </w:rPr>
                            <w:t>.</w:t>
                          </w:r>
                          <w:r w:rsidR="009641FC">
                            <w:rPr>
                              <w:rFonts w:ascii="Times New Roman" w:hAnsi="Times New Roman" w:cs="Times New Roman"/>
                              <w:b/>
                              <w:noProof/>
                              <w:sz w:val="24"/>
                              <w:szCs w:val="24"/>
                              <w:lang w:val="en-ZW"/>
                            </w:rPr>
                            <w:t xml:space="preserve"> SC 91</w:t>
                          </w:r>
                          <w:r w:rsidRPr="002112B5">
                            <w:rPr>
                              <w:rFonts w:ascii="Times New Roman" w:hAnsi="Times New Roman" w:cs="Times New Roman"/>
                              <w:b/>
                              <w:noProof/>
                              <w:sz w:val="24"/>
                              <w:szCs w:val="24"/>
                              <w:lang w:val="en-ZW"/>
                            </w:rPr>
                            <w:t>/24</w:t>
                          </w:r>
                        </w:p>
                        <w:p w:rsidR="000E5F27" w:rsidRPr="002112B5" w:rsidRDefault="000E5F27">
                          <w:pPr>
                            <w:spacing w:after="0" w:line="240" w:lineRule="auto"/>
                            <w:jc w:val="right"/>
                            <w:rPr>
                              <w:rFonts w:ascii="Times New Roman" w:hAnsi="Times New Roman" w:cs="Times New Roman"/>
                              <w:b/>
                              <w:noProof/>
                              <w:sz w:val="24"/>
                              <w:szCs w:val="24"/>
                              <w:lang w:val="en-ZW"/>
                            </w:rPr>
                          </w:pPr>
                          <w:r w:rsidRPr="002112B5">
                            <w:rPr>
                              <w:rFonts w:ascii="Times New Roman" w:hAnsi="Times New Roman" w:cs="Times New Roman"/>
                              <w:b/>
                              <w:noProof/>
                              <w:sz w:val="24"/>
                              <w:szCs w:val="24"/>
                              <w:lang w:val="en-ZW"/>
                            </w:rPr>
                            <w:t>Civil A</w:t>
                          </w:r>
                          <w:r>
                            <w:rPr>
                              <w:rFonts w:ascii="Times New Roman" w:hAnsi="Times New Roman" w:cs="Times New Roman"/>
                              <w:b/>
                              <w:noProof/>
                              <w:sz w:val="24"/>
                              <w:szCs w:val="24"/>
                              <w:lang w:val="en-ZW"/>
                            </w:rPr>
                            <w:t xml:space="preserve">ppeal No. </w:t>
                          </w:r>
                          <w:r w:rsidRPr="002112B5">
                            <w:rPr>
                              <w:rFonts w:ascii="Times New Roman" w:hAnsi="Times New Roman" w:cs="Times New Roman"/>
                              <w:b/>
                              <w:noProof/>
                              <w:sz w:val="24"/>
                              <w:szCs w:val="24"/>
                              <w:lang w:val="en-ZW"/>
                            </w:rPr>
                            <w:t>SC 569/23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E5F27" w:rsidRPr="002112B5" w:rsidRDefault="000E5F27">
                    <w:pPr>
                      <w:spacing w:after="0" w:line="240" w:lineRule="auto"/>
                      <w:jc w:val="right"/>
                      <w:rPr>
                        <w:rFonts w:ascii="Times New Roman" w:hAnsi="Times New Roman" w:cs="Times New Roman"/>
                        <w:b/>
                        <w:noProof/>
                        <w:sz w:val="24"/>
                        <w:szCs w:val="24"/>
                        <w:lang w:val="en-ZW"/>
                      </w:rPr>
                    </w:pPr>
                    <w:r w:rsidRPr="002112B5">
                      <w:rPr>
                        <w:rFonts w:ascii="Times New Roman" w:hAnsi="Times New Roman" w:cs="Times New Roman"/>
                        <w:b/>
                        <w:noProof/>
                        <w:sz w:val="24"/>
                        <w:szCs w:val="24"/>
                        <w:lang w:val="en-ZW"/>
                      </w:rPr>
                      <w:t>Judgment No</w:t>
                    </w:r>
                    <w:r>
                      <w:rPr>
                        <w:rFonts w:ascii="Times New Roman" w:hAnsi="Times New Roman" w:cs="Times New Roman"/>
                        <w:b/>
                        <w:noProof/>
                        <w:sz w:val="24"/>
                        <w:szCs w:val="24"/>
                        <w:lang w:val="en-ZW"/>
                      </w:rPr>
                      <w:t>.</w:t>
                    </w:r>
                    <w:r w:rsidR="009641FC">
                      <w:rPr>
                        <w:rFonts w:ascii="Times New Roman" w:hAnsi="Times New Roman" w:cs="Times New Roman"/>
                        <w:b/>
                        <w:noProof/>
                        <w:sz w:val="24"/>
                        <w:szCs w:val="24"/>
                        <w:lang w:val="en-ZW"/>
                      </w:rPr>
                      <w:t xml:space="preserve"> SC 91</w:t>
                    </w:r>
                    <w:r w:rsidRPr="002112B5">
                      <w:rPr>
                        <w:rFonts w:ascii="Times New Roman" w:hAnsi="Times New Roman" w:cs="Times New Roman"/>
                        <w:b/>
                        <w:noProof/>
                        <w:sz w:val="24"/>
                        <w:szCs w:val="24"/>
                        <w:lang w:val="en-ZW"/>
                      </w:rPr>
                      <w:t>/24</w:t>
                    </w:r>
                  </w:p>
                  <w:p w:rsidR="000E5F27" w:rsidRPr="002112B5" w:rsidRDefault="000E5F27">
                    <w:pPr>
                      <w:spacing w:after="0" w:line="240" w:lineRule="auto"/>
                      <w:jc w:val="right"/>
                      <w:rPr>
                        <w:rFonts w:ascii="Times New Roman" w:hAnsi="Times New Roman" w:cs="Times New Roman"/>
                        <w:b/>
                        <w:noProof/>
                        <w:sz w:val="24"/>
                        <w:szCs w:val="24"/>
                        <w:lang w:val="en-ZW"/>
                      </w:rPr>
                    </w:pPr>
                    <w:r w:rsidRPr="002112B5">
                      <w:rPr>
                        <w:rFonts w:ascii="Times New Roman" w:hAnsi="Times New Roman" w:cs="Times New Roman"/>
                        <w:b/>
                        <w:noProof/>
                        <w:sz w:val="24"/>
                        <w:szCs w:val="24"/>
                        <w:lang w:val="en-ZW"/>
                      </w:rPr>
                      <w:t>Civil A</w:t>
                    </w:r>
                    <w:r>
                      <w:rPr>
                        <w:rFonts w:ascii="Times New Roman" w:hAnsi="Times New Roman" w:cs="Times New Roman"/>
                        <w:b/>
                        <w:noProof/>
                        <w:sz w:val="24"/>
                        <w:szCs w:val="24"/>
                        <w:lang w:val="en-ZW"/>
                      </w:rPr>
                      <w:t xml:space="preserve">ppeal No. </w:t>
                    </w:r>
                    <w:r w:rsidRPr="002112B5">
                      <w:rPr>
                        <w:rFonts w:ascii="Times New Roman" w:hAnsi="Times New Roman" w:cs="Times New Roman"/>
                        <w:b/>
                        <w:noProof/>
                        <w:sz w:val="24"/>
                        <w:szCs w:val="24"/>
                        <w:lang w:val="en-ZW"/>
                      </w:rPr>
                      <w:t>SC 569/23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E5F27" w:rsidRDefault="000E5F27">
                          <w:pPr>
                            <w:spacing w:after="0" w:line="240" w:lineRule="auto"/>
                            <w:rPr>
                              <w:color w:val="FFFFFF" w:themeColor="background1"/>
                            </w:rPr>
                          </w:pPr>
                          <w:r>
                            <w:fldChar w:fldCharType="begin"/>
                          </w:r>
                          <w:r>
                            <w:instrText xml:space="preserve"> PAGE   \* MERGEFORMAT </w:instrText>
                          </w:r>
                          <w:r>
                            <w:fldChar w:fldCharType="separate"/>
                          </w:r>
                          <w:r w:rsidR="0009208F" w:rsidRPr="0009208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0E5F27" w:rsidRDefault="000E5F27">
                    <w:pPr>
                      <w:spacing w:after="0" w:line="240" w:lineRule="auto"/>
                      <w:rPr>
                        <w:color w:val="FFFFFF" w:themeColor="background1"/>
                      </w:rPr>
                    </w:pPr>
                    <w:r>
                      <w:fldChar w:fldCharType="begin"/>
                    </w:r>
                    <w:r>
                      <w:instrText xml:space="preserve"> PAGE   \* MERGEFORMAT </w:instrText>
                    </w:r>
                    <w:r>
                      <w:fldChar w:fldCharType="separate"/>
                    </w:r>
                    <w:r w:rsidR="0009208F" w:rsidRPr="0009208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1408"/>
    <w:multiLevelType w:val="hybridMultilevel"/>
    <w:tmpl w:val="865E6158"/>
    <w:lvl w:ilvl="0" w:tplc="6B786A1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4084670"/>
    <w:multiLevelType w:val="hybridMultilevel"/>
    <w:tmpl w:val="5554E054"/>
    <w:lvl w:ilvl="0" w:tplc="FC4210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C33F6"/>
    <w:multiLevelType w:val="hybridMultilevel"/>
    <w:tmpl w:val="E51A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12234"/>
    <w:multiLevelType w:val="hybridMultilevel"/>
    <w:tmpl w:val="9294C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A7C33"/>
    <w:multiLevelType w:val="hybridMultilevel"/>
    <w:tmpl w:val="1ECCEEC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A741B"/>
    <w:multiLevelType w:val="hybridMultilevel"/>
    <w:tmpl w:val="E51A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61C66"/>
    <w:multiLevelType w:val="hybridMultilevel"/>
    <w:tmpl w:val="9294C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872A3"/>
    <w:multiLevelType w:val="hybridMultilevel"/>
    <w:tmpl w:val="CD9C60E0"/>
    <w:lvl w:ilvl="0" w:tplc="B5FE871C">
      <w:start w:val="1"/>
      <w:numFmt w:val="lowerRoman"/>
      <w:lvlText w:val="(%1)"/>
      <w:lvlJc w:val="left"/>
      <w:pPr>
        <w:ind w:left="3666" w:hanging="720"/>
      </w:pPr>
      <w:rPr>
        <w:rFonts w:hint="default"/>
      </w:rPr>
    </w:lvl>
    <w:lvl w:ilvl="1" w:tplc="04090019" w:tentative="1">
      <w:start w:val="1"/>
      <w:numFmt w:val="lowerLetter"/>
      <w:lvlText w:val="%2."/>
      <w:lvlJc w:val="left"/>
      <w:pPr>
        <w:ind w:left="4026" w:hanging="360"/>
      </w:pPr>
    </w:lvl>
    <w:lvl w:ilvl="2" w:tplc="0409001B" w:tentative="1">
      <w:start w:val="1"/>
      <w:numFmt w:val="lowerRoman"/>
      <w:lvlText w:val="%3."/>
      <w:lvlJc w:val="right"/>
      <w:pPr>
        <w:ind w:left="4746" w:hanging="180"/>
      </w:pPr>
    </w:lvl>
    <w:lvl w:ilvl="3" w:tplc="0409000F" w:tentative="1">
      <w:start w:val="1"/>
      <w:numFmt w:val="decimal"/>
      <w:lvlText w:val="%4."/>
      <w:lvlJc w:val="left"/>
      <w:pPr>
        <w:ind w:left="5466" w:hanging="360"/>
      </w:pPr>
    </w:lvl>
    <w:lvl w:ilvl="4" w:tplc="04090019" w:tentative="1">
      <w:start w:val="1"/>
      <w:numFmt w:val="lowerLetter"/>
      <w:lvlText w:val="%5."/>
      <w:lvlJc w:val="left"/>
      <w:pPr>
        <w:ind w:left="6186" w:hanging="360"/>
      </w:pPr>
    </w:lvl>
    <w:lvl w:ilvl="5" w:tplc="0409001B" w:tentative="1">
      <w:start w:val="1"/>
      <w:numFmt w:val="lowerRoman"/>
      <w:lvlText w:val="%6."/>
      <w:lvlJc w:val="right"/>
      <w:pPr>
        <w:ind w:left="6906" w:hanging="180"/>
      </w:pPr>
    </w:lvl>
    <w:lvl w:ilvl="6" w:tplc="0409000F" w:tentative="1">
      <w:start w:val="1"/>
      <w:numFmt w:val="decimal"/>
      <w:lvlText w:val="%7."/>
      <w:lvlJc w:val="left"/>
      <w:pPr>
        <w:ind w:left="7626" w:hanging="360"/>
      </w:pPr>
    </w:lvl>
    <w:lvl w:ilvl="7" w:tplc="04090019" w:tentative="1">
      <w:start w:val="1"/>
      <w:numFmt w:val="lowerLetter"/>
      <w:lvlText w:val="%8."/>
      <w:lvlJc w:val="left"/>
      <w:pPr>
        <w:ind w:left="8346" w:hanging="360"/>
      </w:pPr>
    </w:lvl>
    <w:lvl w:ilvl="8" w:tplc="0409001B" w:tentative="1">
      <w:start w:val="1"/>
      <w:numFmt w:val="lowerRoman"/>
      <w:lvlText w:val="%9."/>
      <w:lvlJc w:val="right"/>
      <w:pPr>
        <w:ind w:left="9066" w:hanging="180"/>
      </w:pPr>
    </w:lvl>
  </w:abstractNum>
  <w:abstractNum w:abstractNumId="8">
    <w:nsid w:val="3BA733A0"/>
    <w:multiLevelType w:val="hybridMultilevel"/>
    <w:tmpl w:val="1E589776"/>
    <w:lvl w:ilvl="0" w:tplc="B4EEC702">
      <w:start w:val="1"/>
      <w:numFmt w:val="lowerLetter"/>
      <w:lvlText w:val="(%1)"/>
      <w:lvlJc w:val="left"/>
      <w:pPr>
        <w:ind w:left="2533" w:hanging="375"/>
      </w:pPr>
      <w:rPr>
        <w:rFonts w:hint="default"/>
      </w:rPr>
    </w:lvl>
    <w:lvl w:ilvl="1" w:tplc="04090019" w:tentative="1">
      <w:start w:val="1"/>
      <w:numFmt w:val="lowerLetter"/>
      <w:lvlText w:val="%2."/>
      <w:lvlJc w:val="left"/>
      <w:pPr>
        <w:ind w:left="3238" w:hanging="360"/>
      </w:pPr>
    </w:lvl>
    <w:lvl w:ilvl="2" w:tplc="0409001B" w:tentative="1">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abstractNum w:abstractNumId="9">
    <w:nsid w:val="3D5D6000"/>
    <w:multiLevelType w:val="hybridMultilevel"/>
    <w:tmpl w:val="E51A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972641"/>
    <w:multiLevelType w:val="hybridMultilevel"/>
    <w:tmpl w:val="502ADA9A"/>
    <w:lvl w:ilvl="0" w:tplc="F5E60814">
      <w:start w:val="1"/>
      <w:numFmt w:val="decimal"/>
      <w:lvlText w:val="%1."/>
      <w:lvlJc w:val="left"/>
      <w:pPr>
        <w:ind w:left="705"/>
      </w:pPr>
      <w:rPr>
        <w:rFonts w:ascii="Times New Roman" w:eastAsia="Calibri"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44D73C">
      <w:start w:val="1"/>
      <w:numFmt w:val="lowerLetter"/>
      <w:lvlText w:val="%2"/>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AAF4F52C">
      <w:start w:val="1"/>
      <w:numFmt w:val="lowerRoman"/>
      <w:lvlText w:val="%3"/>
      <w:lvlJc w:val="left"/>
      <w:pPr>
        <w:ind w:left="21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309AD35E">
      <w:start w:val="1"/>
      <w:numFmt w:val="decimal"/>
      <w:lvlText w:val="%4"/>
      <w:lvlJc w:val="left"/>
      <w:pPr>
        <w:ind w:left="28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7CF8BDD0">
      <w:start w:val="1"/>
      <w:numFmt w:val="lowerLetter"/>
      <w:lvlText w:val="%5"/>
      <w:lvlJc w:val="left"/>
      <w:pPr>
        <w:ind w:left="36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5BB469F8">
      <w:start w:val="1"/>
      <w:numFmt w:val="lowerRoman"/>
      <w:lvlText w:val="%6"/>
      <w:lvlJc w:val="left"/>
      <w:pPr>
        <w:ind w:left="43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F8604FC">
      <w:start w:val="1"/>
      <w:numFmt w:val="decimal"/>
      <w:lvlText w:val="%7"/>
      <w:lvlJc w:val="left"/>
      <w:pPr>
        <w:ind w:left="50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9FC81F2">
      <w:start w:val="1"/>
      <w:numFmt w:val="lowerLetter"/>
      <w:lvlText w:val="%8"/>
      <w:lvlJc w:val="left"/>
      <w:pPr>
        <w:ind w:left="57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C37864D2">
      <w:start w:val="1"/>
      <w:numFmt w:val="lowerRoman"/>
      <w:lvlText w:val="%9"/>
      <w:lvlJc w:val="left"/>
      <w:pPr>
        <w:ind w:left="64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1">
    <w:nsid w:val="4BC517D1"/>
    <w:multiLevelType w:val="hybridMultilevel"/>
    <w:tmpl w:val="4AE6B10A"/>
    <w:lvl w:ilvl="0" w:tplc="CCC2D7C6">
      <w:start w:val="1"/>
      <w:numFmt w:val="lowerLetter"/>
      <w:lvlText w:val="(%1)"/>
      <w:lvlJc w:val="left"/>
      <w:pPr>
        <w:ind w:left="2700" w:hanging="360"/>
      </w:pPr>
      <w:rPr>
        <w:rFonts w:hint="default"/>
      </w:rPr>
    </w:lvl>
    <w:lvl w:ilvl="1" w:tplc="30090019" w:tentative="1">
      <w:start w:val="1"/>
      <w:numFmt w:val="lowerLetter"/>
      <w:lvlText w:val="%2."/>
      <w:lvlJc w:val="left"/>
      <w:pPr>
        <w:ind w:left="3420" w:hanging="360"/>
      </w:pPr>
    </w:lvl>
    <w:lvl w:ilvl="2" w:tplc="3009001B" w:tentative="1">
      <w:start w:val="1"/>
      <w:numFmt w:val="lowerRoman"/>
      <w:lvlText w:val="%3."/>
      <w:lvlJc w:val="right"/>
      <w:pPr>
        <w:ind w:left="4140" w:hanging="180"/>
      </w:pPr>
    </w:lvl>
    <w:lvl w:ilvl="3" w:tplc="3009000F" w:tentative="1">
      <w:start w:val="1"/>
      <w:numFmt w:val="decimal"/>
      <w:lvlText w:val="%4."/>
      <w:lvlJc w:val="left"/>
      <w:pPr>
        <w:ind w:left="4860" w:hanging="360"/>
      </w:pPr>
    </w:lvl>
    <w:lvl w:ilvl="4" w:tplc="30090019" w:tentative="1">
      <w:start w:val="1"/>
      <w:numFmt w:val="lowerLetter"/>
      <w:lvlText w:val="%5."/>
      <w:lvlJc w:val="left"/>
      <w:pPr>
        <w:ind w:left="5580" w:hanging="360"/>
      </w:pPr>
    </w:lvl>
    <w:lvl w:ilvl="5" w:tplc="3009001B" w:tentative="1">
      <w:start w:val="1"/>
      <w:numFmt w:val="lowerRoman"/>
      <w:lvlText w:val="%6."/>
      <w:lvlJc w:val="right"/>
      <w:pPr>
        <w:ind w:left="6300" w:hanging="180"/>
      </w:pPr>
    </w:lvl>
    <w:lvl w:ilvl="6" w:tplc="3009000F" w:tentative="1">
      <w:start w:val="1"/>
      <w:numFmt w:val="decimal"/>
      <w:lvlText w:val="%7."/>
      <w:lvlJc w:val="left"/>
      <w:pPr>
        <w:ind w:left="7020" w:hanging="360"/>
      </w:pPr>
    </w:lvl>
    <w:lvl w:ilvl="7" w:tplc="30090019" w:tentative="1">
      <w:start w:val="1"/>
      <w:numFmt w:val="lowerLetter"/>
      <w:lvlText w:val="%8."/>
      <w:lvlJc w:val="left"/>
      <w:pPr>
        <w:ind w:left="7740" w:hanging="360"/>
      </w:pPr>
    </w:lvl>
    <w:lvl w:ilvl="8" w:tplc="3009001B" w:tentative="1">
      <w:start w:val="1"/>
      <w:numFmt w:val="lowerRoman"/>
      <w:lvlText w:val="%9."/>
      <w:lvlJc w:val="right"/>
      <w:pPr>
        <w:ind w:left="8460" w:hanging="180"/>
      </w:pPr>
    </w:lvl>
  </w:abstractNum>
  <w:abstractNum w:abstractNumId="12">
    <w:nsid w:val="4CDC5EF9"/>
    <w:multiLevelType w:val="hybridMultilevel"/>
    <w:tmpl w:val="D2D8382C"/>
    <w:lvl w:ilvl="0" w:tplc="DAAA6CC8">
      <w:start w:val="4"/>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577F7C0E"/>
    <w:multiLevelType w:val="hybridMultilevel"/>
    <w:tmpl w:val="43C2EF88"/>
    <w:lvl w:ilvl="0" w:tplc="DC02F30A">
      <w:start w:val="1"/>
      <w:numFmt w:val="decimal"/>
      <w:lvlText w:val="(%1)"/>
      <w:lvlJc w:val="left"/>
      <w:pPr>
        <w:ind w:left="1065" w:hanging="360"/>
      </w:pPr>
      <w:rPr>
        <w:rFonts w:ascii="Times New Roman" w:eastAsia="Calibri" w:hAnsi="Times New Roman" w:cs="Times New Roman"/>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4">
    <w:nsid w:val="6B80553D"/>
    <w:multiLevelType w:val="hybridMultilevel"/>
    <w:tmpl w:val="5D920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874734"/>
    <w:multiLevelType w:val="hybridMultilevel"/>
    <w:tmpl w:val="E51A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A64CD"/>
    <w:multiLevelType w:val="hybridMultilevel"/>
    <w:tmpl w:val="AC76A994"/>
    <w:lvl w:ilvl="0" w:tplc="095C7E88">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7">
    <w:nsid w:val="787C0AE0"/>
    <w:multiLevelType w:val="hybridMultilevel"/>
    <w:tmpl w:val="E51A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E77573"/>
    <w:multiLevelType w:val="hybridMultilevel"/>
    <w:tmpl w:val="52D649CC"/>
    <w:lvl w:ilvl="0" w:tplc="26502CC8">
      <w:start w:val="1"/>
      <w:numFmt w:val="lowerLetter"/>
      <w:lvlText w:val="(%1)"/>
      <w:lvlJc w:val="left"/>
      <w:pPr>
        <w:ind w:left="2258" w:hanging="360"/>
      </w:pPr>
      <w:rPr>
        <w:rFonts w:hint="default"/>
      </w:rPr>
    </w:lvl>
    <w:lvl w:ilvl="1" w:tplc="04090019" w:tentative="1">
      <w:start w:val="1"/>
      <w:numFmt w:val="lowerLetter"/>
      <w:lvlText w:val="%2."/>
      <w:lvlJc w:val="left"/>
      <w:pPr>
        <w:ind w:left="2978" w:hanging="360"/>
      </w:pPr>
    </w:lvl>
    <w:lvl w:ilvl="2" w:tplc="0409001B" w:tentative="1">
      <w:start w:val="1"/>
      <w:numFmt w:val="lowerRoman"/>
      <w:lvlText w:val="%3."/>
      <w:lvlJc w:val="right"/>
      <w:pPr>
        <w:ind w:left="3698" w:hanging="180"/>
      </w:pPr>
    </w:lvl>
    <w:lvl w:ilvl="3" w:tplc="0409000F" w:tentative="1">
      <w:start w:val="1"/>
      <w:numFmt w:val="decimal"/>
      <w:lvlText w:val="%4."/>
      <w:lvlJc w:val="left"/>
      <w:pPr>
        <w:ind w:left="4418" w:hanging="360"/>
      </w:pPr>
    </w:lvl>
    <w:lvl w:ilvl="4" w:tplc="04090019" w:tentative="1">
      <w:start w:val="1"/>
      <w:numFmt w:val="lowerLetter"/>
      <w:lvlText w:val="%5."/>
      <w:lvlJc w:val="left"/>
      <w:pPr>
        <w:ind w:left="5138" w:hanging="360"/>
      </w:pPr>
    </w:lvl>
    <w:lvl w:ilvl="5" w:tplc="0409001B" w:tentative="1">
      <w:start w:val="1"/>
      <w:numFmt w:val="lowerRoman"/>
      <w:lvlText w:val="%6."/>
      <w:lvlJc w:val="right"/>
      <w:pPr>
        <w:ind w:left="5858" w:hanging="180"/>
      </w:pPr>
    </w:lvl>
    <w:lvl w:ilvl="6" w:tplc="0409000F" w:tentative="1">
      <w:start w:val="1"/>
      <w:numFmt w:val="decimal"/>
      <w:lvlText w:val="%7."/>
      <w:lvlJc w:val="left"/>
      <w:pPr>
        <w:ind w:left="6578" w:hanging="360"/>
      </w:pPr>
    </w:lvl>
    <w:lvl w:ilvl="7" w:tplc="04090019" w:tentative="1">
      <w:start w:val="1"/>
      <w:numFmt w:val="lowerLetter"/>
      <w:lvlText w:val="%8."/>
      <w:lvlJc w:val="left"/>
      <w:pPr>
        <w:ind w:left="7298" w:hanging="360"/>
      </w:pPr>
    </w:lvl>
    <w:lvl w:ilvl="8" w:tplc="0409001B" w:tentative="1">
      <w:start w:val="1"/>
      <w:numFmt w:val="lowerRoman"/>
      <w:lvlText w:val="%9."/>
      <w:lvlJc w:val="right"/>
      <w:pPr>
        <w:ind w:left="8018" w:hanging="180"/>
      </w:pPr>
    </w:lvl>
  </w:abstractNum>
  <w:abstractNum w:abstractNumId="19">
    <w:nsid w:val="7A9908B3"/>
    <w:multiLevelType w:val="hybridMultilevel"/>
    <w:tmpl w:val="2C3C5890"/>
    <w:lvl w:ilvl="0" w:tplc="40CE6E9E">
      <w:start w:val="1"/>
      <w:numFmt w:val="lowerLetter"/>
      <w:lvlText w:val="(%1)"/>
      <w:lvlJc w:val="left"/>
      <w:pPr>
        <w:ind w:left="2048" w:hanging="360"/>
      </w:pPr>
      <w:rPr>
        <w:rFonts w:hint="default"/>
      </w:rPr>
    </w:lvl>
    <w:lvl w:ilvl="1" w:tplc="30090019" w:tentative="1">
      <w:start w:val="1"/>
      <w:numFmt w:val="lowerLetter"/>
      <w:lvlText w:val="%2."/>
      <w:lvlJc w:val="left"/>
      <w:pPr>
        <w:ind w:left="2768" w:hanging="360"/>
      </w:pPr>
    </w:lvl>
    <w:lvl w:ilvl="2" w:tplc="3009001B" w:tentative="1">
      <w:start w:val="1"/>
      <w:numFmt w:val="lowerRoman"/>
      <w:lvlText w:val="%3."/>
      <w:lvlJc w:val="right"/>
      <w:pPr>
        <w:ind w:left="3488" w:hanging="180"/>
      </w:pPr>
    </w:lvl>
    <w:lvl w:ilvl="3" w:tplc="3009000F" w:tentative="1">
      <w:start w:val="1"/>
      <w:numFmt w:val="decimal"/>
      <w:lvlText w:val="%4."/>
      <w:lvlJc w:val="left"/>
      <w:pPr>
        <w:ind w:left="4208" w:hanging="360"/>
      </w:pPr>
    </w:lvl>
    <w:lvl w:ilvl="4" w:tplc="30090019" w:tentative="1">
      <w:start w:val="1"/>
      <w:numFmt w:val="lowerLetter"/>
      <w:lvlText w:val="%5."/>
      <w:lvlJc w:val="left"/>
      <w:pPr>
        <w:ind w:left="4928" w:hanging="360"/>
      </w:pPr>
    </w:lvl>
    <w:lvl w:ilvl="5" w:tplc="3009001B" w:tentative="1">
      <w:start w:val="1"/>
      <w:numFmt w:val="lowerRoman"/>
      <w:lvlText w:val="%6."/>
      <w:lvlJc w:val="right"/>
      <w:pPr>
        <w:ind w:left="5648" w:hanging="180"/>
      </w:pPr>
    </w:lvl>
    <w:lvl w:ilvl="6" w:tplc="3009000F" w:tentative="1">
      <w:start w:val="1"/>
      <w:numFmt w:val="decimal"/>
      <w:lvlText w:val="%7."/>
      <w:lvlJc w:val="left"/>
      <w:pPr>
        <w:ind w:left="6368" w:hanging="360"/>
      </w:pPr>
    </w:lvl>
    <w:lvl w:ilvl="7" w:tplc="30090019" w:tentative="1">
      <w:start w:val="1"/>
      <w:numFmt w:val="lowerLetter"/>
      <w:lvlText w:val="%8."/>
      <w:lvlJc w:val="left"/>
      <w:pPr>
        <w:ind w:left="7088" w:hanging="360"/>
      </w:pPr>
    </w:lvl>
    <w:lvl w:ilvl="8" w:tplc="3009001B" w:tentative="1">
      <w:start w:val="1"/>
      <w:numFmt w:val="lowerRoman"/>
      <w:lvlText w:val="%9."/>
      <w:lvlJc w:val="right"/>
      <w:pPr>
        <w:ind w:left="7808" w:hanging="180"/>
      </w:pPr>
    </w:lvl>
  </w:abstractNum>
  <w:num w:numId="1">
    <w:abstractNumId w:val="10"/>
  </w:num>
  <w:num w:numId="2">
    <w:abstractNumId w:val="13"/>
  </w:num>
  <w:num w:numId="3">
    <w:abstractNumId w:val="9"/>
  </w:num>
  <w:num w:numId="4">
    <w:abstractNumId w:val="17"/>
  </w:num>
  <w:num w:numId="5">
    <w:abstractNumId w:val="14"/>
  </w:num>
  <w:num w:numId="6">
    <w:abstractNumId w:val="1"/>
  </w:num>
  <w:num w:numId="7">
    <w:abstractNumId w:val="6"/>
  </w:num>
  <w:num w:numId="8">
    <w:abstractNumId w:val="2"/>
  </w:num>
  <w:num w:numId="9">
    <w:abstractNumId w:val="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5"/>
  </w:num>
  <w:num w:numId="13">
    <w:abstractNumId w:val="3"/>
  </w:num>
  <w:num w:numId="14">
    <w:abstractNumId w:val="0"/>
  </w:num>
  <w:num w:numId="15">
    <w:abstractNumId w:val="19"/>
  </w:num>
  <w:num w:numId="16">
    <w:abstractNumId w:val="7"/>
  </w:num>
  <w:num w:numId="17">
    <w:abstractNumId w:val="18"/>
  </w:num>
  <w:num w:numId="18">
    <w:abstractNumId w:val="8"/>
  </w:num>
  <w:num w:numId="19">
    <w:abstractNumId w:val="16"/>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08"/>
    <w:rsid w:val="000001C8"/>
    <w:rsid w:val="000126B7"/>
    <w:rsid w:val="00012CE1"/>
    <w:rsid w:val="00015817"/>
    <w:rsid w:val="00015A16"/>
    <w:rsid w:val="00025E62"/>
    <w:rsid w:val="000305B7"/>
    <w:rsid w:val="00032D73"/>
    <w:rsid w:val="00034357"/>
    <w:rsid w:val="0003531C"/>
    <w:rsid w:val="00044533"/>
    <w:rsid w:val="0004758F"/>
    <w:rsid w:val="00054407"/>
    <w:rsid w:val="0006183C"/>
    <w:rsid w:val="0007062F"/>
    <w:rsid w:val="00074585"/>
    <w:rsid w:val="000818C0"/>
    <w:rsid w:val="0008438D"/>
    <w:rsid w:val="000866E1"/>
    <w:rsid w:val="00086982"/>
    <w:rsid w:val="000875AF"/>
    <w:rsid w:val="00087602"/>
    <w:rsid w:val="00090872"/>
    <w:rsid w:val="0009208F"/>
    <w:rsid w:val="000929D3"/>
    <w:rsid w:val="000937CB"/>
    <w:rsid w:val="000A642C"/>
    <w:rsid w:val="000A7C1B"/>
    <w:rsid w:val="000B19F5"/>
    <w:rsid w:val="000B4C13"/>
    <w:rsid w:val="000B5FEB"/>
    <w:rsid w:val="000B7FD1"/>
    <w:rsid w:val="000C62E9"/>
    <w:rsid w:val="000C6CB3"/>
    <w:rsid w:val="000D0B50"/>
    <w:rsid w:val="000E5F27"/>
    <w:rsid w:val="000F2252"/>
    <w:rsid w:val="000F25AB"/>
    <w:rsid w:val="000F2B6B"/>
    <w:rsid w:val="000F2BEA"/>
    <w:rsid w:val="000F3210"/>
    <w:rsid w:val="000F590D"/>
    <w:rsid w:val="000F724B"/>
    <w:rsid w:val="0010092D"/>
    <w:rsid w:val="00101F60"/>
    <w:rsid w:val="0010274D"/>
    <w:rsid w:val="00111A65"/>
    <w:rsid w:val="001130CD"/>
    <w:rsid w:val="00116C3D"/>
    <w:rsid w:val="00116C98"/>
    <w:rsid w:val="00121DE4"/>
    <w:rsid w:val="0012278E"/>
    <w:rsid w:val="00123713"/>
    <w:rsid w:val="00123E42"/>
    <w:rsid w:val="0012491C"/>
    <w:rsid w:val="00124C8E"/>
    <w:rsid w:val="001254E5"/>
    <w:rsid w:val="00127419"/>
    <w:rsid w:val="00132C06"/>
    <w:rsid w:val="00146555"/>
    <w:rsid w:val="00147A48"/>
    <w:rsid w:val="00151237"/>
    <w:rsid w:val="00152304"/>
    <w:rsid w:val="0015526D"/>
    <w:rsid w:val="0015577B"/>
    <w:rsid w:val="00155D8F"/>
    <w:rsid w:val="001579E1"/>
    <w:rsid w:val="001606EE"/>
    <w:rsid w:val="00164822"/>
    <w:rsid w:val="00166A27"/>
    <w:rsid w:val="00167881"/>
    <w:rsid w:val="00170C27"/>
    <w:rsid w:val="0017242A"/>
    <w:rsid w:val="0017782A"/>
    <w:rsid w:val="001816B3"/>
    <w:rsid w:val="00181783"/>
    <w:rsid w:val="001835C4"/>
    <w:rsid w:val="0018698A"/>
    <w:rsid w:val="00192047"/>
    <w:rsid w:val="001A1554"/>
    <w:rsid w:val="001A7CD8"/>
    <w:rsid w:val="001B21D7"/>
    <w:rsid w:val="001B55FB"/>
    <w:rsid w:val="001B7476"/>
    <w:rsid w:val="001C0AF3"/>
    <w:rsid w:val="001C350C"/>
    <w:rsid w:val="001C6F23"/>
    <w:rsid w:val="001C78A5"/>
    <w:rsid w:val="001E3909"/>
    <w:rsid w:val="001E4B4E"/>
    <w:rsid w:val="001E6B18"/>
    <w:rsid w:val="001F6AC8"/>
    <w:rsid w:val="00205085"/>
    <w:rsid w:val="002056F8"/>
    <w:rsid w:val="002103AE"/>
    <w:rsid w:val="00210971"/>
    <w:rsid w:val="002112B5"/>
    <w:rsid w:val="002112E3"/>
    <w:rsid w:val="002140C2"/>
    <w:rsid w:val="0022015E"/>
    <w:rsid w:val="0022544E"/>
    <w:rsid w:val="00225738"/>
    <w:rsid w:val="00232790"/>
    <w:rsid w:val="002341D8"/>
    <w:rsid w:val="00234B8F"/>
    <w:rsid w:val="00240A72"/>
    <w:rsid w:val="002543CE"/>
    <w:rsid w:val="00254F1A"/>
    <w:rsid w:val="00256153"/>
    <w:rsid w:val="00257F70"/>
    <w:rsid w:val="0026376E"/>
    <w:rsid w:val="002640E9"/>
    <w:rsid w:val="0026692C"/>
    <w:rsid w:val="0027366C"/>
    <w:rsid w:val="00273A2C"/>
    <w:rsid w:val="0027422A"/>
    <w:rsid w:val="00275B2C"/>
    <w:rsid w:val="002772AB"/>
    <w:rsid w:val="00281115"/>
    <w:rsid w:val="002822C6"/>
    <w:rsid w:val="00282F16"/>
    <w:rsid w:val="00286B68"/>
    <w:rsid w:val="00292269"/>
    <w:rsid w:val="002B0D7E"/>
    <w:rsid w:val="002B3A41"/>
    <w:rsid w:val="002B68A0"/>
    <w:rsid w:val="002B6CAA"/>
    <w:rsid w:val="002B707B"/>
    <w:rsid w:val="002C6267"/>
    <w:rsid w:val="002C6B6C"/>
    <w:rsid w:val="002D1073"/>
    <w:rsid w:val="002D3E71"/>
    <w:rsid w:val="002E1073"/>
    <w:rsid w:val="002E2B4A"/>
    <w:rsid w:val="002E3417"/>
    <w:rsid w:val="002E7D4B"/>
    <w:rsid w:val="002F03C4"/>
    <w:rsid w:val="002F0C55"/>
    <w:rsid w:val="002F5A2D"/>
    <w:rsid w:val="00300A3E"/>
    <w:rsid w:val="003050C2"/>
    <w:rsid w:val="00314D84"/>
    <w:rsid w:val="003206A4"/>
    <w:rsid w:val="003216BF"/>
    <w:rsid w:val="00323F51"/>
    <w:rsid w:val="00326BDD"/>
    <w:rsid w:val="00331257"/>
    <w:rsid w:val="003368E7"/>
    <w:rsid w:val="0033723C"/>
    <w:rsid w:val="003422D1"/>
    <w:rsid w:val="003431A6"/>
    <w:rsid w:val="003433E1"/>
    <w:rsid w:val="00343A4C"/>
    <w:rsid w:val="0034575C"/>
    <w:rsid w:val="0034621B"/>
    <w:rsid w:val="00346C63"/>
    <w:rsid w:val="00355AE5"/>
    <w:rsid w:val="00357544"/>
    <w:rsid w:val="00360691"/>
    <w:rsid w:val="003607E5"/>
    <w:rsid w:val="003637B0"/>
    <w:rsid w:val="0036461B"/>
    <w:rsid w:val="00365CE0"/>
    <w:rsid w:val="00366C2B"/>
    <w:rsid w:val="00371A23"/>
    <w:rsid w:val="00372A3A"/>
    <w:rsid w:val="0037541B"/>
    <w:rsid w:val="0037697E"/>
    <w:rsid w:val="00377D2F"/>
    <w:rsid w:val="0038495E"/>
    <w:rsid w:val="00390A4C"/>
    <w:rsid w:val="00396BEC"/>
    <w:rsid w:val="003B154F"/>
    <w:rsid w:val="003B169A"/>
    <w:rsid w:val="003B1FCF"/>
    <w:rsid w:val="003B6128"/>
    <w:rsid w:val="003B6ED7"/>
    <w:rsid w:val="003B78EF"/>
    <w:rsid w:val="003C23D0"/>
    <w:rsid w:val="003C462D"/>
    <w:rsid w:val="003C58C0"/>
    <w:rsid w:val="003C6089"/>
    <w:rsid w:val="003D2B4C"/>
    <w:rsid w:val="003D60F5"/>
    <w:rsid w:val="003E1130"/>
    <w:rsid w:val="003E22C3"/>
    <w:rsid w:val="003E3A1B"/>
    <w:rsid w:val="003E3E88"/>
    <w:rsid w:val="003E5FA5"/>
    <w:rsid w:val="003E6322"/>
    <w:rsid w:val="003E7E0F"/>
    <w:rsid w:val="003F3345"/>
    <w:rsid w:val="003F59AE"/>
    <w:rsid w:val="004025AE"/>
    <w:rsid w:val="004045AD"/>
    <w:rsid w:val="00407A93"/>
    <w:rsid w:val="0041093F"/>
    <w:rsid w:val="004113B1"/>
    <w:rsid w:val="00411A20"/>
    <w:rsid w:val="00412A5E"/>
    <w:rsid w:val="00412F49"/>
    <w:rsid w:val="00415C25"/>
    <w:rsid w:val="00416566"/>
    <w:rsid w:val="004202CA"/>
    <w:rsid w:val="00422E09"/>
    <w:rsid w:val="00423776"/>
    <w:rsid w:val="00427D51"/>
    <w:rsid w:val="0043062D"/>
    <w:rsid w:val="00430A8C"/>
    <w:rsid w:val="004319E2"/>
    <w:rsid w:val="00432C6D"/>
    <w:rsid w:val="004356EC"/>
    <w:rsid w:val="004402E5"/>
    <w:rsid w:val="00441319"/>
    <w:rsid w:val="00441FF4"/>
    <w:rsid w:val="00443EA5"/>
    <w:rsid w:val="004501C4"/>
    <w:rsid w:val="00453BCC"/>
    <w:rsid w:val="004612FE"/>
    <w:rsid w:val="004620DA"/>
    <w:rsid w:val="004628BC"/>
    <w:rsid w:val="00476D2B"/>
    <w:rsid w:val="00480249"/>
    <w:rsid w:val="00482B5A"/>
    <w:rsid w:val="00482CFB"/>
    <w:rsid w:val="00493AC1"/>
    <w:rsid w:val="0049759D"/>
    <w:rsid w:val="004A3288"/>
    <w:rsid w:val="004A55DF"/>
    <w:rsid w:val="004B1084"/>
    <w:rsid w:val="004C25CB"/>
    <w:rsid w:val="004C30B5"/>
    <w:rsid w:val="004C443D"/>
    <w:rsid w:val="004C565F"/>
    <w:rsid w:val="004C6A55"/>
    <w:rsid w:val="004D21E7"/>
    <w:rsid w:val="004D38A4"/>
    <w:rsid w:val="004D4D46"/>
    <w:rsid w:val="004E2B28"/>
    <w:rsid w:val="004E3189"/>
    <w:rsid w:val="004E3AC2"/>
    <w:rsid w:val="004E46EA"/>
    <w:rsid w:val="004E64CD"/>
    <w:rsid w:val="004E66B4"/>
    <w:rsid w:val="004F3ED1"/>
    <w:rsid w:val="004F3F48"/>
    <w:rsid w:val="00504F25"/>
    <w:rsid w:val="00505A8E"/>
    <w:rsid w:val="00510325"/>
    <w:rsid w:val="0051307D"/>
    <w:rsid w:val="00513982"/>
    <w:rsid w:val="005144E9"/>
    <w:rsid w:val="00515627"/>
    <w:rsid w:val="0051587B"/>
    <w:rsid w:val="005209E2"/>
    <w:rsid w:val="00523ED2"/>
    <w:rsid w:val="00524435"/>
    <w:rsid w:val="0052717C"/>
    <w:rsid w:val="005302E0"/>
    <w:rsid w:val="005320F7"/>
    <w:rsid w:val="0054292F"/>
    <w:rsid w:val="00542940"/>
    <w:rsid w:val="00546FE7"/>
    <w:rsid w:val="00547B21"/>
    <w:rsid w:val="0055033D"/>
    <w:rsid w:val="00550466"/>
    <w:rsid w:val="00560DFF"/>
    <w:rsid w:val="0057358F"/>
    <w:rsid w:val="005851B1"/>
    <w:rsid w:val="00590721"/>
    <w:rsid w:val="00591A91"/>
    <w:rsid w:val="005940E8"/>
    <w:rsid w:val="00594DC9"/>
    <w:rsid w:val="00596D18"/>
    <w:rsid w:val="005A0AF4"/>
    <w:rsid w:val="005A666E"/>
    <w:rsid w:val="005B0C37"/>
    <w:rsid w:val="005C1955"/>
    <w:rsid w:val="005D1AA7"/>
    <w:rsid w:val="005D2805"/>
    <w:rsid w:val="005D62EC"/>
    <w:rsid w:val="005E2ED7"/>
    <w:rsid w:val="005E3FB0"/>
    <w:rsid w:val="005E49C2"/>
    <w:rsid w:val="005E6F14"/>
    <w:rsid w:val="005F1C70"/>
    <w:rsid w:val="005F4801"/>
    <w:rsid w:val="005F49B7"/>
    <w:rsid w:val="005F733F"/>
    <w:rsid w:val="006003BA"/>
    <w:rsid w:val="0060274E"/>
    <w:rsid w:val="00606DAA"/>
    <w:rsid w:val="00606EF3"/>
    <w:rsid w:val="00607B7D"/>
    <w:rsid w:val="00620FBE"/>
    <w:rsid w:val="00630FC9"/>
    <w:rsid w:val="006343C0"/>
    <w:rsid w:val="00634AD6"/>
    <w:rsid w:val="00642149"/>
    <w:rsid w:val="0064307F"/>
    <w:rsid w:val="0064351F"/>
    <w:rsid w:val="00646CBE"/>
    <w:rsid w:val="00647570"/>
    <w:rsid w:val="006477C9"/>
    <w:rsid w:val="00651407"/>
    <w:rsid w:val="00651ECA"/>
    <w:rsid w:val="00655E40"/>
    <w:rsid w:val="00656F98"/>
    <w:rsid w:val="00661BF8"/>
    <w:rsid w:val="00672D04"/>
    <w:rsid w:val="006752A3"/>
    <w:rsid w:val="00683967"/>
    <w:rsid w:val="0068411A"/>
    <w:rsid w:val="00690E13"/>
    <w:rsid w:val="00691E54"/>
    <w:rsid w:val="006929EA"/>
    <w:rsid w:val="00692D66"/>
    <w:rsid w:val="0069480A"/>
    <w:rsid w:val="006A119A"/>
    <w:rsid w:val="006B0225"/>
    <w:rsid w:val="006B3524"/>
    <w:rsid w:val="006B6EC0"/>
    <w:rsid w:val="006C7091"/>
    <w:rsid w:val="006C7E26"/>
    <w:rsid w:val="006D04A3"/>
    <w:rsid w:val="006D1756"/>
    <w:rsid w:val="006D65C2"/>
    <w:rsid w:val="006D7307"/>
    <w:rsid w:val="006E4C99"/>
    <w:rsid w:val="006F1E97"/>
    <w:rsid w:val="007022F2"/>
    <w:rsid w:val="00702B3B"/>
    <w:rsid w:val="007034BC"/>
    <w:rsid w:val="00704400"/>
    <w:rsid w:val="0071631E"/>
    <w:rsid w:val="00716F89"/>
    <w:rsid w:val="007223E3"/>
    <w:rsid w:val="00723907"/>
    <w:rsid w:val="007313E2"/>
    <w:rsid w:val="007357FC"/>
    <w:rsid w:val="00736310"/>
    <w:rsid w:val="00736ADC"/>
    <w:rsid w:val="007401D3"/>
    <w:rsid w:val="007415DF"/>
    <w:rsid w:val="00750592"/>
    <w:rsid w:val="00757386"/>
    <w:rsid w:val="007619D2"/>
    <w:rsid w:val="00766E20"/>
    <w:rsid w:val="00767A6E"/>
    <w:rsid w:val="00771FE1"/>
    <w:rsid w:val="0079290D"/>
    <w:rsid w:val="00792A9C"/>
    <w:rsid w:val="0079332E"/>
    <w:rsid w:val="00793D7B"/>
    <w:rsid w:val="007A3FEE"/>
    <w:rsid w:val="007A6CA2"/>
    <w:rsid w:val="007B6870"/>
    <w:rsid w:val="007C7595"/>
    <w:rsid w:val="007C7A61"/>
    <w:rsid w:val="007D1734"/>
    <w:rsid w:val="007D356F"/>
    <w:rsid w:val="007D68C6"/>
    <w:rsid w:val="007E119F"/>
    <w:rsid w:val="007E1A61"/>
    <w:rsid w:val="007E20E3"/>
    <w:rsid w:val="007E358A"/>
    <w:rsid w:val="007E67AF"/>
    <w:rsid w:val="007F7919"/>
    <w:rsid w:val="00800EA4"/>
    <w:rsid w:val="0080537F"/>
    <w:rsid w:val="00810B27"/>
    <w:rsid w:val="00812C1D"/>
    <w:rsid w:val="008136E4"/>
    <w:rsid w:val="00814538"/>
    <w:rsid w:val="0082152F"/>
    <w:rsid w:val="00826863"/>
    <w:rsid w:val="00826A73"/>
    <w:rsid w:val="00831608"/>
    <w:rsid w:val="00831AA2"/>
    <w:rsid w:val="008376EA"/>
    <w:rsid w:val="00840F07"/>
    <w:rsid w:val="008443BF"/>
    <w:rsid w:val="00847FCC"/>
    <w:rsid w:val="00850368"/>
    <w:rsid w:val="00852EFC"/>
    <w:rsid w:val="00854C2A"/>
    <w:rsid w:val="008553E9"/>
    <w:rsid w:val="00855F4C"/>
    <w:rsid w:val="00860B65"/>
    <w:rsid w:val="00861CBA"/>
    <w:rsid w:val="00865320"/>
    <w:rsid w:val="00865F95"/>
    <w:rsid w:val="00867D1D"/>
    <w:rsid w:val="008705E2"/>
    <w:rsid w:val="008735BD"/>
    <w:rsid w:val="00874AF5"/>
    <w:rsid w:val="00874BD6"/>
    <w:rsid w:val="00875459"/>
    <w:rsid w:val="008779A1"/>
    <w:rsid w:val="008806F5"/>
    <w:rsid w:val="00885C2F"/>
    <w:rsid w:val="00890115"/>
    <w:rsid w:val="00891BFA"/>
    <w:rsid w:val="0089232C"/>
    <w:rsid w:val="00892DD6"/>
    <w:rsid w:val="008A77A8"/>
    <w:rsid w:val="008B06B0"/>
    <w:rsid w:val="008B2A09"/>
    <w:rsid w:val="008B37D4"/>
    <w:rsid w:val="008B5559"/>
    <w:rsid w:val="008C15F8"/>
    <w:rsid w:val="008C4367"/>
    <w:rsid w:val="008D30B7"/>
    <w:rsid w:val="008D57D3"/>
    <w:rsid w:val="008E031E"/>
    <w:rsid w:val="008E05F8"/>
    <w:rsid w:val="008E53DA"/>
    <w:rsid w:val="008F465A"/>
    <w:rsid w:val="008F4F0A"/>
    <w:rsid w:val="008F61BB"/>
    <w:rsid w:val="00907448"/>
    <w:rsid w:val="00913B55"/>
    <w:rsid w:val="00914E2B"/>
    <w:rsid w:val="00916277"/>
    <w:rsid w:val="009178FF"/>
    <w:rsid w:val="009234C9"/>
    <w:rsid w:val="00923E0D"/>
    <w:rsid w:val="00925BA6"/>
    <w:rsid w:val="00930EED"/>
    <w:rsid w:val="009366C8"/>
    <w:rsid w:val="00936AB5"/>
    <w:rsid w:val="009371F4"/>
    <w:rsid w:val="00940076"/>
    <w:rsid w:val="00940B49"/>
    <w:rsid w:val="00943212"/>
    <w:rsid w:val="00943F8A"/>
    <w:rsid w:val="0094418C"/>
    <w:rsid w:val="00946678"/>
    <w:rsid w:val="00946CDF"/>
    <w:rsid w:val="0095478F"/>
    <w:rsid w:val="009575DC"/>
    <w:rsid w:val="00957D31"/>
    <w:rsid w:val="009613CE"/>
    <w:rsid w:val="0096164C"/>
    <w:rsid w:val="009641FC"/>
    <w:rsid w:val="00972B0F"/>
    <w:rsid w:val="009766A8"/>
    <w:rsid w:val="00976980"/>
    <w:rsid w:val="00982420"/>
    <w:rsid w:val="009839F6"/>
    <w:rsid w:val="009851C7"/>
    <w:rsid w:val="00986DD1"/>
    <w:rsid w:val="009874E2"/>
    <w:rsid w:val="00992C67"/>
    <w:rsid w:val="00993B38"/>
    <w:rsid w:val="00995231"/>
    <w:rsid w:val="009A0B56"/>
    <w:rsid w:val="009A1EE9"/>
    <w:rsid w:val="009A6BDA"/>
    <w:rsid w:val="009A758F"/>
    <w:rsid w:val="009A7D4A"/>
    <w:rsid w:val="009B274F"/>
    <w:rsid w:val="009B7304"/>
    <w:rsid w:val="009B7A08"/>
    <w:rsid w:val="009C5525"/>
    <w:rsid w:val="009C5DE0"/>
    <w:rsid w:val="009C72A5"/>
    <w:rsid w:val="009D2F08"/>
    <w:rsid w:val="009D3336"/>
    <w:rsid w:val="009D4187"/>
    <w:rsid w:val="009D5317"/>
    <w:rsid w:val="009D7AF8"/>
    <w:rsid w:val="009D7CAF"/>
    <w:rsid w:val="009E362E"/>
    <w:rsid w:val="009E422E"/>
    <w:rsid w:val="009E481C"/>
    <w:rsid w:val="009E5E00"/>
    <w:rsid w:val="009E7226"/>
    <w:rsid w:val="009F0DF6"/>
    <w:rsid w:val="009F370D"/>
    <w:rsid w:val="009F41F8"/>
    <w:rsid w:val="00A03137"/>
    <w:rsid w:val="00A107F2"/>
    <w:rsid w:val="00A22282"/>
    <w:rsid w:val="00A2299A"/>
    <w:rsid w:val="00A239D9"/>
    <w:rsid w:val="00A24691"/>
    <w:rsid w:val="00A307EC"/>
    <w:rsid w:val="00A31061"/>
    <w:rsid w:val="00A344D9"/>
    <w:rsid w:val="00A349EC"/>
    <w:rsid w:val="00A3519C"/>
    <w:rsid w:val="00A35FA8"/>
    <w:rsid w:val="00A362CA"/>
    <w:rsid w:val="00A37AFA"/>
    <w:rsid w:val="00A40365"/>
    <w:rsid w:val="00A44BA6"/>
    <w:rsid w:val="00A461F0"/>
    <w:rsid w:val="00A548BD"/>
    <w:rsid w:val="00A63C60"/>
    <w:rsid w:val="00A65341"/>
    <w:rsid w:val="00A76042"/>
    <w:rsid w:val="00A7698F"/>
    <w:rsid w:val="00A83BDC"/>
    <w:rsid w:val="00A83C05"/>
    <w:rsid w:val="00A862CB"/>
    <w:rsid w:val="00A92D88"/>
    <w:rsid w:val="00AA014E"/>
    <w:rsid w:val="00AA3076"/>
    <w:rsid w:val="00AA5F2E"/>
    <w:rsid w:val="00AB222C"/>
    <w:rsid w:val="00AB79F2"/>
    <w:rsid w:val="00AC1533"/>
    <w:rsid w:val="00AC2968"/>
    <w:rsid w:val="00AC38B0"/>
    <w:rsid w:val="00AC38BA"/>
    <w:rsid w:val="00AC5C08"/>
    <w:rsid w:val="00AC5D4F"/>
    <w:rsid w:val="00AD2C67"/>
    <w:rsid w:val="00AD4963"/>
    <w:rsid w:val="00AD7261"/>
    <w:rsid w:val="00AE0C85"/>
    <w:rsid w:val="00AE406C"/>
    <w:rsid w:val="00AE4A0C"/>
    <w:rsid w:val="00AF0662"/>
    <w:rsid w:val="00AF1558"/>
    <w:rsid w:val="00AF2C27"/>
    <w:rsid w:val="00AF64DC"/>
    <w:rsid w:val="00B00920"/>
    <w:rsid w:val="00B03425"/>
    <w:rsid w:val="00B068D3"/>
    <w:rsid w:val="00B07CA5"/>
    <w:rsid w:val="00B10336"/>
    <w:rsid w:val="00B1405A"/>
    <w:rsid w:val="00B15934"/>
    <w:rsid w:val="00B1622D"/>
    <w:rsid w:val="00B24EC6"/>
    <w:rsid w:val="00B31FF6"/>
    <w:rsid w:val="00B32BF6"/>
    <w:rsid w:val="00B350BF"/>
    <w:rsid w:val="00B366E6"/>
    <w:rsid w:val="00B3761D"/>
    <w:rsid w:val="00B41F1D"/>
    <w:rsid w:val="00B43556"/>
    <w:rsid w:val="00B44BE5"/>
    <w:rsid w:val="00B61033"/>
    <w:rsid w:val="00B6499E"/>
    <w:rsid w:val="00B67FC8"/>
    <w:rsid w:val="00B70086"/>
    <w:rsid w:val="00B713B3"/>
    <w:rsid w:val="00B72615"/>
    <w:rsid w:val="00B75385"/>
    <w:rsid w:val="00B81DEB"/>
    <w:rsid w:val="00B86764"/>
    <w:rsid w:val="00B86803"/>
    <w:rsid w:val="00B87C4B"/>
    <w:rsid w:val="00BA098F"/>
    <w:rsid w:val="00BA1672"/>
    <w:rsid w:val="00BB6A32"/>
    <w:rsid w:val="00BB7D54"/>
    <w:rsid w:val="00BC4208"/>
    <w:rsid w:val="00BC465A"/>
    <w:rsid w:val="00BC7EF0"/>
    <w:rsid w:val="00BD3AA2"/>
    <w:rsid w:val="00BD5414"/>
    <w:rsid w:val="00BE503C"/>
    <w:rsid w:val="00BE5788"/>
    <w:rsid w:val="00BF0C2B"/>
    <w:rsid w:val="00BF2373"/>
    <w:rsid w:val="00BF3DB7"/>
    <w:rsid w:val="00BF4703"/>
    <w:rsid w:val="00BF680C"/>
    <w:rsid w:val="00C00284"/>
    <w:rsid w:val="00C0376C"/>
    <w:rsid w:val="00C063E1"/>
    <w:rsid w:val="00C0692E"/>
    <w:rsid w:val="00C11A6E"/>
    <w:rsid w:val="00C15020"/>
    <w:rsid w:val="00C1574C"/>
    <w:rsid w:val="00C15E55"/>
    <w:rsid w:val="00C20E3B"/>
    <w:rsid w:val="00C22186"/>
    <w:rsid w:val="00C236B4"/>
    <w:rsid w:val="00C43C29"/>
    <w:rsid w:val="00C43F0C"/>
    <w:rsid w:val="00C5172B"/>
    <w:rsid w:val="00C519DD"/>
    <w:rsid w:val="00C51A50"/>
    <w:rsid w:val="00C563D9"/>
    <w:rsid w:val="00C6059C"/>
    <w:rsid w:val="00C640C0"/>
    <w:rsid w:val="00C656A7"/>
    <w:rsid w:val="00C84230"/>
    <w:rsid w:val="00C95AE9"/>
    <w:rsid w:val="00C96F64"/>
    <w:rsid w:val="00CA1C32"/>
    <w:rsid w:val="00CA31F5"/>
    <w:rsid w:val="00CA44B8"/>
    <w:rsid w:val="00CB00D2"/>
    <w:rsid w:val="00CB7B38"/>
    <w:rsid w:val="00CC2879"/>
    <w:rsid w:val="00CC30AD"/>
    <w:rsid w:val="00CC3C16"/>
    <w:rsid w:val="00CC4550"/>
    <w:rsid w:val="00CC50C2"/>
    <w:rsid w:val="00CE1179"/>
    <w:rsid w:val="00CE1FC9"/>
    <w:rsid w:val="00CE3516"/>
    <w:rsid w:val="00CE3F8F"/>
    <w:rsid w:val="00CE5A16"/>
    <w:rsid w:val="00CE5BAA"/>
    <w:rsid w:val="00CF0500"/>
    <w:rsid w:val="00CF0C8E"/>
    <w:rsid w:val="00CF407C"/>
    <w:rsid w:val="00D01578"/>
    <w:rsid w:val="00D03C8A"/>
    <w:rsid w:val="00D04338"/>
    <w:rsid w:val="00D043BE"/>
    <w:rsid w:val="00D05D81"/>
    <w:rsid w:val="00D063A1"/>
    <w:rsid w:val="00D11EBB"/>
    <w:rsid w:val="00D12B03"/>
    <w:rsid w:val="00D24260"/>
    <w:rsid w:val="00D302E3"/>
    <w:rsid w:val="00D34CA5"/>
    <w:rsid w:val="00D36BC9"/>
    <w:rsid w:val="00D503E2"/>
    <w:rsid w:val="00D513A6"/>
    <w:rsid w:val="00D53CD7"/>
    <w:rsid w:val="00D53D93"/>
    <w:rsid w:val="00D53E01"/>
    <w:rsid w:val="00D546DC"/>
    <w:rsid w:val="00D55772"/>
    <w:rsid w:val="00D627BA"/>
    <w:rsid w:val="00D6458B"/>
    <w:rsid w:val="00D65236"/>
    <w:rsid w:val="00D65D1D"/>
    <w:rsid w:val="00D70BBB"/>
    <w:rsid w:val="00D70C04"/>
    <w:rsid w:val="00D824D7"/>
    <w:rsid w:val="00D83A4C"/>
    <w:rsid w:val="00D83AF9"/>
    <w:rsid w:val="00D85639"/>
    <w:rsid w:val="00D878A6"/>
    <w:rsid w:val="00D90430"/>
    <w:rsid w:val="00D91A20"/>
    <w:rsid w:val="00D96996"/>
    <w:rsid w:val="00D96BF5"/>
    <w:rsid w:val="00DA04DD"/>
    <w:rsid w:val="00DA4836"/>
    <w:rsid w:val="00DA6147"/>
    <w:rsid w:val="00DA650B"/>
    <w:rsid w:val="00DB0AC7"/>
    <w:rsid w:val="00DB5034"/>
    <w:rsid w:val="00DB579F"/>
    <w:rsid w:val="00DB7636"/>
    <w:rsid w:val="00DC52BF"/>
    <w:rsid w:val="00DC64B1"/>
    <w:rsid w:val="00DD0623"/>
    <w:rsid w:val="00DD39A7"/>
    <w:rsid w:val="00DD4070"/>
    <w:rsid w:val="00DD7FE9"/>
    <w:rsid w:val="00DE04C1"/>
    <w:rsid w:val="00DE1387"/>
    <w:rsid w:val="00DF23A9"/>
    <w:rsid w:val="00DF59D3"/>
    <w:rsid w:val="00E0152B"/>
    <w:rsid w:val="00E10A1D"/>
    <w:rsid w:val="00E10EF0"/>
    <w:rsid w:val="00E13E84"/>
    <w:rsid w:val="00E17C6D"/>
    <w:rsid w:val="00E20985"/>
    <w:rsid w:val="00E2128C"/>
    <w:rsid w:val="00E26FB0"/>
    <w:rsid w:val="00E27D46"/>
    <w:rsid w:val="00E30831"/>
    <w:rsid w:val="00E31271"/>
    <w:rsid w:val="00E31E6C"/>
    <w:rsid w:val="00E349FF"/>
    <w:rsid w:val="00E43B5F"/>
    <w:rsid w:val="00E53C4D"/>
    <w:rsid w:val="00E565AD"/>
    <w:rsid w:val="00E56EBE"/>
    <w:rsid w:val="00E60DF5"/>
    <w:rsid w:val="00E64778"/>
    <w:rsid w:val="00E649EC"/>
    <w:rsid w:val="00E653A9"/>
    <w:rsid w:val="00E67456"/>
    <w:rsid w:val="00E727F1"/>
    <w:rsid w:val="00E73316"/>
    <w:rsid w:val="00E73D22"/>
    <w:rsid w:val="00E76291"/>
    <w:rsid w:val="00E768AA"/>
    <w:rsid w:val="00E77785"/>
    <w:rsid w:val="00E81EC6"/>
    <w:rsid w:val="00E82C86"/>
    <w:rsid w:val="00E8384A"/>
    <w:rsid w:val="00E87FCB"/>
    <w:rsid w:val="00E9007B"/>
    <w:rsid w:val="00EA3342"/>
    <w:rsid w:val="00EA48E8"/>
    <w:rsid w:val="00EB256B"/>
    <w:rsid w:val="00EC1DD3"/>
    <w:rsid w:val="00EC1F9C"/>
    <w:rsid w:val="00EC6E9A"/>
    <w:rsid w:val="00ED0292"/>
    <w:rsid w:val="00ED20EB"/>
    <w:rsid w:val="00ED6363"/>
    <w:rsid w:val="00ED6680"/>
    <w:rsid w:val="00EE0840"/>
    <w:rsid w:val="00EE1B14"/>
    <w:rsid w:val="00EE1B8C"/>
    <w:rsid w:val="00EE3609"/>
    <w:rsid w:val="00EE54C1"/>
    <w:rsid w:val="00EF035D"/>
    <w:rsid w:val="00EF17AF"/>
    <w:rsid w:val="00EF568D"/>
    <w:rsid w:val="00F023BF"/>
    <w:rsid w:val="00F02D66"/>
    <w:rsid w:val="00F037E6"/>
    <w:rsid w:val="00F069D9"/>
    <w:rsid w:val="00F07F21"/>
    <w:rsid w:val="00F13007"/>
    <w:rsid w:val="00F13D28"/>
    <w:rsid w:val="00F146E5"/>
    <w:rsid w:val="00F279F5"/>
    <w:rsid w:val="00F27F04"/>
    <w:rsid w:val="00F4423E"/>
    <w:rsid w:val="00F47E20"/>
    <w:rsid w:val="00F502D2"/>
    <w:rsid w:val="00F51AA2"/>
    <w:rsid w:val="00F51BB4"/>
    <w:rsid w:val="00F51BCA"/>
    <w:rsid w:val="00F52F37"/>
    <w:rsid w:val="00F53AF9"/>
    <w:rsid w:val="00F61CCF"/>
    <w:rsid w:val="00F709AA"/>
    <w:rsid w:val="00F70FC9"/>
    <w:rsid w:val="00F726C3"/>
    <w:rsid w:val="00F75D04"/>
    <w:rsid w:val="00F76D2F"/>
    <w:rsid w:val="00F76D57"/>
    <w:rsid w:val="00F81DA5"/>
    <w:rsid w:val="00F822D5"/>
    <w:rsid w:val="00F869A7"/>
    <w:rsid w:val="00F9090A"/>
    <w:rsid w:val="00F925E4"/>
    <w:rsid w:val="00F92963"/>
    <w:rsid w:val="00F943CC"/>
    <w:rsid w:val="00F97C4A"/>
    <w:rsid w:val="00FA1B22"/>
    <w:rsid w:val="00FB6B8C"/>
    <w:rsid w:val="00FC1332"/>
    <w:rsid w:val="00FC2FF8"/>
    <w:rsid w:val="00FC404A"/>
    <w:rsid w:val="00FC50F8"/>
    <w:rsid w:val="00FC7013"/>
    <w:rsid w:val="00FD13A4"/>
    <w:rsid w:val="00FD4F87"/>
    <w:rsid w:val="00FD6853"/>
    <w:rsid w:val="00FD6C75"/>
    <w:rsid w:val="00FD7C2A"/>
    <w:rsid w:val="00FE067F"/>
    <w:rsid w:val="00FE1389"/>
    <w:rsid w:val="00FE1C78"/>
    <w:rsid w:val="00FE5ABE"/>
    <w:rsid w:val="00FF000F"/>
    <w:rsid w:val="00FF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226F05-7D05-41FF-8527-A33E255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6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32C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2C6D"/>
    <w:rPr>
      <w:sz w:val="20"/>
      <w:szCs w:val="20"/>
    </w:rPr>
  </w:style>
  <w:style w:type="character" w:styleId="FootnoteReference">
    <w:name w:val="footnote reference"/>
    <w:basedOn w:val="DefaultParagraphFont"/>
    <w:uiPriority w:val="99"/>
    <w:semiHidden/>
    <w:unhideWhenUsed/>
    <w:rsid w:val="00432C6D"/>
    <w:rPr>
      <w:vertAlign w:val="superscript"/>
    </w:rPr>
  </w:style>
  <w:style w:type="paragraph" w:styleId="Header">
    <w:name w:val="header"/>
    <w:basedOn w:val="Normal"/>
    <w:link w:val="HeaderChar"/>
    <w:uiPriority w:val="99"/>
    <w:unhideWhenUsed/>
    <w:rsid w:val="00146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555"/>
  </w:style>
  <w:style w:type="paragraph" w:styleId="Footer">
    <w:name w:val="footer"/>
    <w:basedOn w:val="Normal"/>
    <w:link w:val="FooterChar"/>
    <w:uiPriority w:val="99"/>
    <w:unhideWhenUsed/>
    <w:rsid w:val="00146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555"/>
  </w:style>
  <w:style w:type="paragraph" w:styleId="ListParagraph">
    <w:name w:val="List Paragraph"/>
    <w:basedOn w:val="Normal"/>
    <w:uiPriority w:val="34"/>
    <w:qFormat/>
    <w:rsid w:val="00074585"/>
    <w:pPr>
      <w:spacing w:line="259" w:lineRule="auto"/>
      <w:ind w:left="720"/>
      <w:contextualSpacing/>
    </w:pPr>
  </w:style>
  <w:style w:type="paragraph" w:customStyle="1" w:styleId="lrdefinition-a">
    <w:name w:val="lr definition-(a)"/>
    <w:basedOn w:val="lrdefinition"/>
    <w:rsid w:val="004C30B5"/>
    <w:pPr>
      <w:tabs>
        <w:tab w:val="clear" w:pos="1219"/>
        <w:tab w:val="clear" w:pos="1559"/>
        <w:tab w:val="left" w:pos="1276"/>
        <w:tab w:val="left" w:pos="1701"/>
      </w:tabs>
      <w:ind w:left="1276" w:hanging="907"/>
    </w:pPr>
  </w:style>
  <w:style w:type="paragraph" w:customStyle="1" w:styleId="lrdefinition">
    <w:name w:val="lr definition"/>
    <w:basedOn w:val="Normal"/>
    <w:rsid w:val="004C30B5"/>
    <w:pPr>
      <w:tabs>
        <w:tab w:val="left" w:pos="369"/>
        <w:tab w:val="left" w:pos="794"/>
        <w:tab w:val="left" w:pos="1219"/>
        <w:tab w:val="left" w:pos="1559"/>
      </w:tabs>
      <w:spacing w:after="100" w:line="300" w:lineRule="exact"/>
      <w:ind w:left="794" w:hanging="369"/>
      <w:jc w:val="both"/>
    </w:pPr>
    <w:rPr>
      <w:rFonts w:ascii="Times New Roman" w:eastAsia="Times New Roman" w:hAnsi="Times New Roman" w:cs="Times New Roman"/>
      <w:szCs w:val="20"/>
      <w:lang w:val="en-ZA"/>
    </w:rPr>
  </w:style>
  <w:style w:type="paragraph" w:customStyle="1" w:styleId="lrpara-a">
    <w:name w:val="lr para-a"/>
    <w:basedOn w:val="Normal"/>
    <w:rsid w:val="00A03137"/>
    <w:pPr>
      <w:tabs>
        <w:tab w:val="right" w:pos="680"/>
        <w:tab w:val="left" w:pos="822"/>
        <w:tab w:val="left" w:pos="1276"/>
      </w:tabs>
      <w:spacing w:after="80" w:line="300" w:lineRule="exact"/>
      <w:ind w:left="822" w:hanging="822"/>
      <w:jc w:val="both"/>
    </w:pPr>
    <w:rPr>
      <w:rFonts w:ascii="Times New Roman" w:eastAsia="Times New Roman" w:hAnsi="Times New Roman" w:cs="Times New Roman"/>
      <w:szCs w:val="20"/>
      <w:lang w:val="en-ZA"/>
    </w:rPr>
  </w:style>
  <w:style w:type="paragraph" w:styleId="NoSpacing">
    <w:name w:val="No Spacing"/>
    <w:uiPriority w:val="1"/>
    <w:qFormat/>
    <w:rsid w:val="00422E09"/>
    <w:pPr>
      <w:spacing w:after="0" w:line="240" w:lineRule="auto"/>
    </w:pPr>
  </w:style>
  <w:style w:type="paragraph" w:styleId="BalloonText">
    <w:name w:val="Balloon Text"/>
    <w:basedOn w:val="Normal"/>
    <w:link w:val="BalloonTextChar"/>
    <w:uiPriority w:val="99"/>
    <w:semiHidden/>
    <w:unhideWhenUsed/>
    <w:rsid w:val="005D28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805"/>
    <w:rPr>
      <w:rFonts w:ascii="Segoe UI" w:hAnsi="Segoe UI" w:cs="Segoe UI"/>
      <w:sz w:val="18"/>
      <w:szCs w:val="18"/>
    </w:rPr>
  </w:style>
  <w:style w:type="paragraph" w:customStyle="1" w:styleId="Default">
    <w:name w:val="Default"/>
    <w:rsid w:val="00360691"/>
    <w:pPr>
      <w:autoSpaceDE w:val="0"/>
      <w:autoSpaceDN w:val="0"/>
      <w:adjustRightInd w:val="0"/>
      <w:spacing w:after="0" w:line="240" w:lineRule="auto"/>
    </w:pPr>
    <w:rPr>
      <w:rFonts w:ascii="Arial" w:hAnsi="Arial" w:cs="Arial"/>
      <w:color w:val="000000"/>
      <w:sz w:val="24"/>
      <w:szCs w:val="24"/>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2745">
      <w:bodyDiv w:val="1"/>
      <w:marLeft w:val="0"/>
      <w:marRight w:val="0"/>
      <w:marTop w:val="0"/>
      <w:marBottom w:val="0"/>
      <w:divBdr>
        <w:top w:val="none" w:sz="0" w:space="0" w:color="auto"/>
        <w:left w:val="none" w:sz="0" w:space="0" w:color="auto"/>
        <w:bottom w:val="none" w:sz="0" w:space="0" w:color="auto"/>
        <w:right w:val="none" w:sz="0" w:space="0" w:color="auto"/>
      </w:divBdr>
    </w:div>
    <w:div w:id="250744159">
      <w:bodyDiv w:val="1"/>
      <w:marLeft w:val="0"/>
      <w:marRight w:val="0"/>
      <w:marTop w:val="0"/>
      <w:marBottom w:val="0"/>
      <w:divBdr>
        <w:top w:val="none" w:sz="0" w:space="0" w:color="auto"/>
        <w:left w:val="none" w:sz="0" w:space="0" w:color="auto"/>
        <w:bottom w:val="none" w:sz="0" w:space="0" w:color="auto"/>
        <w:right w:val="none" w:sz="0" w:space="0" w:color="auto"/>
      </w:divBdr>
    </w:div>
    <w:div w:id="60111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1170-F5FD-4A18-942F-73181388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6466</Words>
  <Characters>36862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Millicent</cp:lastModifiedBy>
  <cp:revision>2</cp:revision>
  <cp:lastPrinted>2024-09-23T10:41:00Z</cp:lastPrinted>
  <dcterms:created xsi:type="dcterms:W3CDTF">2024-10-04T12:54:00Z</dcterms:created>
  <dcterms:modified xsi:type="dcterms:W3CDTF">2024-10-04T12:54:00Z</dcterms:modified>
</cp:coreProperties>
</file>