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620" w:rsidRPr="00186F1F" w:rsidRDefault="00CE6515" w:rsidP="00372B51">
      <w:pPr>
        <w:spacing w:line="360" w:lineRule="auto"/>
        <w:jc w:val="both"/>
        <w:rPr>
          <w:rFonts w:ascii="Times New Roman" w:eastAsia="Calibri" w:hAnsi="Times New Roman" w:cs="Times New Roman"/>
          <w:b/>
          <w:sz w:val="24"/>
          <w:szCs w:val="24"/>
          <w:lang w:val="en-ZW"/>
        </w:rPr>
      </w:pPr>
      <w:bookmarkStart w:id="0" w:name="_GoBack"/>
      <w:bookmarkEnd w:id="0"/>
      <w:r w:rsidRPr="00CE6515">
        <w:rPr>
          <w:rFonts w:ascii="Times New Roman" w:eastAsia="Calibri" w:hAnsi="Times New Roman" w:cs="Times New Roman"/>
          <w:b/>
          <w:sz w:val="24"/>
          <w:szCs w:val="24"/>
          <w:u w:val="single"/>
          <w:lang w:val="en-ZW"/>
        </w:rPr>
        <w:t>DISTRIBUTABLE</w:t>
      </w:r>
      <w:r>
        <w:rPr>
          <w:rFonts w:ascii="Times New Roman" w:eastAsia="Calibri" w:hAnsi="Times New Roman" w:cs="Times New Roman"/>
          <w:b/>
          <w:sz w:val="24"/>
          <w:szCs w:val="24"/>
          <w:lang w:val="en-ZW"/>
        </w:rPr>
        <w:tab/>
        <w:t>(58)</w:t>
      </w:r>
    </w:p>
    <w:p w:rsidR="00252897" w:rsidRPr="00186F1F" w:rsidRDefault="00252897" w:rsidP="00372B51">
      <w:pPr>
        <w:spacing w:line="360" w:lineRule="auto"/>
        <w:jc w:val="both"/>
        <w:rPr>
          <w:rFonts w:ascii="Times New Roman" w:eastAsia="Calibri" w:hAnsi="Times New Roman" w:cs="Times New Roman"/>
          <w:b/>
          <w:sz w:val="24"/>
          <w:szCs w:val="24"/>
          <w:lang w:val="en-ZW"/>
        </w:rPr>
      </w:pPr>
    </w:p>
    <w:p w:rsidR="005A38F4" w:rsidRPr="00186F1F" w:rsidRDefault="00797B97" w:rsidP="00252897">
      <w:pPr>
        <w:spacing w:line="360" w:lineRule="auto"/>
        <w:jc w:val="center"/>
        <w:rPr>
          <w:rFonts w:ascii="Times New Roman" w:eastAsia="Calibri" w:hAnsi="Times New Roman" w:cs="Times New Roman"/>
          <w:b/>
          <w:sz w:val="24"/>
          <w:szCs w:val="24"/>
          <w:lang w:val="en-ZW"/>
        </w:rPr>
      </w:pPr>
      <w:r w:rsidRPr="00186F1F">
        <w:rPr>
          <w:rFonts w:ascii="Times New Roman" w:eastAsia="Calibri" w:hAnsi="Times New Roman" w:cs="Times New Roman"/>
          <w:b/>
          <w:sz w:val="24"/>
          <w:szCs w:val="24"/>
          <w:lang w:val="en-ZW"/>
        </w:rPr>
        <w:t xml:space="preserve">COSMA </w:t>
      </w:r>
      <w:r w:rsidR="00252897" w:rsidRPr="00186F1F">
        <w:rPr>
          <w:rFonts w:ascii="Times New Roman" w:eastAsia="Calibri" w:hAnsi="Times New Roman" w:cs="Times New Roman"/>
          <w:b/>
          <w:sz w:val="24"/>
          <w:szCs w:val="24"/>
          <w:lang w:val="en-ZW"/>
        </w:rPr>
        <w:t xml:space="preserve">    </w:t>
      </w:r>
      <w:r w:rsidRPr="00186F1F">
        <w:rPr>
          <w:rFonts w:ascii="Times New Roman" w:eastAsia="Calibri" w:hAnsi="Times New Roman" w:cs="Times New Roman"/>
          <w:b/>
          <w:sz w:val="24"/>
          <w:szCs w:val="24"/>
          <w:lang w:val="en-ZW"/>
        </w:rPr>
        <w:t>CHIANGWA</w:t>
      </w:r>
    </w:p>
    <w:p w:rsidR="005A38F4" w:rsidRPr="00186F1F" w:rsidRDefault="005A38F4" w:rsidP="00252897">
      <w:pPr>
        <w:spacing w:line="360" w:lineRule="auto"/>
        <w:jc w:val="center"/>
        <w:rPr>
          <w:rFonts w:ascii="Times New Roman" w:eastAsia="Calibri" w:hAnsi="Times New Roman" w:cs="Times New Roman"/>
          <w:b/>
          <w:sz w:val="24"/>
          <w:szCs w:val="24"/>
          <w:lang w:val="en-ZW"/>
        </w:rPr>
      </w:pPr>
      <w:r w:rsidRPr="00186F1F">
        <w:rPr>
          <w:rFonts w:ascii="Times New Roman" w:eastAsia="Calibri" w:hAnsi="Times New Roman" w:cs="Times New Roman"/>
          <w:b/>
          <w:sz w:val="24"/>
          <w:szCs w:val="24"/>
          <w:lang w:val="en-ZW"/>
        </w:rPr>
        <w:t>v</w:t>
      </w:r>
    </w:p>
    <w:p w:rsidR="00797B97" w:rsidRPr="00186F1F" w:rsidRDefault="00252897" w:rsidP="00252897">
      <w:pPr>
        <w:pStyle w:val="ListParagraph"/>
        <w:numPr>
          <w:ilvl w:val="0"/>
          <w:numId w:val="6"/>
        </w:numPr>
        <w:spacing w:line="360" w:lineRule="auto"/>
        <w:jc w:val="center"/>
        <w:rPr>
          <w:rFonts w:ascii="Times New Roman" w:eastAsia="Calibri" w:hAnsi="Times New Roman" w:cs="Times New Roman"/>
          <w:b/>
          <w:sz w:val="24"/>
          <w:szCs w:val="24"/>
          <w:lang w:val="en-ZW"/>
        </w:rPr>
      </w:pPr>
      <w:r w:rsidRPr="00186F1F">
        <w:rPr>
          <w:rFonts w:ascii="Times New Roman" w:eastAsia="Calibri" w:hAnsi="Times New Roman" w:cs="Times New Roman"/>
          <w:b/>
          <w:sz w:val="24"/>
          <w:szCs w:val="24"/>
          <w:lang w:val="en-ZW"/>
        </w:rPr>
        <w:t xml:space="preserve">   </w:t>
      </w:r>
      <w:r w:rsidR="003F33C8">
        <w:rPr>
          <w:rFonts w:ascii="Times New Roman" w:eastAsia="Calibri" w:hAnsi="Times New Roman" w:cs="Times New Roman"/>
          <w:b/>
          <w:sz w:val="24"/>
          <w:szCs w:val="24"/>
          <w:lang w:val="en-ZW"/>
        </w:rPr>
        <w:t xml:space="preserve"> </w:t>
      </w:r>
      <w:r w:rsidR="00797B97" w:rsidRPr="00186F1F">
        <w:rPr>
          <w:rFonts w:ascii="Times New Roman" w:eastAsia="Calibri" w:hAnsi="Times New Roman" w:cs="Times New Roman"/>
          <w:b/>
          <w:sz w:val="24"/>
          <w:szCs w:val="24"/>
          <w:lang w:val="en-ZW"/>
        </w:rPr>
        <w:t xml:space="preserve">DAVID </w:t>
      </w:r>
      <w:r w:rsidRPr="00186F1F">
        <w:rPr>
          <w:rFonts w:ascii="Times New Roman" w:eastAsia="Calibri" w:hAnsi="Times New Roman" w:cs="Times New Roman"/>
          <w:b/>
          <w:sz w:val="24"/>
          <w:szCs w:val="24"/>
          <w:lang w:val="en-ZW"/>
        </w:rPr>
        <w:t xml:space="preserve">    </w:t>
      </w:r>
      <w:r w:rsidR="00797B97" w:rsidRPr="00186F1F">
        <w:rPr>
          <w:rFonts w:ascii="Times New Roman" w:eastAsia="Calibri" w:hAnsi="Times New Roman" w:cs="Times New Roman"/>
          <w:b/>
          <w:sz w:val="24"/>
          <w:szCs w:val="24"/>
          <w:lang w:val="en-ZW"/>
        </w:rPr>
        <w:t>KATERE</w:t>
      </w:r>
      <w:r w:rsidR="0075275E" w:rsidRPr="00186F1F">
        <w:rPr>
          <w:rFonts w:ascii="Times New Roman" w:eastAsia="Calibri" w:hAnsi="Times New Roman" w:cs="Times New Roman"/>
          <w:b/>
          <w:sz w:val="24"/>
          <w:szCs w:val="24"/>
          <w:lang w:val="en-ZW"/>
        </w:rPr>
        <w:t>RE</w:t>
      </w:r>
      <w:r w:rsidRPr="00186F1F">
        <w:rPr>
          <w:rFonts w:ascii="Times New Roman" w:eastAsia="Calibri" w:hAnsi="Times New Roman" w:cs="Times New Roman"/>
          <w:b/>
          <w:sz w:val="24"/>
          <w:szCs w:val="24"/>
          <w:lang w:val="en-ZW"/>
        </w:rPr>
        <w:t xml:space="preserve">     </w:t>
      </w:r>
      <w:r w:rsidR="005A38F4" w:rsidRPr="00186F1F">
        <w:rPr>
          <w:rFonts w:ascii="Times New Roman" w:eastAsia="Calibri" w:hAnsi="Times New Roman" w:cs="Times New Roman"/>
          <w:b/>
          <w:sz w:val="24"/>
          <w:szCs w:val="24"/>
          <w:lang w:val="en-ZW"/>
        </w:rPr>
        <w:t>(2)</w:t>
      </w:r>
      <w:r w:rsidRPr="00186F1F">
        <w:rPr>
          <w:rFonts w:ascii="Times New Roman" w:eastAsia="Calibri" w:hAnsi="Times New Roman" w:cs="Times New Roman"/>
          <w:b/>
          <w:sz w:val="24"/>
          <w:szCs w:val="24"/>
          <w:lang w:val="en-ZW"/>
        </w:rPr>
        <w:t xml:space="preserve">     </w:t>
      </w:r>
      <w:r w:rsidR="00797B97" w:rsidRPr="00186F1F">
        <w:rPr>
          <w:rFonts w:ascii="Times New Roman" w:eastAsia="Calibri" w:hAnsi="Times New Roman" w:cs="Times New Roman"/>
          <w:b/>
          <w:sz w:val="24"/>
          <w:szCs w:val="24"/>
          <w:lang w:val="en-ZW"/>
        </w:rPr>
        <w:t xml:space="preserve">ROBERT </w:t>
      </w:r>
      <w:r w:rsidRPr="00186F1F">
        <w:rPr>
          <w:rFonts w:ascii="Times New Roman" w:eastAsia="Calibri" w:hAnsi="Times New Roman" w:cs="Times New Roman"/>
          <w:b/>
          <w:sz w:val="24"/>
          <w:szCs w:val="24"/>
          <w:lang w:val="en-ZW"/>
        </w:rPr>
        <w:t xml:space="preserve">    </w:t>
      </w:r>
      <w:r w:rsidR="00797B97" w:rsidRPr="00186F1F">
        <w:rPr>
          <w:rFonts w:ascii="Times New Roman" w:eastAsia="Calibri" w:hAnsi="Times New Roman" w:cs="Times New Roman"/>
          <w:b/>
          <w:sz w:val="24"/>
          <w:szCs w:val="24"/>
          <w:lang w:val="en-ZW"/>
        </w:rPr>
        <w:t xml:space="preserve">ADRIAN </w:t>
      </w:r>
      <w:r w:rsidR="003F33C8">
        <w:rPr>
          <w:rFonts w:ascii="Times New Roman" w:eastAsia="Calibri" w:hAnsi="Times New Roman" w:cs="Times New Roman"/>
          <w:b/>
          <w:sz w:val="24"/>
          <w:szCs w:val="24"/>
          <w:lang w:val="en-ZW"/>
        </w:rPr>
        <w:t xml:space="preserve">    </w:t>
      </w:r>
      <w:r w:rsidR="00797B97" w:rsidRPr="00186F1F">
        <w:rPr>
          <w:rFonts w:ascii="Times New Roman" w:eastAsia="Calibri" w:hAnsi="Times New Roman" w:cs="Times New Roman"/>
          <w:b/>
          <w:sz w:val="24"/>
          <w:szCs w:val="24"/>
          <w:lang w:val="en-ZW"/>
        </w:rPr>
        <w:t xml:space="preserve">CAMPBELL </w:t>
      </w:r>
      <w:r w:rsidRPr="00186F1F">
        <w:rPr>
          <w:rFonts w:ascii="Times New Roman" w:eastAsia="Calibri" w:hAnsi="Times New Roman" w:cs="Times New Roman"/>
          <w:b/>
          <w:sz w:val="24"/>
          <w:szCs w:val="24"/>
          <w:lang w:val="en-ZW"/>
        </w:rPr>
        <w:t xml:space="preserve">    </w:t>
      </w:r>
      <w:r w:rsidR="00797B97" w:rsidRPr="00186F1F">
        <w:rPr>
          <w:rFonts w:ascii="Times New Roman" w:eastAsia="Calibri" w:hAnsi="Times New Roman" w:cs="Times New Roman"/>
          <w:b/>
          <w:sz w:val="24"/>
          <w:szCs w:val="24"/>
          <w:lang w:val="en-ZW"/>
        </w:rPr>
        <w:t>LOGAN</w:t>
      </w:r>
      <w:r w:rsidRPr="00186F1F">
        <w:rPr>
          <w:rFonts w:ascii="Times New Roman" w:eastAsia="Calibri" w:hAnsi="Times New Roman" w:cs="Times New Roman"/>
          <w:b/>
          <w:sz w:val="24"/>
          <w:szCs w:val="24"/>
          <w:lang w:val="en-ZW"/>
        </w:rPr>
        <w:t xml:space="preserve">     </w:t>
      </w:r>
      <w:r w:rsidR="00797B97" w:rsidRPr="00186F1F">
        <w:rPr>
          <w:rFonts w:ascii="Times New Roman" w:eastAsia="Calibri" w:hAnsi="Times New Roman" w:cs="Times New Roman"/>
          <w:b/>
          <w:sz w:val="24"/>
          <w:szCs w:val="24"/>
          <w:lang w:val="en-ZW"/>
        </w:rPr>
        <w:t>(3)</w:t>
      </w:r>
      <w:r w:rsidRPr="00186F1F">
        <w:rPr>
          <w:rFonts w:ascii="Times New Roman" w:eastAsia="Calibri" w:hAnsi="Times New Roman" w:cs="Times New Roman"/>
          <w:b/>
          <w:sz w:val="24"/>
          <w:szCs w:val="24"/>
          <w:lang w:val="en-ZW"/>
        </w:rPr>
        <w:t xml:space="preserve">     </w:t>
      </w:r>
      <w:r w:rsidR="00797B97" w:rsidRPr="00186F1F">
        <w:rPr>
          <w:rFonts w:ascii="Times New Roman" w:eastAsia="Calibri" w:hAnsi="Times New Roman" w:cs="Times New Roman"/>
          <w:b/>
          <w:sz w:val="24"/>
          <w:szCs w:val="24"/>
          <w:lang w:val="en-ZW"/>
        </w:rPr>
        <w:t xml:space="preserve">ISRAEL </w:t>
      </w:r>
      <w:r w:rsidRPr="00186F1F">
        <w:rPr>
          <w:rFonts w:ascii="Times New Roman" w:eastAsia="Calibri" w:hAnsi="Times New Roman" w:cs="Times New Roman"/>
          <w:b/>
          <w:sz w:val="24"/>
          <w:szCs w:val="24"/>
          <w:lang w:val="en-ZW"/>
        </w:rPr>
        <w:t xml:space="preserve">    </w:t>
      </w:r>
      <w:r w:rsidR="00675A47" w:rsidRPr="00186F1F">
        <w:rPr>
          <w:rFonts w:ascii="Times New Roman" w:eastAsia="Calibri" w:hAnsi="Times New Roman" w:cs="Times New Roman"/>
          <w:b/>
          <w:sz w:val="24"/>
          <w:szCs w:val="24"/>
          <w:lang w:val="en-ZW"/>
        </w:rPr>
        <w:t>GUMUNYU</w:t>
      </w:r>
    </w:p>
    <w:p w:rsidR="00797B97" w:rsidRPr="00186F1F" w:rsidRDefault="00797B97" w:rsidP="00FB13F1">
      <w:pPr>
        <w:spacing w:line="360" w:lineRule="auto"/>
        <w:jc w:val="center"/>
        <w:rPr>
          <w:rFonts w:ascii="Times New Roman" w:eastAsia="Calibri" w:hAnsi="Times New Roman" w:cs="Times New Roman"/>
          <w:b/>
          <w:sz w:val="24"/>
          <w:szCs w:val="24"/>
          <w:lang w:val="en-ZW"/>
        </w:rPr>
      </w:pPr>
      <w:r w:rsidRPr="00186F1F">
        <w:rPr>
          <w:rFonts w:ascii="Times New Roman" w:eastAsia="Calibri" w:hAnsi="Times New Roman" w:cs="Times New Roman"/>
          <w:b/>
          <w:sz w:val="24"/>
          <w:szCs w:val="24"/>
          <w:lang w:val="en-ZW"/>
        </w:rPr>
        <w:t>(4)</w:t>
      </w:r>
      <w:r w:rsidR="00252897" w:rsidRPr="00186F1F">
        <w:rPr>
          <w:rFonts w:ascii="Times New Roman" w:eastAsia="Calibri" w:hAnsi="Times New Roman" w:cs="Times New Roman"/>
          <w:b/>
          <w:sz w:val="24"/>
          <w:szCs w:val="24"/>
          <w:lang w:val="en-ZW"/>
        </w:rPr>
        <w:t xml:space="preserve">     </w:t>
      </w:r>
      <w:r w:rsidRPr="00186F1F">
        <w:rPr>
          <w:rFonts w:ascii="Times New Roman" w:eastAsia="Calibri" w:hAnsi="Times New Roman" w:cs="Times New Roman"/>
          <w:b/>
          <w:sz w:val="24"/>
          <w:szCs w:val="24"/>
          <w:lang w:val="en-ZW"/>
        </w:rPr>
        <w:t xml:space="preserve">REGISTRAR </w:t>
      </w:r>
      <w:r w:rsidR="00252897" w:rsidRPr="00186F1F">
        <w:rPr>
          <w:rFonts w:ascii="Times New Roman" w:eastAsia="Calibri" w:hAnsi="Times New Roman" w:cs="Times New Roman"/>
          <w:b/>
          <w:sz w:val="24"/>
          <w:szCs w:val="24"/>
          <w:lang w:val="en-ZW"/>
        </w:rPr>
        <w:t xml:space="preserve">    </w:t>
      </w:r>
      <w:r w:rsidRPr="00186F1F">
        <w:rPr>
          <w:rFonts w:ascii="Times New Roman" w:eastAsia="Calibri" w:hAnsi="Times New Roman" w:cs="Times New Roman"/>
          <w:b/>
          <w:sz w:val="24"/>
          <w:szCs w:val="24"/>
          <w:lang w:val="en-ZW"/>
        </w:rPr>
        <w:t xml:space="preserve">OF </w:t>
      </w:r>
      <w:r w:rsidR="00252897" w:rsidRPr="00186F1F">
        <w:rPr>
          <w:rFonts w:ascii="Times New Roman" w:eastAsia="Calibri" w:hAnsi="Times New Roman" w:cs="Times New Roman"/>
          <w:b/>
          <w:sz w:val="24"/>
          <w:szCs w:val="24"/>
          <w:lang w:val="en-ZW"/>
        </w:rPr>
        <w:t xml:space="preserve">    </w:t>
      </w:r>
      <w:r w:rsidRPr="00186F1F">
        <w:rPr>
          <w:rFonts w:ascii="Times New Roman" w:eastAsia="Calibri" w:hAnsi="Times New Roman" w:cs="Times New Roman"/>
          <w:b/>
          <w:sz w:val="24"/>
          <w:szCs w:val="24"/>
          <w:lang w:val="en-ZW"/>
        </w:rPr>
        <w:t>DEEDS</w:t>
      </w:r>
      <w:r w:rsidR="00252897" w:rsidRPr="00186F1F">
        <w:rPr>
          <w:rFonts w:ascii="Times New Roman" w:eastAsia="Calibri" w:hAnsi="Times New Roman" w:cs="Times New Roman"/>
          <w:b/>
          <w:sz w:val="24"/>
          <w:szCs w:val="24"/>
          <w:lang w:val="en-ZW"/>
        </w:rPr>
        <w:t xml:space="preserve">     </w:t>
      </w:r>
      <w:r w:rsidRPr="00186F1F">
        <w:rPr>
          <w:rFonts w:ascii="Times New Roman" w:eastAsia="Calibri" w:hAnsi="Times New Roman" w:cs="Times New Roman"/>
          <w:b/>
          <w:sz w:val="24"/>
          <w:szCs w:val="24"/>
          <w:lang w:val="en-ZW"/>
        </w:rPr>
        <w:t xml:space="preserve">(5) </w:t>
      </w:r>
      <w:r w:rsidR="00252897" w:rsidRPr="00186F1F">
        <w:rPr>
          <w:rFonts w:ascii="Times New Roman" w:eastAsia="Calibri" w:hAnsi="Times New Roman" w:cs="Times New Roman"/>
          <w:b/>
          <w:sz w:val="24"/>
          <w:szCs w:val="24"/>
          <w:lang w:val="en-ZW"/>
        </w:rPr>
        <w:t xml:space="preserve">    </w:t>
      </w:r>
      <w:r w:rsidRPr="00186F1F">
        <w:rPr>
          <w:rFonts w:ascii="Times New Roman" w:eastAsia="Calibri" w:hAnsi="Times New Roman" w:cs="Times New Roman"/>
          <w:b/>
          <w:sz w:val="24"/>
          <w:szCs w:val="24"/>
          <w:lang w:val="en-ZW"/>
        </w:rPr>
        <w:t xml:space="preserve">EDMOND </w:t>
      </w:r>
      <w:r w:rsidR="00252897" w:rsidRPr="00186F1F">
        <w:rPr>
          <w:rFonts w:ascii="Times New Roman" w:eastAsia="Calibri" w:hAnsi="Times New Roman" w:cs="Times New Roman"/>
          <w:b/>
          <w:sz w:val="24"/>
          <w:szCs w:val="24"/>
          <w:lang w:val="en-ZW"/>
        </w:rPr>
        <w:t xml:space="preserve">    </w:t>
      </w:r>
      <w:r w:rsidRPr="00186F1F">
        <w:rPr>
          <w:rFonts w:ascii="Times New Roman" w:eastAsia="Calibri" w:hAnsi="Times New Roman" w:cs="Times New Roman"/>
          <w:b/>
          <w:sz w:val="24"/>
          <w:szCs w:val="24"/>
          <w:lang w:val="en-ZW"/>
        </w:rPr>
        <w:t>CHIVHINGE</w:t>
      </w:r>
      <w:r w:rsidR="00FB13F1" w:rsidRPr="00186F1F">
        <w:rPr>
          <w:rFonts w:ascii="Times New Roman" w:eastAsia="Calibri" w:hAnsi="Times New Roman" w:cs="Times New Roman"/>
          <w:b/>
          <w:sz w:val="24"/>
          <w:szCs w:val="24"/>
          <w:lang w:val="en-ZW"/>
        </w:rPr>
        <w:t xml:space="preserve">     </w:t>
      </w:r>
      <w:r w:rsidRPr="00186F1F">
        <w:rPr>
          <w:rFonts w:ascii="Times New Roman" w:eastAsia="Calibri" w:hAnsi="Times New Roman" w:cs="Times New Roman"/>
          <w:b/>
          <w:sz w:val="24"/>
          <w:szCs w:val="24"/>
          <w:lang w:val="en-ZW"/>
        </w:rPr>
        <w:t>(6)</w:t>
      </w:r>
      <w:r w:rsidR="00252897" w:rsidRPr="00186F1F">
        <w:rPr>
          <w:rFonts w:ascii="Times New Roman" w:eastAsia="Calibri" w:hAnsi="Times New Roman" w:cs="Times New Roman"/>
          <w:b/>
          <w:sz w:val="24"/>
          <w:szCs w:val="24"/>
          <w:lang w:val="en-ZW"/>
        </w:rPr>
        <w:t xml:space="preserve">     </w:t>
      </w:r>
      <w:r w:rsidRPr="00186F1F">
        <w:rPr>
          <w:rFonts w:ascii="Times New Roman" w:eastAsia="Calibri" w:hAnsi="Times New Roman" w:cs="Times New Roman"/>
          <w:b/>
          <w:sz w:val="24"/>
          <w:szCs w:val="24"/>
          <w:lang w:val="en-ZW"/>
        </w:rPr>
        <w:t xml:space="preserve">MASTER </w:t>
      </w:r>
      <w:r w:rsidR="00252897" w:rsidRPr="00186F1F">
        <w:rPr>
          <w:rFonts w:ascii="Times New Roman" w:eastAsia="Calibri" w:hAnsi="Times New Roman" w:cs="Times New Roman"/>
          <w:b/>
          <w:sz w:val="24"/>
          <w:szCs w:val="24"/>
          <w:lang w:val="en-ZW"/>
        </w:rPr>
        <w:t xml:space="preserve">    </w:t>
      </w:r>
      <w:r w:rsidRPr="00186F1F">
        <w:rPr>
          <w:rFonts w:ascii="Times New Roman" w:eastAsia="Calibri" w:hAnsi="Times New Roman" w:cs="Times New Roman"/>
          <w:b/>
          <w:sz w:val="24"/>
          <w:szCs w:val="24"/>
          <w:lang w:val="en-ZW"/>
        </w:rPr>
        <w:t xml:space="preserve">OF </w:t>
      </w:r>
      <w:r w:rsidR="00252897" w:rsidRPr="00186F1F">
        <w:rPr>
          <w:rFonts w:ascii="Times New Roman" w:eastAsia="Calibri" w:hAnsi="Times New Roman" w:cs="Times New Roman"/>
          <w:b/>
          <w:sz w:val="24"/>
          <w:szCs w:val="24"/>
          <w:lang w:val="en-ZW"/>
        </w:rPr>
        <w:t xml:space="preserve">    </w:t>
      </w:r>
      <w:r w:rsidRPr="00186F1F">
        <w:rPr>
          <w:rFonts w:ascii="Times New Roman" w:eastAsia="Calibri" w:hAnsi="Times New Roman" w:cs="Times New Roman"/>
          <w:b/>
          <w:sz w:val="24"/>
          <w:szCs w:val="24"/>
          <w:lang w:val="en-ZW"/>
        </w:rPr>
        <w:t xml:space="preserve">THE </w:t>
      </w:r>
      <w:r w:rsidR="00252897" w:rsidRPr="00186F1F">
        <w:rPr>
          <w:rFonts w:ascii="Times New Roman" w:eastAsia="Calibri" w:hAnsi="Times New Roman" w:cs="Times New Roman"/>
          <w:b/>
          <w:sz w:val="24"/>
          <w:szCs w:val="24"/>
          <w:lang w:val="en-ZW"/>
        </w:rPr>
        <w:t xml:space="preserve">    </w:t>
      </w:r>
      <w:r w:rsidRPr="00186F1F">
        <w:rPr>
          <w:rFonts w:ascii="Times New Roman" w:eastAsia="Calibri" w:hAnsi="Times New Roman" w:cs="Times New Roman"/>
          <w:b/>
          <w:sz w:val="24"/>
          <w:szCs w:val="24"/>
          <w:lang w:val="en-ZW"/>
        </w:rPr>
        <w:t xml:space="preserve">HIGH </w:t>
      </w:r>
      <w:r w:rsidR="00252897" w:rsidRPr="00186F1F">
        <w:rPr>
          <w:rFonts w:ascii="Times New Roman" w:eastAsia="Calibri" w:hAnsi="Times New Roman" w:cs="Times New Roman"/>
          <w:b/>
          <w:sz w:val="24"/>
          <w:szCs w:val="24"/>
          <w:lang w:val="en-ZW"/>
        </w:rPr>
        <w:t xml:space="preserve">    </w:t>
      </w:r>
      <w:r w:rsidRPr="00186F1F">
        <w:rPr>
          <w:rFonts w:ascii="Times New Roman" w:eastAsia="Calibri" w:hAnsi="Times New Roman" w:cs="Times New Roman"/>
          <w:b/>
          <w:sz w:val="24"/>
          <w:szCs w:val="24"/>
          <w:lang w:val="en-ZW"/>
        </w:rPr>
        <w:t>COURT</w:t>
      </w:r>
    </w:p>
    <w:p w:rsidR="005A38F4" w:rsidRPr="00186F1F" w:rsidRDefault="005A38F4" w:rsidP="00186F1F">
      <w:pPr>
        <w:spacing w:line="360" w:lineRule="auto"/>
        <w:jc w:val="both"/>
        <w:rPr>
          <w:rFonts w:ascii="Times New Roman" w:eastAsia="Calibri" w:hAnsi="Times New Roman" w:cs="Times New Roman"/>
          <w:b/>
          <w:sz w:val="24"/>
          <w:szCs w:val="24"/>
          <w:lang w:val="en-ZW"/>
        </w:rPr>
      </w:pPr>
    </w:p>
    <w:p w:rsidR="005A38F4" w:rsidRPr="00186F1F" w:rsidRDefault="005A38F4" w:rsidP="00FB13F1">
      <w:pPr>
        <w:spacing w:line="240" w:lineRule="auto"/>
        <w:jc w:val="both"/>
        <w:rPr>
          <w:rFonts w:ascii="Times New Roman" w:eastAsia="Calibri" w:hAnsi="Times New Roman" w:cs="Times New Roman"/>
          <w:b/>
          <w:sz w:val="24"/>
          <w:szCs w:val="24"/>
          <w:lang w:val="en-ZW"/>
        </w:rPr>
      </w:pPr>
      <w:r w:rsidRPr="00186F1F">
        <w:rPr>
          <w:rFonts w:ascii="Times New Roman" w:eastAsia="Calibri" w:hAnsi="Times New Roman" w:cs="Times New Roman"/>
          <w:b/>
          <w:sz w:val="24"/>
          <w:szCs w:val="24"/>
          <w:lang w:val="en-ZW"/>
        </w:rPr>
        <w:t>SUPREME COURT OF ZIMBABAWE</w:t>
      </w:r>
      <w:r w:rsidRPr="00186F1F">
        <w:rPr>
          <w:rFonts w:ascii="Times New Roman" w:eastAsia="Calibri" w:hAnsi="Times New Roman" w:cs="Times New Roman"/>
          <w:b/>
          <w:sz w:val="24"/>
          <w:szCs w:val="24"/>
          <w:lang w:val="en-ZW"/>
        </w:rPr>
        <w:tab/>
      </w:r>
      <w:r w:rsidRPr="00186F1F">
        <w:rPr>
          <w:rFonts w:ascii="Times New Roman" w:eastAsia="Calibri" w:hAnsi="Times New Roman" w:cs="Times New Roman"/>
          <w:b/>
          <w:sz w:val="24"/>
          <w:szCs w:val="24"/>
          <w:lang w:val="en-ZW"/>
        </w:rPr>
        <w:tab/>
      </w:r>
      <w:r w:rsidRPr="00186F1F">
        <w:rPr>
          <w:rFonts w:ascii="Times New Roman" w:eastAsia="Calibri" w:hAnsi="Times New Roman" w:cs="Times New Roman"/>
          <w:b/>
          <w:sz w:val="24"/>
          <w:szCs w:val="24"/>
          <w:lang w:val="en-ZW"/>
        </w:rPr>
        <w:tab/>
      </w:r>
      <w:r w:rsidRPr="00186F1F">
        <w:rPr>
          <w:rFonts w:ascii="Times New Roman" w:eastAsia="Calibri" w:hAnsi="Times New Roman" w:cs="Times New Roman"/>
          <w:b/>
          <w:sz w:val="24"/>
          <w:szCs w:val="24"/>
          <w:lang w:val="en-ZW"/>
        </w:rPr>
        <w:tab/>
      </w:r>
      <w:r w:rsidRPr="00186F1F">
        <w:rPr>
          <w:rFonts w:ascii="Times New Roman" w:eastAsia="Calibri" w:hAnsi="Times New Roman" w:cs="Times New Roman"/>
          <w:b/>
          <w:sz w:val="24"/>
          <w:szCs w:val="24"/>
          <w:lang w:val="en-ZW"/>
        </w:rPr>
        <w:tab/>
      </w:r>
      <w:r w:rsidRPr="00186F1F">
        <w:rPr>
          <w:rFonts w:ascii="Times New Roman" w:eastAsia="Calibri" w:hAnsi="Times New Roman" w:cs="Times New Roman"/>
          <w:b/>
          <w:sz w:val="24"/>
          <w:szCs w:val="24"/>
          <w:lang w:val="en-ZW"/>
        </w:rPr>
        <w:tab/>
      </w:r>
    </w:p>
    <w:p w:rsidR="005A38F4" w:rsidRPr="00186F1F" w:rsidRDefault="00797B97" w:rsidP="00FB13F1">
      <w:pPr>
        <w:spacing w:line="240" w:lineRule="auto"/>
        <w:jc w:val="both"/>
        <w:rPr>
          <w:rFonts w:ascii="Times New Roman" w:eastAsia="Calibri" w:hAnsi="Times New Roman" w:cs="Times New Roman"/>
          <w:b/>
          <w:sz w:val="24"/>
          <w:szCs w:val="24"/>
          <w:lang w:val="en-ZW"/>
        </w:rPr>
      </w:pPr>
      <w:r w:rsidRPr="00186F1F">
        <w:rPr>
          <w:rFonts w:ascii="Times New Roman" w:eastAsia="Calibri" w:hAnsi="Times New Roman" w:cs="Times New Roman"/>
          <w:b/>
          <w:sz w:val="24"/>
          <w:szCs w:val="24"/>
          <w:lang w:val="en-ZW"/>
        </w:rPr>
        <w:t>BHUNU JA</w:t>
      </w:r>
      <w:r w:rsidR="005A38F4" w:rsidRPr="00186F1F">
        <w:rPr>
          <w:rFonts w:ascii="Times New Roman" w:eastAsia="Calibri" w:hAnsi="Times New Roman" w:cs="Times New Roman"/>
          <w:b/>
          <w:sz w:val="24"/>
          <w:szCs w:val="24"/>
          <w:lang w:val="en-ZW"/>
        </w:rPr>
        <w:t xml:space="preserve">, </w:t>
      </w:r>
      <w:r w:rsidRPr="00186F1F">
        <w:rPr>
          <w:rFonts w:ascii="Times New Roman" w:eastAsia="Calibri" w:hAnsi="Times New Roman" w:cs="Times New Roman"/>
          <w:b/>
          <w:sz w:val="24"/>
          <w:szCs w:val="24"/>
          <w:lang w:val="en-ZW"/>
        </w:rPr>
        <w:t>MATHONSI JA &amp; CHITAKUNYE A</w:t>
      </w:r>
      <w:r w:rsidR="005A38F4" w:rsidRPr="00186F1F">
        <w:rPr>
          <w:rFonts w:ascii="Times New Roman" w:eastAsia="Calibri" w:hAnsi="Times New Roman" w:cs="Times New Roman"/>
          <w:b/>
          <w:sz w:val="24"/>
          <w:szCs w:val="24"/>
          <w:lang w:val="en-ZW"/>
        </w:rPr>
        <w:t>JA</w:t>
      </w:r>
    </w:p>
    <w:p w:rsidR="00E94620" w:rsidRPr="00186F1F" w:rsidRDefault="00E94620" w:rsidP="00FB13F1">
      <w:pPr>
        <w:spacing w:after="0" w:line="240" w:lineRule="auto"/>
        <w:jc w:val="both"/>
        <w:rPr>
          <w:rFonts w:ascii="Times New Roman" w:hAnsi="Times New Roman" w:cs="Times New Roman"/>
          <w:b/>
          <w:sz w:val="24"/>
          <w:szCs w:val="24"/>
        </w:rPr>
      </w:pPr>
      <w:r w:rsidRPr="00186F1F">
        <w:rPr>
          <w:rFonts w:ascii="Times New Roman" w:eastAsia="Calibri" w:hAnsi="Times New Roman" w:cs="Times New Roman"/>
          <w:b/>
          <w:sz w:val="24"/>
          <w:szCs w:val="24"/>
          <w:lang w:val="en-ZW"/>
        </w:rPr>
        <w:t xml:space="preserve">HARARE: </w:t>
      </w:r>
      <w:r w:rsidR="004D5B24">
        <w:rPr>
          <w:rFonts w:ascii="Times New Roman" w:eastAsia="Calibri" w:hAnsi="Times New Roman" w:cs="Times New Roman"/>
          <w:b/>
          <w:sz w:val="24"/>
          <w:szCs w:val="24"/>
          <w:lang w:val="en-ZW"/>
        </w:rPr>
        <w:t xml:space="preserve">15 </w:t>
      </w:r>
      <w:r w:rsidR="004D5B24" w:rsidRPr="00186F1F">
        <w:rPr>
          <w:rFonts w:ascii="Times New Roman" w:eastAsia="Calibri" w:hAnsi="Times New Roman" w:cs="Times New Roman"/>
          <w:b/>
          <w:sz w:val="24"/>
          <w:szCs w:val="24"/>
          <w:lang w:val="en-ZW"/>
        </w:rPr>
        <w:t>OCTOBER 2020</w:t>
      </w:r>
      <w:r w:rsidR="00BB47D3" w:rsidRPr="00186F1F">
        <w:rPr>
          <w:rFonts w:ascii="Times New Roman" w:eastAsia="Calibri" w:hAnsi="Times New Roman" w:cs="Times New Roman"/>
          <w:b/>
          <w:sz w:val="24"/>
          <w:szCs w:val="24"/>
          <w:lang w:val="en-ZW"/>
        </w:rPr>
        <w:t xml:space="preserve"> &amp; </w:t>
      </w:r>
      <w:r w:rsidR="004D5B24">
        <w:rPr>
          <w:rFonts w:ascii="Times New Roman" w:eastAsia="Calibri" w:hAnsi="Times New Roman" w:cs="Times New Roman"/>
          <w:b/>
          <w:sz w:val="24"/>
          <w:szCs w:val="24"/>
          <w:lang w:val="en-ZW"/>
        </w:rPr>
        <w:t xml:space="preserve">24 </w:t>
      </w:r>
      <w:r w:rsidR="00684608" w:rsidRPr="00186F1F">
        <w:rPr>
          <w:rFonts w:ascii="Times New Roman" w:eastAsia="Calibri" w:hAnsi="Times New Roman" w:cs="Times New Roman"/>
          <w:b/>
          <w:sz w:val="24"/>
          <w:szCs w:val="24"/>
          <w:lang w:val="en-ZW"/>
        </w:rPr>
        <w:t xml:space="preserve">MAY </w:t>
      </w:r>
      <w:r w:rsidRPr="00186F1F">
        <w:rPr>
          <w:rFonts w:ascii="Times New Roman" w:eastAsia="Calibri" w:hAnsi="Times New Roman" w:cs="Times New Roman"/>
          <w:b/>
          <w:sz w:val="24"/>
          <w:szCs w:val="24"/>
          <w:lang w:val="en-ZW"/>
        </w:rPr>
        <w:t>2021.</w:t>
      </w:r>
    </w:p>
    <w:p w:rsidR="005A38F4" w:rsidRDefault="005A38F4" w:rsidP="00186F1F">
      <w:pPr>
        <w:spacing w:line="360" w:lineRule="auto"/>
        <w:jc w:val="both"/>
        <w:rPr>
          <w:rFonts w:ascii="Times New Roman" w:eastAsia="Calibri" w:hAnsi="Times New Roman" w:cs="Times New Roman"/>
          <w:b/>
          <w:sz w:val="24"/>
          <w:szCs w:val="24"/>
          <w:lang w:val="en-ZW"/>
        </w:rPr>
      </w:pPr>
    </w:p>
    <w:p w:rsidR="00186F1F" w:rsidRPr="00186F1F" w:rsidRDefault="00186F1F" w:rsidP="00186F1F">
      <w:pPr>
        <w:spacing w:line="360" w:lineRule="auto"/>
        <w:jc w:val="both"/>
        <w:rPr>
          <w:rFonts w:ascii="Times New Roman" w:eastAsia="Calibri" w:hAnsi="Times New Roman" w:cs="Times New Roman"/>
          <w:b/>
          <w:sz w:val="24"/>
          <w:szCs w:val="24"/>
          <w:lang w:val="en-ZW"/>
        </w:rPr>
      </w:pPr>
    </w:p>
    <w:p w:rsidR="005A38F4" w:rsidRPr="00186F1F" w:rsidRDefault="00D45265" w:rsidP="005C62AD">
      <w:pPr>
        <w:spacing w:line="360" w:lineRule="auto"/>
        <w:jc w:val="both"/>
        <w:rPr>
          <w:rFonts w:ascii="Times New Roman" w:eastAsia="Calibri" w:hAnsi="Times New Roman" w:cs="Times New Roman"/>
          <w:sz w:val="24"/>
          <w:szCs w:val="24"/>
          <w:lang w:val="en-ZW"/>
        </w:rPr>
      </w:pPr>
      <w:r w:rsidRPr="00186F1F">
        <w:rPr>
          <w:rFonts w:ascii="Times New Roman" w:eastAsia="Calibri" w:hAnsi="Times New Roman" w:cs="Times New Roman"/>
          <w:i/>
          <w:sz w:val="24"/>
          <w:szCs w:val="24"/>
          <w:lang w:val="en-ZW"/>
        </w:rPr>
        <w:t>F. Girach</w:t>
      </w:r>
      <w:r w:rsidR="005A38F4" w:rsidRPr="00186F1F">
        <w:rPr>
          <w:rFonts w:ascii="Times New Roman" w:eastAsia="Calibri" w:hAnsi="Times New Roman" w:cs="Times New Roman"/>
          <w:i/>
          <w:sz w:val="24"/>
          <w:szCs w:val="24"/>
          <w:lang w:val="en-ZW"/>
        </w:rPr>
        <w:t>,</w:t>
      </w:r>
      <w:r w:rsidR="005A38F4" w:rsidRPr="00186F1F">
        <w:rPr>
          <w:rFonts w:ascii="Times New Roman" w:eastAsia="Calibri" w:hAnsi="Times New Roman" w:cs="Times New Roman"/>
          <w:sz w:val="24"/>
          <w:szCs w:val="24"/>
          <w:lang w:val="en-ZW"/>
        </w:rPr>
        <w:t xml:space="preserve"> for the appellant</w:t>
      </w:r>
    </w:p>
    <w:p w:rsidR="005A38F4" w:rsidRPr="00186F1F" w:rsidRDefault="00E94620" w:rsidP="005C62AD">
      <w:pPr>
        <w:spacing w:line="360" w:lineRule="auto"/>
        <w:jc w:val="both"/>
        <w:rPr>
          <w:rFonts w:ascii="Times New Roman" w:eastAsia="Calibri" w:hAnsi="Times New Roman" w:cs="Times New Roman"/>
          <w:sz w:val="24"/>
          <w:szCs w:val="24"/>
          <w:lang w:val="en-ZW"/>
        </w:rPr>
      </w:pPr>
      <w:r w:rsidRPr="00186F1F">
        <w:rPr>
          <w:rFonts w:ascii="Times New Roman" w:eastAsia="Calibri" w:hAnsi="Times New Roman" w:cs="Times New Roman"/>
          <w:i/>
          <w:sz w:val="24"/>
          <w:szCs w:val="24"/>
          <w:lang w:val="en-ZW"/>
        </w:rPr>
        <w:t>A.</w:t>
      </w:r>
      <w:r w:rsidR="00D45265" w:rsidRPr="00186F1F">
        <w:rPr>
          <w:rFonts w:ascii="Times New Roman" w:eastAsia="Calibri" w:hAnsi="Times New Roman" w:cs="Times New Roman"/>
          <w:i/>
          <w:sz w:val="24"/>
          <w:szCs w:val="24"/>
          <w:lang w:val="en-ZW"/>
        </w:rPr>
        <w:t xml:space="preserve"> Saunyama</w:t>
      </w:r>
      <w:r w:rsidR="00336FDA">
        <w:rPr>
          <w:rFonts w:ascii="Times New Roman" w:eastAsia="Calibri" w:hAnsi="Times New Roman" w:cs="Times New Roman"/>
          <w:sz w:val="24"/>
          <w:szCs w:val="24"/>
          <w:lang w:val="en-ZW"/>
        </w:rPr>
        <w:t xml:space="preserve"> with </w:t>
      </w:r>
      <w:r w:rsidR="00336FDA" w:rsidRPr="00564005">
        <w:rPr>
          <w:rFonts w:ascii="Times New Roman" w:eastAsia="Calibri" w:hAnsi="Times New Roman" w:cs="Times New Roman"/>
          <w:i/>
          <w:sz w:val="24"/>
          <w:szCs w:val="24"/>
          <w:lang w:val="en-ZW"/>
        </w:rPr>
        <w:t>M.</w:t>
      </w:r>
      <w:r w:rsidR="00D86820">
        <w:rPr>
          <w:rFonts w:ascii="Times New Roman" w:eastAsia="Calibri" w:hAnsi="Times New Roman" w:cs="Times New Roman"/>
          <w:sz w:val="24"/>
          <w:szCs w:val="24"/>
          <w:lang w:val="en-ZW"/>
        </w:rPr>
        <w:t xml:space="preserve"> </w:t>
      </w:r>
      <w:r w:rsidR="00BF2045" w:rsidRPr="00186F1F">
        <w:rPr>
          <w:rFonts w:ascii="Times New Roman" w:eastAsia="Calibri" w:hAnsi="Times New Roman" w:cs="Times New Roman"/>
          <w:i/>
          <w:sz w:val="24"/>
          <w:szCs w:val="24"/>
          <w:lang w:val="en-ZW"/>
        </w:rPr>
        <w:t>Chipetiwa</w:t>
      </w:r>
      <w:r w:rsidR="004D5B24">
        <w:rPr>
          <w:rFonts w:ascii="Times New Roman" w:eastAsia="Calibri" w:hAnsi="Times New Roman" w:cs="Times New Roman"/>
          <w:i/>
          <w:sz w:val="24"/>
          <w:szCs w:val="24"/>
          <w:lang w:val="en-ZW"/>
        </w:rPr>
        <w:t>,</w:t>
      </w:r>
      <w:r w:rsidR="003B08B4" w:rsidRPr="00186F1F">
        <w:rPr>
          <w:rFonts w:ascii="Times New Roman" w:eastAsia="Calibri" w:hAnsi="Times New Roman" w:cs="Times New Roman"/>
          <w:sz w:val="24"/>
          <w:szCs w:val="24"/>
          <w:lang w:val="en-ZW"/>
        </w:rPr>
        <w:t xml:space="preserve"> for the </w:t>
      </w:r>
      <w:r w:rsidRPr="00186F1F">
        <w:rPr>
          <w:rFonts w:ascii="Times New Roman" w:eastAsia="Calibri" w:hAnsi="Times New Roman" w:cs="Times New Roman"/>
          <w:sz w:val="24"/>
          <w:szCs w:val="24"/>
          <w:lang w:val="en-ZW"/>
        </w:rPr>
        <w:t>first</w:t>
      </w:r>
      <w:r w:rsidR="005A38F4" w:rsidRPr="00186F1F">
        <w:rPr>
          <w:rFonts w:ascii="Times New Roman" w:eastAsia="Calibri" w:hAnsi="Times New Roman" w:cs="Times New Roman"/>
          <w:sz w:val="24"/>
          <w:szCs w:val="24"/>
          <w:lang w:val="en-ZW"/>
        </w:rPr>
        <w:t xml:space="preserve"> respondent</w:t>
      </w:r>
    </w:p>
    <w:p w:rsidR="005A38F4" w:rsidRPr="00186F1F" w:rsidRDefault="003B08B4" w:rsidP="005C62AD">
      <w:pPr>
        <w:spacing w:line="360" w:lineRule="auto"/>
        <w:jc w:val="both"/>
        <w:rPr>
          <w:rFonts w:ascii="Times New Roman" w:eastAsia="Calibri" w:hAnsi="Times New Roman" w:cs="Times New Roman"/>
          <w:sz w:val="24"/>
          <w:szCs w:val="24"/>
          <w:lang w:val="en-ZW"/>
        </w:rPr>
      </w:pPr>
      <w:r w:rsidRPr="00186F1F">
        <w:rPr>
          <w:rFonts w:ascii="Times New Roman" w:eastAsia="Calibri" w:hAnsi="Times New Roman" w:cs="Times New Roman"/>
          <w:sz w:val="24"/>
          <w:szCs w:val="24"/>
          <w:lang w:val="en-ZW"/>
        </w:rPr>
        <w:t xml:space="preserve">No appearance, for the </w:t>
      </w:r>
      <w:r w:rsidR="00E94620" w:rsidRPr="00186F1F">
        <w:rPr>
          <w:rFonts w:ascii="Times New Roman" w:eastAsia="Calibri" w:hAnsi="Times New Roman" w:cs="Times New Roman"/>
          <w:sz w:val="24"/>
          <w:szCs w:val="24"/>
          <w:lang w:val="en-ZW"/>
        </w:rPr>
        <w:t>second</w:t>
      </w:r>
      <w:r w:rsidR="00A67297">
        <w:rPr>
          <w:rFonts w:ascii="Times New Roman" w:eastAsia="Calibri" w:hAnsi="Times New Roman" w:cs="Times New Roman"/>
          <w:sz w:val="24"/>
          <w:szCs w:val="24"/>
          <w:lang w:val="en-ZW"/>
        </w:rPr>
        <w:t xml:space="preserve"> to</w:t>
      </w:r>
      <w:r w:rsidRPr="00186F1F">
        <w:rPr>
          <w:rFonts w:ascii="Times New Roman" w:eastAsia="Calibri" w:hAnsi="Times New Roman" w:cs="Times New Roman"/>
          <w:sz w:val="24"/>
          <w:szCs w:val="24"/>
          <w:lang w:val="en-ZW"/>
        </w:rPr>
        <w:t xml:space="preserve"> </w:t>
      </w:r>
      <w:r w:rsidR="00E94620" w:rsidRPr="00186F1F">
        <w:rPr>
          <w:rFonts w:ascii="Times New Roman" w:eastAsia="Calibri" w:hAnsi="Times New Roman" w:cs="Times New Roman"/>
          <w:sz w:val="24"/>
          <w:szCs w:val="24"/>
          <w:lang w:val="en-ZW"/>
        </w:rPr>
        <w:t>sixth</w:t>
      </w:r>
      <w:r w:rsidR="00D45265" w:rsidRPr="00186F1F">
        <w:rPr>
          <w:rFonts w:ascii="Times New Roman" w:eastAsia="Calibri" w:hAnsi="Times New Roman" w:cs="Times New Roman"/>
          <w:sz w:val="24"/>
          <w:szCs w:val="24"/>
          <w:lang w:val="en-ZW"/>
        </w:rPr>
        <w:t xml:space="preserve"> respondents</w:t>
      </w:r>
    </w:p>
    <w:p w:rsidR="005A38F4" w:rsidRPr="00186F1F" w:rsidRDefault="005A38F4" w:rsidP="005C62AD">
      <w:pPr>
        <w:spacing w:line="360" w:lineRule="auto"/>
        <w:ind w:left="720"/>
        <w:jc w:val="both"/>
        <w:rPr>
          <w:rFonts w:ascii="Times New Roman" w:eastAsia="Calibri" w:hAnsi="Times New Roman" w:cs="Times New Roman"/>
          <w:sz w:val="24"/>
          <w:szCs w:val="24"/>
          <w:lang w:val="en-ZW"/>
        </w:rPr>
      </w:pPr>
    </w:p>
    <w:p w:rsidR="005A38F4" w:rsidRPr="00186F1F" w:rsidRDefault="00E94620" w:rsidP="00FB13F1">
      <w:pPr>
        <w:tabs>
          <w:tab w:val="left" w:pos="1134"/>
        </w:tabs>
        <w:spacing w:after="0" w:line="480" w:lineRule="auto"/>
        <w:ind w:firstLine="720"/>
        <w:jc w:val="both"/>
        <w:rPr>
          <w:rFonts w:ascii="Times New Roman" w:eastAsia="Calibri" w:hAnsi="Times New Roman" w:cs="Times New Roman"/>
          <w:sz w:val="24"/>
          <w:szCs w:val="24"/>
          <w:lang w:val="en-ZW"/>
        </w:rPr>
      </w:pPr>
      <w:r w:rsidRPr="00186F1F">
        <w:rPr>
          <w:rFonts w:ascii="Times New Roman" w:eastAsia="Calibri" w:hAnsi="Times New Roman" w:cs="Times New Roman"/>
          <w:b/>
          <w:sz w:val="24"/>
          <w:szCs w:val="24"/>
          <w:lang w:val="en-ZW"/>
        </w:rPr>
        <w:tab/>
      </w:r>
      <w:r w:rsidR="00BF2045" w:rsidRPr="00186F1F">
        <w:rPr>
          <w:rFonts w:ascii="Times New Roman" w:eastAsia="Calibri" w:hAnsi="Times New Roman" w:cs="Times New Roman"/>
          <w:b/>
          <w:sz w:val="24"/>
          <w:szCs w:val="24"/>
          <w:lang w:val="en-ZW"/>
        </w:rPr>
        <w:t>CHITAKUNYE A</w:t>
      </w:r>
      <w:r w:rsidR="005A38F4" w:rsidRPr="00186F1F">
        <w:rPr>
          <w:rFonts w:ascii="Times New Roman" w:eastAsia="Calibri" w:hAnsi="Times New Roman" w:cs="Times New Roman"/>
          <w:b/>
          <w:sz w:val="24"/>
          <w:szCs w:val="24"/>
          <w:lang w:val="en-ZW"/>
        </w:rPr>
        <w:t>J</w:t>
      </w:r>
      <w:r w:rsidR="00BF2045" w:rsidRPr="00186F1F">
        <w:rPr>
          <w:rFonts w:ascii="Times New Roman" w:eastAsia="Calibri" w:hAnsi="Times New Roman" w:cs="Times New Roman"/>
          <w:b/>
          <w:sz w:val="24"/>
          <w:szCs w:val="24"/>
          <w:lang w:val="en-ZW"/>
        </w:rPr>
        <w:t>A</w:t>
      </w:r>
      <w:r w:rsidR="005A38F4" w:rsidRPr="00186F1F">
        <w:rPr>
          <w:rFonts w:ascii="Times New Roman" w:eastAsia="Calibri" w:hAnsi="Times New Roman" w:cs="Times New Roman"/>
          <w:sz w:val="24"/>
          <w:szCs w:val="24"/>
          <w:lang w:val="en-ZW"/>
        </w:rPr>
        <w:t xml:space="preserve">: </w:t>
      </w:r>
      <w:r w:rsidR="002E4629">
        <w:rPr>
          <w:rFonts w:ascii="Times New Roman" w:eastAsia="Calibri" w:hAnsi="Times New Roman" w:cs="Times New Roman"/>
          <w:sz w:val="24"/>
          <w:szCs w:val="24"/>
          <w:lang w:val="en-ZW"/>
        </w:rPr>
        <w:tab/>
      </w:r>
      <w:r w:rsidR="005A38F4" w:rsidRPr="00186F1F">
        <w:rPr>
          <w:rFonts w:ascii="Times New Roman" w:eastAsia="Calibri" w:hAnsi="Times New Roman" w:cs="Times New Roman"/>
          <w:sz w:val="24"/>
          <w:szCs w:val="24"/>
          <w:lang w:val="en-ZW"/>
        </w:rPr>
        <w:t>This</w:t>
      </w:r>
      <w:r w:rsidR="00D8609B" w:rsidRPr="00186F1F">
        <w:rPr>
          <w:rFonts w:ascii="Times New Roman" w:eastAsia="Calibri" w:hAnsi="Times New Roman" w:cs="Times New Roman"/>
          <w:sz w:val="24"/>
          <w:szCs w:val="24"/>
          <w:lang w:val="en-ZW"/>
        </w:rPr>
        <w:t xml:space="preserve"> is an appeal against the whole</w:t>
      </w:r>
      <w:r w:rsidR="00D72BE3">
        <w:rPr>
          <w:rFonts w:ascii="Times New Roman" w:eastAsia="Calibri" w:hAnsi="Times New Roman" w:cs="Times New Roman"/>
          <w:sz w:val="24"/>
          <w:szCs w:val="24"/>
          <w:lang w:val="en-ZW"/>
        </w:rPr>
        <w:t xml:space="preserve"> judgment of the High </w:t>
      </w:r>
      <w:r w:rsidR="005A38F4" w:rsidRPr="00186F1F">
        <w:rPr>
          <w:rFonts w:ascii="Times New Roman" w:eastAsia="Calibri" w:hAnsi="Times New Roman" w:cs="Times New Roman"/>
          <w:sz w:val="24"/>
          <w:szCs w:val="24"/>
          <w:lang w:val="en-ZW"/>
        </w:rPr>
        <w:t xml:space="preserve">Court (“the court </w:t>
      </w:r>
      <w:r w:rsidR="005A38F4" w:rsidRPr="00186F1F">
        <w:rPr>
          <w:rFonts w:ascii="Times New Roman" w:eastAsia="Calibri" w:hAnsi="Times New Roman" w:cs="Times New Roman"/>
          <w:i/>
          <w:sz w:val="24"/>
          <w:szCs w:val="24"/>
          <w:lang w:val="en-ZW"/>
        </w:rPr>
        <w:t>a quo</w:t>
      </w:r>
      <w:r w:rsidR="005A38F4" w:rsidRPr="00186F1F">
        <w:rPr>
          <w:rFonts w:ascii="Times New Roman" w:eastAsia="Calibri" w:hAnsi="Times New Roman" w:cs="Times New Roman"/>
          <w:sz w:val="24"/>
          <w:szCs w:val="24"/>
          <w:lang w:val="en-ZW"/>
        </w:rPr>
        <w:t xml:space="preserve">”) handed down on </w:t>
      </w:r>
      <w:r w:rsidR="00BF2045" w:rsidRPr="00186F1F">
        <w:rPr>
          <w:rFonts w:ascii="Times New Roman" w:eastAsia="Calibri" w:hAnsi="Times New Roman" w:cs="Times New Roman"/>
          <w:sz w:val="24"/>
          <w:szCs w:val="24"/>
          <w:lang w:val="en-ZW"/>
        </w:rPr>
        <w:t xml:space="preserve"> 1</w:t>
      </w:r>
      <w:r w:rsidR="005A38F4" w:rsidRPr="00186F1F">
        <w:rPr>
          <w:rFonts w:ascii="Times New Roman" w:eastAsia="Calibri" w:hAnsi="Times New Roman" w:cs="Times New Roman"/>
          <w:sz w:val="24"/>
          <w:szCs w:val="24"/>
          <w:lang w:val="en-ZW"/>
        </w:rPr>
        <w:t>5 June</w:t>
      </w:r>
      <w:r w:rsidR="00BF2045" w:rsidRPr="00186F1F">
        <w:rPr>
          <w:rFonts w:ascii="Times New Roman" w:eastAsia="Calibri" w:hAnsi="Times New Roman" w:cs="Times New Roman"/>
          <w:sz w:val="24"/>
          <w:szCs w:val="24"/>
          <w:lang w:val="en-ZW"/>
        </w:rPr>
        <w:t xml:space="preserve"> 2011</w:t>
      </w:r>
      <w:r w:rsidR="00E33782" w:rsidRPr="00186F1F">
        <w:rPr>
          <w:rFonts w:ascii="Times New Roman" w:eastAsia="Calibri" w:hAnsi="Times New Roman" w:cs="Times New Roman"/>
          <w:sz w:val="24"/>
          <w:szCs w:val="24"/>
          <w:lang w:val="en-ZW"/>
        </w:rPr>
        <w:t xml:space="preserve"> </w:t>
      </w:r>
      <w:r w:rsidR="005A38F4" w:rsidRPr="00186F1F">
        <w:rPr>
          <w:rFonts w:ascii="Times New Roman" w:eastAsia="Calibri" w:hAnsi="Times New Roman" w:cs="Times New Roman"/>
          <w:sz w:val="24"/>
          <w:szCs w:val="24"/>
          <w:lang w:val="en-ZW"/>
        </w:rPr>
        <w:t xml:space="preserve">wherein the </w:t>
      </w:r>
      <w:r w:rsidR="00394FAD" w:rsidRPr="00186F1F">
        <w:rPr>
          <w:rFonts w:ascii="Times New Roman" w:eastAsia="Calibri" w:hAnsi="Times New Roman" w:cs="Times New Roman"/>
          <w:sz w:val="24"/>
          <w:szCs w:val="24"/>
          <w:lang w:val="en-ZW"/>
        </w:rPr>
        <w:t xml:space="preserve">court </w:t>
      </w:r>
      <w:r w:rsidR="00394FAD" w:rsidRPr="00186F1F">
        <w:rPr>
          <w:rFonts w:ascii="Times New Roman" w:eastAsia="Calibri" w:hAnsi="Times New Roman" w:cs="Times New Roman"/>
          <w:i/>
          <w:sz w:val="24"/>
          <w:szCs w:val="24"/>
          <w:lang w:val="en-ZW"/>
        </w:rPr>
        <w:t>a quo</w:t>
      </w:r>
      <w:r w:rsidR="00394FAD" w:rsidRPr="00186F1F">
        <w:rPr>
          <w:rFonts w:ascii="Times New Roman" w:eastAsia="Calibri" w:hAnsi="Times New Roman" w:cs="Times New Roman"/>
          <w:sz w:val="24"/>
          <w:szCs w:val="24"/>
          <w:lang w:val="en-ZW"/>
        </w:rPr>
        <w:t xml:space="preserve"> granted an</w:t>
      </w:r>
      <w:r w:rsidR="005A38F4" w:rsidRPr="00186F1F">
        <w:rPr>
          <w:rFonts w:ascii="Times New Roman" w:eastAsia="Calibri" w:hAnsi="Times New Roman" w:cs="Times New Roman"/>
          <w:sz w:val="24"/>
          <w:szCs w:val="24"/>
          <w:lang w:val="en-ZW"/>
        </w:rPr>
        <w:t xml:space="preserve"> application </w:t>
      </w:r>
      <w:r w:rsidR="000D4ABF" w:rsidRPr="00186F1F">
        <w:rPr>
          <w:rFonts w:ascii="Times New Roman" w:eastAsia="Calibri" w:hAnsi="Times New Roman" w:cs="Times New Roman"/>
          <w:sz w:val="24"/>
          <w:szCs w:val="24"/>
          <w:lang w:val="en-ZW"/>
        </w:rPr>
        <w:t>for a declaratur</w:t>
      </w:r>
      <w:r w:rsidR="00E33782" w:rsidRPr="00186F1F">
        <w:rPr>
          <w:rFonts w:ascii="Times New Roman" w:eastAsia="Calibri" w:hAnsi="Times New Roman" w:cs="Times New Roman"/>
          <w:sz w:val="24"/>
          <w:szCs w:val="24"/>
          <w:lang w:val="en-ZW"/>
        </w:rPr>
        <w:t xml:space="preserve"> that </w:t>
      </w:r>
      <w:r w:rsidR="00394FAD" w:rsidRPr="00186F1F">
        <w:rPr>
          <w:rFonts w:ascii="Times New Roman" w:eastAsia="Calibri" w:hAnsi="Times New Roman" w:cs="Times New Roman"/>
          <w:sz w:val="24"/>
          <w:szCs w:val="24"/>
          <w:lang w:val="en-ZW"/>
        </w:rPr>
        <w:t>the sale</w:t>
      </w:r>
      <w:r w:rsidR="005A38F4" w:rsidRPr="00186F1F">
        <w:rPr>
          <w:rFonts w:ascii="Times New Roman" w:eastAsia="Calibri" w:hAnsi="Times New Roman" w:cs="Times New Roman"/>
          <w:sz w:val="24"/>
          <w:szCs w:val="24"/>
          <w:lang w:val="en-ZW"/>
        </w:rPr>
        <w:t xml:space="preserve"> </w:t>
      </w:r>
      <w:r w:rsidR="00394FAD" w:rsidRPr="00186F1F">
        <w:rPr>
          <w:rFonts w:ascii="Times New Roman" w:eastAsia="Calibri" w:hAnsi="Times New Roman" w:cs="Times New Roman"/>
          <w:sz w:val="24"/>
          <w:szCs w:val="24"/>
          <w:lang w:val="en-ZW"/>
        </w:rPr>
        <w:t>and transfer of Stand 382 Good Hope T</w:t>
      </w:r>
      <w:r w:rsidR="00E33782" w:rsidRPr="00186F1F">
        <w:rPr>
          <w:rFonts w:ascii="Times New Roman" w:eastAsia="Calibri" w:hAnsi="Times New Roman" w:cs="Times New Roman"/>
          <w:sz w:val="24"/>
          <w:szCs w:val="24"/>
          <w:lang w:val="en-ZW"/>
        </w:rPr>
        <w:t xml:space="preserve">ownship to the appellant was </w:t>
      </w:r>
      <w:r w:rsidR="00143EF6" w:rsidRPr="00186F1F">
        <w:rPr>
          <w:rFonts w:ascii="Times New Roman" w:eastAsia="Calibri" w:hAnsi="Times New Roman" w:cs="Times New Roman"/>
          <w:sz w:val="24"/>
          <w:szCs w:val="24"/>
          <w:lang w:val="en-ZW"/>
        </w:rPr>
        <w:t>null and void</w:t>
      </w:r>
      <w:r w:rsidR="00D8609B" w:rsidRPr="00186F1F">
        <w:rPr>
          <w:rFonts w:ascii="Times New Roman" w:eastAsia="Calibri" w:hAnsi="Times New Roman" w:cs="Times New Roman"/>
          <w:sz w:val="24"/>
          <w:szCs w:val="24"/>
          <w:lang w:val="en-ZW"/>
        </w:rPr>
        <w:t>.</w:t>
      </w:r>
    </w:p>
    <w:p w:rsidR="00646182" w:rsidRDefault="00646182" w:rsidP="00FB13F1">
      <w:pPr>
        <w:spacing w:after="0" w:line="360" w:lineRule="auto"/>
        <w:jc w:val="both"/>
        <w:rPr>
          <w:rFonts w:ascii="Times New Roman" w:eastAsia="Calibri" w:hAnsi="Times New Roman" w:cs="Times New Roman"/>
          <w:sz w:val="24"/>
          <w:szCs w:val="24"/>
          <w:lang w:val="en-ZW"/>
        </w:rPr>
      </w:pPr>
    </w:p>
    <w:p w:rsidR="00186F1F" w:rsidRPr="00186F1F" w:rsidRDefault="00186F1F" w:rsidP="00FB13F1">
      <w:pPr>
        <w:spacing w:after="0" w:line="360" w:lineRule="auto"/>
        <w:jc w:val="both"/>
        <w:rPr>
          <w:rFonts w:ascii="Times New Roman" w:eastAsia="Calibri" w:hAnsi="Times New Roman" w:cs="Times New Roman"/>
          <w:sz w:val="24"/>
          <w:szCs w:val="24"/>
          <w:lang w:val="en-ZW"/>
        </w:rPr>
      </w:pPr>
    </w:p>
    <w:p w:rsidR="00E33782" w:rsidRPr="00186F1F" w:rsidRDefault="007237A2" w:rsidP="005C62AD">
      <w:pPr>
        <w:spacing w:line="360" w:lineRule="auto"/>
        <w:jc w:val="both"/>
        <w:rPr>
          <w:rFonts w:ascii="Times New Roman" w:eastAsia="Calibri" w:hAnsi="Times New Roman" w:cs="Times New Roman"/>
          <w:b/>
          <w:sz w:val="24"/>
          <w:szCs w:val="24"/>
          <w:lang w:val="en-ZW"/>
        </w:rPr>
      </w:pPr>
      <w:r w:rsidRPr="00186F1F">
        <w:rPr>
          <w:rFonts w:ascii="Times New Roman" w:eastAsia="Calibri" w:hAnsi="Times New Roman" w:cs="Times New Roman"/>
          <w:b/>
          <w:sz w:val="24"/>
          <w:szCs w:val="24"/>
          <w:lang w:val="en-ZW"/>
        </w:rPr>
        <w:lastRenderedPageBreak/>
        <w:t xml:space="preserve">FACTUAL BACKGROUND </w:t>
      </w:r>
    </w:p>
    <w:p w:rsidR="00D8609B" w:rsidRPr="00186F1F" w:rsidRDefault="00646182" w:rsidP="00FB13F1">
      <w:pPr>
        <w:tabs>
          <w:tab w:val="left" w:pos="1134"/>
        </w:tabs>
        <w:spacing w:after="0" w:line="480" w:lineRule="auto"/>
        <w:ind w:firstLine="720"/>
        <w:jc w:val="both"/>
        <w:rPr>
          <w:rFonts w:ascii="Times New Roman" w:eastAsia="Calibri" w:hAnsi="Times New Roman" w:cs="Times New Roman"/>
          <w:sz w:val="24"/>
          <w:szCs w:val="24"/>
          <w:lang w:bidi="en-US"/>
        </w:rPr>
      </w:pPr>
      <w:r w:rsidRPr="00186F1F">
        <w:rPr>
          <w:rFonts w:ascii="Times New Roman" w:eastAsia="Calibri" w:hAnsi="Times New Roman" w:cs="Times New Roman"/>
          <w:sz w:val="24"/>
          <w:szCs w:val="24"/>
          <w:lang w:bidi="en-US"/>
        </w:rPr>
        <w:tab/>
      </w:r>
      <w:r w:rsidR="009248F9" w:rsidRPr="00186F1F">
        <w:rPr>
          <w:rFonts w:ascii="Times New Roman" w:eastAsia="Calibri" w:hAnsi="Times New Roman" w:cs="Times New Roman"/>
          <w:sz w:val="24"/>
          <w:szCs w:val="24"/>
          <w:lang w:bidi="en-US"/>
        </w:rPr>
        <w:t xml:space="preserve">The matter before the court </w:t>
      </w:r>
      <w:r w:rsidR="009248F9" w:rsidRPr="00186F1F">
        <w:rPr>
          <w:rFonts w:ascii="Times New Roman" w:eastAsia="Calibri" w:hAnsi="Times New Roman" w:cs="Times New Roman"/>
          <w:i/>
          <w:sz w:val="24"/>
          <w:szCs w:val="24"/>
          <w:lang w:bidi="en-US"/>
        </w:rPr>
        <w:t>a quo</w:t>
      </w:r>
      <w:r w:rsidR="009248F9" w:rsidRPr="00186F1F">
        <w:rPr>
          <w:rFonts w:ascii="Times New Roman" w:eastAsia="Calibri" w:hAnsi="Times New Roman" w:cs="Times New Roman"/>
          <w:sz w:val="24"/>
          <w:szCs w:val="24"/>
          <w:lang w:bidi="en-US"/>
        </w:rPr>
        <w:t xml:space="preserve"> was a court application for a declaration o</w:t>
      </w:r>
      <w:r w:rsidR="00C806A9" w:rsidRPr="00186F1F">
        <w:rPr>
          <w:rFonts w:ascii="Times New Roman" w:eastAsia="Calibri" w:hAnsi="Times New Roman" w:cs="Times New Roman"/>
          <w:sz w:val="24"/>
          <w:szCs w:val="24"/>
          <w:lang w:bidi="en-US"/>
        </w:rPr>
        <w:t>f the sale and registration of S</w:t>
      </w:r>
      <w:r w:rsidR="009248F9" w:rsidRPr="00186F1F">
        <w:rPr>
          <w:rFonts w:ascii="Times New Roman" w:eastAsia="Calibri" w:hAnsi="Times New Roman" w:cs="Times New Roman"/>
          <w:sz w:val="24"/>
          <w:szCs w:val="24"/>
          <w:lang w:bidi="en-US"/>
        </w:rPr>
        <w:t xml:space="preserve">tand 382 Good Hope Township of Subdivision B of Good Hope into the appellant’s name as being null and void. </w:t>
      </w:r>
    </w:p>
    <w:p w:rsidR="00B73CC7" w:rsidRPr="00186F1F" w:rsidRDefault="00B73CC7" w:rsidP="00FB13F1">
      <w:pPr>
        <w:tabs>
          <w:tab w:val="left" w:pos="1134"/>
        </w:tabs>
        <w:spacing w:after="0" w:line="480" w:lineRule="auto"/>
        <w:ind w:firstLine="720"/>
        <w:jc w:val="both"/>
        <w:rPr>
          <w:rFonts w:ascii="Times New Roman" w:eastAsia="Calibri" w:hAnsi="Times New Roman" w:cs="Times New Roman"/>
          <w:sz w:val="24"/>
          <w:szCs w:val="24"/>
          <w:lang w:bidi="en-US"/>
        </w:rPr>
      </w:pPr>
    </w:p>
    <w:p w:rsidR="009248F9" w:rsidRPr="00186F1F" w:rsidRDefault="00B73CC7" w:rsidP="00FB13F1">
      <w:pPr>
        <w:tabs>
          <w:tab w:val="left" w:pos="1134"/>
        </w:tabs>
        <w:spacing w:after="0" w:line="480" w:lineRule="auto"/>
        <w:ind w:firstLine="720"/>
        <w:jc w:val="both"/>
        <w:rPr>
          <w:rFonts w:ascii="Times New Roman" w:eastAsia="Calibri" w:hAnsi="Times New Roman" w:cs="Times New Roman"/>
          <w:sz w:val="24"/>
          <w:szCs w:val="24"/>
          <w:lang w:bidi="en-US"/>
        </w:rPr>
      </w:pPr>
      <w:r w:rsidRPr="00186F1F">
        <w:rPr>
          <w:rFonts w:ascii="Times New Roman" w:eastAsia="Calibri" w:hAnsi="Times New Roman" w:cs="Times New Roman"/>
          <w:sz w:val="24"/>
          <w:szCs w:val="24"/>
          <w:lang w:bidi="en-US"/>
        </w:rPr>
        <w:tab/>
      </w:r>
      <w:r w:rsidR="009248F9" w:rsidRPr="00186F1F">
        <w:rPr>
          <w:rFonts w:ascii="Times New Roman" w:eastAsia="Calibri" w:hAnsi="Times New Roman" w:cs="Times New Roman"/>
          <w:sz w:val="24"/>
          <w:szCs w:val="24"/>
          <w:lang w:bidi="en-US"/>
        </w:rPr>
        <w:t>In</w:t>
      </w:r>
      <w:r w:rsidR="003A57B2" w:rsidRPr="00186F1F">
        <w:rPr>
          <w:rFonts w:ascii="Times New Roman" w:eastAsia="Calibri" w:hAnsi="Times New Roman" w:cs="Times New Roman"/>
          <w:sz w:val="24"/>
          <w:szCs w:val="24"/>
          <w:lang w:bidi="en-US"/>
        </w:rPr>
        <w:t xml:space="preserve"> November</w:t>
      </w:r>
      <w:r w:rsidR="009248F9" w:rsidRPr="00186F1F">
        <w:rPr>
          <w:rFonts w:ascii="Times New Roman" w:eastAsia="Calibri" w:hAnsi="Times New Roman" w:cs="Times New Roman"/>
          <w:sz w:val="24"/>
          <w:szCs w:val="24"/>
          <w:lang w:bidi="en-US"/>
        </w:rPr>
        <w:t xml:space="preserve"> 1999 the </w:t>
      </w:r>
      <w:r w:rsidRPr="00186F1F">
        <w:rPr>
          <w:rFonts w:ascii="Times New Roman" w:eastAsia="Calibri" w:hAnsi="Times New Roman" w:cs="Times New Roman"/>
          <w:sz w:val="24"/>
          <w:szCs w:val="24"/>
          <w:lang w:bidi="en-US"/>
        </w:rPr>
        <w:t>first</w:t>
      </w:r>
      <w:r w:rsidR="009248F9" w:rsidRPr="00186F1F">
        <w:rPr>
          <w:rFonts w:ascii="Times New Roman" w:eastAsia="Calibri" w:hAnsi="Times New Roman" w:cs="Times New Roman"/>
          <w:sz w:val="24"/>
          <w:szCs w:val="24"/>
          <w:lang w:bidi="en-US"/>
        </w:rPr>
        <w:t xml:space="preserve"> respondent entered into an agreement of sale in terms of which he purchased an immovable property</w:t>
      </w:r>
      <w:r w:rsidR="00C806A9" w:rsidRPr="00186F1F">
        <w:rPr>
          <w:rFonts w:ascii="Times New Roman" w:eastAsia="Calibri" w:hAnsi="Times New Roman" w:cs="Times New Roman"/>
          <w:sz w:val="24"/>
          <w:szCs w:val="24"/>
          <w:lang w:bidi="en-US"/>
        </w:rPr>
        <w:t xml:space="preserve">, namely Stand 382 </w:t>
      </w:r>
      <w:r w:rsidR="000D4ABF" w:rsidRPr="00186F1F">
        <w:rPr>
          <w:rFonts w:ascii="Times New Roman" w:eastAsia="Calibri" w:hAnsi="Times New Roman" w:cs="Times New Roman"/>
          <w:sz w:val="24"/>
          <w:szCs w:val="24"/>
          <w:lang w:bidi="en-US"/>
        </w:rPr>
        <w:t>Good H</w:t>
      </w:r>
      <w:r w:rsidR="003A57B2" w:rsidRPr="00186F1F">
        <w:rPr>
          <w:rFonts w:ascii="Times New Roman" w:eastAsia="Calibri" w:hAnsi="Times New Roman" w:cs="Times New Roman"/>
          <w:sz w:val="24"/>
          <w:szCs w:val="24"/>
          <w:lang w:bidi="en-US"/>
        </w:rPr>
        <w:t>ope</w:t>
      </w:r>
      <w:r w:rsidR="00C806A9" w:rsidRPr="00186F1F">
        <w:rPr>
          <w:rFonts w:ascii="Times New Roman" w:eastAsia="Calibri" w:hAnsi="Times New Roman" w:cs="Times New Roman"/>
          <w:sz w:val="24"/>
          <w:szCs w:val="24"/>
          <w:lang w:bidi="en-US"/>
        </w:rPr>
        <w:t xml:space="preserve"> Township of subdivision B of </w:t>
      </w:r>
      <w:r w:rsidR="000D4ABF" w:rsidRPr="00186F1F">
        <w:rPr>
          <w:rFonts w:ascii="Times New Roman" w:eastAsia="Calibri" w:hAnsi="Times New Roman" w:cs="Times New Roman"/>
          <w:sz w:val="24"/>
          <w:szCs w:val="24"/>
          <w:lang w:bidi="en-US"/>
        </w:rPr>
        <w:t>Good H</w:t>
      </w:r>
      <w:r w:rsidR="003A57B2" w:rsidRPr="00186F1F">
        <w:rPr>
          <w:rFonts w:ascii="Times New Roman" w:eastAsia="Calibri" w:hAnsi="Times New Roman" w:cs="Times New Roman"/>
          <w:sz w:val="24"/>
          <w:szCs w:val="24"/>
          <w:lang w:bidi="en-US"/>
        </w:rPr>
        <w:t>ope,</w:t>
      </w:r>
      <w:r w:rsidR="009248F9" w:rsidRPr="00186F1F">
        <w:rPr>
          <w:rFonts w:ascii="Times New Roman" w:eastAsia="Calibri" w:hAnsi="Times New Roman" w:cs="Times New Roman"/>
          <w:sz w:val="24"/>
          <w:szCs w:val="24"/>
          <w:lang w:bidi="en-US"/>
        </w:rPr>
        <w:t xml:space="preserve"> from the estate of the late Johanna Maria </w:t>
      </w:r>
      <w:r w:rsidR="00C806A9" w:rsidRPr="00186F1F">
        <w:rPr>
          <w:rFonts w:ascii="Times New Roman" w:eastAsia="Calibri" w:hAnsi="Times New Roman" w:cs="Times New Roman"/>
          <w:sz w:val="24"/>
          <w:szCs w:val="24"/>
          <w:lang w:bidi="en-US"/>
        </w:rPr>
        <w:t>Francisca</w:t>
      </w:r>
      <w:r w:rsidR="009248F9" w:rsidRPr="00186F1F">
        <w:rPr>
          <w:rFonts w:ascii="Times New Roman" w:eastAsia="Calibri" w:hAnsi="Times New Roman" w:cs="Times New Roman"/>
          <w:sz w:val="24"/>
          <w:szCs w:val="24"/>
          <w:lang w:bidi="en-US"/>
        </w:rPr>
        <w:t xml:space="preserve"> Logan as represented by the executrix testamentary of the estate. The immovable property was transferred to the </w:t>
      </w:r>
      <w:r w:rsidRPr="00186F1F">
        <w:rPr>
          <w:rFonts w:ascii="Times New Roman" w:eastAsia="Calibri" w:hAnsi="Times New Roman" w:cs="Times New Roman"/>
          <w:sz w:val="24"/>
          <w:szCs w:val="24"/>
          <w:lang w:bidi="en-US"/>
        </w:rPr>
        <w:t>first</w:t>
      </w:r>
      <w:r w:rsidR="00B84021" w:rsidRPr="00186F1F">
        <w:rPr>
          <w:rFonts w:ascii="Times New Roman" w:eastAsia="Calibri" w:hAnsi="Times New Roman" w:cs="Times New Roman"/>
          <w:sz w:val="24"/>
          <w:szCs w:val="24"/>
          <w:lang w:bidi="en-US"/>
        </w:rPr>
        <w:t xml:space="preserve"> respondent on 2</w:t>
      </w:r>
      <w:r w:rsidR="009248F9" w:rsidRPr="00186F1F">
        <w:rPr>
          <w:rFonts w:ascii="Times New Roman" w:eastAsia="Calibri" w:hAnsi="Times New Roman" w:cs="Times New Roman"/>
          <w:sz w:val="24"/>
          <w:szCs w:val="24"/>
          <w:lang w:bidi="en-US"/>
        </w:rPr>
        <w:t xml:space="preserve"> April 2007 by virtue of deed of transfer number 1597/2007.</w:t>
      </w:r>
    </w:p>
    <w:p w:rsidR="00B73CC7" w:rsidRPr="00186F1F" w:rsidRDefault="00B73CC7" w:rsidP="00FB13F1">
      <w:pPr>
        <w:tabs>
          <w:tab w:val="left" w:pos="1134"/>
        </w:tabs>
        <w:spacing w:after="0" w:line="360" w:lineRule="auto"/>
        <w:ind w:firstLine="720"/>
        <w:jc w:val="both"/>
        <w:rPr>
          <w:rFonts w:ascii="Times New Roman" w:eastAsia="Calibri" w:hAnsi="Times New Roman" w:cs="Times New Roman"/>
          <w:sz w:val="24"/>
          <w:szCs w:val="24"/>
          <w:lang w:bidi="en-US"/>
        </w:rPr>
      </w:pPr>
    </w:p>
    <w:p w:rsidR="005A7F6E" w:rsidRPr="00186F1F" w:rsidRDefault="00F6026C" w:rsidP="00E07F12">
      <w:pPr>
        <w:tabs>
          <w:tab w:val="left" w:pos="1134"/>
        </w:tabs>
        <w:spacing w:after="0" w:line="480" w:lineRule="auto"/>
        <w:jc w:val="both"/>
        <w:rPr>
          <w:rFonts w:ascii="Times New Roman" w:eastAsia="Calibri" w:hAnsi="Times New Roman" w:cs="Times New Roman"/>
          <w:sz w:val="24"/>
          <w:szCs w:val="24"/>
          <w:lang w:bidi="en-US"/>
        </w:rPr>
      </w:pPr>
      <w:r w:rsidRPr="00186F1F">
        <w:rPr>
          <w:rFonts w:ascii="Times New Roman" w:eastAsia="Calibri" w:hAnsi="Times New Roman" w:cs="Times New Roman"/>
          <w:sz w:val="24"/>
          <w:szCs w:val="24"/>
          <w:lang w:bidi="en-US"/>
        </w:rPr>
        <w:tab/>
      </w:r>
      <w:r w:rsidR="00DB169D" w:rsidRPr="00186F1F">
        <w:rPr>
          <w:rFonts w:ascii="Times New Roman" w:eastAsia="Calibri" w:hAnsi="Times New Roman" w:cs="Times New Roman"/>
          <w:sz w:val="24"/>
          <w:szCs w:val="24"/>
          <w:lang w:bidi="en-US"/>
        </w:rPr>
        <w:t>On</w:t>
      </w:r>
      <w:r w:rsidR="009248F9" w:rsidRPr="00186F1F">
        <w:rPr>
          <w:rFonts w:ascii="Times New Roman" w:eastAsia="Calibri" w:hAnsi="Times New Roman" w:cs="Times New Roman"/>
          <w:sz w:val="24"/>
          <w:szCs w:val="24"/>
          <w:lang w:bidi="en-US"/>
        </w:rPr>
        <w:t xml:space="preserve"> 1 October 2006, one Tsungirai Musenha and the </w:t>
      </w:r>
      <w:r w:rsidR="000B196E" w:rsidRPr="00186F1F">
        <w:rPr>
          <w:rFonts w:ascii="Times New Roman" w:eastAsia="Calibri" w:hAnsi="Times New Roman" w:cs="Times New Roman"/>
          <w:sz w:val="24"/>
          <w:szCs w:val="24"/>
          <w:lang w:bidi="en-US"/>
        </w:rPr>
        <w:t>appellant, represented</w:t>
      </w:r>
      <w:r w:rsidR="001B0CB0" w:rsidRPr="00186F1F">
        <w:rPr>
          <w:rFonts w:ascii="Times New Roman" w:eastAsia="Calibri" w:hAnsi="Times New Roman" w:cs="Times New Roman"/>
          <w:sz w:val="24"/>
          <w:szCs w:val="24"/>
          <w:lang w:bidi="en-US"/>
        </w:rPr>
        <w:t xml:space="preserve"> by </w:t>
      </w:r>
      <w:r w:rsidRPr="00186F1F">
        <w:rPr>
          <w:rFonts w:ascii="Times New Roman" w:eastAsia="Calibri" w:hAnsi="Times New Roman" w:cs="Times New Roman"/>
          <w:sz w:val="24"/>
          <w:szCs w:val="24"/>
          <w:lang w:bidi="en-US"/>
        </w:rPr>
        <w:t>third</w:t>
      </w:r>
      <w:r w:rsidR="008234F8">
        <w:rPr>
          <w:rFonts w:ascii="Times New Roman" w:eastAsia="Calibri" w:hAnsi="Times New Roman" w:cs="Times New Roman"/>
          <w:sz w:val="24"/>
          <w:szCs w:val="24"/>
          <w:lang w:bidi="en-US"/>
        </w:rPr>
        <w:t> </w:t>
      </w:r>
      <w:r w:rsidR="001B0CB0" w:rsidRPr="00186F1F">
        <w:rPr>
          <w:rFonts w:ascii="Times New Roman" w:eastAsia="Calibri" w:hAnsi="Times New Roman" w:cs="Times New Roman"/>
          <w:sz w:val="24"/>
          <w:szCs w:val="24"/>
          <w:lang w:bidi="en-US"/>
        </w:rPr>
        <w:t>respondent,</w:t>
      </w:r>
      <w:r w:rsidR="009248F9" w:rsidRPr="00186F1F">
        <w:rPr>
          <w:rFonts w:ascii="Times New Roman" w:eastAsia="Calibri" w:hAnsi="Times New Roman" w:cs="Times New Roman"/>
          <w:sz w:val="24"/>
          <w:szCs w:val="24"/>
          <w:lang w:bidi="en-US"/>
        </w:rPr>
        <w:t xml:space="preserve"> filed an application in the Magistrates’ Court in C</w:t>
      </w:r>
      <w:r w:rsidR="00186F1F">
        <w:rPr>
          <w:rFonts w:ascii="Times New Roman" w:eastAsia="Calibri" w:hAnsi="Times New Roman" w:cs="Times New Roman"/>
          <w:sz w:val="24"/>
          <w:szCs w:val="24"/>
          <w:lang w:bidi="en-US"/>
        </w:rPr>
        <w:t>ase No. 12060/06 citing Robert </w:t>
      </w:r>
      <w:r w:rsidR="00D8609B" w:rsidRPr="00186F1F">
        <w:rPr>
          <w:rFonts w:ascii="Times New Roman" w:eastAsia="Calibri" w:hAnsi="Times New Roman" w:cs="Times New Roman"/>
          <w:sz w:val="24"/>
          <w:szCs w:val="24"/>
          <w:lang w:bidi="en-US"/>
        </w:rPr>
        <w:t>Adrian Campbell-Logan, estate late Maria Johana Campb</w:t>
      </w:r>
      <w:r w:rsidR="00EC34BC" w:rsidRPr="00186F1F">
        <w:rPr>
          <w:rFonts w:ascii="Times New Roman" w:eastAsia="Calibri" w:hAnsi="Times New Roman" w:cs="Times New Roman"/>
          <w:sz w:val="24"/>
          <w:szCs w:val="24"/>
          <w:lang w:bidi="en-US"/>
        </w:rPr>
        <w:t>ell-Logan and the Registrar of D</w:t>
      </w:r>
      <w:r w:rsidR="00D8609B" w:rsidRPr="00186F1F">
        <w:rPr>
          <w:rFonts w:ascii="Times New Roman" w:eastAsia="Calibri" w:hAnsi="Times New Roman" w:cs="Times New Roman"/>
          <w:sz w:val="24"/>
          <w:szCs w:val="24"/>
          <w:lang w:bidi="en-US"/>
        </w:rPr>
        <w:t>eeds as respondents. They alleged</w:t>
      </w:r>
      <w:r w:rsidR="009248F9" w:rsidRPr="00186F1F">
        <w:rPr>
          <w:rFonts w:ascii="Times New Roman" w:eastAsia="Calibri" w:hAnsi="Times New Roman" w:cs="Times New Roman"/>
          <w:sz w:val="24"/>
          <w:szCs w:val="24"/>
          <w:lang w:bidi="en-US"/>
        </w:rPr>
        <w:t xml:space="preserve"> therein that the </w:t>
      </w:r>
      <w:r w:rsidRPr="00186F1F">
        <w:rPr>
          <w:rFonts w:ascii="Times New Roman" w:eastAsia="Calibri" w:hAnsi="Times New Roman" w:cs="Times New Roman"/>
          <w:sz w:val="24"/>
          <w:szCs w:val="24"/>
          <w:lang w:bidi="en-US"/>
        </w:rPr>
        <w:t>second</w:t>
      </w:r>
      <w:r w:rsidR="009248F9" w:rsidRPr="00186F1F">
        <w:rPr>
          <w:rFonts w:ascii="Times New Roman" w:eastAsia="Calibri" w:hAnsi="Times New Roman" w:cs="Times New Roman"/>
          <w:sz w:val="24"/>
          <w:szCs w:val="24"/>
          <w:lang w:bidi="en-US"/>
        </w:rPr>
        <w:t xml:space="preserve"> respondent had sold to them and they had purchased Sta</w:t>
      </w:r>
      <w:r w:rsidR="00C07BE8" w:rsidRPr="00186F1F">
        <w:rPr>
          <w:rFonts w:ascii="Times New Roman" w:eastAsia="Calibri" w:hAnsi="Times New Roman" w:cs="Times New Roman"/>
          <w:sz w:val="24"/>
          <w:szCs w:val="24"/>
          <w:lang w:bidi="en-US"/>
        </w:rPr>
        <w:t>nds Numbers 412 and 382 Good</w:t>
      </w:r>
      <w:r w:rsidR="000D4ABF" w:rsidRPr="00186F1F">
        <w:rPr>
          <w:rFonts w:ascii="Times New Roman" w:eastAsia="Calibri" w:hAnsi="Times New Roman" w:cs="Times New Roman"/>
          <w:sz w:val="24"/>
          <w:szCs w:val="24"/>
          <w:lang w:bidi="en-US"/>
        </w:rPr>
        <w:t xml:space="preserve"> H</w:t>
      </w:r>
      <w:r w:rsidR="00C07BE8" w:rsidRPr="00186F1F">
        <w:rPr>
          <w:rFonts w:ascii="Times New Roman" w:eastAsia="Calibri" w:hAnsi="Times New Roman" w:cs="Times New Roman"/>
          <w:sz w:val="24"/>
          <w:szCs w:val="24"/>
          <w:lang w:bidi="en-US"/>
        </w:rPr>
        <w:t>ope To</w:t>
      </w:r>
      <w:r w:rsidR="00186F1F">
        <w:rPr>
          <w:rFonts w:ascii="Times New Roman" w:eastAsia="Calibri" w:hAnsi="Times New Roman" w:cs="Times New Roman"/>
          <w:sz w:val="24"/>
          <w:szCs w:val="24"/>
          <w:lang w:bidi="en-US"/>
        </w:rPr>
        <w:t>wnship of Subdivision B of Good </w:t>
      </w:r>
      <w:r w:rsidR="00C07BE8" w:rsidRPr="00186F1F">
        <w:rPr>
          <w:rFonts w:ascii="Times New Roman" w:eastAsia="Calibri" w:hAnsi="Times New Roman" w:cs="Times New Roman"/>
          <w:sz w:val="24"/>
          <w:szCs w:val="24"/>
          <w:lang w:bidi="en-US"/>
        </w:rPr>
        <w:t>Hope.</w:t>
      </w:r>
      <w:r w:rsidR="00DB169D" w:rsidRPr="00186F1F">
        <w:rPr>
          <w:rFonts w:ascii="Times New Roman" w:eastAsia="Calibri" w:hAnsi="Times New Roman" w:cs="Times New Roman"/>
          <w:sz w:val="24"/>
          <w:szCs w:val="24"/>
          <w:lang w:bidi="en-US"/>
        </w:rPr>
        <w:t xml:space="preserve"> On</w:t>
      </w:r>
      <w:r w:rsidR="009248F9" w:rsidRPr="00186F1F">
        <w:rPr>
          <w:rFonts w:ascii="Times New Roman" w:eastAsia="Calibri" w:hAnsi="Times New Roman" w:cs="Times New Roman"/>
          <w:sz w:val="24"/>
          <w:szCs w:val="24"/>
          <w:lang w:bidi="en-US"/>
        </w:rPr>
        <w:t xml:space="preserve"> 5 October 2006 a rule </w:t>
      </w:r>
      <w:r w:rsidR="009248F9" w:rsidRPr="00186F1F">
        <w:rPr>
          <w:rFonts w:ascii="Times New Roman" w:eastAsia="Calibri" w:hAnsi="Times New Roman" w:cs="Times New Roman"/>
          <w:i/>
          <w:sz w:val="24"/>
          <w:szCs w:val="24"/>
          <w:lang w:bidi="en-US"/>
        </w:rPr>
        <w:t>nisi</w:t>
      </w:r>
      <w:r w:rsidR="009248F9" w:rsidRPr="00186F1F">
        <w:rPr>
          <w:rFonts w:ascii="Times New Roman" w:eastAsia="Calibri" w:hAnsi="Times New Roman" w:cs="Times New Roman"/>
          <w:sz w:val="24"/>
          <w:szCs w:val="24"/>
          <w:lang w:bidi="en-US"/>
        </w:rPr>
        <w:t xml:space="preserve"> was granted by the Magistrates’ Court, </w:t>
      </w:r>
      <w:r w:rsidR="005A7F6E" w:rsidRPr="00186F1F">
        <w:rPr>
          <w:rFonts w:ascii="Times New Roman" w:eastAsia="Calibri" w:hAnsi="Times New Roman" w:cs="Times New Roman"/>
          <w:sz w:val="24"/>
          <w:szCs w:val="24"/>
          <w:lang w:bidi="en-US"/>
        </w:rPr>
        <w:t xml:space="preserve">interdicting the 3 respondents and all those acting through them  from disposing </w:t>
      </w:r>
      <w:r w:rsidR="008234F8">
        <w:rPr>
          <w:rFonts w:ascii="Times New Roman" w:eastAsia="Calibri" w:hAnsi="Times New Roman" w:cs="Times New Roman"/>
          <w:sz w:val="24"/>
          <w:szCs w:val="24"/>
          <w:lang w:bidi="en-US"/>
        </w:rPr>
        <w:t>or transferring to anyone Stand </w:t>
      </w:r>
      <w:r w:rsidR="005A7F6E" w:rsidRPr="00186F1F">
        <w:rPr>
          <w:rFonts w:ascii="Times New Roman" w:eastAsia="Calibri" w:hAnsi="Times New Roman" w:cs="Times New Roman"/>
          <w:sz w:val="24"/>
          <w:szCs w:val="24"/>
          <w:lang w:bidi="en-US"/>
        </w:rPr>
        <w:t>Numbers 412 and 382 respectively being subdivisions of the remainder of subdivision B of Good Hope held under Deed Number 6180/95</w:t>
      </w:r>
      <w:r w:rsidR="009248F9" w:rsidRPr="00186F1F">
        <w:rPr>
          <w:rFonts w:ascii="Times New Roman" w:eastAsia="Calibri" w:hAnsi="Times New Roman" w:cs="Times New Roman"/>
          <w:sz w:val="24"/>
          <w:szCs w:val="24"/>
          <w:lang w:bidi="en-US"/>
        </w:rPr>
        <w:t xml:space="preserve"> pending the return date</w:t>
      </w:r>
      <w:r w:rsidR="005A7F6E" w:rsidRPr="00186F1F">
        <w:rPr>
          <w:rFonts w:ascii="Times New Roman" w:eastAsia="Calibri" w:hAnsi="Times New Roman" w:cs="Times New Roman"/>
          <w:sz w:val="24"/>
          <w:szCs w:val="24"/>
          <w:lang w:bidi="en-US"/>
        </w:rPr>
        <w:t>. The return date was</w:t>
      </w:r>
      <w:r w:rsidR="00EC34BC" w:rsidRPr="00186F1F">
        <w:rPr>
          <w:rFonts w:ascii="Times New Roman" w:eastAsia="Calibri" w:hAnsi="Times New Roman" w:cs="Times New Roman"/>
          <w:sz w:val="24"/>
          <w:szCs w:val="24"/>
          <w:lang w:bidi="en-US"/>
        </w:rPr>
        <w:t>,</w:t>
      </w:r>
      <w:r w:rsidR="005A7F6E" w:rsidRPr="00186F1F">
        <w:rPr>
          <w:rFonts w:ascii="Times New Roman" w:eastAsia="Calibri" w:hAnsi="Times New Roman" w:cs="Times New Roman"/>
          <w:sz w:val="24"/>
          <w:szCs w:val="24"/>
          <w:lang w:bidi="en-US"/>
        </w:rPr>
        <w:t xml:space="preserve"> however</w:t>
      </w:r>
      <w:r w:rsidR="00EC34BC" w:rsidRPr="00186F1F">
        <w:rPr>
          <w:rFonts w:ascii="Times New Roman" w:eastAsia="Calibri" w:hAnsi="Times New Roman" w:cs="Times New Roman"/>
          <w:sz w:val="24"/>
          <w:szCs w:val="24"/>
          <w:lang w:bidi="en-US"/>
        </w:rPr>
        <w:t>,</w:t>
      </w:r>
      <w:r w:rsidR="005A7F6E" w:rsidRPr="00186F1F">
        <w:rPr>
          <w:rFonts w:ascii="Times New Roman" w:eastAsia="Calibri" w:hAnsi="Times New Roman" w:cs="Times New Roman"/>
          <w:sz w:val="24"/>
          <w:szCs w:val="24"/>
          <w:lang w:bidi="en-US"/>
        </w:rPr>
        <w:t xml:space="preserve"> not stated in the order.</w:t>
      </w:r>
    </w:p>
    <w:p w:rsidR="00F6026C" w:rsidRPr="00186F1F" w:rsidRDefault="00F6026C" w:rsidP="00E07F12">
      <w:pPr>
        <w:tabs>
          <w:tab w:val="left" w:pos="1134"/>
        </w:tabs>
        <w:spacing w:after="0" w:line="360" w:lineRule="auto"/>
        <w:jc w:val="both"/>
        <w:rPr>
          <w:rFonts w:ascii="Times New Roman" w:eastAsia="Calibri" w:hAnsi="Times New Roman" w:cs="Times New Roman"/>
          <w:sz w:val="24"/>
          <w:szCs w:val="24"/>
          <w:lang w:bidi="en-US"/>
        </w:rPr>
      </w:pPr>
    </w:p>
    <w:p w:rsidR="009248F9" w:rsidRPr="00186F1F" w:rsidRDefault="00C07BE8" w:rsidP="0037781F">
      <w:pPr>
        <w:tabs>
          <w:tab w:val="left" w:pos="1134"/>
        </w:tabs>
        <w:spacing w:after="0" w:line="480" w:lineRule="auto"/>
        <w:jc w:val="both"/>
        <w:rPr>
          <w:rFonts w:ascii="Times New Roman" w:eastAsia="Calibri" w:hAnsi="Times New Roman" w:cs="Times New Roman"/>
          <w:sz w:val="24"/>
          <w:szCs w:val="24"/>
          <w:lang w:bidi="en-US"/>
        </w:rPr>
      </w:pPr>
      <w:r w:rsidRPr="00186F1F">
        <w:rPr>
          <w:rFonts w:ascii="Times New Roman" w:eastAsia="Calibri" w:hAnsi="Times New Roman" w:cs="Times New Roman"/>
          <w:sz w:val="24"/>
          <w:szCs w:val="24"/>
          <w:lang w:bidi="en-US"/>
        </w:rPr>
        <w:t xml:space="preserve"> </w:t>
      </w:r>
      <w:r w:rsidR="002D35C0" w:rsidRPr="00186F1F">
        <w:rPr>
          <w:rFonts w:ascii="Times New Roman" w:eastAsia="Calibri" w:hAnsi="Times New Roman" w:cs="Times New Roman"/>
          <w:sz w:val="24"/>
          <w:szCs w:val="24"/>
          <w:lang w:bidi="en-US"/>
        </w:rPr>
        <w:tab/>
      </w:r>
      <w:r w:rsidR="009248F9" w:rsidRPr="00186F1F">
        <w:rPr>
          <w:rFonts w:ascii="Times New Roman" w:eastAsia="Calibri" w:hAnsi="Times New Roman" w:cs="Times New Roman"/>
          <w:sz w:val="24"/>
          <w:szCs w:val="24"/>
          <w:lang w:bidi="en-US"/>
        </w:rPr>
        <w:t xml:space="preserve">On 29 November 2006 the </w:t>
      </w:r>
      <w:r w:rsidR="002D35C0" w:rsidRPr="00186F1F">
        <w:rPr>
          <w:rFonts w:ascii="Times New Roman" w:eastAsia="Calibri" w:hAnsi="Times New Roman" w:cs="Times New Roman"/>
          <w:sz w:val="24"/>
          <w:szCs w:val="24"/>
          <w:lang w:bidi="en-US"/>
        </w:rPr>
        <w:t>sixth</w:t>
      </w:r>
      <w:r w:rsidR="009248F9" w:rsidRPr="00186F1F">
        <w:rPr>
          <w:rFonts w:ascii="Times New Roman" w:eastAsia="Calibri" w:hAnsi="Times New Roman" w:cs="Times New Roman"/>
          <w:sz w:val="24"/>
          <w:szCs w:val="24"/>
          <w:lang w:bidi="en-US"/>
        </w:rPr>
        <w:t xml:space="preserve"> respondent issued Letters of Administration appointing the </w:t>
      </w:r>
      <w:r w:rsidR="00F6026C" w:rsidRPr="00186F1F">
        <w:rPr>
          <w:rFonts w:ascii="Times New Roman" w:eastAsia="Calibri" w:hAnsi="Times New Roman" w:cs="Times New Roman"/>
          <w:sz w:val="24"/>
          <w:szCs w:val="24"/>
          <w:lang w:bidi="en-US"/>
        </w:rPr>
        <w:t>third</w:t>
      </w:r>
      <w:r w:rsidR="009248F9" w:rsidRPr="00186F1F">
        <w:rPr>
          <w:rFonts w:ascii="Times New Roman" w:eastAsia="Calibri" w:hAnsi="Times New Roman" w:cs="Times New Roman"/>
          <w:sz w:val="24"/>
          <w:szCs w:val="24"/>
          <w:lang w:bidi="en-US"/>
        </w:rPr>
        <w:t xml:space="preserve"> respondent as executor </w:t>
      </w:r>
      <w:r w:rsidR="009248F9" w:rsidRPr="00186F1F">
        <w:rPr>
          <w:rFonts w:ascii="Times New Roman" w:eastAsia="Calibri" w:hAnsi="Times New Roman" w:cs="Times New Roman"/>
          <w:i/>
          <w:sz w:val="24"/>
          <w:szCs w:val="24"/>
          <w:lang w:bidi="en-US"/>
        </w:rPr>
        <w:t>dative</w:t>
      </w:r>
      <w:r w:rsidR="009248F9" w:rsidRPr="00186F1F">
        <w:rPr>
          <w:rFonts w:ascii="Times New Roman" w:eastAsia="Calibri" w:hAnsi="Times New Roman" w:cs="Times New Roman"/>
          <w:sz w:val="24"/>
          <w:szCs w:val="24"/>
          <w:lang w:bidi="en-US"/>
        </w:rPr>
        <w:t xml:space="preserve"> to administer the estate of the late </w:t>
      </w:r>
      <w:r w:rsidR="009248F9" w:rsidRPr="00186F1F">
        <w:rPr>
          <w:rFonts w:ascii="Times New Roman" w:eastAsia="Calibri" w:hAnsi="Times New Roman" w:cs="Times New Roman"/>
          <w:sz w:val="24"/>
          <w:szCs w:val="24"/>
          <w:lang w:bidi="en-US"/>
        </w:rPr>
        <w:lastRenderedPageBreak/>
        <w:t>Maria</w:t>
      </w:r>
      <w:r w:rsidR="00186F1F">
        <w:rPr>
          <w:rFonts w:ascii="Times New Roman" w:eastAsia="Calibri" w:hAnsi="Times New Roman" w:cs="Times New Roman"/>
          <w:sz w:val="24"/>
          <w:szCs w:val="24"/>
          <w:lang w:bidi="en-US"/>
        </w:rPr>
        <w:t> </w:t>
      </w:r>
      <w:r w:rsidR="009248F9" w:rsidRPr="00186F1F">
        <w:rPr>
          <w:rFonts w:ascii="Times New Roman" w:eastAsia="Calibri" w:hAnsi="Times New Roman" w:cs="Times New Roman"/>
          <w:sz w:val="24"/>
          <w:szCs w:val="24"/>
          <w:lang w:bidi="en-US"/>
        </w:rPr>
        <w:t xml:space="preserve">Johanna </w:t>
      </w:r>
      <w:r w:rsidR="000B196E" w:rsidRPr="00186F1F">
        <w:rPr>
          <w:rFonts w:ascii="Times New Roman" w:eastAsia="Calibri" w:hAnsi="Times New Roman" w:cs="Times New Roman"/>
          <w:sz w:val="24"/>
          <w:szCs w:val="24"/>
          <w:lang w:bidi="en-US"/>
        </w:rPr>
        <w:t>Francisca</w:t>
      </w:r>
      <w:r w:rsidR="009248F9" w:rsidRPr="00186F1F">
        <w:rPr>
          <w:rFonts w:ascii="Times New Roman" w:eastAsia="Calibri" w:hAnsi="Times New Roman" w:cs="Times New Roman"/>
          <w:sz w:val="24"/>
          <w:szCs w:val="24"/>
          <w:lang w:bidi="en-US"/>
        </w:rPr>
        <w:t xml:space="preserve"> Campbell-Logan, for the sole purpose of effecting transfer</w:t>
      </w:r>
      <w:r w:rsidR="003A57B2" w:rsidRPr="00186F1F">
        <w:rPr>
          <w:rFonts w:ascii="Times New Roman" w:eastAsia="Calibri" w:hAnsi="Times New Roman" w:cs="Times New Roman"/>
          <w:sz w:val="24"/>
          <w:szCs w:val="24"/>
          <w:lang w:bidi="en-US"/>
        </w:rPr>
        <w:t xml:space="preserve"> of S</w:t>
      </w:r>
      <w:r w:rsidR="00023747">
        <w:rPr>
          <w:rFonts w:ascii="Times New Roman" w:eastAsia="Calibri" w:hAnsi="Times New Roman" w:cs="Times New Roman"/>
          <w:sz w:val="24"/>
          <w:szCs w:val="24"/>
          <w:lang w:bidi="en-US"/>
        </w:rPr>
        <w:t>tand </w:t>
      </w:r>
      <w:r w:rsidR="002D35C0" w:rsidRPr="00186F1F">
        <w:rPr>
          <w:rFonts w:ascii="Times New Roman" w:eastAsia="Calibri" w:hAnsi="Times New Roman" w:cs="Times New Roman"/>
          <w:sz w:val="24"/>
          <w:szCs w:val="24"/>
          <w:lang w:bidi="en-US"/>
        </w:rPr>
        <w:t>N</w:t>
      </w:r>
      <w:r w:rsidR="00EC34BC" w:rsidRPr="00186F1F">
        <w:rPr>
          <w:rFonts w:ascii="Times New Roman" w:eastAsia="Calibri" w:hAnsi="Times New Roman" w:cs="Times New Roman"/>
          <w:sz w:val="24"/>
          <w:szCs w:val="24"/>
          <w:lang w:bidi="en-US"/>
        </w:rPr>
        <w:t>umber 382</w:t>
      </w:r>
      <w:r w:rsidR="009248F9" w:rsidRPr="00186F1F">
        <w:rPr>
          <w:rFonts w:ascii="Times New Roman" w:eastAsia="Calibri" w:hAnsi="Times New Roman" w:cs="Times New Roman"/>
          <w:sz w:val="24"/>
          <w:szCs w:val="24"/>
          <w:lang w:bidi="en-US"/>
        </w:rPr>
        <w:t xml:space="preserve"> into the name of Cosma C</w:t>
      </w:r>
      <w:r w:rsidR="00D82163" w:rsidRPr="00186F1F">
        <w:rPr>
          <w:rFonts w:ascii="Times New Roman" w:eastAsia="Calibri" w:hAnsi="Times New Roman" w:cs="Times New Roman"/>
          <w:sz w:val="24"/>
          <w:szCs w:val="24"/>
          <w:lang w:bidi="en-US"/>
        </w:rPr>
        <w:t>hiangwa, (the appellant herein</w:t>
      </w:r>
      <w:r w:rsidR="009248F9" w:rsidRPr="00186F1F">
        <w:rPr>
          <w:rFonts w:ascii="Times New Roman" w:eastAsia="Calibri" w:hAnsi="Times New Roman" w:cs="Times New Roman"/>
          <w:sz w:val="24"/>
          <w:szCs w:val="24"/>
          <w:lang w:bidi="en-US"/>
        </w:rPr>
        <w:t xml:space="preserve">). On 4 </w:t>
      </w:r>
      <w:r w:rsidR="00186F1F">
        <w:rPr>
          <w:rFonts w:ascii="Times New Roman" w:eastAsia="Calibri" w:hAnsi="Times New Roman" w:cs="Times New Roman"/>
          <w:sz w:val="24"/>
          <w:szCs w:val="24"/>
          <w:lang w:bidi="en-US"/>
        </w:rPr>
        <w:t>July 2007 Stand </w:t>
      </w:r>
      <w:r w:rsidR="00A95C0F" w:rsidRPr="00186F1F">
        <w:rPr>
          <w:rFonts w:ascii="Times New Roman" w:eastAsia="Calibri" w:hAnsi="Times New Roman" w:cs="Times New Roman"/>
          <w:sz w:val="24"/>
          <w:szCs w:val="24"/>
          <w:lang w:bidi="en-US"/>
        </w:rPr>
        <w:t>382</w:t>
      </w:r>
      <w:r w:rsidR="009248F9" w:rsidRPr="00186F1F">
        <w:rPr>
          <w:rFonts w:ascii="Times New Roman" w:eastAsia="Calibri" w:hAnsi="Times New Roman" w:cs="Times New Roman"/>
          <w:sz w:val="24"/>
          <w:szCs w:val="24"/>
          <w:lang w:bidi="en-US"/>
        </w:rPr>
        <w:t xml:space="preserve"> was transferred into the name of the appellant by deed of transfer 4079/2007.</w:t>
      </w:r>
    </w:p>
    <w:p w:rsidR="002D35C0" w:rsidRPr="00186F1F" w:rsidRDefault="002D35C0" w:rsidP="00E07F12">
      <w:pPr>
        <w:spacing w:after="0" w:line="480" w:lineRule="auto"/>
        <w:jc w:val="both"/>
        <w:rPr>
          <w:rFonts w:ascii="Times New Roman" w:eastAsia="Calibri" w:hAnsi="Times New Roman" w:cs="Times New Roman"/>
          <w:sz w:val="24"/>
          <w:szCs w:val="24"/>
          <w:lang w:bidi="en-US"/>
        </w:rPr>
      </w:pPr>
    </w:p>
    <w:p w:rsidR="009248F9" w:rsidRPr="00186F1F" w:rsidRDefault="002D35C0" w:rsidP="001033CF">
      <w:pPr>
        <w:tabs>
          <w:tab w:val="left" w:pos="1134"/>
        </w:tabs>
        <w:spacing w:after="0" w:line="480" w:lineRule="auto"/>
        <w:jc w:val="both"/>
        <w:rPr>
          <w:rFonts w:ascii="Times New Roman" w:eastAsia="Calibri" w:hAnsi="Times New Roman" w:cs="Times New Roman"/>
          <w:sz w:val="24"/>
          <w:szCs w:val="24"/>
        </w:rPr>
      </w:pPr>
      <w:r w:rsidRPr="00186F1F">
        <w:rPr>
          <w:rFonts w:ascii="Times New Roman" w:eastAsia="Calibri" w:hAnsi="Times New Roman" w:cs="Times New Roman"/>
          <w:sz w:val="24"/>
          <w:szCs w:val="24"/>
          <w:lang w:bidi="en-US"/>
        </w:rPr>
        <w:tab/>
      </w:r>
      <w:r w:rsidR="009248F9" w:rsidRPr="00186F1F">
        <w:rPr>
          <w:rFonts w:ascii="Times New Roman" w:eastAsia="Calibri" w:hAnsi="Times New Roman" w:cs="Times New Roman"/>
          <w:sz w:val="24"/>
          <w:szCs w:val="24"/>
          <w:lang w:bidi="en-US"/>
        </w:rPr>
        <w:t xml:space="preserve">This prompted the application in the court </w:t>
      </w:r>
      <w:r w:rsidR="009248F9" w:rsidRPr="00186F1F">
        <w:rPr>
          <w:rFonts w:ascii="Times New Roman" w:eastAsia="Calibri" w:hAnsi="Times New Roman" w:cs="Times New Roman"/>
          <w:i/>
          <w:sz w:val="24"/>
          <w:szCs w:val="24"/>
          <w:lang w:bidi="en-US"/>
        </w:rPr>
        <w:t>a quo</w:t>
      </w:r>
      <w:r w:rsidR="009248F9" w:rsidRPr="00186F1F">
        <w:rPr>
          <w:rFonts w:ascii="Times New Roman" w:eastAsia="Calibri" w:hAnsi="Times New Roman" w:cs="Times New Roman"/>
          <w:sz w:val="24"/>
          <w:szCs w:val="24"/>
          <w:lang w:bidi="en-US"/>
        </w:rPr>
        <w:t xml:space="preserve"> wherein the </w:t>
      </w:r>
      <w:r w:rsidR="00B73CC7" w:rsidRPr="00186F1F">
        <w:rPr>
          <w:rFonts w:ascii="Times New Roman" w:eastAsia="Calibri" w:hAnsi="Times New Roman" w:cs="Times New Roman"/>
          <w:sz w:val="24"/>
          <w:szCs w:val="24"/>
          <w:lang w:bidi="en-US"/>
        </w:rPr>
        <w:t>first</w:t>
      </w:r>
      <w:r w:rsidR="009248F9" w:rsidRPr="00186F1F">
        <w:rPr>
          <w:rFonts w:ascii="Times New Roman" w:eastAsia="Calibri" w:hAnsi="Times New Roman" w:cs="Times New Roman"/>
          <w:sz w:val="24"/>
          <w:szCs w:val="24"/>
          <w:lang w:bidi="en-US"/>
        </w:rPr>
        <w:t xml:space="preserve"> respondent sought an order </w:t>
      </w:r>
      <w:r w:rsidR="009248F9" w:rsidRPr="00186F1F">
        <w:rPr>
          <w:rFonts w:ascii="Times New Roman" w:eastAsia="Calibri" w:hAnsi="Times New Roman" w:cs="Times New Roman"/>
          <w:sz w:val="24"/>
          <w:szCs w:val="24"/>
        </w:rPr>
        <w:t>that the sale, registration and transfer of t</w:t>
      </w:r>
      <w:r w:rsidR="006A465E" w:rsidRPr="00186F1F">
        <w:rPr>
          <w:rFonts w:ascii="Times New Roman" w:eastAsia="Calibri" w:hAnsi="Times New Roman" w:cs="Times New Roman"/>
          <w:sz w:val="24"/>
          <w:szCs w:val="24"/>
        </w:rPr>
        <w:t xml:space="preserve">he property in question to the </w:t>
      </w:r>
      <w:r w:rsidR="000B196E" w:rsidRPr="00186F1F">
        <w:rPr>
          <w:rFonts w:ascii="Times New Roman" w:eastAsia="Calibri" w:hAnsi="Times New Roman" w:cs="Times New Roman"/>
          <w:sz w:val="24"/>
          <w:szCs w:val="24"/>
        </w:rPr>
        <w:t>appellant be</w:t>
      </w:r>
      <w:r w:rsidR="009248F9" w:rsidRPr="00186F1F">
        <w:rPr>
          <w:rFonts w:ascii="Times New Roman" w:eastAsia="Calibri" w:hAnsi="Times New Roman" w:cs="Times New Roman"/>
          <w:sz w:val="24"/>
          <w:szCs w:val="24"/>
        </w:rPr>
        <w:t xml:space="preserve"> </w:t>
      </w:r>
      <w:r w:rsidR="00A95C0F" w:rsidRPr="00186F1F">
        <w:rPr>
          <w:rFonts w:ascii="Times New Roman" w:eastAsia="Calibri" w:hAnsi="Times New Roman" w:cs="Times New Roman"/>
          <w:sz w:val="24"/>
          <w:szCs w:val="24"/>
        </w:rPr>
        <w:t>declared</w:t>
      </w:r>
      <w:r w:rsidR="009248F9" w:rsidRPr="00186F1F">
        <w:rPr>
          <w:rFonts w:ascii="Times New Roman" w:eastAsia="Calibri" w:hAnsi="Times New Roman" w:cs="Times New Roman"/>
          <w:sz w:val="24"/>
          <w:szCs w:val="24"/>
        </w:rPr>
        <w:t xml:space="preserve"> null and void, that the appointment of the </w:t>
      </w:r>
      <w:r w:rsidR="00F6026C" w:rsidRPr="00186F1F">
        <w:rPr>
          <w:rFonts w:ascii="Times New Roman" w:eastAsia="Calibri" w:hAnsi="Times New Roman" w:cs="Times New Roman"/>
          <w:sz w:val="24"/>
          <w:szCs w:val="24"/>
        </w:rPr>
        <w:t>third</w:t>
      </w:r>
      <w:r w:rsidR="009248F9" w:rsidRPr="00186F1F">
        <w:rPr>
          <w:rFonts w:ascii="Times New Roman" w:eastAsia="Calibri" w:hAnsi="Times New Roman" w:cs="Times New Roman"/>
          <w:sz w:val="24"/>
          <w:szCs w:val="24"/>
        </w:rPr>
        <w:t xml:space="preserve"> respondent as executor</w:t>
      </w:r>
      <w:r w:rsidR="009248F9" w:rsidRPr="00186F1F">
        <w:rPr>
          <w:rFonts w:ascii="Times New Roman" w:eastAsia="Calibri" w:hAnsi="Times New Roman" w:cs="Times New Roman"/>
          <w:i/>
          <w:sz w:val="24"/>
          <w:szCs w:val="24"/>
        </w:rPr>
        <w:t xml:space="preserve"> dative</w:t>
      </w:r>
      <w:r w:rsidR="009248F9" w:rsidRPr="00186F1F">
        <w:rPr>
          <w:rFonts w:ascii="Times New Roman" w:eastAsia="Calibri" w:hAnsi="Times New Roman" w:cs="Times New Roman"/>
          <w:sz w:val="24"/>
          <w:szCs w:val="24"/>
        </w:rPr>
        <w:t xml:space="preserve"> </w:t>
      </w:r>
      <w:r w:rsidR="00684608" w:rsidRPr="00186F1F">
        <w:rPr>
          <w:rFonts w:ascii="Times New Roman" w:eastAsia="Calibri" w:hAnsi="Times New Roman" w:cs="Times New Roman"/>
          <w:sz w:val="24"/>
          <w:szCs w:val="24"/>
        </w:rPr>
        <w:t>of the estate of the late Maria </w:t>
      </w:r>
      <w:r w:rsidR="009248F9" w:rsidRPr="00186F1F">
        <w:rPr>
          <w:rFonts w:ascii="Times New Roman" w:eastAsia="Calibri" w:hAnsi="Times New Roman" w:cs="Times New Roman"/>
          <w:sz w:val="24"/>
          <w:szCs w:val="24"/>
        </w:rPr>
        <w:t xml:space="preserve">Johanna </w:t>
      </w:r>
      <w:r w:rsidR="000B196E" w:rsidRPr="00186F1F">
        <w:rPr>
          <w:rFonts w:ascii="Times New Roman" w:eastAsia="Calibri" w:hAnsi="Times New Roman" w:cs="Times New Roman"/>
          <w:sz w:val="24"/>
          <w:szCs w:val="24"/>
        </w:rPr>
        <w:t>Francisca</w:t>
      </w:r>
      <w:r w:rsidR="001C043C" w:rsidRPr="00186F1F">
        <w:rPr>
          <w:rFonts w:ascii="Times New Roman" w:eastAsia="Calibri" w:hAnsi="Times New Roman" w:cs="Times New Roman"/>
          <w:sz w:val="24"/>
          <w:szCs w:val="24"/>
        </w:rPr>
        <w:t xml:space="preserve"> Campbell-Logan be</w:t>
      </w:r>
      <w:r w:rsidR="009248F9" w:rsidRPr="00186F1F">
        <w:rPr>
          <w:rFonts w:ascii="Times New Roman" w:eastAsia="Calibri" w:hAnsi="Times New Roman" w:cs="Times New Roman"/>
          <w:sz w:val="24"/>
          <w:szCs w:val="24"/>
        </w:rPr>
        <w:t xml:space="preserve"> declared null and void and that the </w:t>
      </w:r>
      <w:r w:rsidR="00B73CC7" w:rsidRPr="00186F1F">
        <w:rPr>
          <w:rFonts w:ascii="Times New Roman" w:eastAsia="Calibri" w:hAnsi="Times New Roman" w:cs="Times New Roman"/>
          <w:sz w:val="24"/>
          <w:szCs w:val="24"/>
        </w:rPr>
        <w:t>first</w:t>
      </w:r>
      <w:r w:rsidR="00671B0C">
        <w:rPr>
          <w:rFonts w:ascii="Times New Roman" w:eastAsia="Calibri" w:hAnsi="Times New Roman" w:cs="Times New Roman"/>
          <w:sz w:val="24"/>
          <w:szCs w:val="24"/>
        </w:rPr>
        <w:t> </w:t>
      </w:r>
      <w:r w:rsidR="009248F9" w:rsidRPr="00186F1F">
        <w:rPr>
          <w:rFonts w:ascii="Times New Roman" w:eastAsia="Calibri" w:hAnsi="Times New Roman" w:cs="Times New Roman"/>
          <w:sz w:val="24"/>
          <w:szCs w:val="24"/>
        </w:rPr>
        <w:t>respondent be declared the sole owner of the property</w:t>
      </w:r>
      <w:r w:rsidR="00A95C0F" w:rsidRPr="00186F1F">
        <w:rPr>
          <w:rFonts w:ascii="Times New Roman" w:eastAsia="Calibri" w:hAnsi="Times New Roman" w:cs="Times New Roman"/>
          <w:sz w:val="24"/>
          <w:szCs w:val="24"/>
        </w:rPr>
        <w:t xml:space="preserve"> in question</w:t>
      </w:r>
      <w:r w:rsidR="009248F9" w:rsidRPr="00186F1F">
        <w:rPr>
          <w:rFonts w:ascii="Times New Roman" w:eastAsia="Calibri" w:hAnsi="Times New Roman" w:cs="Times New Roman"/>
          <w:sz w:val="24"/>
          <w:szCs w:val="24"/>
        </w:rPr>
        <w:t>.</w:t>
      </w:r>
      <w:r w:rsidR="00C07BE8" w:rsidRPr="00186F1F">
        <w:rPr>
          <w:rFonts w:ascii="Times New Roman" w:eastAsia="Calibri" w:hAnsi="Times New Roman" w:cs="Times New Roman"/>
          <w:sz w:val="24"/>
          <w:szCs w:val="24"/>
        </w:rPr>
        <w:t xml:space="preserve"> </w:t>
      </w:r>
      <w:r w:rsidR="009248F9" w:rsidRPr="00186F1F">
        <w:rPr>
          <w:rFonts w:ascii="Times New Roman" w:eastAsia="Calibri" w:hAnsi="Times New Roman" w:cs="Times New Roman"/>
          <w:sz w:val="24"/>
          <w:szCs w:val="24"/>
          <w:lang w:bidi="en-US"/>
        </w:rPr>
        <w:t xml:space="preserve">The </w:t>
      </w:r>
      <w:r w:rsidR="00B73CC7" w:rsidRPr="00186F1F">
        <w:rPr>
          <w:rFonts w:ascii="Times New Roman" w:eastAsia="Calibri" w:hAnsi="Times New Roman" w:cs="Times New Roman"/>
          <w:sz w:val="24"/>
          <w:szCs w:val="24"/>
          <w:lang w:bidi="en-US"/>
        </w:rPr>
        <w:t>first</w:t>
      </w:r>
      <w:r w:rsidR="00F802EA" w:rsidRPr="00186F1F">
        <w:rPr>
          <w:rFonts w:ascii="Times New Roman" w:eastAsia="Calibri" w:hAnsi="Times New Roman" w:cs="Times New Roman"/>
          <w:sz w:val="24"/>
          <w:szCs w:val="24"/>
          <w:lang w:bidi="en-US"/>
        </w:rPr>
        <w:t xml:space="preserve"> respondent averred</w:t>
      </w:r>
      <w:r w:rsidR="009248F9" w:rsidRPr="00186F1F">
        <w:rPr>
          <w:rFonts w:ascii="Times New Roman" w:eastAsia="Calibri" w:hAnsi="Times New Roman" w:cs="Times New Roman"/>
          <w:sz w:val="24"/>
          <w:szCs w:val="24"/>
          <w:lang w:bidi="en-US"/>
        </w:rPr>
        <w:t xml:space="preserve"> that </w:t>
      </w:r>
      <w:r w:rsidR="009248F9" w:rsidRPr="00186F1F">
        <w:rPr>
          <w:rFonts w:ascii="Times New Roman" w:eastAsia="Calibri" w:hAnsi="Times New Roman" w:cs="Times New Roman"/>
          <w:sz w:val="24"/>
          <w:szCs w:val="24"/>
        </w:rPr>
        <w:t xml:space="preserve">the appointment of the </w:t>
      </w:r>
      <w:r w:rsidR="00F6026C" w:rsidRPr="00186F1F">
        <w:rPr>
          <w:rFonts w:ascii="Times New Roman" w:eastAsia="Calibri" w:hAnsi="Times New Roman" w:cs="Times New Roman"/>
          <w:sz w:val="24"/>
          <w:szCs w:val="24"/>
        </w:rPr>
        <w:t>third</w:t>
      </w:r>
      <w:r w:rsidR="009248F9" w:rsidRPr="00186F1F">
        <w:rPr>
          <w:rFonts w:ascii="Times New Roman" w:eastAsia="Calibri" w:hAnsi="Times New Roman" w:cs="Times New Roman"/>
          <w:sz w:val="24"/>
          <w:szCs w:val="24"/>
        </w:rPr>
        <w:t xml:space="preserve"> respondent as the executor </w:t>
      </w:r>
      <w:r w:rsidR="009248F9" w:rsidRPr="00186F1F">
        <w:rPr>
          <w:rFonts w:ascii="Times New Roman" w:eastAsia="Calibri" w:hAnsi="Times New Roman" w:cs="Times New Roman"/>
          <w:i/>
          <w:sz w:val="24"/>
          <w:szCs w:val="24"/>
        </w:rPr>
        <w:t>dative</w:t>
      </w:r>
      <w:r w:rsidR="009248F9" w:rsidRPr="00186F1F">
        <w:rPr>
          <w:rFonts w:ascii="Times New Roman" w:eastAsia="Calibri" w:hAnsi="Times New Roman" w:cs="Times New Roman"/>
          <w:sz w:val="24"/>
          <w:szCs w:val="24"/>
        </w:rPr>
        <w:t xml:space="preserve"> of the estate during the lifetime of the executrix testamen</w:t>
      </w:r>
      <w:r w:rsidR="001C043C" w:rsidRPr="00186F1F">
        <w:rPr>
          <w:rFonts w:ascii="Times New Roman" w:eastAsia="Calibri" w:hAnsi="Times New Roman" w:cs="Times New Roman"/>
          <w:sz w:val="24"/>
          <w:szCs w:val="24"/>
        </w:rPr>
        <w:t>tary and during a period</w:t>
      </w:r>
      <w:r w:rsidR="009248F9" w:rsidRPr="00186F1F">
        <w:rPr>
          <w:rFonts w:ascii="Times New Roman" w:eastAsia="Calibri" w:hAnsi="Times New Roman" w:cs="Times New Roman"/>
          <w:sz w:val="24"/>
          <w:szCs w:val="24"/>
        </w:rPr>
        <w:t xml:space="preserve"> when the executrix testamentary was still holding office and was not incapacitated was not valid in law.</w:t>
      </w:r>
      <w:r w:rsidR="00C07BE8" w:rsidRPr="00186F1F">
        <w:rPr>
          <w:rFonts w:ascii="Times New Roman" w:eastAsia="Calibri" w:hAnsi="Times New Roman" w:cs="Times New Roman"/>
          <w:sz w:val="24"/>
          <w:szCs w:val="24"/>
        </w:rPr>
        <w:t xml:space="preserve"> </w:t>
      </w:r>
      <w:r w:rsidR="00F802EA" w:rsidRPr="00186F1F">
        <w:rPr>
          <w:rFonts w:ascii="Times New Roman" w:eastAsia="Calibri" w:hAnsi="Times New Roman" w:cs="Times New Roman"/>
          <w:sz w:val="24"/>
          <w:szCs w:val="24"/>
        </w:rPr>
        <w:t>He also averred</w:t>
      </w:r>
      <w:r w:rsidR="009248F9" w:rsidRPr="00186F1F">
        <w:rPr>
          <w:rFonts w:ascii="Times New Roman" w:eastAsia="Calibri" w:hAnsi="Times New Roman" w:cs="Times New Roman"/>
          <w:sz w:val="24"/>
          <w:szCs w:val="24"/>
        </w:rPr>
        <w:t xml:space="preserve"> that when the </w:t>
      </w:r>
      <w:r w:rsidR="00F6026C" w:rsidRPr="00186F1F">
        <w:rPr>
          <w:rFonts w:ascii="Times New Roman" w:eastAsia="Calibri" w:hAnsi="Times New Roman" w:cs="Times New Roman"/>
          <w:sz w:val="24"/>
          <w:szCs w:val="24"/>
        </w:rPr>
        <w:t>second</w:t>
      </w:r>
      <w:r w:rsidR="00671B0C">
        <w:rPr>
          <w:rFonts w:ascii="Times New Roman" w:eastAsia="Calibri" w:hAnsi="Times New Roman" w:cs="Times New Roman"/>
          <w:sz w:val="24"/>
          <w:szCs w:val="24"/>
        </w:rPr>
        <w:t> </w:t>
      </w:r>
      <w:r w:rsidR="009248F9" w:rsidRPr="00186F1F">
        <w:rPr>
          <w:rFonts w:ascii="Times New Roman" w:eastAsia="Calibri" w:hAnsi="Times New Roman" w:cs="Times New Roman"/>
          <w:sz w:val="24"/>
          <w:szCs w:val="24"/>
        </w:rPr>
        <w:t xml:space="preserve">respondent sold Stand 382 to the appellant, he had no title to pass and that the sale was done in the </w:t>
      </w:r>
      <w:r w:rsidR="00F6026C" w:rsidRPr="00186F1F">
        <w:rPr>
          <w:rFonts w:ascii="Times New Roman" w:eastAsia="Calibri" w:hAnsi="Times New Roman" w:cs="Times New Roman"/>
          <w:sz w:val="24"/>
          <w:szCs w:val="24"/>
        </w:rPr>
        <w:t>second</w:t>
      </w:r>
      <w:r w:rsidR="009248F9" w:rsidRPr="00186F1F">
        <w:rPr>
          <w:rFonts w:ascii="Times New Roman" w:eastAsia="Calibri" w:hAnsi="Times New Roman" w:cs="Times New Roman"/>
          <w:sz w:val="24"/>
          <w:szCs w:val="24"/>
        </w:rPr>
        <w:t xml:space="preserve"> respondent’s personal capacity and without authority.</w:t>
      </w:r>
      <w:r w:rsidR="00C07BE8" w:rsidRPr="00186F1F">
        <w:rPr>
          <w:rFonts w:ascii="Times New Roman" w:eastAsia="Calibri" w:hAnsi="Times New Roman" w:cs="Times New Roman"/>
          <w:sz w:val="24"/>
          <w:szCs w:val="24"/>
        </w:rPr>
        <w:t xml:space="preserve"> </w:t>
      </w:r>
      <w:r w:rsidR="001B0CB0" w:rsidRPr="00186F1F">
        <w:rPr>
          <w:rFonts w:ascii="Times New Roman" w:eastAsia="Calibri" w:hAnsi="Times New Roman" w:cs="Times New Roman"/>
          <w:sz w:val="24"/>
          <w:szCs w:val="24"/>
        </w:rPr>
        <w:t>He further averred</w:t>
      </w:r>
      <w:r w:rsidR="009248F9" w:rsidRPr="00186F1F">
        <w:rPr>
          <w:rFonts w:ascii="Times New Roman" w:eastAsia="Calibri" w:hAnsi="Times New Roman" w:cs="Times New Roman"/>
          <w:sz w:val="24"/>
          <w:szCs w:val="24"/>
        </w:rPr>
        <w:t xml:space="preserve"> that when the </w:t>
      </w:r>
      <w:r w:rsidR="00F6026C" w:rsidRPr="00186F1F">
        <w:rPr>
          <w:rFonts w:ascii="Times New Roman" w:eastAsia="Calibri" w:hAnsi="Times New Roman" w:cs="Times New Roman"/>
          <w:sz w:val="24"/>
          <w:szCs w:val="24"/>
        </w:rPr>
        <w:t>second</w:t>
      </w:r>
      <w:r w:rsidR="009248F9" w:rsidRPr="00186F1F">
        <w:rPr>
          <w:rFonts w:ascii="Times New Roman" w:eastAsia="Calibri" w:hAnsi="Times New Roman" w:cs="Times New Roman"/>
          <w:sz w:val="24"/>
          <w:szCs w:val="24"/>
        </w:rPr>
        <w:t xml:space="preserve"> respondent sold the property to the appellant he knew that it had already been sold to the </w:t>
      </w:r>
      <w:r w:rsidR="00B73CC7" w:rsidRPr="00186F1F">
        <w:rPr>
          <w:rFonts w:ascii="Times New Roman" w:eastAsia="Calibri" w:hAnsi="Times New Roman" w:cs="Times New Roman"/>
          <w:sz w:val="24"/>
          <w:szCs w:val="24"/>
        </w:rPr>
        <w:t>first</w:t>
      </w:r>
      <w:r w:rsidR="009248F9" w:rsidRPr="00186F1F">
        <w:rPr>
          <w:rFonts w:ascii="Times New Roman" w:eastAsia="Calibri" w:hAnsi="Times New Roman" w:cs="Times New Roman"/>
          <w:sz w:val="24"/>
          <w:szCs w:val="24"/>
        </w:rPr>
        <w:t xml:space="preserve"> respondent as he had co-signed the agreement of sale between the </w:t>
      </w:r>
      <w:r w:rsidR="00B73CC7" w:rsidRPr="00186F1F">
        <w:rPr>
          <w:rFonts w:ascii="Times New Roman" w:eastAsia="Calibri" w:hAnsi="Times New Roman" w:cs="Times New Roman"/>
          <w:sz w:val="24"/>
          <w:szCs w:val="24"/>
        </w:rPr>
        <w:t>first</w:t>
      </w:r>
      <w:r w:rsidR="009248F9" w:rsidRPr="00186F1F">
        <w:rPr>
          <w:rFonts w:ascii="Times New Roman" w:eastAsia="Calibri" w:hAnsi="Times New Roman" w:cs="Times New Roman"/>
          <w:sz w:val="24"/>
          <w:szCs w:val="24"/>
        </w:rPr>
        <w:t xml:space="preserve"> respondent and the executrix testamentary.</w:t>
      </w:r>
    </w:p>
    <w:p w:rsidR="002D35C0" w:rsidRPr="00186F1F" w:rsidRDefault="002D35C0" w:rsidP="001033CF">
      <w:pPr>
        <w:tabs>
          <w:tab w:val="left" w:pos="1134"/>
        </w:tabs>
        <w:spacing w:after="0" w:line="480" w:lineRule="auto"/>
        <w:jc w:val="both"/>
        <w:rPr>
          <w:rFonts w:ascii="Times New Roman" w:eastAsia="Calibri" w:hAnsi="Times New Roman" w:cs="Times New Roman"/>
          <w:sz w:val="24"/>
          <w:szCs w:val="24"/>
        </w:rPr>
      </w:pPr>
    </w:p>
    <w:p w:rsidR="009248F9" w:rsidRPr="00186F1F" w:rsidRDefault="00371E9E" w:rsidP="001033CF">
      <w:pPr>
        <w:tabs>
          <w:tab w:val="left" w:pos="1134"/>
        </w:tabs>
        <w:spacing w:after="0" w:line="480" w:lineRule="auto"/>
        <w:jc w:val="both"/>
        <w:rPr>
          <w:rFonts w:ascii="Times New Roman" w:eastAsia="Calibri" w:hAnsi="Times New Roman" w:cs="Times New Roman"/>
          <w:sz w:val="24"/>
          <w:szCs w:val="24"/>
        </w:rPr>
      </w:pPr>
      <w:r w:rsidRPr="00186F1F">
        <w:rPr>
          <w:rFonts w:ascii="Times New Roman" w:eastAsia="Calibri" w:hAnsi="Times New Roman" w:cs="Times New Roman"/>
          <w:sz w:val="24"/>
          <w:szCs w:val="24"/>
        </w:rPr>
        <w:tab/>
      </w:r>
      <w:r w:rsidR="00F802EA" w:rsidRPr="00186F1F">
        <w:rPr>
          <w:rFonts w:ascii="Times New Roman" w:eastAsia="Calibri" w:hAnsi="Times New Roman" w:cs="Times New Roman"/>
          <w:sz w:val="24"/>
          <w:szCs w:val="24"/>
        </w:rPr>
        <w:t>Further, it was also alleged</w:t>
      </w:r>
      <w:r w:rsidR="009248F9" w:rsidRPr="00186F1F">
        <w:rPr>
          <w:rFonts w:ascii="Times New Roman" w:eastAsia="Calibri" w:hAnsi="Times New Roman" w:cs="Times New Roman"/>
          <w:sz w:val="24"/>
          <w:szCs w:val="24"/>
        </w:rPr>
        <w:t xml:space="preserve"> by the </w:t>
      </w:r>
      <w:r w:rsidR="00B73CC7" w:rsidRPr="00186F1F">
        <w:rPr>
          <w:rFonts w:ascii="Times New Roman" w:eastAsia="Calibri" w:hAnsi="Times New Roman" w:cs="Times New Roman"/>
          <w:sz w:val="24"/>
          <w:szCs w:val="24"/>
        </w:rPr>
        <w:t>first</w:t>
      </w:r>
      <w:r w:rsidR="009248F9" w:rsidRPr="00186F1F">
        <w:rPr>
          <w:rFonts w:ascii="Times New Roman" w:eastAsia="Calibri" w:hAnsi="Times New Roman" w:cs="Times New Roman"/>
          <w:sz w:val="24"/>
          <w:szCs w:val="24"/>
        </w:rPr>
        <w:t xml:space="preserve"> respondent that the </w:t>
      </w:r>
      <w:r w:rsidRPr="00186F1F">
        <w:rPr>
          <w:rFonts w:ascii="Times New Roman" w:eastAsia="Calibri" w:hAnsi="Times New Roman" w:cs="Times New Roman"/>
          <w:sz w:val="24"/>
          <w:szCs w:val="24"/>
        </w:rPr>
        <w:t>fourth</w:t>
      </w:r>
      <w:r w:rsidR="009248F9" w:rsidRPr="00186F1F">
        <w:rPr>
          <w:rFonts w:ascii="Times New Roman" w:eastAsia="Calibri" w:hAnsi="Times New Roman" w:cs="Times New Roman"/>
          <w:sz w:val="24"/>
          <w:szCs w:val="24"/>
        </w:rPr>
        <w:t xml:space="preserve"> respondent registered the property into the name of the appellant without checking his register. Furthermore, that the </w:t>
      </w:r>
      <w:r w:rsidRPr="00186F1F">
        <w:rPr>
          <w:rFonts w:ascii="Times New Roman" w:eastAsia="Calibri" w:hAnsi="Times New Roman" w:cs="Times New Roman"/>
          <w:sz w:val="24"/>
          <w:szCs w:val="24"/>
        </w:rPr>
        <w:t>fifth</w:t>
      </w:r>
      <w:r w:rsidR="009248F9" w:rsidRPr="00186F1F">
        <w:rPr>
          <w:rFonts w:ascii="Times New Roman" w:eastAsia="Calibri" w:hAnsi="Times New Roman" w:cs="Times New Roman"/>
          <w:sz w:val="24"/>
          <w:szCs w:val="24"/>
        </w:rPr>
        <w:t xml:space="preserve"> respondent, who was the conveyancer of the property did not </w:t>
      </w:r>
      <w:r w:rsidR="00A95C0F" w:rsidRPr="00186F1F">
        <w:rPr>
          <w:rFonts w:ascii="Times New Roman" w:eastAsia="Calibri" w:hAnsi="Times New Roman" w:cs="Times New Roman"/>
          <w:sz w:val="24"/>
          <w:szCs w:val="24"/>
        </w:rPr>
        <w:t>perform</w:t>
      </w:r>
      <w:r w:rsidR="00C07BE8" w:rsidRPr="00186F1F">
        <w:rPr>
          <w:rFonts w:ascii="Times New Roman" w:eastAsia="Calibri" w:hAnsi="Times New Roman" w:cs="Times New Roman"/>
          <w:sz w:val="24"/>
          <w:szCs w:val="24"/>
        </w:rPr>
        <w:t xml:space="preserve"> due diligence </w:t>
      </w:r>
      <w:r w:rsidR="009248F9" w:rsidRPr="00186F1F">
        <w:rPr>
          <w:rFonts w:ascii="Times New Roman" w:eastAsia="Calibri" w:hAnsi="Times New Roman" w:cs="Times New Roman"/>
          <w:sz w:val="24"/>
          <w:szCs w:val="24"/>
        </w:rPr>
        <w:t>before drafting and lodging conveyancing papers with the Deeds Registry.</w:t>
      </w:r>
      <w:r w:rsidR="00C07BE8" w:rsidRPr="00186F1F">
        <w:rPr>
          <w:rFonts w:ascii="Times New Roman" w:eastAsia="Calibri" w:hAnsi="Times New Roman" w:cs="Times New Roman"/>
          <w:sz w:val="24"/>
          <w:szCs w:val="24"/>
        </w:rPr>
        <w:t xml:space="preserve"> H</w:t>
      </w:r>
      <w:r w:rsidR="009248F9" w:rsidRPr="00186F1F">
        <w:rPr>
          <w:rFonts w:ascii="Times New Roman" w:eastAsia="Calibri" w:hAnsi="Times New Roman" w:cs="Times New Roman"/>
          <w:sz w:val="24"/>
          <w:szCs w:val="24"/>
        </w:rPr>
        <w:t xml:space="preserve">ad </w:t>
      </w:r>
      <w:r w:rsidR="00C07BE8" w:rsidRPr="00186F1F">
        <w:rPr>
          <w:rFonts w:ascii="Times New Roman" w:eastAsia="Calibri" w:hAnsi="Times New Roman" w:cs="Times New Roman"/>
          <w:sz w:val="24"/>
          <w:szCs w:val="24"/>
        </w:rPr>
        <w:t xml:space="preserve">he </w:t>
      </w:r>
      <w:r w:rsidR="009248F9" w:rsidRPr="00186F1F">
        <w:rPr>
          <w:rFonts w:ascii="Times New Roman" w:eastAsia="Calibri" w:hAnsi="Times New Roman" w:cs="Times New Roman"/>
          <w:sz w:val="24"/>
          <w:szCs w:val="24"/>
        </w:rPr>
        <w:t xml:space="preserve">exercised </w:t>
      </w:r>
      <w:r w:rsidR="001B0CB0" w:rsidRPr="00186F1F">
        <w:rPr>
          <w:rFonts w:ascii="Times New Roman" w:eastAsia="Calibri" w:hAnsi="Times New Roman" w:cs="Times New Roman"/>
          <w:sz w:val="24"/>
          <w:szCs w:val="24"/>
        </w:rPr>
        <w:t xml:space="preserve">due diligence and </w:t>
      </w:r>
      <w:r w:rsidR="009248F9" w:rsidRPr="00186F1F">
        <w:rPr>
          <w:rFonts w:ascii="Times New Roman" w:eastAsia="Calibri" w:hAnsi="Times New Roman" w:cs="Times New Roman"/>
          <w:sz w:val="24"/>
          <w:szCs w:val="24"/>
        </w:rPr>
        <w:t xml:space="preserve">care he would have discovered that the immovable property belonged to the </w:t>
      </w:r>
      <w:r w:rsidR="00B73CC7" w:rsidRPr="00186F1F">
        <w:rPr>
          <w:rFonts w:ascii="Times New Roman" w:eastAsia="Calibri" w:hAnsi="Times New Roman" w:cs="Times New Roman"/>
          <w:sz w:val="24"/>
          <w:szCs w:val="24"/>
        </w:rPr>
        <w:t>first</w:t>
      </w:r>
      <w:r w:rsidR="009248F9" w:rsidRPr="00186F1F">
        <w:rPr>
          <w:rFonts w:ascii="Times New Roman" w:eastAsia="Calibri" w:hAnsi="Times New Roman" w:cs="Times New Roman"/>
          <w:sz w:val="24"/>
          <w:szCs w:val="24"/>
        </w:rPr>
        <w:t xml:space="preserve"> respondent </w:t>
      </w:r>
      <w:r w:rsidR="009248F9" w:rsidRPr="00186F1F">
        <w:rPr>
          <w:rFonts w:ascii="Times New Roman" w:eastAsia="Calibri" w:hAnsi="Times New Roman" w:cs="Times New Roman"/>
          <w:sz w:val="24"/>
          <w:szCs w:val="24"/>
        </w:rPr>
        <w:lastRenderedPageBreak/>
        <w:t>as it had already been registered into his name more than two months earlier.</w:t>
      </w:r>
      <w:r w:rsidR="00C07BE8" w:rsidRPr="00186F1F">
        <w:rPr>
          <w:rFonts w:ascii="Times New Roman" w:eastAsia="Calibri" w:hAnsi="Times New Roman" w:cs="Times New Roman"/>
          <w:sz w:val="24"/>
          <w:szCs w:val="24"/>
        </w:rPr>
        <w:t xml:space="preserve"> </w:t>
      </w:r>
      <w:r w:rsidR="009248F9" w:rsidRPr="00186F1F">
        <w:rPr>
          <w:rFonts w:ascii="Times New Roman" w:eastAsia="Calibri" w:hAnsi="Times New Roman" w:cs="Times New Roman"/>
          <w:sz w:val="24"/>
          <w:szCs w:val="24"/>
        </w:rPr>
        <w:t xml:space="preserve">The </w:t>
      </w:r>
      <w:r w:rsidR="00B73CC7" w:rsidRPr="00186F1F">
        <w:rPr>
          <w:rFonts w:ascii="Times New Roman" w:eastAsia="Calibri" w:hAnsi="Times New Roman" w:cs="Times New Roman"/>
          <w:sz w:val="24"/>
          <w:szCs w:val="24"/>
        </w:rPr>
        <w:t>first</w:t>
      </w:r>
      <w:r w:rsidR="00F802EA" w:rsidRPr="00186F1F">
        <w:rPr>
          <w:rFonts w:ascii="Times New Roman" w:eastAsia="Calibri" w:hAnsi="Times New Roman" w:cs="Times New Roman"/>
          <w:sz w:val="24"/>
          <w:szCs w:val="24"/>
        </w:rPr>
        <w:t xml:space="preserve"> respondent further indicated</w:t>
      </w:r>
      <w:r w:rsidR="009248F9" w:rsidRPr="00186F1F">
        <w:rPr>
          <w:rFonts w:ascii="Times New Roman" w:eastAsia="Calibri" w:hAnsi="Times New Roman" w:cs="Times New Roman"/>
          <w:sz w:val="24"/>
          <w:szCs w:val="24"/>
        </w:rPr>
        <w:t xml:space="preserve"> that the position that was stated by the executrix </w:t>
      </w:r>
      <w:r w:rsidR="005A4E41">
        <w:rPr>
          <w:rFonts w:ascii="Times New Roman" w:eastAsia="Calibri" w:hAnsi="Times New Roman" w:cs="Times New Roman"/>
          <w:sz w:val="24"/>
          <w:szCs w:val="24"/>
        </w:rPr>
        <w:t>testamentary in the letter of 1 </w:t>
      </w:r>
      <w:r w:rsidR="009248F9" w:rsidRPr="00186F1F">
        <w:rPr>
          <w:rFonts w:ascii="Times New Roman" w:eastAsia="Calibri" w:hAnsi="Times New Roman" w:cs="Times New Roman"/>
          <w:sz w:val="24"/>
          <w:szCs w:val="24"/>
        </w:rPr>
        <w:t xml:space="preserve">September 2007 was the correct position at law. The letter </w:t>
      </w:r>
      <w:r w:rsidR="001B0CB0" w:rsidRPr="00186F1F">
        <w:rPr>
          <w:rFonts w:ascii="Times New Roman" w:eastAsia="Calibri" w:hAnsi="Times New Roman" w:cs="Times New Roman"/>
          <w:sz w:val="24"/>
          <w:szCs w:val="24"/>
        </w:rPr>
        <w:t xml:space="preserve">had </w:t>
      </w:r>
      <w:r w:rsidR="009248F9" w:rsidRPr="00186F1F">
        <w:rPr>
          <w:rFonts w:ascii="Times New Roman" w:eastAsia="Calibri" w:hAnsi="Times New Roman" w:cs="Times New Roman"/>
          <w:sz w:val="24"/>
          <w:szCs w:val="24"/>
        </w:rPr>
        <w:t>raised</w:t>
      </w:r>
      <w:r w:rsidR="00A95C0F" w:rsidRPr="00186F1F">
        <w:rPr>
          <w:rFonts w:ascii="Times New Roman" w:eastAsia="Calibri" w:hAnsi="Times New Roman" w:cs="Times New Roman"/>
          <w:sz w:val="24"/>
          <w:szCs w:val="24"/>
        </w:rPr>
        <w:t>,</w:t>
      </w:r>
      <w:r w:rsidR="009248F9" w:rsidRPr="00186F1F">
        <w:rPr>
          <w:rFonts w:ascii="Times New Roman" w:eastAsia="Calibri" w:hAnsi="Times New Roman" w:cs="Times New Roman"/>
          <w:sz w:val="24"/>
          <w:szCs w:val="24"/>
        </w:rPr>
        <w:t xml:space="preserve"> with the </w:t>
      </w:r>
      <w:r w:rsidR="002D35C0" w:rsidRPr="00186F1F">
        <w:rPr>
          <w:rFonts w:ascii="Times New Roman" w:eastAsia="Calibri" w:hAnsi="Times New Roman" w:cs="Times New Roman"/>
          <w:sz w:val="24"/>
          <w:szCs w:val="24"/>
        </w:rPr>
        <w:t>sixth</w:t>
      </w:r>
      <w:r w:rsidR="009248F9" w:rsidRPr="00186F1F">
        <w:rPr>
          <w:rFonts w:ascii="Times New Roman" w:eastAsia="Calibri" w:hAnsi="Times New Roman" w:cs="Times New Roman"/>
          <w:sz w:val="24"/>
          <w:szCs w:val="24"/>
        </w:rPr>
        <w:t xml:space="preserve"> respondent</w:t>
      </w:r>
      <w:r w:rsidR="00A95C0F" w:rsidRPr="00186F1F">
        <w:rPr>
          <w:rFonts w:ascii="Times New Roman" w:eastAsia="Calibri" w:hAnsi="Times New Roman" w:cs="Times New Roman"/>
          <w:sz w:val="24"/>
          <w:szCs w:val="24"/>
        </w:rPr>
        <w:t>,</w:t>
      </w:r>
      <w:r w:rsidR="009248F9" w:rsidRPr="00186F1F">
        <w:rPr>
          <w:rFonts w:ascii="Times New Roman" w:eastAsia="Calibri" w:hAnsi="Times New Roman" w:cs="Times New Roman"/>
          <w:sz w:val="24"/>
          <w:szCs w:val="24"/>
        </w:rPr>
        <w:t xml:space="preserve"> the invalidity of the appointment of the executor </w:t>
      </w:r>
      <w:r w:rsidR="009248F9" w:rsidRPr="00186F1F">
        <w:rPr>
          <w:rFonts w:ascii="Times New Roman" w:eastAsia="Calibri" w:hAnsi="Times New Roman" w:cs="Times New Roman"/>
          <w:i/>
          <w:sz w:val="24"/>
          <w:szCs w:val="24"/>
        </w:rPr>
        <w:t>dative</w:t>
      </w:r>
      <w:r w:rsidR="009248F9" w:rsidRPr="00186F1F">
        <w:rPr>
          <w:rFonts w:ascii="Times New Roman" w:eastAsia="Calibri" w:hAnsi="Times New Roman" w:cs="Times New Roman"/>
          <w:sz w:val="24"/>
          <w:szCs w:val="24"/>
        </w:rPr>
        <w:t xml:space="preserve"> as it was done when the executrix testamenta</w:t>
      </w:r>
      <w:r w:rsidR="001C043C" w:rsidRPr="00186F1F">
        <w:rPr>
          <w:rFonts w:ascii="Times New Roman" w:eastAsia="Calibri" w:hAnsi="Times New Roman" w:cs="Times New Roman"/>
          <w:sz w:val="24"/>
          <w:szCs w:val="24"/>
        </w:rPr>
        <w:t>ry had not been removed from</w:t>
      </w:r>
      <w:r w:rsidR="009248F9" w:rsidRPr="00186F1F">
        <w:rPr>
          <w:rFonts w:ascii="Times New Roman" w:eastAsia="Calibri" w:hAnsi="Times New Roman" w:cs="Times New Roman"/>
          <w:sz w:val="24"/>
          <w:szCs w:val="24"/>
        </w:rPr>
        <w:t xml:space="preserve"> office by a competent court or judge.</w:t>
      </w:r>
      <w:r w:rsidR="00C07BE8" w:rsidRPr="00186F1F">
        <w:rPr>
          <w:rFonts w:ascii="Times New Roman" w:eastAsia="Calibri" w:hAnsi="Times New Roman" w:cs="Times New Roman"/>
          <w:sz w:val="24"/>
          <w:szCs w:val="24"/>
        </w:rPr>
        <w:t xml:space="preserve"> </w:t>
      </w:r>
      <w:r w:rsidR="001C043C" w:rsidRPr="00186F1F">
        <w:rPr>
          <w:rFonts w:ascii="Times New Roman" w:eastAsia="Calibri" w:hAnsi="Times New Roman" w:cs="Times New Roman"/>
          <w:sz w:val="24"/>
          <w:szCs w:val="24"/>
        </w:rPr>
        <w:t>It was thus averred</w:t>
      </w:r>
      <w:r w:rsidR="009248F9" w:rsidRPr="00186F1F">
        <w:rPr>
          <w:rFonts w:ascii="Times New Roman" w:eastAsia="Calibri" w:hAnsi="Times New Roman" w:cs="Times New Roman"/>
          <w:sz w:val="24"/>
          <w:szCs w:val="24"/>
        </w:rPr>
        <w:t xml:space="preserve"> that the </w:t>
      </w:r>
      <w:r w:rsidR="002D35C0" w:rsidRPr="00186F1F">
        <w:rPr>
          <w:rFonts w:ascii="Times New Roman" w:eastAsia="Calibri" w:hAnsi="Times New Roman" w:cs="Times New Roman"/>
          <w:sz w:val="24"/>
          <w:szCs w:val="24"/>
        </w:rPr>
        <w:t>sixth</w:t>
      </w:r>
      <w:r w:rsidR="009248F9" w:rsidRPr="00186F1F">
        <w:rPr>
          <w:rFonts w:ascii="Times New Roman" w:eastAsia="Calibri" w:hAnsi="Times New Roman" w:cs="Times New Roman"/>
          <w:sz w:val="24"/>
          <w:szCs w:val="24"/>
        </w:rPr>
        <w:t xml:space="preserve"> respondent acted without authority when he appointed the </w:t>
      </w:r>
      <w:r w:rsidR="00F6026C" w:rsidRPr="00186F1F">
        <w:rPr>
          <w:rFonts w:ascii="Times New Roman" w:eastAsia="Calibri" w:hAnsi="Times New Roman" w:cs="Times New Roman"/>
          <w:sz w:val="24"/>
          <w:szCs w:val="24"/>
        </w:rPr>
        <w:t>third</w:t>
      </w:r>
      <w:r w:rsidR="00185D46">
        <w:rPr>
          <w:rFonts w:ascii="Times New Roman" w:eastAsia="Calibri" w:hAnsi="Times New Roman" w:cs="Times New Roman"/>
          <w:sz w:val="24"/>
          <w:szCs w:val="24"/>
        </w:rPr>
        <w:t> </w:t>
      </w:r>
      <w:r w:rsidR="009248F9" w:rsidRPr="00186F1F">
        <w:rPr>
          <w:rFonts w:ascii="Times New Roman" w:eastAsia="Calibri" w:hAnsi="Times New Roman" w:cs="Times New Roman"/>
          <w:sz w:val="24"/>
          <w:szCs w:val="24"/>
        </w:rPr>
        <w:t xml:space="preserve">respondent as executor </w:t>
      </w:r>
      <w:r w:rsidR="009248F9" w:rsidRPr="00186F1F">
        <w:rPr>
          <w:rFonts w:ascii="Times New Roman" w:eastAsia="Calibri" w:hAnsi="Times New Roman" w:cs="Times New Roman"/>
          <w:i/>
          <w:sz w:val="24"/>
          <w:szCs w:val="24"/>
        </w:rPr>
        <w:t>dative</w:t>
      </w:r>
      <w:r w:rsidR="009248F9" w:rsidRPr="00186F1F">
        <w:rPr>
          <w:rFonts w:ascii="Times New Roman" w:eastAsia="Calibri" w:hAnsi="Times New Roman" w:cs="Times New Roman"/>
          <w:sz w:val="24"/>
          <w:szCs w:val="24"/>
        </w:rPr>
        <w:t xml:space="preserve"> and consequently all acts done by the executor </w:t>
      </w:r>
      <w:r w:rsidR="009248F9" w:rsidRPr="00186F1F">
        <w:rPr>
          <w:rFonts w:ascii="Times New Roman" w:eastAsia="Calibri" w:hAnsi="Times New Roman" w:cs="Times New Roman"/>
          <w:i/>
          <w:sz w:val="24"/>
          <w:szCs w:val="24"/>
        </w:rPr>
        <w:t>dative</w:t>
      </w:r>
      <w:r w:rsidR="009248F9" w:rsidRPr="00186F1F">
        <w:rPr>
          <w:rFonts w:ascii="Times New Roman" w:eastAsia="Calibri" w:hAnsi="Times New Roman" w:cs="Times New Roman"/>
          <w:sz w:val="24"/>
          <w:szCs w:val="24"/>
        </w:rPr>
        <w:t xml:space="preserve"> in relation to </w:t>
      </w:r>
      <w:r w:rsidR="00547817" w:rsidRPr="00186F1F">
        <w:rPr>
          <w:rFonts w:ascii="Times New Roman" w:eastAsia="Calibri" w:hAnsi="Times New Roman" w:cs="Times New Roman"/>
          <w:sz w:val="24"/>
          <w:szCs w:val="24"/>
        </w:rPr>
        <w:t>the transfer of the property were</w:t>
      </w:r>
      <w:r w:rsidR="009248F9" w:rsidRPr="00186F1F">
        <w:rPr>
          <w:rFonts w:ascii="Times New Roman" w:eastAsia="Calibri" w:hAnsi="Times New Roman" w:cs="Times New Roman"/>
          <w:sz w:val="24"/>
          <w:szCs w:val="24"/>
        </w:rPr>
        <w:t xml:space="preserve"> of no force or effect.</w:t>
      </w:r>
    </w:p>
    <w:p w:rsidR="00371E9E" w:rsidRPr="00186F1F" w:rsidRDefault="00371E9E" w:rsidP="00E07F12">
      <w:pPr>
        <w:tabs>
          <w:tab w:val="left" w:pos="1134"/>
        </w:tabs>
        <w:spacing w:after="0" w:line="480" w:lineRule="auto"/>
        <w:jc w:val="both"/>
        <w:rPr>
          <w:rFonts w:ascii="Times New Roman" w:eastAsia="Calibri" w:hAnsi="Times New Roman" w:cs="Times New Roman"/>
          <w:sz w:val="24"/>
          <w:szCs w:val="24"/>
        </w:rPr>
      </w:pPr>
    </w:p>
    <w:p w:rsidR="006C3432" w:rsidRPr="00186F1F" w:rsidRDefault="00371E9E" w:rsidP="005D12BB">
      <w:pPr>
        <w:tabs>
          <w:tab w:val="left" w:pos="1134"/>
        </w:tabs>
        <w:spacing w:after="0" w:line="480" w:lineRule="auto"/>
        <w:jc w:val="both"/>
        <w:rPr>
          <w:rFonts w:ascii="Times New Roman" w:eastAsia="Calibri" w:hAnsi="Times New Roman" w:cs="Times New Roman"/>
          <w:sz w:val="24"/>
          <w:szCs w:val="24"/>
          <w:lang w:bidi="en-US"/>
        </w:rPr>
      </w:pPr>
      <w:r w:rsidRPr="00186F1F">
        <w:rPr>
          <w:rFonts w:ascii="Times New Roman" w:eastAsia="Calibri" w:hAnsi="Times New Roman" w:cs="Times New Roman"/>
          <w:sz w:val="24"/>
          <w:szCs w:val="24"/>
          <w:lang w:bidi="en-US"/>
        </w:rPr>
        <w:tab/>
      </w:r>
      <w:r w:rsidR="009248F9" w:rsidRPr="00186F1F">
        <w:rPr>
          <w:rFonts w:ascii="Times New Roman" w:eastAsia="Calibri" w:hAnsi="Times New Roman" w:cs="Times New Roman"/>
          <w:sz w:val="24"/>
          <w:szCs w:val="24"/>
          <w:lang w:bidi="en-US"/>
        </w:rPr>
        <w:t>On the oth</w:t>
      </w:r>
      <w:r w:rsidR="00F802EA" w:rsidRPr="00186F1F">
        <w:rPr>
          <w:rFonts w:ascii="Times New Roman" w:eastAsia="Calibri" w:hAnsi="Times New Roman" w:cs="Times New Roman"/>
          <w:sz w:val="24"/>
          <w:szCs w:val="24"/>
          <w:lang w:bidi="en-US"/>
        </w:rPr>
        <w:t>er hand, the appellant contended</w:t>
      </w:r>
      <w:r w:rsidR="009248F9" w:rsidRPr="00186F1F">
        <w:rPr>
          <w:rFonts w:ascii="Times New Roman" w:eastAsia="Calibri" w:hAnsi="Times New Roman" w:cs="Times New Roman"/>
          <w:sz w:val="24"/>
          <w:szCs w:val="24"/>
          <w:lang w:bidi="en-US"/>
        </w:rPr>
        <w:t xml:space="preserve"> that the application ought not to succeed for the reason that the </w:t>
      </w:r>
      <w:r w:rsidR="00B73CC7" w:rsidRPr="00186F1F">
        <w:rPr>
          <w:rFonts w:ascii="Times New Roman" w:eastAsia="Calibri" w:hAnsi="Times New Roman" w:cs="Times New Roman"/>
          <w:sz w:val="24"/>
          <w:szCs w:val="24"/>
          <w:lang w:bidi="en-US"/>
        </w:rPr>
        <w:t>first</w:t>
      </w:r>
      <w:r w:rsidR="009248F9" w:rsidRPr="00186F1F">
        <w:rPr>
          <w:rFonts w:ascii="Times New Roman" w:eastAsia="Calibri" w:hAnsi="Times New Roman" w:cs="Times New Roman"/>
          <w:sz w:val="24"/>
          <w:szCs w:val="24"/>
          <w:lang w:bidi="en-US"/>
        </w:rPr>
        <w:t xml:space="preserve"> respondent was alleging fraud on the part of the persons who prepared and authored the documents which are being challenged and that such persons would need to be cross examined in trial proceedings. </w:t>
      </w:r>
      <w:r w:rsidR="00F802EA" w:rsidRPr="00186F1F">
        <w:rPr>
          <w:rFonts w:ascii="Times New Roman" w:eastAsia="Calibri" w:hAnsi="Times New Roman" w:cs="Times New Roman"/>
          <w:sz w:val="24"/>
          <w:szCs w:val="24"/>
          <w:lang w:bidi="en-US"/>
        </w:rPr>
        <w:t>Secondly, he contended</w:t>
      </w:r>
      <w:r w:rsidR="009248F9" w:rsidRPr="00186F1F">
        <w:rPr>
          <w:rFonts w:ascii="Times New Roman" w:eastAsia="Calibri" w:hAnsi="Times New Roman" w:cs="Times New Roman"/>
          <w:sz w:val="24"/>
          <w:szCs w:val="24"/>
          <w:lang w:bidi="en-US"/>
        </w:rPr>
        <w:t xml:space="preserve"> that there were disputes of fact which could not be resolved on the papers, such disputes being in relation to how two agreements of sale could have been concluded for the same property</w:t>
      </w:r>
      <w:r w:rsidR="00C74F0C" w:rsidRPr="00186F1F">
        <w:rPr>
          <w:rFonts w:ascii="Times New Roman" w:eastAsia="Calibri" w:hAnsi="Times New Roman" w:cs="Times New Roman"/>
          <w:sz w:val="24"/>
          <w:szCs w:val="24"/>
          <w:lang w:bidi="en-US"/>
        </w:rPr>
        <w:t xml:space="preserve">; how the Master </w:t>
      </w:r>
      <w:r w:rsidR="006C3432" w:rsidRPr="00186F1F">
        <w:rPr>
          <w:rFonts w:ascii="Times New Roman" w:eastAsia="Calibri" w:hAnsi="Times New Roman" w:cs="Times New Roman"/>
          <w:sz w:val="24"/>
          <w:szCs w:val="24"/>
          <w:lang w:bidi="en-US"/>
        </w:rPr>
        <w:t xml:space="preserve">authorized </w:t>
      </w:r>
      <w:r w:rsidR="00F6026C" w:rsidRPr="00186F1F">
        <w:rPr>
          <w:rFonts w:ascii="Times New Roman" w:eastAsia="Calibri" w:hAnsi="Times New Roman" w:cs="Times New Roman"/>
          <w:sz w:val="24"/>
          <w:szCs w:val="24"/>
          <w:lang w:bidi="en-US"/>
        </w:rPr>
        <w:t>third</w:t>
      </w:r>
      <w:r w:rsidR="00C74F0C" w:rsidRPr="00186F1F">
        <w:rPr>
          <w:rFonts w:ascii="Times New Roman" w:eastAsia="Calibri" w:hAnsi="Times New Roman" w:cs="Times New Roman"/>
          <w:sz w:val="24"/>
          <w:szCs w:val="24"/>
          <w:lang w:bidi="en-US"/>
        </w:rPr>
        <w:t xml:space="preserve"> respondent to deal with the property and how the </w:t>
      </w:r>
      <w:r w:rsidR="0007061F">
        <w:rPr>
          <w:rFonts w:ascii="Times New Roman" w:eastAsia="Calibri" w:hAnsi="Times New Roman" w:cs="Times New Roman"/>
          <w:sz w:val="24"/>
          <w:szCs w:val="24"/>
          <w:lang w:bidi="en-US"/>
        </w:rPr>
        <w:t>first respondent (</w:t>
      </w:r>
      <w:r w:rsidR="00C74F0C" w:rsidRPr="00186F1F">
        <w:rPr>
          <w:rFonts w:ascii="Times New Roman" w:eastAsia="Calibri" w:hAnsi="Times New Roman" w:cs="Times New Roman"/>
          <w:sz w:val="24"/>
          <w:szCs w:val="24"/>
          <w:lang w:bidi="en-US"/>
        </w:rPr>
        <w:t>applicant</w:t>
      </w:r>
      <w:r w:rsidR="0007061F">
        <w:rPr>
          <w:rFonts w:ascii="Times New Roman" w:eastAsia="Calibri" w:hAnsi="Times New Roman" w:cs="Times New Roman"/>
          <w:sz w:val="24"/>
          <w:szCs w:val="24"/>
          <w:lang w:bidi="en-US"/>
        </w:rPr>
        <w:t xml:space="preserve"> then)</w:t>
      </w:r>
      <w:r w:rsidR="00C74F0C" w:rsidRPr="00186F1F">
        <w:rPr>
          <w:rFonts w:ascii="Times New Roman" w:eastAsia="Calibri" w:hAnsi="Times New Roman" w:cs="Times New Roman"/>
          <w:sz w:val="24"/>
          <w:szCs w:val="24"/>
          <w:lang w:bidi="en-US"/>
        </w:rPr>
        <w:t xml:space="preserve"> sought to register his property</w:t>
      </w:r>
      <w:r w:rsidR="009248F9" w:rsidRPr="00186F1F">
        <w:rPr>
          <w:rFonts w:ascii="Times New Roman" w:eastAsia="Calibri" w:hAnsi="Times New Roman" w:cs="Times New Roman"/>
          <w:sz w:val="24"/>
          <w:szCs w:val="24"/>
          <w:lang w:bidi="en-US"/>
        </w:rPr>
        <w:t xml:space="preserve"> with the </w:t>
      </w:r>
      <w:r w:rsidRPr="00186F1F">
        <w:rPr>
          <w:rFonts w:ascii="Times New Roman" w:eastAsia="Calibri" w:hAnsi="Times New Roman" w:cs="Times New Roman"/>
          <w:sz w:val="24"/>
          <w:szCs w:val="24"/>
          <w:lang w:bidi="en-US"/>
        </w:rPr>
        <w:t>fourth</w:t>
      </w:r>
      <w:r w:rsidR="00675A47" w:rsidRPr="00186F1F">
        <w:rPr>
          <w:rFonts w:ascii="Times New Roman" w:eastAsia="Calibri" w:hAnsi="Times New Roman" w:cs="Times New Roman"/>
          <w:sz w:val="24"/>
          <w:szCs w:val="24"/>
          <w:lang w:bidi="en-US"/>
        </w:rPr>
        <w:t xml:space="preserve"> respondent. These</w:t>
      </w:r>
      <w:r w:rsidR="009248F9" w:rsidRPr="00186F1F">
        <w:rPr>
          <w:rFonts w:ascii="Times New Roman" w:eastAsia="Calibri" w:hAnsi="Times New Roman" w:cs="Times New Roman"/>
          <w:sz w:val="24"/>
          <w:szCs w:val="24"/>
          <w:lang w:bidi="en-US"/>
        </w:rPr>
        <w:t xml:space="preserve"> issues</w:t>
      </w:r>
      <w:r w:rsidR="00675A47" w:rsidRPr="00186F1F">
        <w:rPr>
          <w:rFonts w:ascii="Times New Roman" w:eastAsia="Calibri" w:hAnsi="Times New Roman" w:cs="Times New Roman"/>
          <w:sz w:val="24"/>
          <w:szCs w:val="24"/>
          <w:lang w:bidi="en-US"/>
        </w:rPr>
        <w:t>,</w:t>
      </w:r>
      <w:r w:rsidR="009248F9" w:rsidRPr="00186F1F">
        <w:rPr>
          <w:rFonts w:ascii="Times New Roman" w:eastAsia="Calibri" w:hAnsi="Times New Roman" w:cs="Times New Roman"/>
          <w:sz w:val="24"/>
          <w:szCs w:val="24"/>
          <w:lang w:bidi="en-US"/>
        </w:rPr>
        <w:t xml:space="preserve"> he contended, could not be adequately addressed in affidavits.</w:t>
      </w:r>
      <w:r w:rsidR="00C07BE8" w:rsidRPr="00186F1F">
        <w:rPr>
          <w:rFonts w:ascii="Times New Roman" w:eastAsia="Calibri" w:hAnsi="Times New Roman" w:cs="Times New Roman"/>
          <w:sz w:val="24"/>
          <w:szCs w:val="24"/>
          <w:lang w:bidi="en-US"/>
        </w:rPr>
        <w:t xml:space="preserve"> Thirdly</w:t>
      </w:r>
      <w:r w:rsidR="002B10B2" w:rsidRPr="00186F1F">
        <w:rPr>
          <w:rFonts w:ascii="Times New Roman" w:eastAsia="Calibri" w:hAnsi="Times New Roman" w:cs="Times New Roman"/>
          <w:sz w:val="24"/>
          <w:szCs w:val="24"/>
          <w:lang w:bidi="en-US"/>
        </w:rPr>
        <w:t>,</w:t>
      </w:r>
      <w:r w:rsidR="00C07BE8" w:rsidRPr="00186F1F">
        <w:rPr>
          <w:rFonts w:ascii="Times New Roman" w:eastAsia="Calibri" w:hAnsi="Times New Roman" w:cs="Times New Roman"/>
          <w:sz w:val="24"/>
          <w:szCs w:val="24"/>
          <w:lang w:bidi="en-US"/>
        </w:rPr>
        <w:t xml:space="preserve"> he </w:t>
      </w:r>
      <w:r w:rsidR="00C74F0C" w:rsidRPr="00186F1F">
        <w:rPr>
          <w:rFonts w:ascii="Times New Roman" w:eastAsia="Calibri" w:hAnsi="Times New Roman" w:cs="Times New Roman"/>
          <w:sz w:val="24"/>
          <w:szCs w:val="24"/>
          <w:lang w:bidi="en-US"/>
        </w:rPr>
        <w:t>contended</w:t>
      </w:r>
      <w:r w:rsidR="009248F9" w:rsidRPr="00186F1F">
        <w:rPr>
          <w:rFonts w:ascii="Times New Roman" w:eastAsia="Calibri" w:hAnsi="Times New Roman" w:cs="Times New Roman"/>
          <w:sz w:val="24"/>
          <w:szCs w:val="24"/>
          <w:lang w:bidi="en-US"/>
        </w:rPr>
        <w:t xml:space="preserve"> that the </w:t>
      </w:r>
      <w:r w:rsidR="00B73CC7" w:rsidRPr="00186F1F">
        <w:rPr>
          <w:rFonts w:ascii="Times New Roman" w:eastAsia="Calibri" w:hAnsi="Times New Roman" w:cs="Times New Roman"/>
          <w:sz w:val="24"/>
          <w:szCs w:val="24"/>
          <w:lang w:bidi="en-US"/>
        </w:rPr>
        <w:t>first</w:t>
      </w:r>
      <w:r w:rsidR="009248F9" w:rsidRPr="00186F1F">
        <w:rPr>
          <w:rFonts w:ascii="Times New Roman" w:eastAsia="Calibri" w:hAnsi="Times New Roman" w:cs="Times New Roman"/>
          <w:sz w:val="24"/>
          <w:szCs w:val="24"/>
          <w:lang w:bidi="en-US"/>
        </w:rPr>
        <w:t xml:space="preserve"> respondent did not challenge </w:t>
      </w:r>
      <w:r w:rsidR="00C74F0C" w:rsidRPr="00186F1F">
        <w:rPr>
          <w:rFonts w:ascii="Times New Roman" w:eastAsia="Calibri" w:hAnsi="Times New Roman" w:cs="Times New Roman"/>
          <w:sz w:val="24"/>
          <w:szCs w:val="24"/>
          <w:lang w:bidi="en-US"/>
        </w:rPr>
        <w:t>or cause the suspension of the ‘</w:t>
      </w:r>
      <w:r w:rsidR="009248F9" w:rsidRPr="00186F1F">
        <w:rPr>
          <w:rFonts w:ascii="Times New Roman" w:eastAsia="Calibri" w:hAnsi="Times New Roman" w:cs="Times New Roman"/>
          <w:sz w:val="24"/>
          <w:szCs w:val="24"/>
          <w:lang w:bidi="en-US"/>
        </w:rPr>
        <w:t xml:space="preserve">compellation order </w:t>
      </w:r>
      <w:r w:rsidR="00C07BE8" w:rsidRPr="00186F1F">
        <w:rPr>
          <w:rFonts w:ascii="Times New Roman" w:eastAsia="Calibri" w:hAnsi="Times New Roman" w:cs="Times New Roman"/>
          <w:sz w:val="24"/>
          <w:szCs w:val="24"/>
          <w:lang w:bidi="en-US"/>
        </w:rPr>
        <w:t>authorizing</w:t>
      </w:r>
      <w:r w:rsidR="009248F9" w:rsidRPr="00186F1F">
        <w:rPr>
          <w:rFonts w:ascii="Times New Roman" w:eastAsia="Calibri" w:hAnsi="Times New Roman" w:cs="Times New Roman"/>
          <w:sz w:val="24"/>
          <w:szCs w:val="24"/>
          <w:lang w:bidi="en-US"/>
        </w:rPr>
        <w:t xml:space="preserve"> transfer of the property </w:t>
      </w:r>
      <w:r w:rsidR="00712DAA">
        <w:rPr>
          <w:rFonts w:ascii="Times New Roman" w:eastAsia="Calibri" w:hAnsi="Times New Roman" w:cs="Times New Roman"/>
          <w:sz w:val="24"/>
          <w:szCs w:val="24"/>
          <w:lang w:bidi="en-US"/>
        </w:rPr>
        <w:t>in issue emanating from Case No </w:t>
      </w:r>
      <w:r w:rsidR="009248F9" w:rsidRPr="00186F1F">
        <w:rPr>
          <w:rFonts w:ascii="Times New Roman" w:eastAsia="Calibri" w:hAnsi="Times New Roman" w:cs="Times New Roman"/>
          <w:sz w:val="24"/>
          <w:szCs w:val="24"/>
          <w:lang w:bidi="en-US"/>
        </w:rPr>
        <w:t>1206/06 granted by the Magistrates Court</w:t>
      </w:r>
      <w:r w:rsidR="00185D46">
        <w:rPr>
          <w:rFonts w:ascii="Times New Roman" w:eastAsia="Calibri" w:hAnsi="Times New Roman" w:cs="Times New Roman"/>
          <w:sz w:val="24"/>
          <w:szCs w:val="24"/>
          <w:lang w:bidi="en-US"/>
        </w:rPr>
        <w:t xml:space="preserve"> in default on 8 </w:t>
      </w:r>
      <w:r w:rsidR="00C74F0C" w:rsidRPr="00186F1F">
        <w:rPr>
          <w:rFonts w:ascii="Times New Roman" w:eastAsia="Calibri" w:hAnsi="Times New Roman" w:cs="Times New Roman"/>
          <w:sz w:val="24"/>
          <w:szCs w:val="24"/>
          <w:lang w:bidi="en-US"/>
        </w:rPr>
        <w:t xml:space="preserve">November 2006. </w:t>
      </w:r>
      <w:r w:rsidR="009248F9" w:rsidRPr="00186F1F">
        <w:rPr>
          <w:rFonts w:ascii="Times New Roman" w:eastAsia="Calibri" w:hAnsi="Times New Roman" w:cs="Times New Roman"/>
          <w:sz w:val="24"/>
          <w:szCs w:val="24"/>
          <w:lang w:bidi="en-US"/>
        </w:rPr>
        <w:t xml:space="preserve">He </w:t>
      </w:r>
      <w:r w:rsidR="00C74F0C" w:rsidRPr="00186F1F">
        <w:rPr>
          <w:rFonts w:ascii="Times New Roman" w:eastAsia="Calibri" w:hAnsi="Times New Roman" w:cs="Times New Roman"/>
          <w:sz w:val="24"/>
          <w:szCs w:val="24"/>
          <w:lang w:bidi="en-US"/>
        </w:rPr>
        <w:t xml:space="preserve">further </w:t>
      </w:r>
      <w:r w:rsidR="009248F9" w:rsidRPr="00186F1F">
        <w:rPr>
          <w:rFonts w:ascii="Times New Roman" w:eastAsia="Calibri" w:hAnsi="Times New Roman" w:cs="Times New Roman"/>
          <w:sz w:val="24"/>
          <w:szCs w:val="24"/>
          <w:lang w:bidi="en-US"/>
        </w:rPr>
        <w:t>contended that the court therein decided that the pr</w:t>
      </w:r>
      <w:r w:rsidR="00C74F0C" w:rsidRPr="00186F1F">
        <w:rPr>
          <w:rFonts w:ascii="Times New Roman" w:eastAsia="Calibri" w:hAnsi="Times New Roman" w:cs="Times New Roman"/>
          <w:sz w:val="24"/>
          <w:szCs w:val="24"/>
          <w:lang w:bidi="en-US"/>
        </w:rPr>
        <w:t>operty belonged to him</w:t>
      </w:r>
      <w:r w:rsidR="009248F9" w:rsidRPr="00186F1F">
        <w:rPr>
          <w:rFonts w:ascii="Times New Roman" w:eastAsia="Calibri" w:hAnsi="Times New Roman" w:cs="Times New Roman"/>
          <w:sz w:val="24"/>
          <w:szCs w:val="24"/>
          <w:lang w:bidi="en-US"/>
        </w:rPr>
        <w:t xml:space="preserve"> and until that order is suspended, the court </w:t>
      </w:r>
      <w:r w:rsidR="009248F9" w:rsidRPr="00186F1F">
        <w:rPr>
          <w:rFonts w:ascii="Times New Roman" w:eastAsia="Calibri" w:hAnsi="Times New Roman" w:cs="Times New Roman"/>
          <w:i/>
          <w:sz w:val="24"/>
          <w:szCs w:val="24"/>
          <w:lang w:bidi="en-US"/>
        </w:rPr>
        <w:t>a quo</w:t>
      </w:r>
      <w:r w:rsidR="009248F9" w:rsidRPr="00186F1F">
        <w:rPr>
          <w:rFonts w:ascii="Times New Roman" w:eastAsia="Calibri" w:hAnsi="Times New Roman" w:cs="Times New Roman"/>
          <w:sz w:val="24"/>
          <w:szCs w:val="24"/>
          <w:lang w:bidi="en-US"/>
        </w:rPr>
        <w:t xml:space="preserve"> could not hear the </w:t>
      </w:r>
      <w:r w:rsidR="00B73CC7" w:rsidRPr="00186F1F">
        <w:rPr>
          <w:rFonts w:ascii="Times New Roman" w:eastAsia="Calibri" w:hAnsi="Times New Roman" w:cs="Times New Roman"/>
          <w:sz w:val="24"/>
          <w:szCs w:val="24"/>
          <w:lang w:bidi="en-US"/>
        </w:rPr>
        <w:t>first</w:t>
      </w:r>
      <w:r w:rsidR="009248F9" w:rsidRPr="00186F1F">
        <w:rPr>
          <w:rFonts w:ascii="Times New Roman" w:eastAsia="Calibri" w:hAnsi="Times New Roman" w:cs="Times New Roman"/>
          <w:sz w:val="24"/>
          <w:szCs w:val="24"/>
          <w:lang w:bidi="en-US"/>
        </w:rPr>
        <w:t xml:space="preserve"> responde</w:t>
      </w:r>
      <w:r w:rsidR="006C3432" w:rsidRPr="00186F1F">
        <w:rPr>
          <w:rFonts w:ascii="Times New Roman" w:eastAsia="Calibri" w:hAnsi="Times New Roman" w:cs="Times New Roman"/>
          <w:sz w:val="24"/>
          <w:szCs w:val="24"/>
          <w:lang w:bidi="en-US"/>
        </w:rPr>
        <w:t>nt’s case.</w:t>
      </w:r>
    </w:p>
    <w:p w:rsidR="009248F9" w:rsidRPr="00186F1F" w:rsidRDefault="00371E9E" w:rsidP="001033CF">
      <w:pPr>
        <w:tabs>
          <w:tab w:val="left" w:pos="1134"/>
        </w:tabs>
        <w:spacing w:after="0" w:line="480" w:lineRule="auto"/>
        <w:jc w:val="both"/>
        <w:rPr>
          <w:rFonts w:ascii="Times New Roman" w:eastAsia="Calibri" w:hAnsi="Times New Roman" w:cs="Times New Roman"/>
          <w:sz w:val="24"/>
          <w:szCs w:val="24"/>
          <w:lang w:bidi="en-US"/>
        </w:rPr>
      </w:pPr>
      <w:r w:rsidRPr="00186F1F">
        <w:rPr>
          <w:rFonts w:ascii="Times New Roman" w:eastAsia="Calibri" w:hAnsi="Times New Roman" w:cs="Times New Roman"/>
          <w:sz w:val="24"/>
          <w:szCs w:val="24"/>
          <w:lang w:bidi="en-US"/>
        </w:rPr>
        <w:lastRenderedPageBreak/>
        <w:tab/>
      </w:r>
      <w:r w:rsidR="006C3432" w:rsidRPr="00186F1F">
        <w:rPr>
          <w:rFonts w:ascii="Times New Roman" w:eastAsia="Calibri" w:hAnsi="Times New Roman" w:cs="Times New Roman"/>
          <w:sz w:val="24"/>
          <w:szCs w:val="24"/>
          <w:lang w:bidi="en-US"/>
        </w:rPr>
        <w:t>The appellant also</w:t>
      </w:r>
      <w:r w:rsidR="009248F9" w:rsidRPr="00186F1F">
        <w:rPr>
          <w:rFonts w:ascii="Times New Roman" w:eastAsia="Calibri" w:hAnsi="Times New Roman" w:cs="Times New Roman"/>
          <w:sz w:val="24"/>
          <w:szCs w:val="24"/>
          <w:lang w:bidi="en-US"/>
        </w:rPr>
        <w:t xml:space="preserve"> contended that the </w:t>
      </w:r>
      <w:r w:rsidR="00B73CC7" w:rsidRPr="00186F1F">
        <w:rPr>
          <w:rFonts w:ascii="Times New Roman" w:eastAsia="Calibri" w:hAnsi="Times New Roman" w:cs="Times New Roman"/>
          <w:sz w:val="24"/>
          <w:szCs w:val="24"/>
          <w:lang w:bidi="en-US"/>
        </w:rPr>
        <w:t>first</w:t>
      </w:r>
      <w:r w:rsidR="009248F9" w:rsidRPr="00186F1F">
        <w:rPr>
          <w:rFonts w:ascii="Times New Roman" w:eastAsia="Calibri" w:hAnsi="Times New Roman" w:cs="Times New Roman"/>
          <w:sz w:val="24"/>
          <w:szCs w:val="24"/>
          <w:lang w:bidi="en-US"/>
        </w:rPr>
        <w:t xml:space="preserve"> respondent had no real rights over the property in question and that the Registrar of Deeds had confirmed by letter that the property belongs to him. He contended that the </w:t>
      </w:r>
      <w:r w:rsidR="00B73CC7" w:rsidRPr="00186F1F">
        <w:rPr>
          <w:rFonts w:ascii="Times New Roman" w:eastAsia="Calibri" w:hAnsi="Times New Roman" w:cs="Times New Roman"/>
          <w:sz w:val="24"/>
          <w:szCs w:val="24"/>
          <w:lang w:bidi="en-US"/>
        </w:rPr>
        <w:t>first</w:t>
      </w:r>
      <w:r w:rsidR="009248F9" w:rsidRPr="00186F1F">
        <w:rPr>
          <w:rFonts w:ascii="Times New Roman" w:eastAsia="Calibri" w:hAnsi="Times New Roman" w:cs="Times New Roman"/>
          <w:sz w:val="24"/>
          <w:szCs w:val="24"/>
          <w:lang w:bidi="en-US"/>
        </w:rPr>
        <w:t xml:space="preserve"> respondent’s supposed title deed is not a valid title deed and does not confer any rights on him hence the </w:t>
      </w:r>
      <w:r w:rsidR="00B73CC7" w:rsidRPr="00186F1F">
        <w:rPr>
          <w:rFonts w:ascii="Times New Roman" w:eastAsia="Calibri" w:hAnsi="Times New Roman" w:cs="Times New Roman"/>
          <w:sz w:val="24"/>
          <w:szCs w:val="24"/>
          <w:lang w:bidi="en-US"/>
        </w:rPr>
        <w:t>first</w:t>
      </w:r>
      <w:r w:rsidR="009248F9" w:rsidRPr="00186F1F">
        <w:rPr>
          <w:rFonts w:ascii="Times New Roman" w:eastAsia="Calibri" w:hAnsi="Times New Roman" w:cs="Times New Roman"/>
          <w:sz w:val="24"/>
          <w:szCs w:val="24"/>
          <w:lang w:bidi="en-US"/>
        </w:rPr>
        <w:t xml:space="preserve"> respondent could not challenge the registration of a property which he do</w:t>
      </w:r>
      <w:r w:rsidR="006C3432" w:rsidRPr="00186F1F">
        <w:rPr>
          <w:rFonts w:ascii="Times New Roman" w:eastAsia="Calibri" w:hAnsi="Times New Roman" w:cs="Times New Roman"/>
          <w:sz w:val="24"/>
          <w:szCs w:val="24"/>
          <w:lang w:bidi="en-US"/>
        </w:rPr>
        <w:t>es not own. As such he averred</w:t>
      </w:r>
      <w:r w:rsidR="009248F9" w:rsidRPr="00186F1F">
        <w:rPr>
          <w:rFonts w:ascii="Times New Roman" w:eastAsia="Calibri" w:hAnsi="Times New Roman" w:cs="Times New Roman"/>
          <w:sz w:val="24"/>
          <w:szCs w:val="24"/>
          <w:lang w:bidi="en-US"/>
        </w:rPr>
        <w:t xml:space="preserve"> that there was no double registration of the immovable property in issue.</w:t>
      </w:r>
    </w:p>
    <w:p w:rsidR="00371E9E" w:rsidRPr="00186F1F" w:rsidRDefault="00371E9E" w:rsidP="001033CF">
      <w:pPr>
        <w:spacing w:after="0" w:line="360" w:lineRule="auto"/>
        <w:jc w:val="both"/>
        <w:rPr>
          <w:rFonts w:ascii="Times New Roman" w:eastAsia="Calibri" w:hAnsi="Times New Roman" w:cs="Times New Roman"/>
          <w:sz w:val="24"/>
          <w:szCs w:val="24"/>
          <w:lang w:bidi="en-US"/>
        </w:rPr>
      </w:pPr>
    </w:p>
    <w:p w:rsidR="009248F9" w:rsidRPr="00186F1F" w:rsidRDefault="00371E9E" w:rsidP="001033CF">
      <w:pPr>
        <w:tabs>
          <w:tab w:val="left" w:pos="1134"/>
        </w:tabs>
        <w:spacing w:after="0" w:line="480" w:lineRule="auto"/>
        <w:jc w:val="both"/>
        <w:rPr>
          <w:rFonts w:ascii="Times New Roman" w:eastAsia="Calibri" w:hAnsi="Times New Roman" w:cs="Times New Roman"/>
          <w:sz w:val="24"/>
          <w:szCs w:val="24"/>
          <w:lang w:bidi="en-US"/>
        </w:rPr>
      </w:pPr>
      <w:r w:rsidRPr="00186F1F">
        <w:rPr>
          <w:rFonts w:ascii="Times New Roman" w:eastAsia="Calibri" w:hAnsi="Times New Roman" w:cs="Times New Roman"/>
          <w:sz w:val="24"/>
          <w:szCs w:val="24"/>
          <w:lang w:bidi="en-US"/>
        </w:rPr>
        <w:tab/>
      </w:r>
      <w:r w:rsidR="00675A47" w:rsidRPr="00186F1F">
        <w:rPr>
          <w:rFonts w:ascii="Times New Roman" w:eastAsia="Calibri" w:hAnsi="Times New Roman" w:cs="Times New Roman"/>
          <w:sz w:val="24"/>
          <w:szCs w:val="24"/>
          <w:lang w:bidi="en-US"/>
        </w:rPr>
        <w:t>The appellant further</w:t>
      </w:r>
      <w:r w:rsidR="006A465E" w:rsidRPr="00186F1F">
        <w:rPr>
          <w:rFonts w:ascii="Times New Roman" w:eastAsia="Calibri" w:hAnsi="Times New Roman" w:cs="Times New Roman"/>
          <w:sz w:val="24"/>
          <w:szCs w:val="24"/>
          <w:lang w:bidi="en-US"/>
        </w:rPr>
        <w:t xml:space="preserve"> contended</w:t>
      </w:r>
      <w:r w:rsidR="009248F9" w:rsidRPr="00186F1F">
        <w:rPr>
          <w:rFonts w:ascii="Times New Roman" w:eastAsia="Calibri" w:hAnsi="Times New Roman" w:cs="Times New Roman"/>
          <w:sz w:val="24"/>
          <w:szCs w:val="24"/>
          <w:lang w:bidi="en-US"/>
        </w:rPr>
        <w:t xml:space="preserve"> that the </w:t>
      </w:r>
      <w:r w:rsidR="00B73CC7" w:rsidRPr="00186F1F">
        <w:rPr>
          <w:rFonts w:ascii="Times New Roman" w:eastAsia="Calibri" w:hAnsi="Times New Roman" w:cs="Times New Roman"/>
          <w:sz w:val="24"/>
          <w:szCs w:val="24"/>
          <w:lang w:bidi="en-US"/>
        </w:rPr>
        <w:t>first</w:t>
      </w:r>
      <w:r w:rsidR="006C3432" w:rsidRPr="00186F1F">
        <w:rPr>
          <w:rFonts w:ascii="Times New Roman" w:eastAsia="Calibri" w:hAnsi="Times New Roman" w:cs="Times New Roman"/>
          <w:sz w:val="24"/>
          <w:szCs w:val="24"/>
          <w:lang w:bidi="en-US"/>
        </w:rPr>
        <w:t xml:space="preserve"> </w:t>
      </w:r>
      <w:r w:rsidR="009248F9" w:rsidRPr="00186F1F">
        <w:rPr>
          <w:rFonts w:ascii="Times New Roman" w:eastAsia="Calibri" w:hAnsi="Times New Roman" w:cs="Times New Roman"/>
          <w:sz w:val="24"/>
          <w:szCs w:val="24"/>
          <w:lang w:bidi="en-US"/>
        </w:rPr>
        <w:t>respondent’s purported agreement of sale dated</w:t>
      </w:r>
      <w:r w:rsidR="00BF70D6" w:rsidRPr="00186F1F">
        <w:rPr>
          <w:rFonts w:ascii="Times New Roman" w:eastAsia="Calibri" w:hAnsi="Times New Roman" w:cs="Times New Roman"/>
          <w:sz w:val="24"/>
          <w:szCs w:val="24"/>
          <w:lang w:bidi="en-US"/>
        </w:rPr>
        <w:t xml:space="preserve"> November</w:t>
      </w:r>
      <w:r w:rsidR="009248F9" w:rsidRPr="00186F1F">
        <w:rPr>
          <w:rFonts w:ascii="Times New Roman" w:eastAsia="Calibri" w:hAnsi="Times New Roman" w:cs="Times New Roman"/>
          <w:sz w:val="24"/>
          <w:szCs w:val="24"/>
          <w:lang w:bidi="en-US"/>
        </w:rPr>
        <w:t xml:space="preserve"> 1999 with the executrix testamentary was invalid because the executrix testamentary did not then have authority from the </w:t>
      </w:r>
      <w:r w:rsidR="002D35C0" w:rsidRPr="00186F1F">
        <w:rPr>
          <w:rFonts w:ascii="Times New Roman" w:eastAsia="Calibri" w:hAnsi="Times New Roman" w:cs="Times New Roman"/>
          <w:sz w:val="24"/>
          <w:szCs w:val="24"/>
          <w:lang w:bidi="en-US"/>
        </w:rPr>
        <w:t>sixth</w:t>
      </w:r>
      <w:r w:rsidR="009248F9" w:rsidRPr="00186F1F">
        <w:rPr>
          <w:rFonts w:ascii="Times New Roman" w:eastAsia="Calibri" w:hAnsi="Times New Roman" w:cs="Times New Roman"/>
          <w:sz w:val="24"/>
          <w:szCs w:val="24"/>
          <w:lang w:bidi="en-US"/>
        </w:rPr>
        <w:t xml:space="preserve"> respondent to sell the property, such authority only having been granted by the </w:t>
      </w:r>
      <w:r w:rsidR="002D35C0" w:rsidRPr="00186F1F">
        <w:rPr>
          <w:rFonts w:ascii="Times New Roman" w:eastAsia="Calibri" w:hAnsi="Times New Roman" w:cs="Times New Roman"/>
          <w:sz w:val="24"/>
          <w:szCs w:val="24"/>
          <w:lang w:bidi="en-US"/>
        </w:rPr>
        <w:t>sixth</w:t>
      </w:r>
      <w:r w:rsidR="009248F9" w:rsidRPr="00186F1F">
        <w:rPr>
          <w:rFonts w:ascii="Times New Roman" w:eastAsia="Calibri" w:hAnsi="Times New Roman" w:cs="Times New Roman"/>
          <w:sz w:val="24"/>
          <w:szCs w:val="24"/>
          <w:lang w:bidi="en-US"/>
        </w:rPr>
        <w:t xml:space="preserve"> respondent on 27 February 2006</w:t>
      </w:r>
      <w:r w:rsidR="005D02FA" w:rsidRPr="00186F1F">
        <w:rPr>
          <w:rFonts w:ascii="Times New Roman" w:eastAsia="Calibri" w:hAnsi="Times New Roman" w:cs="Times New Roman"/>
          <w:sz w:val="24"/>
          <w:szCs w:val="24"/>
          <w:lang w:bidi="en-US"/>
        </w:rPr>
        <w:t xml:space="preserve">. He </w:t>
      </w:r>
      <w:r w:rsidR="00336A89" w:rsidRPr="00186F1F">
        <w:rPr>
          <w:rFonts w:ascii="Times New Roman" w:eastAsia="Calibri" w:hAnsi="Times New Roman" w:cs="Times New Roman"/>
          <w:sz w:val="24"/>
          <w:szCs w:val="24"/>
          <w:lang w:bidi="en-US"/>
        </w:rPr>
        <w:t xml:space="preserve">further </w:t>
      </w:r>
      <w:r w:rsidR="005D02FA" w:rsidRPr="00186F1F">
        <w:rPr>
          <w:rFonts w:ascii="Times New Roman" w:eastAsia="Calibri" w:hAnsi="Times New Roman" w:cs="Times New Roman"/>
          <w:sz w:val="24"/>
          <w:szCs w:val="24"/>
          <w:lang w:bidi="en-US"/>
        </w:rPr>
        <w:t>averred</w:t>
      </w:r>
      <w:r w:rsidR="009248F9" w:rsidRPr="00186F1F">
        <w:rPr>
          <w:rFonts w:ascii="Times New Roman" w:eastAsia="Calibri" w:hAnsi="Times New Roman" w:cs="Times New Roman"/>
          <w:sz w:val="24"/>
          <w:szCs w:val="24"/>
          <w:lang w:bidi="en-US"/>
        </w:rPr>
        <w:t xml:space="preserve"> that the </w:t>
      </w:r>
      <w:r w:rsidR="00B73CC7" w:rsidRPr="00186F1F">
        <w:rPr>
          <w:rFonts w:ascii="Times New Roman" w:eastAsia="Calibri" w:hAnsi="Times New Roman" w:cs="Times New Roman"/>
          <w:sz w:val="24"/>
          <w:szCs w:val="24"/>
          <w:lang w:bidi="en-US"/>
        </w:rPr>
        <w:t>first</w:t>
      </w:r>
      <w:r w:rsidR="009248F9" w:rsidRPr="00186F1F">
        <w:rPr>
          <w:rFonts w:ascii="Times New Roman" w:eastAsia="Calibri" w:hAnsi="Times New Roman" w:cs="Times New Roman"/>
          <w:sz w:val="24"/>
          <w:szCs w:val="24"/>
          <w:lang w:bidi="en-US"/>
        </w:rPr>
        <w:t xml:space="preserve"> respondent had sued the wrong party as he should have sued the estate from which his rights emanate in terms of the agreement of sale. The appellant thus moved the court to dismiss the application with costs on the higher scale.</w:t>
      </w:r>
    </w:p>
    <w:p w:rsidR="008E00B7" w:rsidRPr="00186F1F" w:rsidRDefault="008E00B7" w:rsidP="001033CF">
      <w:pPr>
        <w:tabs>
          <w:tab w:val="left" w:pos="1134"/>
        </w:tabs>
        <w:spacing w:after="0" w:line="360" w:lineRule="auto"/>
        <w:jc w:val="both"/>
        <w:rPr>
          <w:rFonts w:ascii="Times New Roman" w:eastAsia="Calibri" w:hAnsi="Times New Roman" w:cs="Times New Roman"/>
          <w:sz w:val="24"/>
          <w:szCs w:val="24"/>
          <w:lang w:bidi="en-US"/>
        </w:rPr>
      </w:pPr>
    </w:p>
    <w:p w:rsidR="00960053" w:rsidRPr="00186F1F" w:rsidRDefault="00373B43" w:rsidP="001033CF">
      <w:pPr>
        <w:tabs>
          <w:tab w:val="left" w:pos="1134"/>
        </w:tabs>
        <w:spacing w:after="0" w:line="480" w:lineRule="auto"/>
        <w:jc w:val="both"/>
        <w:rPr>
          <w:rFonts w:ascii="Times New Roman" w:eastAsia="Calibri" w:hAnsi="Times New Roman" w:cs="Times New Roman"/>
          <w:sz w:val="24"/>
          <w:szCs w:val="24"/>
        </w:rPr>
      </w:pPr>
      <w:r w:rsidRPr="00186F1F">
        <w:rPr>
          <w:rFonts w:ascii="Times New Roman" w:eastAsia="Calibri" w:hAnsi="Times New Roman" w:cs="Times New Roman"/>
          <w:sz w:val="24"/>
          <w:szCs w:val="24"/>
          <w:lang w:bidi="en-US"/>
        </w:rPr>
        <w:tab/>
      </w:r>
      <w:r w:rsidR="009248F9" w:rsidRPr="00186F1F">
        <w:rPr>
          <w:rFonts w:ascii="Times New Roman" w:eastAsia="Calibri" w:hAnsi="Times New Roman" w:cs="Times New Roman"/>
          <w:sz w:val="24"/>
          <w:szCs w:val="24"/>
          <w:lang w:bidi="en-US"/>
        </w:rPr>
        <w:t xml:space="preserve">After considering submissions from the parties and papers filed of record, the court </w:t>
      </w:r>
      <w:r w:rsidR="00186F1F">
        <w:rPr>
          <w:rFonts w:ascii="Times New Roman" w:eastAsia="Calibri" w:hAnsi="Times New Roman" w:cs="Times New Roman"/>
          <w:i/>
          <w:sz w:val="24"/>
          <w:szCs w:val="24"/>
          <w:lang w:bidi="en-US"/>
        </w:rPr>
        <w:t>a </w:t>
      </w:r>
      <w:r w:rsidR="009248F9" w:rsidRPr="00186F1F">
        <w:rPr>
          <w:rFonts w:ascii="Times New Roman" w:eastAsia="Calibri" w:hAnsi="Times New Roman" w:cs="Times New Roman"/>
          <w:i/>
          <w:sz w:val="24"/>
          <w:szCs w:val="24"/>
          <w:lang w:bidi="en-US"/>
        </w:rPr>
        <w:t>quo</w:t>
      </w:r>
      <w:r w:rsidR="009248F9" w:rsidRPr="00186F1F">
        <w:rPr>
          <w:rFonts w:ascii="Times New Roman" w:eastAsia="Calibri" w:hAnsi="Times New Roman" w:cs="Times New Roman"/>
          <w:sz w:val="24"/>
          <w:szCs w:val="24"/>
          <w:lang w:bidi="en-US"/>
        </w:rPr>
        <w:t xml:space="preserve"> fo</w:t>
      </w:r>
      <w:r w:rsidR="005D02FA" w:rsidRPr="00186F1F">
        <w:rPr>
          <w:rFonts w:ascii="Times New Roman" w:eastAsia="Calibri" w:hAnsi="Times New Roman" w:cs="Times New Roman"/>
          <w:sz w:val="24"/>
          <w:szCs w:val="24"/>
          <w:lang w:bidi="en-US"/>
        </w:rPr>
        <w:t>und that the appellant’s deed was</w:t>
      </w:r>
      <w:r w:rsidR="009248F9" w:rsidRPr="00186F1F">
        <w:rPr>
          <w:rFonts w:ascii="Times New Roman" w:eastAsia="Calibri" w:hAnsi="Times New Roman" w:cs="Times New Roman"/>
          <w:sz w:val="24"/>
          <w:szCs w:val="24"/>
          <w:lang w:bidi="en-US"/>
        </w:rPr>
        <w:t xml:space="preserve"> unlawful and therefore null and void as his registration as owner was subsequent to that of the </w:t>
      </w:r>
      <w:r w:rsidR="00B73CC7" w:rsidRPr="00186F1F">
        <w:rPr>
          <w:rFonts w:ascii="Times New Roman" w:eastAsia="Calibri" w:hAnsi="Times New Roman" w:cs="Times New Roman"/>
          <w:sz w:val="24"/>
          <w:szCs w:val="24"/>
          <w:lang w:bidi="en-US"/>
        </w:rPr>
        <w:t>first</w:t>
      </w:r>
      <w:r w:rsidR="006C3432" w:rsidRPr="00186F1F">
        <w:rPr>
          <w:rFonts w:ascii="Times New Roman" w:eastAsia="Calibri" w:hAnsi="Times New Roman" w:cs="Times New Roman"/>
          <w:sz w:val="24"/>
          <w:szCs w:val="24"/>
          <w:lang w:bidi="en-US"/>
        </w:rPr>
        <w:t xml:space="preserve"> respondent</w:t>
      </w:r>
      <w:r w:rsidR="009248F9" w:rsidRPr="00186F1F">
        <w:rPr>
          <w:rFonts w:ascii="Times New Roman" w:eastAsia="Calibri" w:hAnsi="Times New Roman" w:cs="Times New Roman"/>
          <w:sz w:val="24"/>
          <w:szCs w:val="24"/>
          <w:lang w:bidi="en-US"/>
        </w:rPr>
        <w:t xml:space="preserve"> over the same property. It was</w:t>
      </w:r>
      <w:r w:rsidR="006C3432" w:rsidRPr="00186F1F">
        <w:rPr>
          <w:rFonts w:ascii="Times New Roman" w:eastAsia="Calibri" w:hAnsi="Times New Roman" w:cs="Times New Roman"/>
          <w:sz w:val="24"/>
          <w:szCs w:val="24"/>
          <w:lang w:bidi="en-US"/>
        </w:rPr>
        <w:t xml:space="preserve"> </w:t>
      </w:r>
      <w:r w:rsidR="000B196E" w:rsidRPr="00186F1F">
        <w:rPr>
          <w:rFonts w:ascii="Times New Roman" w:eastAsia="Calibri" w:hAnsi="Times New Roman" w:cs="Times New Roman"/>
          <w:sz w:val="24"/>
          <w:szCs w:val="24"/>
          <w:lang w:bidi="en-US"/>
        </w:rPr>
        <w:t>held that</w:t>
      </w:r>
      <w:r w:rsidR="009248F9" w:rsidRPr="00186F1F">
        <w:rPr>
          <w:rFonts w:ascii="Times New Roman" w:eastAsia="Calibri" w:hAnsi="Times New Roman" w:cs="Times New Roman"/>
          <w:sz w:val="24"/>
          <w:szCs w:val="24"/>
          <w:lang w:bidi="en-US"/>
        </w:rPr>
        <w:t xml:space="preserve"> this was sufficient justification for the court to declare the registration of the appellant as owner to be null and void as</w:t>
      </w:r>
      <w:r w:rsidR="009248F9" w:rsidRPr="00186F1F">
        <w:rPr>
          <w:rFonts w:ascii="Times New Roman" w:eastAsia="Calibri" w:hAnsi="Times New Roman" w:cs="Times New Roman"/>
          <w:sz w:val="24"/>
          <w:szCs w:val="24"/>
          <w:lang w:val="en-ZW"/>
        </w:rPr>
        <w:t xml:space="preserve"> </w:t>
      </w:r>
      <w:r w:rsidR="009248F9" w:rsidRPr="00186F1F">
        <w:rPr>
          <w:rFonts w:ascii="Times New Roman" w:eastAsia="Calibri" w:hAnsi="Times New Roman" w:cs="Times New Roman"/>
          <w:sz w:val="24"/>
          <w:szCs w:val="24"/>
          <w:lang w:bidi="en-US"/>
        </w:rPr>
        <w:t xml:space="preserve">deeds follow </w:t>
      </w:r>
      <w:r w:rsidR="0007061F">
        <w:rPr>
          <w:rFonts w:ascii="Times New Roman" w:eastAsia="Calibri" w:hAnsi="Times New Roman" w:cs="Times New Roman"/>
          <w:sz w:val="24"/>
          <w:szCs w:val="24"/>
          <w:lang w:bidi="en-US"/>
        </w:rPr>
        <w:t xml:space="preserve">the </w:t>
      </w:r>
      <w:r w:rsidR="009248F9" w:rsidRPr="00186F1F">
        <w:rPr>
          <w:rFonts w:ascii="Times New Roman" w:eastAsia="Calibri" w:hAnsi="Times New Roman" w:cs="Times New Roman"/>
          <w:sz w:val="24"/>
          <w:szCs w:val="24"/>
          <w:lang w:bidi="en-US"/>
        </w:rPr>
        <w:t>sequence of their relative causes. It also found that at the time ownership was</w:t>
      </w:r>
      <w:r w:rsidR="005D02FA" w:rsidRPr="00186F1F">
        <w:rPr>
          <w:rFonts w:ascii="Times New Roman" w:eastAsia="Calibri" w:hAnsi="Times New Roman" w:cs="Times New Roman"/>
          <w:sz w:val="24"/>
          <w:szCs w:val="24"/>
          <w:lang w:bidi="en-US"/>
        </w:rPr>
        <w:t xml:space="preserve"> purportedly</w:t>
      </w:r>
      <w:r w:rsidR="009248F9" w:rsidRPr="00186F1F">
        <w:rPr>
          <w:rFonts w:ascii="Times New Roman" w:eastAsia="Calibri" w:hAnsi="Times New Roman" w:cs="Times New Roman"/>
          <w:sz w:val="24"/>
          <w:szCs w:val="24"/>
          <w:lang w:bidi="en-US"/>
        </w:rPr>
        <w:t xml:space="preserve"> passed to the appellant, the property no longer belonged to the estate but to the </w:t>
      </w:r>
      <w:r w:rsidR="00B73CC7" w:rsidRPr="00186F1F">
        <w:rPr>
          <w:rFonts w:ascii="Times New Roman" w:eastAsia="Calibri" w:hAnsi="Times New Roman" w:cs="Times New Roman"/>
          <w:sz w:val="24"/>
          <w:szCs w:val="24"/>
          <w:lang w:bidi="en-US"/>
        </w:rPr>
        <w:t>first</w:t>
      </w:r>
      <w:r w:rsidR="009248F9" w:rsidRPr="00186F1F">
        <w:rPr>
          <w:rFonts w:ascii="Times New Roman" w:eastAsia="Calibri" w:hAnsi="Times New Roman" w:cs="Times New Roman"/>
          <w:sz w:val="24"/>
          <w:szCs w:val="24"/>
          <w:lang w:bidi="en-US"/>
        </w:rPr>
        <w:t xml:space="preserve"> respondent thus it had no rights to transfer to the appellant.</w:t>
      </w:r>
      <w:r w:rsidR="00960053" w:rsidRPr="00186F1F">
        <w:rPr>
          <w:rFonts w:ascii="Times New Roman" w:eastAsia="Calibri" w:hAnsi="Times New Roman" w:cs="Times New Roman"/>
          <w:sz w:val="24"/>
          <w:szCs w:val="24"/>
          <w:lang w:bidi="en-US"/>
        </w:rPr>
        <w:t xml:space="preserve"> </w:t>
      </w:r>
      <w:r w:rsidR="009248F9" w:rsidRPr="00186F1F">
        <w:rPr>
          <w:rFonts w:ascii="Times New Roman" w:eastAsia="Calibri" w:hAnsi="Times New Roman" w:cs="Times New Roman"/>
          <w:sz w:val="24"/>
          <w:szCs w:val="24"/>
          <w:lang w:bidi="en-US"/>
        </w:rPr>
        <w:t xml:space="preserve">Pertaining to the executor, the court </w:t>
      </w:r>
      <w:r w:rsidR="009248F9" w:rsidRPr="00186F1F">
        <w:rPr>
          <w:rFonts w:ascii="Times New Roman" w:eastAsia="Calibri" w:hAnsi="Times New Roman" w:cs="Times New Roman"/>
          <w:i/>
          <w:sz w:val="24"/>
          <w:szCs w:val="24"/>
          <w:lang w:bidi="en-US"/>
        </w:rPr>
        <w:t>a quo</w:t>
      </w:r>
      <w:r w:rsidR="009248F9" w:rsidRPr="00186F1F">
        <w:rPr>
          <w:rFonts w:ascii="Times New Roman" w:eastAsia="Calibri" w:hAnsi="Times New Roman" w:cs="Times New Roman"/>
          <w:sz w:val="24"/>
          <w:szCs w:val="24"/>
          <w:lang w:bidi="en-US"/>
        </w:rPr>
        <w:t xml:space="preserve"> found that the appointment of </w:t>
      </w:r>
      <w:r w:rsidR="00336A89" w:rsidRPr="00186F1F">
        <w:rPr>
          <w:rFonts w:ascii="Times New Roman" w:eastAsia="Calibri" w:hAnsi="Times New Roman" w:cs="Times New Roman"/>
          <w:sz w:val="24"/>
          <w:szCs w:val="24"/>
          <w:lang w:bidi="en-US"/>
        </w:rPr>
        <w:t xml:space="preserve">the </w:t>
      </w:r>
      <w:r w:rsidR="00F6026C" w:rsidRPr="00186F1F">
        <w:rPr>
          <w:rFonts w:ascii="Times New Roman" w:eastAsia="Calibri" w:hAnsi="Times New Roman" w:cs="Times New Roman"/>
          <w:sz w:val="24"/>
          <w:szCs w:val="24"/>
          <w:lang w:bidi="en-US"/>
        </w:rPr>
        <w:t>third</w:t>
      </w:r>
      <w:r w:rsidR="009248F9" w:rsidRPr="00186F1F">
        <w:rPr>
          <w:rFonts w:ascii="Times New Roman" w:eastAsia="Calibri" w:hAnsi="Times New Roman" w:cs="Times New Roman"/>
          <w:sz w:val="24"/>
          <w:szCs w:val="24"/>
          <w:lang w:bidi="en-US"/>
        </w:rPr>
        <w:t xml:space="preserve"> respondent was irregular in that he </w:t>
      </w:r>
      <w:r w:rsidR="009248F9" w:rsidRPr="00186F1F">
        <w:rPr>
          <w:rFonts w:ascii="Times New Roman" w:eastAsia="Calibri" w:hAnsi="Times New Roman" w:cs="Times New Roman"/>
          <w:sz w:val="24"/>
          <w:szCs w:val="24"/>
        </w:rPr>
        <w:t xml:space="preserve">was appointed as executor </w:t>
      </w:r>
      <w:r w:rsidR="009248F9" w:rsidRPr="00186F1F">
        <w:rPr>
          <w:rFonts w:ascii="Times New Roman" w:eastAsia="Calibri" w:hAnsi="Times New Roman" w:cs="Times New Roman"/>
          <w:i/>
          <w:sz w:val="24"/>
          <w:szCs w:val="24"/>
        </w:rPr>
        <w:t>dative</w:t>
      </w:r>
      <w:r w:rsidR="009248F9" w:rsidRPr="00186F1F">
        <w:rPr>
          <w:rFonts w:ascii="Times New Roman" w:eastAsia="Calibri" w:hAnsi="Times New Roman" w:cs="Times New Roman"/>
          <w:sz w:val="24"/>
          <w:szCs w:val="24"/>
        </w:rPr>
        <w:t xml:space="preserve"> whilst the executrix testamentary was still alive, holding </w:t>
      </w:r>
      <w:r w:rsidR="009248F9" w:rsidRPr="00186F1F">
        <w:rPr>
          <w:rFonts w:ascii="Times New Roman" w:eastAsia="Calibri" w:hAnsi="Times New Roman" w:cs="Times New Roman"/>
          <w:sz w:val="24"/>
          <w:szCs w:val="24"/>
        </w:rPr>
        <w:lastRenderedPageBreak/>
        <w:t xml:space="preserve">office, not incapacitated and still sane, thus rendering any acts carried out by him in the name of the estate as of no legal consequence. </w:t>
      </w:r>
    </w:p>
    <w:p w:rsidR="00373B43" w:rsidRPr="00186F1F" w:rsidRDefault="00373B43" w:rsidP="00E07F12">
      <w:pPr>
        <w:spacing w:after="0" w:line="360" w:lineRule="auto"/>
        <w:jc w:val="both"/>
        <w:rPr>
          <w:rFonts w:ascii="Times New Roman" w:eastAsia="Calibri" w:hAnsi="Times New Roman" w:cs="Times New Roman"/>
          <w:sz w:val="24"/>
          <w:szCs w:val="24"/>
        </w:rPr>
      </w:pPr>
    </w:p>
    <w:p w:rsidR="00675A47" w:rsidRDefault="00373B43" w:rsidP="001033CF">
      <w:pPr>
        <w:tabs>
          <w:tab w:val="left" w:pos="1134"/>
        </w:tabs>
        <w:spacing w:after="0" w:line="480" w:lineRule="auto"/>
        <w:jc w:val="both"/>
        <w:rPr>
          <w:rFonts w:ascii="Times New Roman" w:eastAsia="Calibri" w:hAnsi="Times New Roman" w:cs="Times New Roman"/>
          <w:sz w:val="24"/>
          <w:szCs w:val="24"/>
        </w:rPr>
      </w:pPr>
      <w:r w:rsidRPr="00186F1F">
        <w:rPr>
          <w:rFonts w:ascii="Times New Roman" w:eastAsia="Calibri" w:hAnsi="Times New Roman" w:cs="Times New Roman"/>
          <w:sz w:val="24"/>
          <w:szCs w:val="24"/>
        </w:rPr>
        <w:tab/>
      </w:r>
      <w:r w:rsidR="00830E30" w:rsidRPr="00186F1F">
        <w:rPr>
          <w:rFonts w:ascii="Times New Roman" w:eastAsia="Calibri" w:hAnsi="Times New Roman" w:cs="Times New Roman"/>
          <w:sz w:val="24"/>
          <w:szCs w:val="24"/>
        </w:rPr>
        <w:t xml:space="preserve">The court </w:t>
      </w:r>
      <w:r w:rsidR="00830E30" w:rsidRPr="00186F1F">
        <w:rPr>
          <w:rFonts w:ascii="Times New Roman" w:eastAsia="Calibri" w:hAnsi="Times New Roman" w:cs="Times New Roman"/>
          <w:i/>
          <w:sz w:val="24"/>
          <w:szCs w:val="24"/>
        </w:rPr>
        <w:t>a quo</w:t>
      </w:r>
      <w:r w:rsidR="00830E30" w:rsidRPr="00186F1F">
        <w:rPr>
          <w:rFonts w:ascii="Times New Roman" w:eastAsia="Calibri" w:hAnsi="Times New Roman" w:cs="Times New Roman"/>
          <w:sz w:val="24"/>
          <w:szCs w:val="24"/>
        </w:rPr>
        <w:t xml:space="preserve"> </w:t>
      </w:r>
      <w:r w:rsidR="009248F9" w:rsidRPr="00186F1F">
        <w:rPr>
          <w:rFonts w:ascii="Times New Roman" w:eastAsia="Calibri" w:hAnsi="Times New Roman" w:cs="Times New Roman"/>
          <w:sz w:val="24"/>
          <w:szCs w:val="24"/>
        </w:rPr>
        <w:t xml:space="preserve">further found that the property was sold to the appellant by the </w:t>
      </w:r>
      <w:r w:rsidR="00F6026C" w:rsidRPr="00186F1F">
        <w:rPr>
          <w:rFonts w:ascii="Times New Roman" w:eastAsia="Calibri" w:hAnsi="Times New Roman" w:cs="Times New Roman"/>
          <w:sz w:val="24"/>
          <w:szCs w:val="24"/>
        </w:rPr>
        <w:t>second</w:t>
      </w:r>
      <w:r w:rsidR="00390C2E">
        <w:rPr>
          <w:rFonts w:ascii="Times New Roman" w:eastAsia="Calibri" w:hAnsi="Times New Roman" w:cs="Times New Roman"/>
          <w:sz w:val="24"/>
          <w:szCs w:val="24"/>
        </w:rPr>
        <w:t> </w:t>
      </w:r>
      <w:r w:rsidR="00B84021" w:rsidRPr="00186F1F">
        <w:rPr>
          <w:rFonts w:ascii="Times New Roman" w:eastAsia="Calibri" w:hAnsi="Times New Roman" w:cs="Times New Roman"/>
          <w:sz w:val="24"/>
          <w:szCs w:val="24"/>
        </w:rPr>
        <w:t>respondent who was an heir to</w:t>
      </w:r>
      <w:r w:rsidR="009248F9" w:rsidRPr="00186F1F">
        <w:rPr>
          <w:rFonts w:ascii="Times New Roman" w:eastAsia="Calibri" w:hAnsi="Times New Roman" w:cs="Times New Roman"/>
          <w:sz w:val="24"/>
          <w:szCs w:val="24"/>
        </w:rPr>
        <w:t xml:space="preserve"> the estate at a time when such property had not</w:t>
      </w:r>
      <w:r w:rsidR="006C3432" w:rsidRPr="00186F1F">
        <w:rPr>
          <w:rFonts w:ascii="Times New Roman" w:eastAsia="Calibri" w:hAnsi="Times New Roman" w:cs="Times New Roman"/>
          <w:sz w:val="24"/>
          <w:szCs w:val="24"/>
        </w:rPr>
        <w:t xml:space="preserve"> yet vested in him</w:t>
      </w:r>
      <w:r w:rsidR="009248F9" w:rsidRPr="00186F1F">
        <w:rPr>
          <w:rFonts w:ascii="Times New Roman" w:eastAsia="Calibri" w:hAnsi="Times New Roman" w:cs="Times New Roman"/>
          <w:sz w:val="24"/>
          <w:szCs w:val="24"/>
        </w:rPr>
        <w:t xml:space="preserve">. It was on this basis that the court </w:t>
      </w:r>
      <w:r w:rsidR="009248F9" w:rsidRPr="00186F1F">
        <w:rPr>
          <w:rFonts w:ascii="Times New Roman" w:eastAsia="Calibri" w:hAnsi="Times New Roman" w:cs="Times New Roman"/>
          <w:i/>
          <w:sz w:val="24"/>
          <w:szCs w:val="24"/>
        </w:rPr>
        <w:t>a quo</w:t>
      </w:r>
      <w:r w:rsidR="009248F9" w:rsidRPr="00186F1F">
        <w:rPr>
          <w:rFonts w:ascii="Times New Roman" w:eastAsia="Calibri" w:hAnsi="Times New Roman" w:cs="Times New Roman"/>
          <w:sz w:val="24"/>
          <w:szCs w:val="24"/>
        </w:rPr>
        <w:t xml:space="preserve"> held the</w:t>
      </w:r>
      <w:r w:rsidR="00830E30" w:rsidRPr="00186F1F">
        <w:rPr>
          <w:rFonts w:ascii="Times New Roman" w:eastAsia="Calibri" w:hAnsi="Times New Roman" w:cs="Times New Roman"/>
          <w:sz w:val="24"/>
          <w:szCs w:val="24"/>
        </w:rPr>
        <w:t xml:space="preserve"> purported sale to be fraught with illegality</w:t>
      </w:r>
      <w:r w:rsidR="009248F9" w:rsidRPr="00186F1F">
        <w:rPr>
          <w:rFonts w:ascii="Times New Roman" w:eastAsia="Calibri" w:hAnsi="Times New Roman" w:cs="Times New Roman"/>
          <w:sz w:val="24"/>
          <w:szCs w:val="24"/>
        </w:rPr>
        <w:t xml:space="preserve"> and therefore </w:t>
      </w:r>
      <w:r w:rsidR="00830E30" w:rsidRPr="00186F1F">
        <w:rPr>
          <w:rFonts w:ascii="Times New Roman" w:eastAsia="Calibri" w:hAnsi="Times New Roman" w:cs="Times New Roman"/>
          <w:sz w:val="24"/>
          <w:szCs w:val="24"/>
        </w:rPr>
        <w:t>a nullity. It thus concluded</w:t>
      </w:r>
      <w:r w:rsidR="009248F9" w:rsidRPr="00186F1F">
        <w:rPr>
          <w:rFonts w:ascii="Times New Roman" w:eastAsia="Calibri" w:hAnsi="Times New Roman" w:cs="Times New Roman"/>
          <w:sz w:val="24"/>
          <w:szCs w:val="24"/>
        </w:rPr>
        <w:t xml:space="preserve"> that both the agreement of sale and the deed of transfer in favour of the appellant were in the circumstances null and void.</w:t>
      </w:r>
      <w:r w:rsidR="00960053" w:rsidRPr="00186F1F">
        <w:rPr>
          <w:rFonts w:ascii="Times New Roman" w:eastAsia="Calibri" w:hAnsi="Times New Roman" w:cs="Times New Roman"/>
          <w:sz w:val="24"/>
          <w:szCs w:val="24"/>
          <w:lang w:bidi="en-US"/>
        </w:rPr>
        <w:t xml:space="preserve"> </w:t>
      </w:r>
      <w:r w:rsidR="00960053" w:rsidRPr="00186F1F">
        <w:rPr>
          <w:rFonts w:ascii="Times New Roman" w:eastAsia="Calibri" w:hAnsi="Times New Roman" w:cs="Times New Roman"/>
          <w:sz w:val="24"/>
          <w:szCs w:val="24"/>
        </w:rPr>
        <w:t>Pertaining</w:t>
      </w:r>
      <w:r w:rsidR="009248F9" w:rsidRPr="00186F1F">
        <w:rPr>
          <w:rFonts w:ascii="Times New Roman" w:eastAsia="Calibri" w:hAnsi="Times New Roman" w:cs="Times New Roman"/>
          <w:sz w:val="24"/>
          <w:szCs w:val="24"/>
        </w:rPr>
        <w:t xml:space="preserve"> </w:t>
      </w:r>
      <w:r w:rsidR="00830E30" w:rsidRPr="00186F1F">
        <w:rPr>
          <w:rFonts w:ascii="Times New Roman" w:eastAsia="Calibri" w:hAnsi="Times New Roman" w:cs="Times New Roman"/>
          <w:sz w:val="24"/>
          <w:szCs w:val="24"/>
        </w:rPr>
        <w:t xml:space="preserve">to </w:t>
      </w:r>
      <w:r w:rsidR="009248F9" w:rsidRPr="00186F1F">
        <w:rPr>
          <w:rFonts w:ascii="Times New Roman" w:eastAsia="Calibri" w:hAnsi="Times New Roman" w:cs="Times New Roman"/>
          <w:sz w:val="24"/>
          <w:szCs w:val="24"/>
        </w:rPr>
        <w:t>the interdict, the court</w:t>
      </w:r>
      <w:r w:rsidR="00960053" w:rsidRPr="00186F1F">
        <w:rPr>
          <w:rFonts w:ascii="Times New Roman" w:eastAsia="Calibri" w:hAnsi="Times New Roman" w:cs="Times New Roman"/>
          <w:sz w:val="24"/>
          <w:szCs w:val="24"/>
        </w:rPr>
        <w:t xml:space="preserve"> </w:t>
      </w:r>
      <w:r w:rsidR="00960053" w:rsidRPr="00186F1F">
        <w:rPr>
          <w:rFonts w:ascii="Times New Roman" w:eastAsia="Calibri" w:hAnsi="Times New Roman" w:cs="Times New Roman"/>
          <w:i/>
          <w:sz w:val="24"/>
          <w:szCs w:val="24"/>
        </w:rPr>
        <w:t>a quo</w:t>
      </w:r>
      <w:r w:rsidR="00960053" w:rsidRPr="00186F1F">
        <w:rPr>
          <w:rFonts w:ascii="Times New Roman" w:eastAsia="Calibri" w:hAnsi="Times New Roman" w:cs="Times New Roman"/>
          <w:sz w:val="24"/>
          <w:szCs w:val="24"/>
        </w:rPr>
        <w:t xml:space="preserve"> </w:t>
      </w:r>
      <w:r w:rsidR="009248F9" w:rsidRPr="00186F1F">
        <w:rPr>
          <w:rFonts w:ascii="Times New Roman" w:eastAsia="Calibri" w:hAnsi="Times New Roman" w:cs="Times New Roman"/>
          <w:sz w:val="24"/>
          <w:szCs w:val="24"/>
        </w:rPr>
        <w:t xml:space="preserve">found that the interim interdict granted had no return date and that it could not have been the intention of the Magistrates Court for it to </w:t>
      </w:r>
      <w:r w:rsidR="00830E30" w:rsidRPr="00186F1F">
        <w:rPr>
          <w:rFonts w:ascii="Times New Roman" w:eastAsia="Calibri" w:hAnsi="Times New Roman" w:cs="Times New Roman"/>
          <w:sz w:val="24"/>
          <w:szCs w:val="24"/>
        </w:rPr>
        <w:t xml:space="preserve">be </w:t>
      </w:r>
      <w:r w:rsidR="009248F9" w:rsidRPr="00186F1F">
        <w:rPr>
          <w:rFonts w:ascii="Times New Roman" w:eastAsia="Calibri" w:hAnsi="Times New Roman" w:cs="Times New Roman"/>
          <w:sz w:val="24"/>
          <w:szCs w:val="24"/>
        </w:rPr>
        <w:t>operative indefinitely as</w:t>
      </w:r>
      <w:r w:rsidR="00A67297">
        <w:rPr>
          <w:rFonts w:ascii="Times New Roman" w:eastAsia="Calibri" w:hAnsi="Times New Roman" w:cs="Times New Roman"/>
          <w:sz w:val="24"/>
          <w:szCs w:val="24"/>
        </w:rPr>
        <w:t xml:space="preserve"> it could end up having the effect</w:t>
      </w:r>
      <w:r w:rsidR="009248F9" w:rsidRPr="00186F1F">
        <w:rPr>
          <w:rFonts w:ascii="Times New Roman" w:eastAsia="Calibri" w:hAnsi="Times New Roman" w:cs="Times New Roman"/>
          <w:sz w:val="24"/>
          <w:szCs w:val="24"/>
        </w:rPr>
        <w:t xml:space="preserve"> of a final interdict. It further found that the </w:t>
      </w:r>
      <w:r w:rsidR="00B73CC7" w:rsidRPr="00186F1F">
        <w:rPr>
          <w:rFonts w:ascii="Times New Roman" w:eastAsia="Calibri" w:hAnsi="Times New Roman" w:cs="Times New Roman"/>
          <w:sz w:val="24"/>
          <w:szCs w:val="24"/>
        </w:rPr>
        <w:t>first</w:t>
      </w:r>
      <w:r w:rsidR="009248F9" w:rsidRPr="00186F1F">
        <w:rPr>
          <w:rFonts w:ascii="Times New Roman" w:eastAsia="Calibri" w:hAnsi="Times New Roman" w:cs="Times New Roman"/>
          <w:sz w:val="24"/>
          <w:szCs w:val="24"/>
        </w:rPr>
        <w:t xml:space="preserve"> respondent was not a party to the proceedings in that matter in which the interim interdict was granted hence the order could not bind him. On this basis, it found that the purported trans</w:t>
      </w:r>
      <w:r w:rsidR="00960053" w:rsidRPr="00186F1F">
        <w:rPr>
          <w:rFonts w:ascii="Times New Roman" w:eastAsia="Calibri" w:hAnsi="Times New Roman" w:cs="Times New Roman"/>
          <w:sz w:val="24"/>
          <w:szCs w:val="24"/>
        </w:rPr>
        <w:t>fer to the appellant was invalid</w:t>
      </w:r>
      <w:r w:rsidR="009248F9" w:rsidRPr="00186F1F">
        <w:rPr>
          <w:rFonts w:ascii="Times New Roman" w:eastAsia="Calibri" w:hAnsi="Times New Roman" w:cs="Times New Roman"/>
          <w:sz w:val="24"/>
          <w:szCs w:val="24"/>
        </w:rPr>
        <w:t xml:space="preserve">. </w:t>
      </w:r>
    </w:p>
    <w:p w:rsidR="00186F1F" w:rsidRPr="00186F1F" w:rsidRDefault="00186F1F" w:rsidP="001033CF">
      <w:pPr>
        <w:tabs>
          <w:tab w:val="left" w:pos="1134"/>
        </w:tabs>
        <w:spacing w:after="0" w:line="480" w:lineRule="auto"/>
        <w:jc w:val="both"/>
        <w:rPr>
          <w:rFonts w:ascii="Times New Roman" w:eastAsia="Calibri" w:hAnsi="Times New Roman" w:cs="Times New Roman"/>
          <w:sz w:val="24"/>
          <w:szCs w:val="24"/>
        </w:rPr>
      </w:pPr>
    </w:p>
    <w:p w:rsidR="009248F9" w:rsidRPr="00186F1F" w:rsidRDefault="00186F1F" w:rsidP="001033CF">
      <w:pPr>
        <w:tabs>
          <w:tab w:val="left" w:pos="1134"/>
        </w:tabs>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9248F9" w:rsidRPr="00186F1F">
        <w:rPr>
          <w:rFonts w:ascii="Times New Roman" w:eastAsia="Calibri" w:hAnsi="Times New Roman" w:cs="Times New Roman"/>
          <w:sz w:val="24"/>
          <w:szCs w:val="24"/>
        </w:rPr>
        <w:t xml:space="preserve">Aggrieved by the decision of the court </w:t>
      </w:r>
      <w:r w:rsidR="009248F9" w:rsidRPr="00186F1F">
        <w:rPr>
          <w:rFonts w:ascii="Times New Roman" w:eastAsia="Calibri" w:hAnsi="Times New Roman" w:cs="Times New Roman"/>
          <w:i/>
          <w:sz w:val="24"/>
          <w:szCs w:val="24"/>
        </w:rPr>
        <w:t>a quo</w:t>
      </w:r>
      <w:r w:rsidR="009248F9" w:rsidRPr="00186F1F">
        <w:rPr>
          <w:rFonts w:ascii="Times New Roman" w:eastAsia="Calibri" w:hAnsi="Times New Roman" w:cs="Times New Roman"/>
          <w:sz w:val="24"/>
          <w:szCs w:val="24"/>
        </w:rPr>
        <w:t>, the appellan</w:t>
      </w:r>
      <w:r w:rsidR="00547817" w:rsidRPr="00186F1F">
        <w:rPr>
          <w:rFonts w:ascii="Times New Roman" w:eastAsia="Calibri" w:hAnsi="Times New Roman" w:cs="Times New Roman"/>
          <w:sz w:val="24"/>
          <w:szCs w:val="24"/>
        </w:rPr>
        <w:t>t noted the</w:t>
      </w:r>
      <w:r w:rsidR="00A67FA1" w:rsidRPr="00186F1F">
        <w:rPr>
          <w:rFonts w:ascii="Times New Roman" w:eastAsia="Calibri" w:hAnsi="Times New Roman" w:cs="Times New Roman"/>
          <w:sz w:val="24"/>
          <w:szCs w:val="24"/>
        </w:rPr>
        <w:t xml:space="preserve"> appeal to this Court on the following grounds;</w:t>
      </w:r>
    </w:p>
    <w:p w:rsidR="00373B43" w:rsidRPr="00186F1F" w:rsidRDefault="00373B43" w:rsidP="00E07F12">
      <w:pPr>
        <w:tabs>
          <w:tab w:val="left" w:pos="1134"/>
        </w:tabs>
        <w:spacing w:after="0" w:line="360" w:lineRule="auto"/>
        <w:jc w:val="both"/>
        <w:rPr>
          <w:rFonts w:ascii="Times New Roman" w:eastAsia="Calibri" w:hAnsi="Times New Roman" w:cs="Times New Roman"/>
          <w:sz w:val="24"/>
          <w:szCs w:val="24"/>
        </w:rPr>
      </w:pPr>
    </w:p>
    <w:p w:rsidR="00A67FA1" w:rsidRPr="00186F1F" w:rsidRDefault="00A67FA1" w:rsidP="00675A47">
      <w:pPr>
        <w:pStyle w:val="ListParagraph"/>
        <w:numPr>
          <w:ilvl w:val="0"/>
          <w:numId w:val="2"/>
        </w:numPr>
        <w:spacing w:line="240" w:lineRule="auto"/>
        <w:jc w:val="both"/>
        <w:rPr>
          <w:rFonts w:ascii="Times New Roman" w:eastAsia="Calibri" w:hAnsi="Times New Roman" w:cs="Times New Roman"/>
          <w:sz w:val="24"/>
          <w:szCs w:val="24"/>
          <w:lang w:bidi="en-US"/>
        </w:rPr>
      </w:pPr>
      <w:r w:rsidRPr="00186F1F">
        <w:rPr>
          <w:rFonts w:ascii="Times New Roman" w:eastAsia="Calibri" w:hAnsi="Times New Roman" w:cs="Times New Roman"/>
          <w:sz w:val="24"/>
          <w:szCs w:val="24"/>
          <w:lang w:bidi="en-US"/>
        </w:rPr>
        <w:t xml:space="preserve">The Learned Judge </w:t>
      </w:r>
      <w:r w:rsidRPr="00186F1F">
        <w:rPr>
          <w:rFonts w:ascii="Times New Roman" w:eastAsia="Calibri" w:hAnsi="Times New Roman" w:cs="Times New Roman"/>
          <w:i/>
          <w:sz w:val="24"/>
          <w:szCs w:val="24"/>
          <w:lang w:bidi="en-US"/>
        </w:rPr>
        <w:t>a quo</w:t>
      </w:r>
      <w:r w:rsidRPr="00186F1F">
        <w:rPr>
          <w:rFonts w:ascii="Times New Roman" w:eastAsia="Calibri" w:hAnsi="Times New Roman" w:cs="Times New Roman"/>
          <w:sz w:val="24"/>
          <w:szCs w:val="24"/>
          <w:lang w:bidi="en-US"/>
        </w:rPr>
        <w:t xml:space="preserve"> erred in failing to appreciate and make a finding that there was a material dispute of fact regarding the validity of </w:t>
      </w:r>
      <w:r w:rsidR="0018425F" w:rsidRPr="00186F1F">
        <w:rPr>
          <w:rFonts w:ascii="Times New Roman" w:eastAsia="Calibri" w:hAnsi="Times New Roman" w:cs="Times New Roman"/>
          <w:sz w:val="24"/>
          <w:szCs w:val="24"/>
          <w:lang w:bidi="en-US"/>
        </w:rPr>
        <w:t>the agreements of sale between a</w:t>
      </w:r>
      <w:r w:rsidRPr="00186F1F">
        <w:rPr>
          <w:rFonts w:ascii="Times New Roman" w:eastAsia="Calibri" w:hAnsi="Times New Roman" w:cs="Times New Roman"/>
          <w:sz w:val="24"/>
          <w:szCs w:val="24"/>
          <w:lang w:bidi="en-US"/>
        </w:rPr>
        <w:t xml:space="preserve">ppellant and </w:t>
      </w:r>
      <w:r w:rsidR="00B73CC7" w:rsidRPr="00186F1F">
        <w:rPr>
          <w:rFonts w:ascii="Times New Roman" w:eastAsia="Calibri" w:hAnsi="Times New Roman" w:cs="Times New Roman"/>
          <w:sz w:val="24"/>
          <w:szCs w:val="24"/>
          <w:lang w:bidi="en-US"/>
        </w:rPr>
        <w:t>first</w:t>
      </w:r>
      <w:r w:rsidR="0018425F" w:rsidRPr="00186F1F">
        <w:rPr>
          <w:rFonts w:ascii="Times New Roman" w:eastAsia="Calibri" w:hAnsi="Times New Roman" w:cs="Times New Roman"/>
          <w:sz w:val="24"/>
          <w:szCs w:val="24"/>
          <w:lang w:bidi="en-US"/>
        </w:rPr>
        <w:t xml:space="preserve"> r</w:t>
      </w:r>
      <w:r w:rsidRPr="00186F1F">
        <w:rPr>
          <w:rFonts w:ascii="Times New Roman" w:eastAsia="Calibri" w:hAnsi="Times New Roman" w:cs="Times New Roman"/>
          <w:sz w:val="24"/>
          <w:szCs w:val="24"/>
          <w:lang w:bidi="en-US"/>
        </w:rPr>
        <w:t>espondent and consequently the deeds of transfer, which disputes could not be resolved on the papers.</w:t>
      </w:r>
    </w:p>
    <w:p w:rsidR="00A67FA1" w:rsidRPr="00186F1F" w:rsidRDefault="00A67FA1" w:rsidP="00675A47">
      <w:pPr>
        <w:pStyle w:val="ListParagraph"/>
        <w:numPr>
          <w:ilvl w:val="0"/>
          <w:numId w:val="2"/>
        </w:numPr>
        <w:spacing w:line="240" w:lineRule="auto"/>
        <w:jc w:val="both"/>
        <w:rPr>
          <w:rFonts w:ascii="Times New Roman" w:eastAsia="Calibri" w:hAnsi="Times New Roman" w:cs="Times New Roman"/>
          <w:sz w:val="24"/>
          <w:szCs w:val="24"/>
          <w:lang w:bidi="en-US"/>
        </w:rPr>
      </w:pPr>
      <w:r w:rsidRPr="00186F1F">
        <w:rPr>
          <w:rFonts w:ascii="Times New Roman" w:eastAsia="Calibri" w:hAnsi="Times New Roman" w:cs="Times New Roman"/>
          <w:sz w:val="24"/>
          <w:szCs w:val="24"/>
          <w:lang w:bidi="en-US"/>
        </w:rPr>
        <w:t xml:space="preserve">The learned Judge </w:t>
      </w:r>
      <w:r w:rsidRPr="00186F1F">
        <w:rPr>
          <w:rFonts w:ascii="Times New Roman" w:eastAsia="Calibri" w:hAnsi="Times New Roman" w:cs="Times New Roman"/>
          <w:i/>
          <w:sz w:val="24"/>
          <w:szCs w:val="24"/>
          <w:lang w:bidi="en-US"/>
        </w:rPr>
        <w:t>a quo</w:t>
      </w:r>
      <w:r w:rsidRPr="00186F1F">
        <w:rPr>
          <w:rFonts w:ascii="Times New Roman" w:eastAsia="Calibri" w:hAnsi="Times New Roman" w:cs="Times New Roman"/>
          <w:sz w:val="24"/>
          <w:szCs w:val="24"/>
          <w:lang w:bidi="en-US"/>
        </w:rPr>
        <w:t xml:space="preserve"> erred in her finding that the Regional, Town and Country Planning Act has no application in this matter yet it is the law that regulates agreements relating to the sale of land.</w:t>
      </w:r>
    </w:p>
    <w:p w:rsidR="00A67FA1" w:rsidRPr="00186F1F" w:rsidRDefault="00A67FA1" w:rsidP="00675A47">
      <w:pPr>
        <w:pStyle w:val="ListParagraph"/>
        <w:numPr>
          <w:ilvl w:val="0"/>
          <w:numId w:val="2"/>
        </w:numPr>
        <w:spacing w:line="240" w:lineRule="auto"/>
        <w:jc w:val="both"/>
        <w:rPr>
          <w:rFonts w:ascii="Times New Roman" w:eastAsia="Calibri" w:hAnsi="Times New Roman" w:cs="Times New Roman"/>
          <w:sz w:val="24"/>
          <w:szCs w:val="24"/>
          <w:lang w:bidi="en-US"/>
        </w:rPr>
      </w:pPr>
      <w:r w:rsidRPr="00186F1F">
        <w:rPr>
          <w:rFonts w:ascii="Times New Roman" w:eastAsia="Calibri" w:hAnsi="Times New Roman" w:cs="Times New Roman"/>
          <w:sz w:val="24"/>
          <w:szCs w:val="24"/>
          <w:lang w:bidi="en-US"/>
        </w:rPr>
        <w:t xml:space="preserve">The learned judge </w:t>
      </w:r>
      <w:r w:rsidRPr="00186F1F">
        <w:rPr>
          <w:rFonts w:ascii="Times New Roman" w:eastAsia="Calibri" w:hAnsi="Times New Roman" w:cs="Times New Roman"/>
          <w:i/>
          <w:sz w:val="24"/>
          <w:szCs w:val="24"/>
          <w:lang w:bidi="en-US"/>
        </w:rPr>
        <w:t>a quo</w:t>
      </w:r>
      <w:r w:rsidRPr="00186F1F">
        <w:rPr>
          <w:rFonts w:ascii="Times New Roman" w:eastAsia="Calibri" w:hAnsi="Times New Roman" w:cs="Times New Roman"/>
          <w:sz w:val="24"/>
          <w:szCs w:val="24"/>
          <w:lang w:bidi="en-US"/>
        </w:rPr>
        <w:t xml:space="preserve"> erred at law in invalidating the appointed executor </w:t>
      </w:r>
      <w:r w:rsidRPr="00186F1F">
        <w:rPr>
          <w:rFonts w:ascii="Times New Roman" w:eastAsia="Calibri" w:hAnsi="Times New Roman" w:cs="Times New Roman"/>
          <w:i/>
          <w:sz w:val="24"/>
          <w:szCs w:val="24"/>
          <w:lang w:bidi="en-US"/>
        </w:rPr>
        <w:t>dative</w:t>
      </w:r>
      <w:r w:rsidRPr="00186F1F">
        <w:rPr>
          <w:rFonts w:ascii="Times New Roman" w:eastAsia="Calibri" w:hAnsi="Times New Roman" w:cs="Times New Roman"/>
          <w:sz w:val="24"/>
          <w:szCs w:val="24"/>
          <w:lang w:bidi="en-US"/>
        </w:rPr>
        <w:t xml:space="preserve"> and setting aside his actions when such an appointment was a legal requirement for the purposes</w:t>
      </w:r>
      <w:r w:rsidR="0018425F" w:rsidRPr="00186F1F">
        <w:rPr>
          <w:rFonts w:ascii="Times New Roman" w:eastAsia="Calibri" w:hAnsi="Times New Roman" w:cs="Times New Roman"/>
          <w:sz w:val="24"/>
          <w:szCs w:val="24"/>
          <w:lang w:bidi="en-US"/>
        </w:rPr>
        <w:t xml:space="preserve"> of transferring property into a</w:t>
      </w:r>
      <w:r w:rsidRPr="00186F1F">
        <w:rPr>
          <w:rFonts w:ascii="Times New Roman" w:eastAsia="Calibri" w:hAnsi="Times New Roman" w:cs="Times New Roman"/>
          <w:sz w:val="24"/>
          <w:szCs w:val="24"/>
          <w:lang w:bidi="en-US"/>
        </w:rPr>
        <w:t>ppellant’s name.</w:t>
      </w:r>
    </w:p>
    <w:p w:rsidR="00A67FA1" w:rsidRPr="00186F1F" w:rsidRDefault="00A67FA1" w:rsidP="00675A47">
      <w:pPr>
        <w:pStyle w:val="ListParagraph"/>
        <w:numPr>
          <w:ilvl w:val="0"/>
          <w:numId w:val="2"/>
        </w:numPr>
        <w:spacing w:line="240" w:lineRule="auto"/>
        <w:jc w:val="both"/>
        <w:rPr>
          <w:rFonts w:ascii="Times New Roman" w:eastAsia="Calibri" w:hAnsi="Times New Roman" w:cs="Times New Roman"/>
          <w:sz w:val="24"/>
          <w:szCs w:val="24"/>
          <w:lang w:bidi="en-US"/>
        </w:rPr>
      </w:pPr>
      <w:r w:rsidRPr="00186F1F">
        <w:rPr>
          <w:rFonts w:ascii="Times New Roman" w:eastAsia="Calibri" w:hAnsi="Times New Roman" w:cs="Times New Roman"/>
          <w:sz w:val="24"/>
          <w:szCs w:val="24"/>
          <w:lang w:bidi="en-US"/>
        </w:rPr>
        <w:t xml:space="preserve">The learned judge </w:t>
      </w:r>
      <w:r w:rsidRPr="00186F1F">
        <w:rPr>
          <w:rFonts w:ascii="Times New Roman" w:eastAsia="Calibri" w:hAnsi="Times New Roman" w:cs="Times New Roman"/>
          <w:i/>
          <w:sz w:val="24"/>
          <w:szCs w:val="24"/>
          <w:lang w:bidi="en-US"/>
        </w:rPr>
        <w:t>a quo</w:t>
      </w:r>
      <w:r w:rsidRPr="00186F1F">
        <w:rPr>
          <w:rFonts w:ascii="Times New Roman" w:eastAsia="Calibri" w:hAnsi="Times New Roman" w:cs="Times New Roman"/>
          <w:sz w:val="24"/>
          <w:szCs w:val="24"/>
          <w:lang w:bidi="en-US"/>
        </w:rPr>
        <w:t xml:space="preserve"> erred at law in relying upon an agreement of sale which was never placed before the court for its scrutiny. </w:t>
      </w:r>
    </w:p>
    <w:p w:rsidR="00373B43" w:rsidRPr="00186F1F" w:rsidRDefault="00373B43" w:rsidP="00E07F12">
      <w:pPr>
        <w:pStyle w:val="ListParagraph"/>
        <w:spacing w:after="0" w:line="480" w:lineRule="auto"/>
        <w:ind w:left="1077"/>
        <w:jc w:val="both"/>
        <w:rPr>
          <w:rFonts w:ascii="Times New Roman" w:eastAsia="Calibri" w:hAnsi="Times New Roman" w:cs="Times New Roman"/>
          <w:sz w:val="24"/>
          <w:szCs w:val="24"/>
          <w:lang w:bidi="en-US"/>
        </w:rPr>
      </w:pPr>
    </w:p>
    <w:p w:rsidR="00373B43" w:rsidRPr="00186F1F" w:rsidRDefault="000F1A7D" w:rsidP="00E07F12">
      <w:pPr>
        <w:spacing w:after="0" w:line="480" w:lineRule="auto"/>
        <w:jc w:val="both"/>
        <w:rPr>
          <w:rFonts w:ascii="Times New Roman" w:eastAsia="Calibri" w:hAnsi="Times New Roman" w:cs="Times New Roman"/>
          <w:b/>
          <w:sz w:val="24"/>
          <w:szCs w:val="24"/>
          <w:lang w:val="en-ZW"/>
        </w:rPr>
      </w:pPr>
      <w:r w:rsidRPr="00186F1F">
        <w:rPr>
          <w:rFonts w:ascii="Times New Roman" w:eastAsia="Calibri" w:hAnsi="Times New Roman" w:cs="Times New Roman"/>
          <w:b/>
          <w:sz w:val="24"/>
          <w:szCs w:val="24"/>
          <w:lang w:val="en-ZW"/>
        </w:rPr>
        <w:lastRenderedPageBreak/>
        <w:t>ISSUES</w:t>
      </w:r>
      <w:r w:rsidR="00E96E44" w:rsidRPr="00186F1F">
        <w:rPr>
          <w:rFonts w:ascii="Times New Roman" w:eastAsia="Calibri" w:hAnsi="Times New Roman" w:cs="Times New Roman"/>
          <w:b/>
          <w:sz w:val="24"/>
          <w:szCs w:val="24"/>
          <w:lang w:val="en-ZW"/>
        </w:rPr>
        <w:t xml:space="preserve"> </w:t>
      </w:r>
      <w:r w:rsidR="00960053" w:rsidRPr="00186F1F">
        <w:rPr>
          <w:rFonts w:ascii="Times New Roman" w:eastAsia="Calibri" w:hAnsi="Times New Roman" w:cs="Times New Roman"/>
          <w:b/>
          <w:sz w:val="24"/>
          <w:szCs w:val="24"/>
          <w:lang w:val="en-ZW"/>
        </w:rPr>
        <w:t>FOR DETERMINATION</w:t>
      </w:r>
    </w:p>
    <w:p w:rsidR="00E96E44" w:rsidRPr="00186F1F" w:rsidRDefault="0018425F" w:rsidP="005C62AD">
      <w:pPr>
        <w:tabs>
          <w:tab w:val="left" w:pos="1134"/>
        </w:tabs>
        <w:spacing w:after="160" w:line="480" w:lineRule="auto"/>
        <w:jc w:val="both"/>
        <w:rPr>
          <w:rFonts w:ascii="Times New Roman" w:eastAsia="Calibri" w:hAnsi="Times New Roman" w:cs="Times New Roman"/>
          <w:sz w:val="24"/>
          <w:szCs w:val="24"/>
          <w:lang w:val="en-ZW"/>
        </w:rPr>
      </w:pPr>
      <w:r w:rsidRPr="00186F1F">
        <w:rPr>
          <w:rFonts w:ascii="Times New Roman" w:eastAsia="Calibri" w:hAnsi="Times New Roman" w:cs="Times New Roman"/>
          <w:sz w:val="24"/>
          <w:szCs w:val="24"/>
          <w:lang w:val="en-ZW"/>
        </w:rPr>
        <w:tab/>
      </w:r>
      <w:r w:rsidR="00A67FA1" w:rsidRPr="00186F1F">
        <w:rPr>
          <w:rFonts w:ascii="Times New Roman" w:eastAsia="Calibri" w:hAnsi="Times New Roman" w:cs="Times New Roman"/>
          <w:sz w:val="24"/>
          <w:szCs w:val="24"/>
          <w:lang w:val="en-ZW"/>
        </w:rPr>
        <w:t>Three</w:t>
      </w:r>
      <w:r w:rsidR="00E96E44" w:rsidRPr="00186F1F">
        <w:rPr>
          <w:rFonts w:ascii="Times New Roman" w:eastAsia="Calibri" w:hAnsi="Times New Roman" w:cs="Times New Roman"/>
          <w:sz w:val="24"/>
          <w:szCs w:val="24"/>
          <w:lang w:val="en-ZW"/>
        </w:rPr>
        <w:t xml:space="preserve"> issues arise for determination</w:t>
      </w:r>
      <w:r w:rsidR="00A67FA1" w:rsidRPr="00186F1F">
        <w:rPr>
          <w:rFonts w:ascii="Times New Roman" w:eastAsia="Calibri" w:hAnsi="Times New Roman" w:cs="Times New Roman"/>
          <w:sz w:val="24"/>
          <w:szCs w:val="24"/>
          <w:lang w:val="en-ZW"/>
        </w:rPr>
        <w:t xml:space="preserve"> being</w:t>
      </w:r>
      <w:r w:rsidR="00E96E44" w:rsidRPr="00186F1F">
        <w:rPr>
          <w:rFonts w:ascii="Times New Roman" w:eastAsia="Calibri" w:hAnsi="Times New Roman" w:cs="Times New Roman"/>
          <w:sz w:val="24"/>
          <w:szCs w:val="24"/>
          <w:lang w:val="en-ZW"/>
        </w:rPr>
        <w:t>;</w:t>
      </w:r>
    </w:p>
    <w:p w:rsidR="00E96E44" w:rsidRPr="00186F1F" w:rsidRDefault="00E96E44" w:rsidP="005C62AD">
      <w:pPr>
        <w:pStyle w:val="ListParagraph"/>
        <w:numPr>
          <w:ilvl w:val="0"/>
          <w:numId w:val="5"/>
        </w:numPr>
        <w:spacing w:after="160" w:line="480" w:lineRule="auto"/>
        <w:jc w:val="both"/>
        <w:rPr>
          <w:rFonts w:ascii="Times New Roman" w:eastAsia="Calibri" w:hAnsi="Times New Roman" w:cs="Times New Roman"/>
          <w:sz w:val="24"/>
          <w:szCs w:val="24"/>
          <w:lang w:val="en-ZW"/>
        </w:rPr>
      </w:pPr>
      <w:r w:rsidRPr="00186F1F">
        <w:rPr>
          <w:rFonts w:ascii="Times New Roman" w:eastAsia="Calibri" w:hAnsi="Times New Roman" w:cs="Times New Roman"/>
          <w:sz w:val="24"/>
          <w:szCs w:val="24"/>
          <w:lang w:val="en-ZW"/>
        </w:rPr>
        <w:t>W</w:t>
      </w:r>
      <w:r w:rsidR="00A67FA1" w:rsidRPr="00186F1F">
        <w:rPr>
          <w:rFonts w:ascii="Times New Roman" w:eastAsia="Calibri" w:hAnsi="Times New Roman" w:cs="Times New Roman"/>
          <w:sz w:val="24"/>
          <w:szCs w:val="24"/>
          <w:lang w:val="en-ZW"/>
        </w:rPr>
        <w:t xml:space="preserve">hether or not the court </w:t>
      </w:r>
      <w:r w:rsidR="00A67FA1" w:rsidRPr="00186F1F">
        <w:rPr>
          <w:rFonts w:ascii="Times New Roman" w:eastAsia="Calibri" w:hAnsi="Times New Roman" w:cs="Times New Roman"/>
          <w:i/>
          <w:sz w:val="24"/>
          <w:szCs w:val="24"/>
          <w:lang w:val="en-ZW"/>
        </w:rPr>
        <w:t>a quo</w:t>
      </w:r>
      <w:r w:rsidR="00A67FA1" w:rsidRPr="00186F1F">
        <w:rPr>
          <w:rFonts w:ascii="Times New Roman" w:eastAsia="Calibri" w:hAnsi="Times New Roman" w:cs="Times New Roman"/>
          <w:sz w:val="24"/>
          <w:szCs w:val="24"/>
          <w:lang w:val="en-ZW"/>
        </w:rPr>
        <w:t xml:space="preserve"> correctly found that there were no material disputes of fact</w:t>
      </w:r>
      <w:r w:rsidRPr="00186F1F">
        <w:rPr>
          <w:rFonts w:ascii="Times New Roman" w:eastAsia="Calibri" w:hAnsi="Times New Roman" w:cs="Times New Roman"/>
          <w:sz w:val="24"/>
          <w:szCs w:val="24"/>
          <w:lang w:val="en-ZW"/>
        </w:rPr>
        <w:t>.</w:t>
      </w:r>
    </w:p>
    <w:p w:rsidR="00E96E44" w:rsidRPr="00186F1F" w:rsidRDefault="00E96E44" w:rsidP="005C62AD">
      <w:pPr>
        <w:pStyle w:val="ListParagraph"/>
        <w:numPr>
          <w:ilvl w:val="0"/>
          <w:numId w:val="5"/>
        </w:numPr>
        <w:spacing w:after="160" w:line="480" w:lineRule="auto"/>
        <w:jc w:val="both"/>
        <w:rPr>
          <w:rFonts w:ascii="Times New Roman" w:eastAsia="Calibri" w:hAnsi="Times New Roman" w:cs="Times New Roman"/>
          <w:sz w:val="24"/>
          <w:szCs w:val="24"/>
          <w:lang w:val="en-ZW"/>
        </w:rPr>
      </w:pPr>
      <w:r w:rsidRPr="00186F1F">
        <w:rPr>
          <w:rFonts w:ascii="Times New Roman" w:eastAsia="Calibri" w:hAnsi="Times New Roman" w:cs="Times New Roman"/>
          <w:sz w:val="24"/>
          <w:szCs w:val="24"/>
          <w:lang w:val="en-ZW"/>
        </w:rPr>
        <w:t>W</w:t>
      </w:r>
      <w:r w:rsidR="00A67FA1" w:rsidRPr="00186F1F">
        <w:rPr>
          <w:rFonts w:ascii="Times New Roman" w:eastAsia="Calibri" w:hAnsi="Times New Roman" w:cs="Times New Roman"/>
          <w:sz w:val="24"/>
          <w:szCs w:val="24"/>
          <w:lang w:val="en-ZW"/>
        </w:rPr>
        <w:t xml:space="preserve">hether or not the court </w:t>
      </w:r>
      <w:r w:rsidR="00A67FA1" w:rsidRPr="00186F1F">
        <w:rPr>
          <w:rFonts w:ascii="Times New Roman" w:eastAsia="Calibri" w:hAnsi="Times New Roman" w:cs="Times New Roman"/>
          <w:i/>
          <w:sz w:val="24"/>
          <w:szCs w:val="24"/>
          <w:lang w:val="en-ZW"/>
        </w:rPr>
        <w:t>a quo</w:t>
      </w:r>
      <w:r w:rsidR="00A67FA1" w:rsidRPr="00186F1F">
        <w:rPr>
          <w:rFonts w:ascii="Times New Roman" w:eastAsia="Calibri" w:hAnsi="Times New Roman" w:cs="Times New Roman"/>
          <w:sz w:val="24"/>
          <w:szCs w:val="24"/>
          <w:lang w:val="en-ZW"/>
        </w:rPr>
        <w:t xml:space="preserve"> correctly found that the Regional, Town and Country Planning Act did not apply in the present circumstances and</w:t>
      </w:r>
      <w:r w:rsidRPr="00186F1F">
        <w:rPr>
          <w:rFonts w:ascii="Times New Roman" w:eastAsia="Calibri" w:hAnsi="Times New Roman" w:cs="Times New Roman"/>
          <w:sz w:val="24"/>
          <w:szCs w:val="24"/>
          <w:lang w:val="en-ZW"/>
        </w:rPr>
        <w:t xml:space="preserve">, </w:t>
      </w:r>
    </w:p>
    <w:p w:rsidR="00960053" w:rsidRPr="00186F1F" w:rsidRDefault="00E96E44" w:rsidP="00E07F12">
      <w:pPr>
        <w:pStyle w:val="ListParagraph"/>
        <w:numPr>
          <w:ilvl w:val="0"/>
          <w:numId w:val="5"/>
        </w:numPr>
        <w:spacing w:after="0" w:line="480" w:lineRule="auto"/>
        <w:ind w:left="714" w:hanging="357"/>
        <w:jc w:val="both"/>
        <w:rPr>
          <w:rFonts w:ascii="Times New Roman" w:eastAsia="Calibri" w:hAnsi="Times New Roman" w:cs="Times New Roman"/>
          <w:sz w:val="24"/>
          <w:szCs w:val="24"/>
          <w:lang w:val="en-ZW"/>
        </w:rPr>
      </w:pPr>
      <w:r w:rsidRPr="00186F1F">
        <w:rPr>
          <w:rFonts w:ascii="Times New Roman" w:eastAsia="Calibri" w:hAnsi="Times New Roman" w:cs="Times New Roman"/>
          <w:sz w:val="24"/>
          <w:szCs w:val="24"/>
          <w:lang w:val="en-ZW"/>
        </w:rPr>
        <w:t>W</w:t>
      </w:r>
      <w:r w:rsidR="00A67FA1" w:rsidRPr="00186F1F">
        <w:rPr>
          <w:rFonts w:ascii="Times New Roman" w:eastAsia="Calibri" w:hAnsi="Times New Roman" w:cs="Times New Roman"/>
          <w:sz w:val="24"/>
          <w:szCs w:val="24"/>
          <w:lang w:val="en-ZW"/>
        </w:rPr>
        <w:t xml:space="preserve">hether or not the court </w:t>
      </w:r>
      <w:r w:rsidR="00A67FA1" w:rsidRPr="00186F1F">
        <w:rPr>
          <w:rFonts w:ascii="Times New Roman" w:eastAsia="Calibri" w:hAnsi="Times New Roman" w:cs="Times New Roman"/>
          <w:i/>
          <w:sz w:val="24"/>
          <w:szCs w:val="24"/>
          <w:lang w:val="en-ZW"/>
        </w:rPr>
        <w:t>a quo</w:t>
      </w:r>
      <w:r w:rsidR="00A67FA1" w:rsidRPr="00186F1F">
        <w:rPr>
          <w:rFonts w:ascii="Times New Roman" w:eastAsia="Calibri" w:hAnsi="Times New Roman" w:cs="Times New Roman"/>
          <w:sz w:val="24"/>
          <w:szCs w:val="24"/>
          <w:lang w:val="en-ZW"/>
        </w:rPr>
        <w:t xml:space="preserve"> erred in invalidating</w:t>
      </w:r>
      <w:r w:rsidR="00096691" w:rsidRPr="00186F1F">
        <w:rPr>
          <w:rFonts w:ascii="Times New Roman" w:eastAsia="Calibri" w:hAnsi="Times New Roman" w:cs="Times New Roman"/>
          <w:sz w:val="24"/>
          <w:szCs w:val="24"/>
          <w:lang w:val="en-ZW"/>
        </w:rPr>
        <w:t xml:space="preserve"> the agreement of sale between appellant and </w:t>
      </w:r>
      <w:r w:rsidR="00F6026C" w:rsidRPr="00186F1F">
        <w:rPr>
          <w:rFonts w:ascii="Times New Roman" w:eastAsia="Calibri" w:hAnsi="Times New Roman" w:cs="Times New Roman"/>
          <w:sz w:val="24"/>
          <w:szCs w:val="24"/>
          <w:lang w:val="en-ZW"/>
        </w:rPr>
        <w:t>second</w:t>
      </w:r>
      <w:r w:rsidR="00096691" w:rsidRPr="00186F1F">
        <w:rPr>
          <w:rFonts w:ascii="Times New Roman" w:eastAsia="Calibri" w:hAnsi="Times New Roman" w:cs="Times New Roman"/>
          <w:sz w:val="24"/>
          <w:szCs w:val="24"/>
          <w:lang w:val="en-ZW"/>
        </w:rPr>
        <w:t xml:space="preserve"> respondent,</w:t>
      </w:r>
      <w:r w:rsidR="00A67FA1" w:rsidRPr="00186F1F">
        <w:rPr>
          <w:rFonts w:ascii="Times New Roman" w:eastAsia="Calibri" w:hAnsi="Times New Roman" w:cs="Times New Roman"/>
          <w:sz w:val="24"/>
          <w:szCs w:val="24"/>
          <w:lang w:val="en-ZW"/>
        </w:rPr>
        <w:t xml:space="preserve"> the appointment of the executor </w:t>
      </w:r>
      <w:r w:rsidR="00A67FA1" w:rsidRPr="00186F1F">
        <w:rPr>
          <w:rFonts w:ascii="Times New Roman" w:eastAsia="Calibri" w:hAnsi="Times New Roman" w:cs="Times New Roman"/>
          <w:i/>
          <w:sz w:val="24"/>
          <w:szCs w:val="24"/>
          <w:lang w:val="en-ZW"/>
        </w:rPr>
        <w:t>dative</w:t>
      </w:r>
      <w:r w:rsidR="00940FA8" w:rsidRPr="00186F1F">
        <w:rPr>
          <w:rFonts w:ascii="Times New Roman" w:eastAsia="Calibri" w:hAnsi="Times New Roman" w:cs="Times New Roman"/>
          <w:sz w:val="24"/>
          <w:szCs w:val="24"/>
          <w:lang w:val="en-ZW"/>
        </w:rPr>
        <w:t xml:space="preserve"> and </w:t>
      </w:r>
      <w:r w:rsidR="0007757E" w:rsidRPr="00186F1F">
        <w:rPr>
          <w:rFonts w:ascii="Times New Roman" w:eastAsia="Calibri" w:hAnsi="Times New Roman" w:cs="Times New Roman"/>
          <w:sz w:val="24"/>
          <w:szCs w:val="24"/>
          <w:lang w:val="en-ZW"/>
        </w:rPr>
        <w:t>subsequently the</w:t>
      </w:r>
      <w:r w:rsidR="00940FA8" w:rsidRPr="00186F1F">
        <w:rPr>
          <w:rFonts w:ascii="Times New Roman" w:eastAsia="Calibri" w:hAnsi="Times New Roman" w:cs="Times New Roman"/>
          <w:sz w:val="24"/>
          <w:szCs w:val="24"/>
          <w:lang w:val="en-ZW"/>
        </w:rPr>
        <w:t xml:space="preserve"> purported transfer of the property into the appellant’s name.</w:t>
      </w:r>
    </w:p>
    <w:p w:rsidR="00373B43" w:rsidRPr="00186F1F" w:rsidRDefault="00373B43" w:rsidP="00E07F12">
      <w:pPr>
        <w:pStyle w:val="ListParagraph"/>
        <w:spacing w:after="0" w:line="480" w:lineRule="auto"/>
        <w:jc w:val="both"/>
        <w:rPr>
          <w:rFonts w:ascii="Times New Roman" w:eastAsia="Calibri" w:hAnsi="Times New Roman" w:cs="Times New Roman"/>
          <w:sz w:val="24"/>
          <w:szCs w:val="24"/>
          <w:lang w:val="en-ZW"/>
        </w:rPr>
      </w:pPr>
    </w:p>
    <w:p w:rsidR="00960053" w:rsidRPr="00186F1F" w:rsidRDefault="00960053" w:rsidP="005C62AD">
      <w:pPr>
        <w:spacing w:after="160" w:line="360" w:lineRule="auto"/>
        <w:jc w:val="both"/>
        <w:rPr>
          <w:rFonts w:ascii="Times New Roman" w:eastAsia="Calibri" w:hAnsi="Times New Roman" w:cs="Times New Roman"/>
          <w:b/>
          <w:sz w:val="24"/>
          <w:szCs w:val="24"/>
          <w:lang w:val="en-ZW"/>
        </w:rPr>
      </w:pPr>
      <w:r w:rsidRPr="00186F1F">
        <w:rPr>
          <w:rFonts w:ascii="Times New Roman" w:eastAsia="Calibri" w:hAnsi="Times New Roman" w:cs="Times New Roman"/>
          <w:b/>
          <w:sz w:val="24"/>
          <w:szCs w:val="24"/>
          <w:lang w:val="en-ZW"/>
        </w:rPr>
        <w:t>SUBMISSIONS BEFORE THIS COURT</w:t>
      </w:r>
    </w:p>
    <w:p w:rsidR="00E96E44" w:rsidRPr="00186F1F" w:rsidRDefault="00373B43" w:rsidP="00E07F12">
      <w:pPr>
        <w:tabs>
          <w:tab w:val="left" w:pos="1134"/>
        </w:tabs>
        <w:spacing w:after="0" w:line="480" w:lineRule="auto"/>
        <w:jc w:val="both"/>
        <w:rPr>
          <w:rFonts w:ascii="Times New Roman" w:eastAsia="Calibri" w:hAnsi="Times New Roman" w:cs="Times New Roman"/>
          <w:sz w:val="24"/>
          <w:szCs w:val="24"/>
          <w:lang w:val="en-ZW"/>
        </w:rPr>
      </w:pPr>
      <w:r w:rsidRPr="00186F1F">
        <w:rPr>
          <w:rFonts w:ascii="Times New Roman" w:eastAsia="Calibri" w:hAnsi="Times New Roman" w:cs="Times New Roman"/>
          <w:sz w:val="24"/>
          <w:szCs w:val="24"/>
          <w:lang w:val="en-ZW"/>
        </w:rPr>
        <w:tab/>
      </w:r>
      <w:r w:rsidR="00940FA8" w:rsidRPr="00186F1F">
        <w:rPr>
          <w:rFonts w:ascii="Times New Roman" w:eastAsia="Calibri" w:hAnsi="Times New Roman" w:cs="Times New Roman"/>
          <w:sz w:val="24"/>
          <w:szCs w:val="24"/>
          <w:lang w:val="en-ZW"/>
        </w:rPr>
        <w:t>In motivating the appeal,</w:t>
      </w:r>
      <w:r w:rsidR="00960053" w:rsidRPr="00186F1F">
        <w:rPr>
          <w:rFonts w:ascii="Times New Roman" w:eastAsia="Calibri" w:hAnsi="Times New Roman" w:cs="Times New Roman"/>
          <w:sz w:val="24"/>
          <w:szCs w:val="24"/>
          <w:lang w:val="en-ZW"/>
        </w:rPr>
        <w:t xml:space="preserve"> appellant</w:t>
      </w:r>
      <w:r w:rsidR="00940FA8" w:rsidRPr="00186F1F">
        <w:rPr>
          <w:rFonts w:ascii="Times New Roman" w:eastAsia="Calibri" w:hAnsi="Times New Roman" w:cs="Times New Roman"/>
          <w:sz w:val="24"/>
          <w:szCs w:val="24"/>
          <w:lang w:val="en-ZW"/>
        </w:rPr>
        <w:t xml:space="preserve">’s </w:t>
      </w:r>
      <w:r w:rsidR="00912C4B" w:rsidRPr="00186F1F">
        <w:rPr>
          <w:rFonts w:ascii="Times New Roman" w:eastAsia="Calibri" w:hAnsi="Times New Roman" w:cs="Times New Roman"/>
          <w:sz w:val="24"/>
          <w:szCs w:val="24"/>
          <w:lang w:val="en-ZW"/>
        </w:rPr>
        <w:t>counsel submitted</w:t>
      </w:r>
      <w:r w:rsidR="00E96E44" w:rsidRPr="00186F1F">
        <w:rPr>
          <w:rFonts w:ascii="Times New Roman" w:eastAsia="Calibri" w:hAnsi="Times New Roman" w:cs="Times New Roman"/>
          <w:sz w:val="24"/>
          <w:szCs w:val="24"/>
          <w:lang w:val="en-ZW"/>
        </w:rPr>
        <w:t xml:space="preserve"> that the order of the </w:t>
      </w:r>
      <w:r w:rsidR="00186F1F" w:rsidRPr="00B04834">
        <w:rPr>
          <w:rFonts w:ascii="Times New Roman" w:eastAsia="Calibri" w:hAnsi="Times New Roman" w:cs="Times New Roman"/>
          <w:sz w:val="24"/>
          <w:szCs w:val="24"/>
          <w:lang w:val="en-ZW"/>
        </w:rPr>
        <w:t>court</w:t>
      </w:r>
      <w:r w:rsidR="00186F1F">
        <w:rPr>
          <w:rFonts w:ascii="Times New Roman" w:eastAsia="Calibri" w:hAnsi="Times New Roman" w:cs="Times New Roman"/>
          <w:i/>
          <w:sz w:val="24"/>
          <w:szCs w:val="24"/>
          <w:lang w:val="en-ZW"/>
        </w:rPr>
        <w:t xml:space="preserve"> a </w:t>
      </w:r>
      <w:r w:rsidR="00E96E44" w:rsidRPr="00186F1F">
        <w:rPr>
          <w:rFonts w:ascii="Times New Roman" w:eastAsia="Calibri" w:hAnsi="Times New Roman" w:cs="Times New Roman"/>
          <w:i/>
          <w:sz w:val="24"/>
          <w:szCs w:val="24"/>
          <w:lang w:val="en-ZW"/>
        </w:rPr>
        <w:t>quo</w:t>
      </w:r>
      <w:r w:rsidR="00E96E44" w:rsidRPr="00186F1F">
        <w:rPr>
          <w:rFonts w:ascii="Times New Roman" w:eastAsia="Calibri" w:hAnsi="Times New Roman" w:cs="Times New Roman"/>
          <w:sz w:val="24"/>
          <w:szCs w:val="24"/>
          <w:lang w:val="en-ZW"/>
        </w:rPr>
        <w:t xml:space="preserve"> was incompetent as it conflicted with another order of the Magistrates Court in terms of which a </w:t>
      </w:r>
      <w:r w:rsidR="00E96E44" w:rsidRPr="00186F1F">
        <w:rPr>
          <w:rFonts w:ascii="Times New Roman" w:eastAsia="Calibri" w:hAnsi="Times New Roman" w:cs="Times New Roman"/>
          <w:i/>
          <w:sz w:val="24"/>
          <w:szCs w:val="24"/>
          <w:lang w:val="en-ZW"/>
        </w:rPr>
        <w:t>rule nisi</w:t>
      </w:r>
      <w:r w:rsidR="00E96E44" w:rsidRPr="00186F1F">
        <w:rPr>
          <w:rFonts w:ascii="Times New Roman" w:eastAsia="Calibri" w:hAnsi="Times New Roman" w:cs="Times New Roman"/>
          <w:sz w:val="24"/>
          <w:szCs w:val="24"/>
          <w:lang w:val="en-ZW"/>
        </w:rPr>
        <w:t xml:space="preserve"> was issued prohibiting the </w:t>
      </w:r>
      <w:r w:rsidR="00F6026C" w:rsidRPr="00186F1F">
        <w:rPr>
          <w:rFonts w:ascii="Times New Roman" w:eastAsia="Calibri" w:hAnsi="Times New Roman" w:cs="Times New Roman"/>
          <w:sz w:val="24"/>
          <w:szCs w:val="24"/>
          <w:lang w:val="en-ZW"/>
        </w:rPr>
        <w:t>second</w:t>
      </w:r>
      <w:r w:rsidR="00E96E44" w:rsidRPr="00186F1F">
        <w:rPr>
          <w:rFonts w:ascii="Times New Roman" w:eastAsia="Calibri" w:hAnsi="Times New Roman" w:cs="Times New Roman"/>
          <w:sz w:val="24"/>
          <w:szCs w:val="24"/>
          <w:lang w:val="en-ZW"/>
        </w:rPr>
        <w:t xml:space="preserve"> and </w:t>
      </w:r>
      <w:r w:rsidR="00F6026C" w:rsidRPr="00186F1F">
        <w:rPr>
          <w:rFonts w:ascii="Times New Roman" w:eastAsia="Calibri" w:hAnsi="Times New Roman" w:cs="Times New Roman"/>
          <w:sz w:val="24"/>
          <w:szCs w:val="24"/>
          <w:lang w:val="en-ZW"/>
        </w:rPr>
        <w:t>third</w:t>
      </w:r>
      <w:r w:rsidR="00E96E44" w:rsidRPr="00186F1F">
        <w:rPr>
          <w:rFonts w:ascii="Times New Roman" w:eastAsia="Calibri" w:hAnsi="Times New Roman" w:cs="Times New Roman"/>
          <w:sz w:val="24"/>
          <w:szCs w:val="24"/>
          <w:lang w:val="en-ZW"/>
        </w:rPr>
        <w:t xml:space="preserve"> respondents from transferring or disposing of the property in dispute.  He submitted that the court </w:t>
      </w:r>
      <w:r w:rsidR="00E96E44" w:rsidRPr="00186F1F">
        <w:rPr>
          <w:rFonts w:ascii="Times New Roman" w:eastAsia="Calibri" w:hAnsi="Times New Roman" w:cs="Times New Roman"/>
          <w:i/>
          <w:sz w:val="24"/>
          <w:szCs w:val="24"/>
          <w:lang w:val="en-ZW"/>
        </w:rPr>
        <w:t>a quo</w:t>
      </w:r>
      <w:r w:rsidR="00E96E44" w:rsidRPr="00186F1F">
        <w:rPr>
          <w:rFonts w:ascii="Times New Roman" w:eastAsia="Calibri" w:hAnsi="Times New Roman" w:cs="Times New Roman"/>
          <w:sz w:val="24"/>
          <w:szCs w:val="24"/>
          <w:lang w:val="en-ZW"/>
        </w:rPr>
        <w:t xml:space="preserve"> ought to have set aside that order, failure</w:t>
      </w:r>
      <w:r w:rsidR="00940FA8" w:rsidRPr="00186F1F">
        <w:rPr>
          <w:rFonts w:ascii="Times New Roman" w:eastAsia="Calibri" w:hAnsi="Times New Roman" w:cs="Times New Roman"/>
          <w:sz w:val="24"/>
          <w:szCs w:val="24"/>
          <w:lang w:val="en-ZW"/>
        </w:rPr>
        <w:t xml:space="preserve"> of</w:t>
      </w:r>
      <w:r w:rsidR="00E96E44" w:rsidRPr="00186F1F">
        <w:rPr>
          <w:rFonts w:ascii="Times New Roman" w:eastAsia="Calibri" w:hAnsi="Times New Roman" w:cs="Times New Roman"/>
          <w:sz w:val="24"/>
          <w:szCs w:val="24"/>
          <w:lang w:val="en-ZW"/>
        </w:rPr>
        <w:t xml:space="preserve"> which it remains extant and commands obedience until set aside. He further submitted that the </w:t>
      </w:r>
      <w:r w:rsidR="00B73CC7" w:rsidRPr="00186F1F">
        <w:rPr>
          <w:rFonts w:ascii="Times New Roman" w:eastAsia="Calibri" w:hAnsi="Times New Roman" w:cs="Times New Roman"/>
          <w:sz w:val="24"/>
          <w:szCs w:val="24"/>
          <w:lang w:val="en-ZW"/>
        </w:rPr>
        <w:t>first</w:t>
      </w:r>
      <w:r w:rsidR="00E96E44" w:rsidRPr="00186F1F">
        <w:rPr>
          <w:rFonts w:ascii="Times New Roman" w:eastAsia="Calibri" w:hAnsi="Times New Roman" w:cs="Times New Roman"/>
          <w:sz w:val="24"/>
          <w:szCs w:val="24"/>
          <w:lang w:val="en-ZW"/>
        </w:rPr>
        <w:t xml:space="preserve"> respondent’s agreement of sale with the executrix testamentary </w:t>
      </w:r>
      <w:r w:rsidR="0007757E" w:rsidRPr="00186F1F">
        <w:rPr>
          <w:rFonts w:ascii="Times New Roman" w:eastAsia="Calibri" w:hAnsi="Times New Roman" w:cs="Times New Roman"/>
          <w:sz w:val="24"/>
          <w:szCs w:val="24"/>
          <w:lang w:val="en-ZW"/>
        </w:rPr>
        <w:t>of November</w:t>
      </w:r>
      <w:r w:rsidR="00940FA8" w:rsidRPr="00186F1F">
        <w:rPr>
          <w:rFonts w:ascii="Times New Roman" w:eastAsia="Calibri" w:hAnsi="Times New Roman" w:cs="Times New Roman"/>
          <w:sz w:val="24"/>
          <w:szCs w:val="24"/>
          <w:lang w:val="en-ZW"/>
        </w:rPr>
        <w:t xml:space="preserve"> </w:t>
      </w:r>
      <w:r w:rsidR="00E96E44" w:rsidRPr="00186F1F">
        <w:rPr>
          <w:rFonts w:ascii="Times New Roman" w:eastAsia="Calibri" w:hAnsi="Times New Roman" w:cs="Times New Roman"/>
          <w:sz w:val="24"/>
          <w:szCs w:val="24"/>
          <w:lang w:val="en-ZW"/>
        </w:rPr>
        <w:t>1999 is a null</w:t>
      </w:r>
      <w:r w:rsidR="00940FA8" w:rsidRPr="00186F1F">
        <w:rPr>
          <w:rFonts w:ascii="Times New Roman" w:eastAsia="Calibri" w:hAnsi="Times New Roman" w:cs="Times New Roman"/>
          <w:sz w:val="24"/>
          <w:szCs w:val="24"/>
          <w:lang w:val="en-ZW"/>
        </w:rPr>
        <w:t>ity because the executrix testamentary</w:t>
      </w:r>
      <w:r w:rsidR="00E96E44" w:rsidRPr="00186F1F">
        <w:rPr>
          <w:rFonts w:ascii="Times New Roman" w:eastAsia="Calibri" w:hAnsi="Times New Roman" w:cs="Times New Roman"/>
          <w:sz w:val="24"/>
          <w:szCs w:val="24"/>
          <w:lang w:val="en-ZW"/>
        </w:rPr>
        <w:t xml:space="preserve"> at the point of concluding the agreement did not have authority to sell the property which</w:t>
      </w:r>
      <w:r w:rsidR="00186F1F">
        <w:rPr>
          <w:rFonts w:ascii="Times New Roman" w:eastAsia="Calibri" w:hAnsi="Times New Roman" w:cs="Times New Roman"/>
          <w:sz w:val="24"/>
          <w:szCs w:val="24"/>
          <w:lang w:val="en-ZW"/>
        </w:rPr>
        <w:t xml:space="preserve"> consent </w:t>
      </w:r>
      <w:r w:rsidR="00A67297">
        <w:rPr>
          <w:rFonts w:ascii="Times New Roman" w:eastAsia="Calibri" w:hAnsi="Times New Roman" w:cs="Times New Roman"/>
          <w:sz w:val="24"/>
          <w:szCs w:val="24"/>
          <w:lang w:val="en-ZW"/>
        </w:rPr>
        <w:t>s</w:t>
      </w:r>
      <w:r w:rsidR="00186F1F">
        <w:rPr>
          <w:rFonts w:ascii="Times New Roman" w:eastAsia="Calibri" w:hAnsi="Times New Roman" w:cs="Times New Roman"/>
          <w:sz w:val="24"/>
          <w:szCs w:val="24"/>
          <w:lang w:val="en-ZW"/>
        </w:rPr>
        <w:t>he only obtained on 27 </w:t>
      </w:r>
      <w:r w:rsidR="00E96E44" w:rsidRPr="00186F1F">
        <w:rPr>
          <w:rFonts w:ascii="Times New Roman" w:eastAsia="Calibri" w:hAnsi="Times New Roman" w:cs="Times New Roman"/>
          <w:sz w:val="24"/>
          <w:szCs w:val="24"/>
          <w:lang w:val="en-ZW"/>
        </w:rPr>
        <w:t>February 20</w:t>
      </w:r>
      <w:r w:rsidR="00675A47" w:rsidRPr="00186F1F">
        <w:rPr>
          <w:rFonts w:ascii="Times New Roman" w:eastAsia="Calibri" w:hAnsi="Times New Roman" w:cs="Times New Roman"/>
          <w:sz w:val="24"/>
          <w:szCs w:val="24"/>
          <w:lang w:val="en-ZW"/>
        </w:rPr>
        <w:t>06.</w:t>
      </w:r>
      <w:r w:rsidR="00940FA8" w:rsidRPr="00186F1F">
        <w:rPr>
          <w:rFonts w:ascii="Times New Roman" w:eastAsia="Calibri" w:hAnsi="Times New Roman" w:cs="Times New Roman"/>
          <w:sz w:val="24"/>
          <w:szCs w:val="24"/>
          <w:lang w:val="en-ZW"/>
        </w:rPr>
        <w:t xml:space="preserve"> </w:t>
      </w:r>
      <w:r w:rsidR="00675A47" w:rsidRPr="00186F1F">
        <w:rPr>
          <w:rFonts w:ascii="Times New Roman" w:eastAsia="Calibri" w:hAnsi="Times New Roman" w:cs="Times New Roman"/>
          <w:sz w:val="24"/>
          <w:szCs w:val="24"/>
          <w:lang w:val="en-ZW"/>
        </w:rPr>
        <w:t>C</w:t>
      </w:r>
      <w:r w:rsidR="0007757E" w:rsidRPr="00186F1F">
        <w:rPr>
          <w:rFonts w:ascii="Times New Roman" w:eastAsia="Calibri" w:hAnsi="Times New Roman" w:cs="Times New Roman"/>
          <w:sz w:val="24"/>
          <w:szCs w:val="24"/>
          <w:lang w:val="en-ZW"/>
        </w:rPr>
        <w:t>ounsel</w:t>
      </w:r>
      <w:r w:rsidR="00675A47" w:rsidRPr="00186F1F">
        <w:rPr>
          <w:rFonts w:ascii="Times New Roman" w:eastAsia="Calibri" w:hAnsi="Times New Roman" w:cs="Times New Roman"/>
          <w:sz w:val="24"/>
          <w:szCs w:val="24"/>
          <w:lang w:val="en-ZW"/>
        </w:rPr>
        <w:t xml:space="preserve"> further submitted</w:t>
      </w:r>
      <w:r w:rsidR="00E96E44" w:rsidRPr="00186F1F">
        <w:rPr>
          <w:rFonts w:ascii="Times New Roman" w:eastAsia="Calibri" w:hAnsi="Times New Roman" w:cs="Times New Roman"/>
          <w:sz w:val="24"/>
          <w:szCs w:val="24"/>
          <w:lang w:val="en-ZW"/>
        </w:rPr>
        <w:t xml:space="preserve"> that the </w:t>
      </w:r>
      <w:r w:rsidR="00B73CC7" w:rsidRPr="00186F1F">
        <w:rPr>
          <w:rFonts w:ascii="Times New Roman" w:eastAsia="Calibri" w:hAnsi="Times New Roman" w:cs="Times New Roman"/>
          <w:sz w:val="24"/>
          <w:szCs w:val="24"/>
          <w:lang w:val="en-ZW"/>
        </w:rPr>
        <w:t>first</w:t>
      </w:r>
      <w:r w:rsidR="00E96E44" w:rsidRPr="00186F1F">
        <w:rPr>
          <w:rFonts w:ascii="Times New Roman" w:eastAsia="Calibri" w:hAnsi="Times New Roman" w:cs="Times New Roman"/>
          <w:sz w:val="24"/>
          <w:szCs w:val="24"/>
          <w:lang w:val="en-ZW"/>
        </w:rPr>
        <w:t xml:space="preserve"> respondent’s case is premised on an agreement of sale which is void </w:t>
      </w:r>
      <w:r w:rsidR="00B04834">
        <w:rPr>
          <w:rFonts w:ascii="Times New Roman" w:eastAsia="Calibri" w:hAnsi="Times New Roman" w:cs="Times New Roman"/>
          <w:i/>
          <w:sz w:val="24"/>
          <w:szCs w:val="24"/>
          <w:lang w:val="en-ZW"/>
        </w:rPr>
        <w:t>ab </w:t>
      </w:r>
      <w:r w:rsidR="00E96E44" w:rsidRPr="00186F1F">
        <w:rPr>
          <w:rFonts w:ascii="Times New Roman" w:eastAsia="Calibri" w:hAnsi="Times New Roman" w:cs="Times New Roman"/>
          <w:i/>
          <w:sz w:val="24"/>
          <w:szCs w:val="24"/>
          <w:lang w:val="en-ZW"/>
        </w:rPr>
        <w:t>initio</w:t>
      </w:r>
      <w:r w:rsidR="00E96E44" w:rsidRPr="00186F1F">
        <w:rPr>
          <w:rFonts w:ascii="Times New Roman" w:eastAsia="Calibri" w:hAnsi="Times New Roman" w:cs="Times New Roman"/>
          <w:sz w:val="24"/>
          <w:szCs w:val="24"/>
          <w:lang w:val="en-ZW"/>
        </w:rPr>
        <w:t xml:space="preserve"> for the reason that the sale was conditional upon the grant of a subdivision permit in terms of the Town and Country Planning Act, [</w:t>
      </w:r>
      <w:r w:rsidR="00E96E44" w:rsidRPr="00186F1F">
        <w:rPr>
          <w:rFonts w:ascii="Times New Roman" w:eastAsia="Calibri" w:hAnsi="Times New Roman" w:cs="Times New Roman"/>
          <w:i/>
          <w:sz w:val="24"/>
          <w:szCs w:val="24"/>
          <w:lang w:val="en-ZW"/>
        </w:rPr>
        <w:t>Chapter 29:12</w:t>
      </w:r>
      <w:r w:rsidR="00E96E44" w:rsidRPr="00186F1F">
        <w:rPr>
          <w:rFonts w:ascii="Times New Roman" w:eastAsia="Calibri" w:hAnsi="Times New Roman" w:cs="Times New Roman"/>
          <w:sz w:val="24"/>
          <w:szCs w:val="24"/>
          <w:lang w:val="en-ZW"/>
        </w:rPr>
        <w:t xml:space="preserve">]. It was submitted that the said Act specifically proscribes such agreements as </w:t>
      </w:r>
      <w:r w:rsidR="00E96E44" w:rsidRPr="00186F1F">
        <w:rPr>
          <w:rFonts w:ascii="Times New Roman" w:eastAsia="Calibri" w:hAnsi="Times New Roman" w:cs="Times New Roman"/>
          <w:i/>
          <w:sz w:val="24"/>
          <w:szCs w:val="24"/>
          <w:lang w:val="en-ZW"/>
        </w:rPr>
        <w:t>in casu</w:t>
      </w:r>
      <w:r w:rsidR="00675A47" w:rsidRPr="00186F1F">
        <w:rPr>
          <w:rFonts w:ascii="Times New Roman" w:eastAsia="Calibri" w:hAnsi="Times New Roman" w:cs="Times New Roman"/>
          <w:sz w:val="24"/>
          <w:szCs w:val="24"/>
          <w:lang w:val="en-ZW"/>
        </w:rPr>
        <w:t>. He also argued</w:t>
      </w:r>
      <w:r w:rsidR="00E96E44" w:rsidRPr="00186F1F">
        <w:rPr>
          <w:rFonts w:ascii="Times New Roman" w:eastAsia="Calibri" w:hAnsi="Times New Roman" w:cs="Times New Roman"/>
          <w:sz w:val="24"/>
          <w:szCs w:val="24"/>
          <w:lang w:val="en-ZW"/>
        </w:rPr>
        <w:t xml:space="preserve"> that there were material disputes </w:t>
      </w:r>
      <w:r w:rsidR="00E96E44" w:rsidRPr="00186F1F">
        <w:rPr>
          <w:rFonts w:ascii="Times New Roman" w:eastAsia="Calibri" w:hAnsi="Times New Roman" w:cs="Times New Roman"/>
          <w:sz w:val="24"/>
          <w:szCs w:val="24"/>
          <w:lang w:val="en-ZW"/>
        </w:rPr>
        <w:lastRenderedPageBreak/>
        <w:t>of fact which could not be resolved on the papers</w:t>
      </w:r>
      <w:r w:rsidR="00845931" w:rsidRPr="00186F1F">
        <w:rPr>
          <w:rFonts w:ascii="Times New Roman" w:eastAsia="Calibri" w:hAnsi="Times New Roman" w:cs="Times New Roman"/>
          <w:sz w:val="24"/>
          <w:szCs w:val="24"/>
          <w:lang w:val="en-ZW"/>
        </w:rPr>
        <w:t>. In that light</w:t>
      </w:r>
      <w:r w:rsidR="00E96E44" w:rsidRPr="00186F1F">
        <w:rPr>
          <w:rFonts w:ascii="Times New Roman" w:eastAsia="Calibri" w:hAnsi="Times New Roman" w:cs="Times New Roman"/>
          <w:sz w:val="24"/>
          <w:szCs w:val="24"/>
          <w:lang w:val="en-ZW"/>
        </w:rPr>
        <w:t xml:space="preserve"> he moved that the appeal be allowed and that the matter b</w:t>
      </w:r>
      <w:r w:rsidR="00845931" w:rsidRPr="00186F1F">
        <w:rPr>
          <w:rFonts w:ascii="Times New Roman" w:eastAsia="Calibri" w:hAnsi="Times New Roman" w:cs="Times New Roman"/>
          <w:sz w:val="24"/>
          <w:szCs w:val="24"/>
          <w:lang w:val="en-ZW"/>
        </w:rPr>
        <w:t>e referred for trial</w:t>
      </w:r>
      <w:r w:rsidR="00E96E44" w:rsidRPr="00186F1F">
        <w:rPr>
          <w:rFonts w:ascii="Times New Roman" w:eastAsia="Calibri" w:hAnsi="Times New Roman" w:cs="Times New Roman"/>
          <w:sz w:val="24"/>
          <w:szCs w:val="24"/>
          <w:lang w:val="en-ZW"/>
        </w:rPr>
        <w:t>.</w:t>
      </w:r>
    </w:p>
    <w:p w:rsidR="00E96E44" w:rsidRPr="00186F1F" w:rsidRDefault="00E96E44" w:rsidP="00E07F12">
      <w:pPr>
        <w:spacing w:after="0" w:line="360" w:lineRule="auto"/>
        <w:jc w:val="both"/>
        <w:rPr>
          <w:rFonts w:ascii="Times New Roman" w:eastAsia="Calibri" w:hAnsi="Times New Roman" w:cs="Times New Roman"/>
          <w:sz w:val="24"/>
          <w:szCs w:val="24"/>
          <w:lang w:val="en-ZW"/>
        </w:rPr>
      </w:pPr>
    </w:p>
    <w:p w:rsidR="00CB6153" w:rsidRPr="00186F1F" w:rsidRDefault="0018425F" w:rsidP="00E07F12">
      <w:pPr>
        <w:tabs>
          <w:tab w:val="left" w:pos="1134"/>
        </w:tabs>
        <w:spacing w:after="0" w:line="480" w:lineRule="auto"/>
        <w:jc w:val="both"/>
        <w:rPr>
          <w:rFonts w:ascii="Times New Roman" w:eastAsia="Calibri" w:hAnsi="Times New Roman" w:cs="Times New Roman"/>
          <w:sz w:val="24"/>
          <w:szCs w:val="24"/>
          <w:lang w:val="en-ZW"/>
        </w:rPr>
      </w:pPr>
      <w:r w:rsidRPr="00186F1F">
        <w:rPr>
          <w:rFonts w:ascii="Times New Roman" w:eastAsia="Calibri" w:hAnsi="Times New Roman" w:cs="Times New Roman"/>
          <w:sz w:val="24"/>
          <w:szCs w:val="24"/>
          <w:lang w:val="en-ZW"/>
        </w:rPr>
        <w:tab/>
      </w:r>
      <w:r w:rsidR="0007061F">
        <w:rPr>
          <w:rFonts w:ascii="Times New Roman" w:eastAsia="Calibri" w:hAnsi="Times New Roman" w:cs="Times New Roman"/>
          <w:sz w:val="24"/>
          <w:szCs w:val="24"/>
          <w:lang w:val="en-ZW"/>
        </w:rPr>
        <w:t>Conversely, c</w:t>
      </w:r>
      <w:r w:rsidR="00E96E44" w:rsidRPr="00186F1F">
        <w:rPr>
          <w:rFonts w:ascii="Times New Roman" w:eastAsia="Calibri" w:hAnsi="Times New Roman" w:cs="Times New Roman"/>
          <w:sz w:val="24"/>
          <w:szCs w:val="24"/>
          <w:lang w:val="en-ZW"/>
        </w:rPr>
        <w:t xml:space="preserve">ounsel for the </w:t>
      </w:r>
      <w:r w:rsidR="00B73CC7" w:rsidRPr="00186F1F">
        <w:rPr>
          <w:rFonts w:ascii="Times New Roman" w:eastAsia="Calibri" w:hAnsi="Times New Roman" w:cs="Times New Roman"/>
          <w:sz w:val="24"/>
          <w:szCs w:val="24"/>
          <w:lang w:val="en-ZW"/>
        </w:rPr>
        <w:t>first</w:t>
      </w:r>
      <w:r w:rsidR="00E96E44" w:rsidRPr="00186F1F">
        <w:rPr>
          <w:rFonts w:ascii="Times New Roman" w:eastAsia="Calibri" w:hAnsi="Times New Roman" w:cs="Times New Roman"/>
          <w:sz w:val="24"/>
          <w:szCs w:val="24"/>
          <w:lang w:val="en-ZW"/>
        </w:rPr>
        <w:t xml:space="preserve"> respondent submitted that the </w:t>
      </w:r>
      <w:r w:rsidR="00E96E44" w:rsidRPr="00186F1F">
        <w:rPr>
          <w:rFonts w:ascii="Times New Roman" w:eastAsia="Calibri" w:hAnsi="Times New Roman" w:cs="Times New Roman"/>
          <w:i/>
          <w:sz w:val="24"/>
          <w:szCs w:val="24"/>
          <w:lang w:val="en-ZW"/>
        </w:rPr>
        <w:t>rule nisi</w:t>
      </w:r>
      <w:r w:rsidR="00E96E44" w:rsidRPr="00186F1F">
        <w:rPr>
          <w:rFonts w:ascii="Times New Roman" w:eastAsia="Calibri" w:hAnsi="Times New Roman" w:cs="Times New Roman"/>
          <w:sz w:val="24"/>
          <w:szCs w:val="24"/>
          <w:lang w:val="en-ZW"/>
        </w:rPr>
        <w:t xml:space="preserve"> did not have a return date hence it lapsed on 31 of December 2006 as it could not have been t</w:t>
      </w:r>
      <w:r w:rsidR="000D4ABF" w:rsidRPr="00186F1F">
        <w:rPr>
          <w:rFonts w:ascii="Times New Roman" w:eastAsia="Calibri" w:hAnsi="Times New Roman" w:cs="Times New Roman"/>
          <w:sz w:val="24"/>
          <w:szCs w:val="24"/>
          <w:lang w:val="en-ZW"/>
        </w:rPr>
        <w:t>he intention of the Magistrates</w:t>
      </w:r>
      <w:r w:rsidR="00E96E44" w:rsidRPr="00186F1F">
        <w:rPr>
          <w:rFonts w:ascii="Times New Roman" w:eastAsia="Calibri" w:hAnsi="Times New Roman" w:cs="Times New Roman"/>
          <w:sz w:val="24"/>
          <w:szCs w:val="24"/>
          <w:lang w:val="en-ZW"/>
        </w:rPr>
        <w:t xml:space="preserve"> Court that it should </w:t>
      </w:r>
      <w:r w:rsidR="00117B1E" w:rsidRPr="00186F1F">
        <w:rPr>
          <w:rFonts w:ascii="Times New Roman" w:eastAsia="Calibri" w:hAnsi="Times New Roman" w:cs="Times New Roman"/>
          <w:sz w:val="24"/>
          <w:szCs w:val="24"/>
          <w:lang w:val="en-ZW"/>
        </w:rPr>
        <w:t>ope</w:t>
      </w:r>
      <w:r w:rsidRPr="00186F1F">
        <w:rPr>
          <w:rFonts w:ascii="Times New Roman" w:eastAsia="Calibri" w:hAnsi="Times New Roman" w:cs="Times New Roman"/>
          <w:sz w:val="24"/>
          <w:szCs w:val="24"/>
          <w:lang w:val="en-ZW"/>
        </w:rPr>
        <w:t xml:space="preserve">rate indefinitely. Counsel also </w:t>
      </w:r>
      <w:r w:rsidR="00E96E44" w:rsidRPr="00186F1F">
        <w:rPr>
          <w:rFonts w:ascii="Times New Roman" w:eastAsia="Calibri" w:hAnsi="Times New Roman" w:cs="Times New Roman"/>
          <w:sz w:val="24"/>
          <w:szCs w:val="24"/>
          <w:lang w:val="en-ZW"/>
        </w:rPr>
        <w:t xml:space="preserve">submitted that the property in dispute was sold to the appellant by </w:t>
      </w:r>
      <w:r w:rsidR="00547817" w:rsidRPr="00186F1F">
        <w:rPr>
          <w:rFonts w:ascii="Times New Roman" w:eastAsia="Calibri" w:hAnsi="Times New Roman" w:cs="Times New Roman"/>
          <w:sz w:val="24"/>
          <w:szCs w:val="24"/>
          <w:lang w:val="en-ZW"/>
        </w:rPr>
        <w:t>an heir who had no power to sell</w:t>
      </w:r>
      <w:r w:rsidR="00E96E44" w:rsidRPr="00186F1F">
        <w:rPr>
          <w:rFonts w:ascii="Times New Roman" w:eastAsia="Calibri" w:hAnsi="Times New Roman" w:cs="Times New Roman"/>
          <w:sz w:val="24"/>
          <w:szCs w:val="24"/>
          <w:lang w:val="en-ZW"/>
        </w:rPr>
        <w:t>. She stated that the powe</w:t>
      </w:r>
      <w:r w:rsidR="00547817" w:rsidRPr="00186F1F">
        <w:rPr>
          <w:rFonts w:ascii="Times New Roman" w:eastAsia="Calibri" w:hAnsi="Times New Roman" w:cs="Times New Roman"/>
          <w:sz w:val="24"/>
          <w:szCs w:val="24"/>
          <w:lang w:val="en-ZW"/>
        </w:rPr>
        <w:t>r to sell</w:t>
      </w:r>
      <w:r w:rsidR="00940FA8" w:rsidRPr="00186F1F">
        <w:rPr>
          <w:rFonts w:ascii="Times New Roman" w:eastAsia="Calibri" w:hAnsi="Times New Roman" w:cs="Times New Roman"/>
          <w:sz w:val="24"/>
          <w:szCs w:val="24"/>
          <w:lang w:val="en-ZW"/>
        </w:rPr>
        <w:t xml:space="preserve"> vested in the executrix testamentary</w:t>
      </w:r>
      <w:r w:rsidR="00E96E44" w:rsidRPr="00186F1F">
        <w:rPr>
          <w:rFonts w:ascii="Times New Roman" w:eastAsia="Calibri" w:hAnsi="Times New Roman" w:cs="Times New Roman"/>
          <w:sz w:val="24"/>
          <w:szCs w:val="24"/>
          <w:lang w:val="en-ZW"/>
        </w:rPr>
        <w:t xml:space="preserve"> hence the sale was invalid. She further submitted that the executor </w:t>
      </w:r>
      <w:r w:rsidR="0007757E" w:rsidRPr="00186F1F">
        <w:rPr>
          <w:rFonts w:ascii="Times New Roman" w:eastAsia="Calibri" w:hAnsi="Times New Roman" w:cs="Times New Roman"/>
          <w:i/>
          <w:sz w:val="24"/>
          <w:szCs w:val="24"/>
          <w:lang w:val="en-ZW"/>
        </w:rPr>
        <w:t>dative</w:t>
      </w:r>
      <w:r w:rsidR="0007757E" w:rsidRPr="00186F1F">
        <w:rPr>
          <w:rFonts w:ascii="Times New Roman" w:eastAsia="Calibri" w:hAnsi="Times New Roman" w:cs="Times New Roman"/>
          <w:sz w:val="24"/>
          <w:szCs w:val="24"/>
          <w:lang w:val="en-ZW"/>
        </w:rPr>
        <w:t xml:space="preserve"> (</w:t>
      </w:r>
      <w:r w:rsidR="00F6026C" w:rsidRPr="00186F1F">
        <w:rPr>
          <w:rFonts w:ascii="Times New Roman" w:eastAsia="Calibri" w:hAnsi="Times New Roman" w:cs="Times New Roman"/>
          <w:sz w:val="24"/>
          <w:szCs w:val="24"/>
          <w:lang w:val="en-ZW"/>
        </w:rPr>
        <w:t>third</w:t>
      </w:r>
      <w:r w:rsidR="00940FA8" w:rsidRPr="00186F1F">
        <w:rPr>
          <w:rFonts w:ascii="Times New Roman" w:eastAsia="Calibri" w:hAnsi="Times New Roman" w:cs="Times New Roman"/>
          <w:sz w:val="24"/>
          <w:szCs w:val="24"/>
          <w:lang w:val="en-ZW"/>
        </w:rPr>
        <w:t xml:space="preserve"> </w:t>
      </w:r>
      <w:r w:rsidR="00717199" w:rsidRPr="00186F1F">
        <w:rPr>
          <w:rFonts w:ascii="Times New Roman" w:eastAsia="Calibri" w:hAnsi="Times New Roman" w:cs="Times New Roman"/>
          <w:sz w:val="24"/>
          <w:szCs w:val="24"/>
          <w:lang w:val="en-ZW"/>
        </w:rPr>
        <w:t>respondent</w:t>
      </w:r>
      <w:r w:rsidR="00940FA8" w:rsidRPr="00186F1F">
        <w:rPr>
          <w:rFonts w:ascii="Times New Roman" w:eastAsia="Calibri" w:hAnsi="Times New Roman" w:cs="Times New Roman"/>
          <w:sz w:val="24"/>
          <w:szCs w:val="24"/>
          <w:lang w:val="en-ZW"/>
        </w:rPr>
        <w:t>)</w:t>
      </w:r>
      <w:r w:rsidR="00E96E44" w:rsidRPr="00186F1F">
        <w:rPr>
          <w:rFonts w:ascii="Times New Roman" w:eastAsia="Calibri" w:hAnsi="Times New Roman" w:cs="Times New Roman"/>
          <w:sz w:val="24"/>
          <w:szCs w:val="24"/>
          <w:lang w:val="en-ZW"/>
        </w:rPr>
        <w:t xml:space="preserve"> had solicited for</w:t>
      </w:r>
      <w:r w:rsidR="00940FA8" w:rsidRPr="00186F1F">
        <w:rPr>
          <w:rFonts w:ascii="Times New Roman" w:eastAsia="Calibri" w:hAnsi="Times New Roman" w:cs="Times New Roman"/>
          <w:sz w:val="24"/>
          <w:szCs w:val="24"/>
          <w:lang w:val="en-ZW"/>
        </w:rPr>
        <w:t xml:space="preserve"> his own</w:t>
      </w:r>
      <w:r w:rsidR="00E96E44" w:rsidRPr="00186F1F">
        <w:rPr>
          <w:rFonts w:ascii="Times New Roman" w:eastAsia="Calibri" w:hAnsi="Times New Roman" w:cs="Times New Roman"/>
          <w:sz w:val="24"/>
          <w:szCs w:val="24"/>
          <w:lang w:val="en-ZW"/>
        </w:rPr>
        <w:t xml:space="preserve"> appointment so as to transfer the property to the appellant which conduct she alleged was improper</w:t>
      </w:r>
      <w:r w:rsidR="00717199" w:rsidRPr="00186F1F">
        <w:rPr>
          <w:rFonts w:ascii="Times New Roman" w:eastAsia="Calibri" w:hAnsi="Times New Roman" w:cs="Times New Roman"/>
          <w:sz w:val="24"/>
          <w:szCs w:val="24"/>
          <w:lang w:val="en-ZW"/>
        </w:rPr>
        <w:t xml:space="preserve"> as he was an agent for the appellant</w:t>
      </w:r>
      <w:r w:rsidR="00E96E44" w:rsidRPr="00186F1F">
        <w:rPr>
          <w:rFonts w:ascii="Times New Roman" w:eastAsia="Calibri" w:hAnsi="Times New Roman" w:cs="Times New Roman"/>
          <w:sz w:val="24"/>
          <w:szCs w:val="24"/>
          <w:lang w:val="en-ZW"/>
        </w:rPr>
        <w:t xml:space="preserve">. She moved that the appeal be dismissed. </w:t>
      </w:r>
    </w:p>
    <w:p w:rsidR="0018425F" w:rsidRPr="00186F1F" w:rsidRDefault="0018425F" w:rsidP="00E07F12">
      <w:pPr>
        <w:spacing w:after="0" w:line="360" w:lineRule="auto"/>
        <w:jc w:val="both"/>
        <w:rPr>
          <w:rFonts w:ascii="Times New Roman" w:eastAsia="Calibri" w:hAnsi="Times New Roman" w:cs="Times New Roman"/>
          <w:sz w:val="24"/>
          <w:szCs w:val="24"/>
          <w:lang w:val="en-ZW"/>
        </w:rPr>
      </w:pPr>
    </w:p>
    <w:p w:rsidR="00960053" w:rsidRPr="00186F1F" w:rsidRDefault="0018425F" w:rsidP="00E07F12">
      <w:pPr>
        <w:spacing w:after="0" w:line="360" w:lineRule="auto"/>
        <w:jc w:val="both"/>
        <w:rPr>
          <w:rFonts w:ascii="Times New Roman" w:eastAsia="Calibri" w:hAnsi="Times New Roman" w:cs="Times New Roman"/>
          <w:b/>
          <w:sz w:val="24"/>
          <w:szCs w:val="24"/>
          <w:lang w:val="en-ZW"/>
        </w:rPr>
      </w:pPr>
      <w:r w:rsidRPr="00186F1F">
        <w:rPr>
          <w:rFonts w:ascii="Times New Roman" w:eastAsia="Calibri" w:hAnsi="Times New Roman" w:cs="Times New Roman"/>
          <w:b/>
          <w:sz w:val="24"/>
          <w:szCs w:val="24"/>
          <w:lang w:val="en-ZW"/>
        </w:rPr>
        <w:t xml:space="preserve">DETERMINATION OF THE ISSUES </w:t>
      </w:r>
    </w:p>
    <w:p w:rsidR="0018425F" w:rsidRPr="00186F1F" w:rsidRDefault="0018425F" w:rsidP="00E07F12">
      <w:pPr>
        <w:spacing w:after="0" w:line="360" w:lineRule="auto"/>
        <w:jc w:val="both"/>
        <w:rPr>
          <w:rFonts w:ascii="Times New Roman" w:eastAsia="Calibri" w:hAnsi="Times New Roman" w:cs="Times New Roman"/>
          <w:b/>
          <w:sz w:val="24"/>
          <w:szCs w:val="24"/>
          <w:lang w:val="en-ZW"/>
        </w:rPr>
      </w:pPr>
    </w:p>
    <w:p w:rsidR="00130A6A" w:rsidRPr="00186F1F" w:rsidRDefault="00130A6A" w:rsidP="005C62AD">
      <w:pPr>
        <w:pStyle w:val="ListParagraph"/>
        <w:numPr>
          <w:ilvl w:val="0"/>
          <w:numId w:val="4"/>
        </w:numPr>
        <w:tabs>
          <w:tab w:val="left" w:pos="6288"/>
        </w:tabs>
        <w:spacing w:after="0" w:line="480" w:lineRule="auto"/>
        <w:jc w:val="both"/>
        <w:rPr>
          <w:rFonts w:ascii="Times New Roman" w:eastAsia="Calibri" w:hAnsi="Times New Roman" w:cs="Times New Roman"/>
          <w:b/>
          <w:sz w:val="24"/>
          <w:szCs w:val="24"/>
          <w:lang w:val="en-ZW"/>
        </w:rPr>
      </w:pPr>
      <w:r w:rsidRPr="00186F1F">
        <w:rPr>
          <w:rFonts w:ascii="Times New Roman" w:eastAsia="Calibri" w:hAnsi="Times New Roman" w:cs="Times New Roman"/>
          <w:b/>
          <w:sz w:val="24"/>
          <w:szCs w:val="24"/>
          <w:lang w:val="en-ZW"/>
        </w:rPr>
        <w:t xml:space="preserve">Whether or not the court </w:t>
      </w:r>
      <w:r w:rsidRPr="00186F1F">
        <w:rPr>
          <w:rFonts w:ascii="Times New Roman" w:eastAsia="Calibri" w:hAnsi="Times New Roman" w:cs="Times New Roman"/>
          <w:b/>
          <w:i/>
          <w:sz w:val="24"/>
          <w:szCs w:val="24"/>
          <w:lang w:val="en-ZW"/>
        </w:rPr>
        <w:t>a quo</w:t>
      </w:r>
      <w:r w:rsidRPr="00186F1F">
        <w:rPr>
          <w:rFonts w:ascii="Times New Roman" w:eastAsia="Calibri" w:hAnsi="Times New Roman" w:cs="Times New Roman"/>
          <w:b/>
          <w:sz w:val="24"/>
          <w:szCs w:val="24"/>
          <w:lang w:val="en-ZW"/>
        </w:rPr>
        <w:t xml:space="preserve"> correctly found that there were no material disputes of fact.</w:t>
      </w:r>
    </w:p>
    <w:p w:rsidR="0018425F" w:rsidRPr="00186F1F" w:rsidRDefault="0018425F" w:rsidP="005C62AD">
      <w:pPr>
        <w:pStyle w:val="ListParagraph"/>
        <w:tabs>
          <w:tab w:val="left" w:pos="6288"/>
        </w:tabs>
        <w:spacing w:after="0" w:line="360" w:lineRule="auto"/>
        <w:jc w:val="both"/>
        <w:rPr>
          <w:rFonts w:ascii="Times New Roman" w:eastAsia="Calibri" w:hAnsi="Times New Roman" w:cs="Times New Roman"/>
          <w:b/>
          <w:sz w:val="24"/>
          <w:szCs w:val="24"/>
          <w:lang w:val="en-ZW"/>
        </w:rPr>
      </w:pPr>
    </w:p>
    <w:p w:rsidR="00130A6A" w:rsidRPr="00186F1F" w:rsidRDefault="00130A6A" w:rsidP="005C62AD">
      <w:pPr>
        <w:tabs>
          <w:tab w:val="left" w:pos="1134"/>
          <w:tab w:val="left" w:pos="6288"/>
        </w:tabs>
        <w:spacing w:after="0" w:line="480" w:lineRule="auto"/>
        <w:contextualSpacing/>
        <w:jc w:val="both"/>
        <w:rPr>
          <w:rFonts w:ascii="Times New Roman" w:eastAsia="Cambria" w:hAnsi="Times New Roman" w:cs="Times New Roman"/>
          <w:sz w:val="24"/>
          <w:szCs w:val="24"/>
          <w:lang w:bidi="en-US"/>
        </w:rPr>
      </w:pPr>
      <w:r w:rsidRPr="00186F1F">
        <w:rPr>
          <w:rFonts w:ascii="Times New Roman" w:eastAsia="Cambria" w:hAnsi="Times New Roman" w:cs="Times New Roman"/>
          <w:sz w:val="24"/>
          <w:szCs w:val="24"/>
          <w:lang w:bidi="en-US"/>
        </w:rPr>
        <w:t xml:space="preserve"> </w:t>
      </w:r>
      <w:r w:rsidR="0018425F" w:rsidRPr="00186F1F">
        <w:rPr>
          <w:rFonts w:ascii="Times New Roman" w:eastAsia="Cambria" w:hAnsi="Times New Roman" w:cs="Times New Roman"/>
          <w:sz w:val="24"/>
          <w:szCs w:val="24"/>
          <w:lang w:bidi="en-US"/>
        </w:rPr>
        <w:tab/>
      </w:r>
      <w:r w:rsidRPr="00186F1F">
        <w:rPr>
          <w:rFonts w:ascii="Times New Roman" w:eastAsia="Cambria" w:hAnsi="Times New Roman" w:cs="Times New Roman"/>
          <w:sz w:val="24"/>
          <w:szCs w:val="24"/>
          <w:lang w:bidi="en-US"/>
        </w:rPr>
        <w:t>The appellant in hi</w:t>
      </w:r>
      <w:r w:rsidR="00717199" w:rsidRPr="00186F1F">
        <w:rPr>
          <w:rFonts w:ascii="Times New Roman" w:eastAsia="Cambria" w:hAnsi="Times New Roman" w:cs="Times New Roman"/>
          <w:sz w:val="24"/>
          <w:szCs w:val="24"/>
          <w:lang w:bidi="en-US"/>
        </w:rPr>
        <w:t>s first ground of appeal averred</w:t>
      </w:r>
      <w:r w:rsidRPr="00186F1F">
        <w:rPr>
          <w:rFonts w:ascii="Times New Roman" w:eastAsia="Cambria" w:hAnsi="Times New Roman" w:cs="Times New Roman"/>
          <w:sz w:val="24"/>
          <w:szCs w:val="24"/>
          <w:lang w:bidi="en-US"/>
        </w:rPr>
        <w:t xml:space="preserve"> that the court </w:t>
      </w:r>
      <w:r w:rsidRPr="00186F1F">
        <w:rPr>
          <w:rFonts w:ascii="Times New Roman" w:eastAsia="Cambria" w:hAnsi="Times New Roman" w:cs="Times New Roman"/>
          <w:i/>
          <w:sz w:val="24"/>
          <w:szCs w:val="24"/>
          <w:lang w:bidi="en-US"/>
        </w:rPr>
        <w:t>a quo</w:t>
      </w:r>
      <w:r w:rsidRPr="00186F1F">
        <w:rPr>
          <w:rFonts w:ascii="Times New Roman" w:eastAsia="Cambria" w:hAnsi="Times New Roman" w:cs="Times New Roman"/>
          <w:sz w:val="24"/>
          <w:szCs w:val="24"/>
          <w:lang w:bidi="en-US"/>
        </w:rPr>
        <w:t xml:space="preserve"> erred in failing to appreciate a</w:t>
      </w:r>
      <w:r w:rsidR="00117B1E" w:rsidRPr="00186F1F">
        <w:rPr>
          <w:rFonts w:ascii="Times New Roman" w:eastAsia="Cambria" w:hAnsi="Times New Roman" w:cs="Times New Roman"/>
          <w:sz w:val="24"/>
          <w:szCs w:val="24"/>
          <w:lang w:bidi="en-US"/>
        </w:rPr>
        <w:t>nd make a finding that there were</w:t>
      </w:r>
      <w:r w:rsidRPr="00186F1F">
        <w:rPr>
          <w:rFonts w:ascii="Times New Roman" w:eastAsia="Cambria" w:hAnsi="Times New Roman" w:cs="Times New Roman"/>
          <w:sz w:val="24"/>
          <w:szCs w:val="24"/>
          <w:lang w:bidi="en-US"/>
        </w:rPr>
        <w:t xml:space="preserve"> material dispute</w:t>
      </w:r>
      <w:r w:rsidR="00117B1E" w:rsidRPr="00186F1F">
        <w:rPr>
          <w:rFonts w:ascii="Times New Roman" w:eastAsia="Cambria" w:hAnsi="Times New Roman" w:cs="Times New Roman"/>
          <w:sz w:val="24"/>
          <w:szCs w:val="24"/>
          <w:lang w:bidi="en-US"/>
        </w:rPr>
        <w:t>s</w:t>
      </w:r>
      <w:r w:rsidRPr="00186F1F">
        <w:rPr>
          <w:rFonts w:ascii="Times New Roman" w:eastAsia="Cambria" w:hAnsi="Times New Roman" w:cs="Times New Roman"/>
          <w:sz w:val="24"/>
          <w:szCs w:val="24"/>
          <w:lang w:bidi="en-US"/>
        </w:rPr>
        <w:t xml:space="preserve"> of fact regarding the validity of the agreements of sale between </w:t>
      </w:r>
      <w:r w:rsidR="0018425F" w:rsidRPr="00186F1F">
        <w:rPr>
          <w:rFonts w:ascii="Times New Roman" w:eastAsia="Cambria" w:hAnsi="Times New Roman" w:cs="Times New Roman"/>
          <w:sz w:val="24"/>
          <w:szCs w:val="24"/>
          <w:lang w:bidi="en-US"/>
        </w:rPr>
        <w:t>a</w:t>
      </w:r>
      <w:r w:rsidRPr="00186F1F">
        <w:rPr>
          <w:rFonts w:ascii="Times New Roman" w:eastAsia="Cambria" w:hAnsi="Times New Roman" w:cs="Times New Roman"/>
          <w:sz w:val="24"/>
          <w:szCs w:val="24"/>
          <w:lang w:bidi="en-US"/>
        </w:rPr>
        <w:t xml:space="preserve">ppellant and </w:t>
      </w:r>
      <w:r w:rsidR="00B73CC7" w:rsidRPr="00186F1F">
        <w:rPr>
          <w:rFonts w:ascii="Times New Roman" w:eastAsia="Cambria" w:hAnsi="Times New Roman" w:cs="Times New Roman"/>
          <w:sz w:val="24"/>
          <w:szCs w:val="24"/>
          <w:lang w:bidi="en-US"/>
        </w:rPr>
        <w:t>first</w:t>
      </w:r>
      <w:r w:rsidR="00B04834">
        <w:rPr>
          <w:rFonts w:ascii="Times New Roman" w:eastAsia="Cambria" w:hAnsi="Times New Roman" w:cs="Times New Roman"/>
          <w:sz w:val="24"/>
          <w:szCs w:val="24"/>
          <w:lang w:bidi="en-US"/>
        </w:rPr>
        <w:t xml:space="preserve"> r</w:t>
      </w:r>
      <w:r w:rsidRPr="00186F1F">
        <w:rPr>
          <w:rFonts w:ascii="Times New Roman" w:eastAsia="Cambria" w:hAnsi="Times New Roman" w:cs="Times New Roman"/>
          <w:sz w:val="24"/>
          <w:szCs w:val="24"/>
          <w:lang w:bidi="en-US"/>
        </w:rPr>
        <w:t>espondent and consequently the deeds of transfer, which disputes could not be resolved on the papers.</w:t>
      </w:r>
    </w:p>
    <w:p w:rsidR="0018425F" w:rsidRPr="00186F1F" w:rsidRDefault="0018425F" w:rsidP="005C62AD">
      <w:pPr>
        <w:tabs>
          <w:tab w:val="left" w:pos="1134"/>
          <w:tab w:val="left" w:pos="6288"/>
        </w:tabs>
        <w:spacing w:after="0" w:line="360" w:lineRule="auto"/>
        <w:contextualSpacing/>
        <w:jc w:val="both"/>
        <w:rPr>
          <w:rFonts w:ascii="Times New Roman" w:eastAsia="Cambria" w:hAnsi="Times New Roman" w:cs="Times New Roman"/>
          <w:sz w:val="24"/>
          <w:szCs w:val="24"/>
          <w:lang w:bidi="en-US"/>
        </w:rPr>
      </w:pPr>
    </w:p>
    <w:p w:rsidR="00951DDB" w:rsidRPr="00186F1F" w:rsidRDefault="00D15812" w:rsidP="00E07F12">
      <w:pPr>
        <w:tabs>
          <w:tab w:val="left" w:pos="1134"/>
          <w:tab w:val="left" w:pos="6288"/>
        </w:tabs>
        <w:spacing w:after="0" w:line="480" w:lineRule="auto"/>
        <w:contextualSpacing/>
        <w:jc w:val="both"/>
        <w:rPr>
          <w:rFonts w:ascii="Times New Roman" w:eastAsia="Cambria" w:hAnsi="Times New Roman" w:cs="Times New Roman"/>
          <w:sz w:val="24"/>
          <w:szCs w:val="24"/>
          <w:lang w:bidi="en-US"/>
        </w:rPr>
      </w:pPr>
      <w:r w:rsidRPr="00186F1F">
        <w:rPr>
          <w:rFonts w:ascii="Times New Roman" w:eastAsia="Cambria" w:hAnsi="Times New Roman" w:cs="Times New Roman"/>
          <w:sz w:val="24"/>
          <w:szCs w:val="24"/>
          <w:lang w:bidi="en-US"/>
        </w:rPr>
        <w:tab/>
      </w:r>
      <w:r w:rsidR="00BA2A90" w:rsidRPr="00186F1F">
        <w:rPr>
          <w:rFonts w:ascii="Times New Roman" w:eastAsia="Cambria" w:hAnsi="Times New Roman" w:cs="Times New Roman"/>
          <w:sz w:val="24"/>
          <w:szCs w:val="24"/>
          <w:lang w:bidi="en-US"/>
        </w:rPr>
        <w:t xml:space="preserve">A </w:t>
      </w:r>
      <w:r w:rsidR="00547817" w:rsidRPr="00186F1F">
        <w:rPr>
          <w:rFonts w:ascii="Times New Roman" w:eastAsia="Cambria" w:hAnsi="Times New Roman" w:cs="Times New Roman"/>
          <w:sz w:val="24"/>
          <w:szCs w:val="24"/>
          <w:lang w:bidi="en-US"/>
        </w:rPr>
        <w:t xml:space="preserve">material </w:t>
      </w:r>
      <w:r w:rsidR="00951DDB" w:rsidRPr="00186F1F">
        <w:rPr>
          <w:rFonts w:ascii="Times New Roman" w:eastAsia="Cambria" w:hAnsi="Times New Roman" w:cs="Times New Roman"/>
          <w:sz w:val="24"/>
          <w:szCs w:val="24"/>
          <w:lang w:bidi="en-US"/>
        </w:rPr>
        <w:t>dispute of fact</w:t>
      </w:r>
      <w:r w:rsidR="00BA2A90" w:rsidRPr="00186F1F">
        <w:rPr>
          <w:rFonts w:ascii="Times New Roman" w:eastAsia="Cambria" w:hAnsi="Times New Roman" w:cs="Times New Roman"/>
          <w:sz w:val="24"/>
          <w:szCs w:val="24"/>
          <w:lang w:bidi="en-US"/>
        </w:rPr>
        <w:t xml:space="preserve"> arises where a party denies material allegations made by the other a</w:t>
      </w:r>
      <w:r w:rsidR="00547817" w:rsidRPr="00186F1F">
        <w:rPr>
          <w:rFonts w:ascii="Times New Roman" w:eastAsia="Cambria" w:hAnsi="Times New Roman" w:cs="Times New Roman"/>
          <w:sz w:val="24"/>
          <w:szCs w:val="24"/>
          <w:lang w:bidi="en-US"/>
        </w:rPr>
        <w:t>nd produces positive evidence to</w:t>
      </w:r>
      <w:r w:rsidR="00845931" w:rsidRPr="00186F1F">
        <w:rPr>
          <w:rFonts w:ascii="Times New Roman" w:eastAsia="Cambria" w:hAnsi="Times New Roman" w:cs="Times New Roman"/>
          <w:sz w:val="24"/>
          <w:szCs w:val="24"/>
          <w:lang w:bidi="en-US"/>
        </w:rPr>
        <w:t xml:space="preserve"> the contrary. Generally in</w:t>
      </w:r>
      <w:r w:rsidR="00BA2A90" w:rsidRPr="00186F1F">
        <w:rPr>
          <w:rFonts w:ascii="Times New Roman" w:eastAsia="Cambria" w:hAnsi="Times New Roman" w:cs="Times New Roman"/>
          <w:sz w:val="24"/>
          <w:szCs w:val="24"/>
          <w:lang w:bidi="en-US"/>
        </w:rPr>
        <w:t xml:space="preserve"> cons</w:t>
      </w:r>
      <w:r w:rsidR="00845931" w:rsidRPr="00186F1F">
        <w:rPr>
          <w:rFonts w:ascii="Times New Roman" w:eastAsia="Cambria" w:hAnsi="Times New Roman" w:cs="Times New Roman"/>
          <w:sz w:val="24"/>
          <w:szCs w:val="24"/>
          <w:lang w:bidi="en-US"/>
        </w:rPr>
        <w:t>idering</w:t>
      </w:r>
      <w:r w:rsidR="00951DDB" w:rsidRPr="00186F1F">
        <w:rPr>
          <w:rFonts w:ascii="Times New Roman" w:eastAsia="Cambria" w:hAnsi="Times New Roman" w:cs="Times New Roman"/>
          <w:sz w:val="24"/>
          <w:szCs w:val="24"/>
          <w:lang w:bidi="en-US"/>
        </w:rPr>
        <w:t xml:space="preserve"> whether </w:t>
      </w:r>
      <w:r w:rsidR="000B196E" w:rsidRPr="00186F1F">
        <w:rPr>
          <w:rFonts w:ascii="Times New Roman" w:eastAsia="Cambria" w:hAnsi="Times New Roman" w:cs="Times New Roman"/>
          <w:sz w:val="24"/>
          <w:szCs w:val="24"/>
          <w:lang w:bidi="en-US"/>
        </w:rPr>
        <w:t>or not</w:t>
      </w:r>
      <w:r w:rsidR="00BA2A90" w:rsidRPr="00186F1F">
        <w:rPr>
          <w:rFonts w:ascii="Times New Roman" w:eastAsia="Cambria" w:hAnsi="Times New Roman" w:cs="Times New Roman"/>
          <w:sz w:val="24"/>
          <w:szCs w:val="24"/>
          <w:lang w:bidi="en-US"/>
        </w:rPr>
        <w:t xml:space="preserve"> there is a </w:t>
      </w:r>
      <w:r w:rsidR="00547817" w:rsidRPr="00186F1F">
        <w:rPr>
          <w:rFonts w:ascii="Times New Roman" w:eastAsia="Cambria" w:hAnsi="Times New Roman" w:cs="Times New Roman"/>
          <w:sz w:val="24"/>
          <w:szCs w:val="24"/>
          <w:lang w:bidi="en-US"/>
        </w:rPr>
        <w:t xml:space="preserve">material </w:t>
      </w:r>
      <w:r w:rsidR="00717199" w:rsidRPr="00186F1F">
        <w:rPr>
          <w:rFonts w:ascii="Times New Roman" w:eastAsia="Cambria" w:hAnsi="Times New Roman" w:cs="Times New Roman"/>
          <w:sz w:val="24"/>
          <w:szCs w:val="24"/>
          <w:lang w:bidi="en-US"/>
        </w:rPr>
        <w:t>dispute of</w:t>
      </w:r>
      <w:r w:rsidR="00845931" w:rsidRPr="00186F1F">
        <w:rPr>
          <w:rFonts w:ascii="Times New Roman" w:eastAsia="Cambria" w:hAnsi="Times New Roman" w:cs="Times New Roman"/>
          <w:sz w:val="24"/>
          <w:szCs w:val="24"/>
          <w:lang w:bidi="en-US"/>
        </w:rPr>
        <w:t xml:space="preserve"> fact,</w:t>
      </w:r>
      <w:r w:rsidR="00117B1E" w:rsidRPr="00186F1F">
        <w:rPr>
          <w:rFonts w:ascii="Times New Roman" w:eastAsia="Cambria" w:hAnsi="Times New Roman" w:cs="Times New Roman"/>
          <w:sz w:val="24"/>
          <w:szCs w:val="24"/>
          <w:lang w:bidi="en-US"/>
        </w:rPr>
        <w:t xml:space="preserve"> </w:t>
      </w:r>
      <w:r w:rsidR="000D4ABF" w:rsidRPr="00186F1F">
        <w:rPr>
          <w:rFonts w:ascii="Times New Roman" w:eastAsia="Cambria" w:hAnsi="Times New Roman" w:cs="Times New Roman"/>
          <w:sz w:val="24"/>
          <w:szCs w:val="24"/>
          <w:lang w:bidi="en-US"/>
        </w:rPr>
        <w:t>the</w:t>
      </w:r>
      <w:r w:rsidR="00547817" w:rsidRPr="00186F1F">
        <w:rPr>
          <w:rFonts w:ascii="Times New Roman" w:eastAsia="Cambria" w:hAnsi="Times New Roman" w:cs="Times New Roman"/>
          <w:sz w:val="24"/>
          <w:szCs w:val="24"/>
          <w:lang w:bidi="en-US"/>
        </w:rPr>
        <w:t xml:space="preserve"> </w:t>
      </w:r>
      <w:r w:rsidR="00117B1E" w:rsidRPr="00186F1F">
        <w:rPr>
          <w:rFonts w:ascii="Times New Roman" w:eastAsia="Cambria" w:hAnsi="Times New Roman" w:cs="Times New Roman"/>
          <w:sz w:val="24"/>
          <w:szCs w:val="24"/>
          <w:lang w:bidi="en-US"/>
        </w:rPr>
        <w:t xml:space="preserve">court </w:t>
      </w:r>
      <w:r w:rsidR="00845931" w:rsidRPr="00186F1F">
        <w:rPr>
          <w:rFonts w:ascii="Times New Roman" w:eastAsia="Cambria" w:hAnsi="Times New Roman" w:cs="Times New Roman"/>
          <w:sz w:val="24"/>
          <w:szCs w:val="24"/>
          <w:lang w:bidi="en-US"/>
        </w:rPr>
        <w:t>is enjoined to adopt</w:t>
      </w:r>
      <w:r w:rsidR="00117B1E" w:rsidRPr="00186F1F">
        <w:rPr>
          <w:rFonts w:ascii="Times New Roman" w:eastAsia="Cambria" w:hAnsi="Times New Roman" w:cs="Times New Roman"/>
          <w:sz w:val="24"/>
          <w:szCs w:val="24"/>
          <w:lang w:bidi="en-US"/>
        </w:rPr>
        <w:t xml:space="preserve"> a</w:t>
      </w:r>
      <w:r w:rsidR="00BA2A90" w:rsidRPr="00186F1F">
        <w:rPr>
          <w:rFonts w:ascii="Times New Roman" w:eastAsia="Cambria" w:hAnsi="Times New Roman" w:cs="Times New Roman"/>
          <w:sz w:val="24"/>
          <w:szCs w:val="24"/>
          <w:lang w:bidi="en-US"/>
        </w:rPr>
        <w:t xml:space="preserve"> robust </w:t>
      </w:r>
      <w:r w:rsidR="00547817" w:rsidRPr="00186F1F">
        <w:rPr>
          <w:rFonts w:ascii="Times New Roman" w:eastAsia="Cambria" w:hAnsi="Times New Roman" w:cs="Times New Roman"/>
          <w:sz w:val="24"/>
          <w:szCs w:val="24"/>
          <w:lang w:bidi="en-US"/>
        </w:rPr>
        <w:t xml:space="preserve">common sense </w:t>
      </w:r>
      <w:r w:rsidR="00BA2A90" w:rsidRPr="00186F1F">
        <w:rPr>
          <w:rFonts w:ascii="Times New Roman" w:eastAsia="Cambria" w:hAnsi="Times New Roman" w:cs="Times New Roman"/>
          <w:sz w:val="24"/>
          <w:szCs w:val="24"/>
          <w:lang w:bidi="en-US"/>
        </w:rPr>
        <w:t xml:space="preserve">approach </w:t>
      </w:r>
      <w:r w:rsidR="00951DDB" w:rsidRPr="00186F1F">
        <w:rPr>
          <w:rFonts w:ascii="Times New Roman" w:eastAsia="Cambria" w:hAnsi="Times New Roman" w:cs="Times New Roman"/>
          <w:sz w:val="24"/>
          <w:szCs w:val="24"/>
          <w:lang w:bidi="en-US"/>
        </w:rPr>
        <w:t xml:space="preserve">to such </w:t>
      </w:r>
      <w:r w:rsidR="00951DDB" w:rsidRPr="00186F1F">
        <w:rPr>
          <w:rFonts w:ascii="Times New Roman" w:eastAsia="Cambria" w:hAnsi="Times New Roman" w:cs="Times New Roman"/>
          <w:sz w:val="24"/>
          <w:szCs w:val="24"/>
          <w:lang w:bidi="en-US"/>
        </w:rPr>
        <w:lastRenderedPageBreak/>
        <w:t>defenses when r</w:t>
      </w:r>
      <w:r w:rsidR="00845931" w:rsidRPr="00186F1F">
        <w:rPr>
          <w:rFonts w:ascii="Times New Roman" w:eastAsia="Cambria" w:hAnsi="Times New Roman" w:cs="Times New Roman"/>
          <w:sz w:val="24"/>
          <w:szCs w:val="24"/>
          <w:lang w:bidi="en-US"/>
        </w:rPr>
        <w:t xml:space="preserve">aised by litigants. In </w:t>
      </w:r>
      <w:r w:rsidR="00951DDB" w:rsidRPr="00186F1F">
        <w:rPr>
          <w:rFonts w:ascii="Times New Roman" w:eastAsia="Cambria" w:hAnsi="Times New Roman" w:cs="Times New Roman"/>
          <w:i/>
          <w:sz w:val="24"/>
          <w:szCs w:val="24"/>
          <w:lang w:bidi="en-US"/>
        </w:rPr>
        <w:t>Soffiantini v Mould</w:t>
      </w:r>
      <w:r w:rsidR="00951DDB" w:rsidRPr="00186F1F">
        <w:rPr>
          <w:rFonts w:ascii="Times New Roman" w:eastAsia="Cambria" w:hAnsi="Times New Roman" w:cs="Times New Roman"/>
          <w:sz w:val="24"/>
          <w:szCs w:val="24"/>
          <w:lang w:bidi="en-US"/>
        </w:rPr>
        <w:t xml:space="preserve"> 1956 (4) SA 150</w:t>
      </w:r>
      <w:r w:rsidR="00951DDB" w:rsidRPr="00186F1F">
        <w:rPr>
          <w:rFonts w:ascii="Times New Roman" w:eastAsia="Cambria" w:hAnsi="Times New Roman" w:cs="Times New Roman"/>
          <w:b/>
          <w:sz w:val="24"/>
          <w:szCs w:val="24"/>
          <w:lang w:bidi="en-US"/>
        </w:rPr>
        <w:t xml:space="preserve"> </w:t>
      </w:r>
      <w:r w:rsidR="00951DDB" w:rsidRPr="00186F1F">
        <w:rPr>
          <w:rFonts w:ascii="Times New Roman" w:eastAsia="Cambria" w:hAnsi="Times New Roman" w:cs="Times New Roman"/>
          <w:sz w:val="24"/>
          <w:szCs w:val="24"/>
          <w:lang w:bidi="en-US"/>
        </w:rPr>
        <w:t xml:space="preserve">(E) the </w:t>
      </w:r>
      <w:r w:rsidR="008B54CC" w:rsidRPr="00186F1F">
        <w:rPr>
          <w:rFonts w:ascii="Times New Roman" w:eastAsia="Cambria" w:hAnsi="Times New Roman" w:cs="Times New Roman"/>
          <w:sz w:val="24"/>
          <w:szCs w:val="24"/>
          <w:lang w:bidi="en-US"/>
        </w:rPr>
        <w:t>court made</w:t>
      </w:r>
      <w:r w:rsidR="00951DDB" w:rsidRPr="00186F1F">
        <w:rPr>
          <w:rFonts w:ascii="Times New Roman" w:eastAsia="Cambria" w:hAnsi="Times New Roman" w:cs="Times New Roman"/>
          <w:sz w:val="24"/>
          <w:szCs w:val="24"/>
          <w:lang w:bidi="en-US"/>
        </w:rPr>
        <w:t xml:space="preserve"> the following</w:t>
      </w:r>
      <w:r w:rsidR="00337104" w:rsidRPr="00186F1F">
        <w:rPr>
          <w:rFonts w:ascii="Times New Roman" w:eastAsia="Cambria" w:hAnsi="Times New Roman" w:cs="Times New Roman"/>
          <w:sz w:val="24"/>
          <w:szCs w:val="24"/>
          <w:lang w:bidi="en-US"/>
        </w:rPr>
        <w:t xml:space="preserve"> pertinent</w:t>
      </w:r>
      <w:r w:rsidR="00951DDB" w:rsidRPr="00186F1F">
        <w:rPr>
          <w:rFonts w:ascii="Times New Roman" w:eastAsia="Cambria" w:hAnsi="Times New Roman" w:cs="Times New Roman"/>
          <w:sz w:val="24"/>
          <w:szCs w:val="24"/>
          <w:lang w:bidi="en-US"/>
        </w:rPr>
        <w:t xml:space="preserve"> comments.</w:t>
      </w:r>
    </w:p>
    <w:p w:rsidR="00BA2A90" w:rsidRPr="00186F1F" w:rsidRDefault="00951DDB" w:rsidP="005C62AD">
      <w:pPr>
        <w:tabs>
          <w:tab w:val="left" w:pos="6288"/>
        </w:tabs>
        <w:spacing w:after="0" w:line="240" w:lineRule="auto"/>
        <w:ind w:left="567"/>
        <w:contextualSpacing/>
        <w:jc w:val="both"/>
        <w:rPr>
          <w:rFonts w:ascii="Times New Roman" w:eastAsia="Cambria" w:hAnsi="Times New Roman" w:cs="Times New Roman"/>
          <w:i/>
          <w:sz w:val="24"/>
          <w:szCs w:val="24"/>
          <w:lang w:bidi="en-US"/>
        </w:rPr>
      </w:pPr>
      <w:r w:rsidRPr="00186F1F">
        <w:rPr>
          <w:rFonts w:ascii="Times New Roman" w:eastAsia="Cambria" w:hAnsi="Times New Roman" w:cs="Times New Roman"/>
          <w:sz w:val="24"/>
          <w:szCs w:val="24"/>
          <w:lang w:bidi="en-US"/>
        </w:rPr>
        <w:t>“ If by a mere denial in general terms a respondent can defeat or delay an applicant who comes to court on [application], then [application] proceedings are worthless, for a respondent can always defeat or delay a petition by such a device. It is necessary to make a robust, common-sense approach to a dispute on [application] as otherwise the effective functioning of the court can be hamstrung and circumvented by the most simple and blatant stratagem. The court must not hesitate to decide an issue of fact on affidavit merely because it may be difficult to do so. Justice can be defeated or seriously impeded and delayed by an over-fastidious approach to dispute raised in affidavit</w:t>
      </w:r>
      <w:r w:rsidRPr="00186F1F">
        <w:rPr>
          <w:rFonts w:ascii="Times New Roman" w:eastAsia="Cambria" w:hAnsi="Times New Roman" w:cs="Times New Roman"/>
          <w:i/>
          <w:sz w:val="24"/>
          <w:szCs w:val="24"/>
          <w:lang w:bidi="en-US"/>
        </w:rPr>
        <w:t>.”</w:t>
      </w:r>
    </w:p>
    <w:p w:rsidR="00D15812" w:rsidRPr="00186F1F" w:rsidRDefault="00D15812" w:rsidP="005C62AD">
      <w:pPr>
        <w:tabs>
          <w:tab w:val="left" w:pos="6288"/>
        </w:tabs>
        <w:spacing w:after="0" w:line="240" w:lineRule="auto"/>
        <w:ind w:left="567"/>
        <w:contextualSpacing/>
        <w:jc w:val="both"/>
        <w:rPr>
          <w:rFonts w:ascii="Times New Roman" w:eastAsia="Cambria" w:hAnsi="Times New Roman" w:cs="Times New Roman"/>
          <w:i/>
          <w:sz w:val="24"/>
          <w:szCs w:val="24"/>
          <w:lang w:bidi="en-US"/>
        </w:rPr>
      </w:pPr>
    </w:p>
    <w:p w:rsidR="00951DDB" w:rsidRPr="00186F1F" w:rsidRDefault="00951DDB" w:rsidP="005C62AD">
      <w:pPr>
        <w:tabs>
          <w:tab w:val="left" w:pos="6288"/>
        </w:tabs>
        <w:spacing w:after="0" w:line="360" w:lineRule="auto"/>
        <w:contextualSpacing/>
        <w:jc w:val="both"/>
        <w:rPr>
          <w:rFonts w:ascii="Times New Roman" w:eastAsia="Cambria" w:hAnsi="Times New Roman" w:cs="Times New Roman"/>
          <w:sz w:val="24"/>
          <w:szCs w:val="24"/>
          <w:lang w:bidi="en-US"/>
        </w:rPr>
      </w:pPr>
    </w:p>
    <w:p w:rsidR="0007757E" w:rsidRPr="00186F1F" w:rsidRDefault="00D15812" w:rsidP="005C62AD">
      <w:pPr>
        <w:tabs>
          <w:tab w:val="left" w:pos="1134"/>
        </w:tabs>
        <w:spacing w:line="480" w:lineRule="auto"/>
        <w:jc w:val="both"/>
        <w:rPr>
          <w:rFonts w:ascii="Times New Roman" w:eastAsia="Cambria" w:hAnsi="Times New Roman" w:cs="Times New Roman"/>
          <w:sz w:val="24"/>
          <w:szCs w:val="24"/>
          <w:lang w:bidi="en-US"/>
        </w:rPr>
      </w:pPr>
      <w:r w:rsidRPr="00186F1F">
        <w:rPr>
          <w:rFonts w:ascii="Times New Roman" w:eastAsia="Cambria" w:hAnsi="Times New Roman" w:cs="Times New Roman"/>
          <w:sz w:val="24"/>
          <w:szCs w:val="24"/>
          <w:lang w:bidi="en-US"/>
        </w:rPr>
        <w:tab/>
      </w:r>
      <w:r w:rsidR="008B54CC" w:rsidRPr="00186F1F">
        <w:rPr>
          <w:rFonts w:ascii="Times New Roman" w:eastAsia="Cambria" w:hAnsi="Times New Roman" w:cs="Times New Roman"/>
          <w:sz w:val="24"/>
          <w:szCs w:val="24"/>
          <w:lang w:bidi="en-US"/>
        </w:rPr>
        <w:t xml:space="preserve">In </w:t>
      </w:r>
      <w:r w:rsidR="008B54CC" w:rsidRPr="00186F1F">
        <w:rPr>
          <w:rFonts w:ascii="Times New Roman" w:eastAsia="Cambria" w:hAnsi="Times New Roman" w:cs="Times New Roman"/>
          <w:i/>
          <w:sz w:val="24"/>
          <w:szCs w:val="24"/>
          <w:lang w:bidi="en-US"/>
        </w:rPr>
        <w:t>Muzanenhamo v Officer in Charge CID Law and Order and Others</w:t>
      </w:r>
      <w:r w:rsidR="008B54CC" w:rsidRPr="00186F1F">
        <w:rPr>
          <w:rFonts w:ascii="Times New Roman" w:eastAsia="Cambria" w:hAnsi="Times New Roman" w:cs="Times New Roman"/>
          <w:sz w:val="24"/>
          <w:szCs w:val="24"/>
          <w:lang w:bidi="en-US"/>
        </w:rPr>
        <w:t xml:space="preserve"> </w:t>
      </w:r>
      <w:r w:rsidR="00912C4B" w:rsidRPr="00186F1F">
        <w:rPr>
          <w:rFonts w:ascii="Times New Roman" w:eastAsia="Cambria" w:hAnsi="Times New Roman" w:cs="Times New Roman"/>
          <w:sz w:val="24"/>
          <w:szCs w:val="24"/>
          <w:lang w:bidi="en-US"/>
        </w:rPr>
        <w:t>2013(2</w:t>
      </w:r>
      <w:r w:rsidR="00117B1E" w:rsidRPr="00186F1F">
        <w:rPr>
          <w:rFonts w:ascii="Times New Roman" w:eastAsia="Cambria" w:hAnsi="Times New Roman" w:cs="Times New Roman"/>
          <w:sz w:val="24"/>
          <w:szCs w:val="24"/>
          <w:lang w:bidi="en-US"/>
        </w:rPr>
        <w:t>) ZLR 604</w:t>
      </w:r>
      <w:r w:rsidR="00912C4B" w:rsidRPr="00186F1F">
        <w:rPr>
          <w:rFonts w:ascii="Times New Roman" w:eastAsia="Cambria" w:hAnsi="Times New Roman" w:cs="Times New Roman"/>
          <w:sz w:val="24"/>
          <w:szCs w:val="24"/>
          <w:lang w:bidi="en-US"/>
        </w:rPr>
        <w:t>(S) at 608A-F</w:t>
      </w:r>
      <w:r w:rsidR="008B54CC" w:rsidRPr="00186F1F">
        <w:rPr>
          <w:rFonts w:ascii="Times New Roman" w:eastAsia="Cambria" w:hAnsi="Times New Roman" w:cs="Times New Roman"/>
          <w:sz w:val="24"/>
          <w:szCs w:val="24"/>
          <w:lang w:bidi="en-US"/>
        </w:rPr>
        <w:t xml:space="preserve"> PATEL JA </w:t>
      </w:r>
      <w:r w:rsidR="00F16103" w:rsidRPr="00186F1F">
        <w:rPr>
          <w:rFonts w:ascii="Times New Roman" w:eastAsia="Cambria" w:hAnsi="Times New Roman" w:cs="Times New Roman"/>
          <w:sz w:val="24"/>
          <w:szCs w:val="24"/>
          <w:lang w:bidi="en-US"/>
        </w:rPr>
        <w:t>aptly stated,</w:t>
      </w:r>
      <w:r w:rsidR="008E2D1E" w:rsidRPr="00186F1F">
        <w:rPr>
          <w:rFonts w:ascii="Times New Roman" w:eastAsia="Cambria" w:hAnsi="Times New Roman" w:cs="Times New Roman"/>
          <w:sz w:val="24"/>
          <w:szCs w:val="24"/>
          <w:lang w:bidi="en-US"/>
        </w:rPr>
        <w:t xml:space="preserve"> </w:t>
      </w:r>
      <w:r w:rsidR="00F16103" w:rsidRPr="00186F1F">
        <w:rPr>
          <w:rFonts w:ascii="Times New Roman" w:eastAsia="Cambria" w:hAnsi="Times New Roman" w:cs="Times New Roman"/>
          <w:i/>
          <w:sz w:val="24"/>
          <w:szCs w:val="24"/>
          <w:lang w:bidi="en-US"/>
        </w:rPr>
        <w:t>inter alia</w:t>
      </w:r>
      <w:r w:rsidR="008E2D1E" w:rsidRPr="00186F1F">
        <w:rPr>
          <w:rFonts w:ascii="Times New Roman" w:eastAsia="Cambria" w:hAnsi="Times New Roman" w:cs="Times New Roman"/>
          <w:sz w:val="24"/>
          <w:szCs w:val="24"/>
          <w:lang w:bidi="en-US"/>
        </w:rPr>
        <w:t>, that</w:t>
      </w:r>
      <w:r w:rsidR="008B54CC" w:rsidRPr="00186F1F">
        <w:rPr>
          <w:rFonts w:ascii="Times New Roman" w:eastAsia="Cambria" w:hAnsi="Times New Roman" w:cs="Times New Roman"/>
          <w:sz w:val="24"/>
          <w:szCs w:val="24"/>
          <w:lang w:bidi="en-US"/>
        </w:rPr>
        <w:t>-</w:t>
      </w:r>
      <w:r w:rsidR="008E2D1E" w:rsidRPr="00186F1F">
        <w:rPr>
          <w:rFonts w:ascii="Times New Roman" w:eastAsia="Cambria" w:hAnsi="Times New Roman" w:cs="Times New Roman"/>
          <w:sz w:val="24"/>
          <w:szCs w:val="24"/>
          <w:lang w:bidi="en-US"/>
        </w:rPr>
        <w:t xml:space="preserve"> </w:t>
      </w:r>
    </w:p>
    <w:p w:rsidR="008B54CC" w:rsidRPr="00186F1F" w:rsidRDefault="008B54CC" w:rsidP="005C62AD">
      <w:pPr>
        <w:spacing w:line="240" w:lineRule="auto"/>
        <w:ind w:left="567"/>
        <w:jc w:val="both"/>
        <w:rPr>
          <w:rFonts w:ascii="Times New Roman" w:hAnsi="Times New Roman" w:cs="Times New Roman"/>
          <w:sz w:val="24"/>
          <w:szCs w:val="24"/>
        </w:rPr>
      </w:pPr>
      <w:r w:rsidRPr="00186F1F">
        <w:rPr>
          <w:rFonts w:ascii="Times New Roman" w:eastAsia="Cambria" w:hAnsi="Times New Roman" w:cs="Times New Roman"/>
          <w:sz w:val="24"/>
          <w:szCs w:val="24"/>
          <w:lang w:bidi="en-US"/>
        </w:rPr>
        <w:t>“</w:t>
      </w:r>
      <w:r w:rsidRPr="00186F1F">
        <w:rPr>
          <w:rFonts w:ascii="Times New Roman" w:hAnsi="Times New Roman" w:cs="Times New Roman"/>
          <w:sz w:val="24"/>
          <w:szCs w:val="24"/>
        </w:rPr>
        <w:t>As a general rule in motion proceedings, the courts are enjoined to take a robust and common sense approach to disputes of fact and to resolve the issues at hand despite the apparent conflict.  The prime consideration is the possibility of deciding the matter on the papers without caus</w:t>
      </w:r>
      <w:r w:rsidR="00F16103" w:rsidRPr="00186F1F">
        <w:rPr>
          <w:rFonts w:ascii="Times New Roman" w:hAnsi="Times New Roman" w:cs="Times New Roman"/>
          <w:sz w:val="24"/>
          <w:szCs w:val="24"/>
        </w:rPr>
        <w:t>ing injustice to either party. ……………………</w:t>
      </w:r>
    </w:p>
    <w:p w:rsidR="008B54CC" w:rsidRPr="00186F1F" w:rsidRDefault="008B54CC" w:rsidP="005C62AD">
      <w:pPr>
        <w:spacing w:line="240" w:lineRule="auto"/>
        <w:ind w:left="567"/>
        <w:jc w:val="both"/>
        <w:rPr>
          <w:rFonts w:ascii="Times New Roman" w:hAnsi="Times New Roman" w:cs="Times New Roman"/>
          <w:sz w:val="24"/>
          <w:szCs w:val="24"/>
        </w:rPr>
      </w:pPr>
      <w:r w:rsidRPr="00186F1F">
        <w:rPr>
          <w:rFonts w:ascii="Times New Roman" w:hAnsi="Times New Roman" w:cs="Times New Roman"/>
          <w:sz w:val="24"/>
          <w:szCs w:val="24"/>
        </w:rPr>
        <w:t xml:space="preserve">The first enquiry is to ascertain whether or not there is a real dispute of </w:t>
      </w:r>
      <w:r w:rsidR="000D7738" w:rsidRPr="00186F1F">
        <w:rPr>
          <w:rFonts w:ascii="Times New Roman" w:hAnsi="Times New Roman" w:cs="Times New Roman"/>
          <w:sz w:val="24"/>
          <w:szCs w:val="24"/>
        </w:rPr>
        <w:t>fact. As was observed by MAKARAU</w:t>
      </w:r>
      <w:r w:rsidRPr="00186F1F">
        <w:rPr>
          <w:rFonts w:ascii="Times New Roman" w:hAnsi="Times New Roman" w:cs="Times New Roman"/>
          <w:sz w:val="24"/>
          <w:szCs w:val="24"/>
        </w:rPr>
        <w:t xml:space="preserve"> JP (as she then was) in </w:t>
      </w:r>
      <w:r w:rsidRPr="00186F1F">
        <w:rPr>
          <w:rFonts w:ascii="Times New Roman" w:hAnsi="Times New Roman" w:cs="Times New Roman"/>
          <w:i/>
          <w:sz w:val="24"/>
          <w:szCs w:val="24"/>
        </w:rPr>
        <w:t>Supa Plant Investments (Pvt) Ltd</w:t>
      </w:r>
      <w:r w:rsidRPr="00186F1F">
        <w:rPr>
          <w:rFonts w:ascii="Times New Roman" w:hAnsi="Times New Roman" w:cs="Times New Roman"/>
          <w:sz w:val="24"/>
          <w:szCs w:val="24"/>
        </w:rPr>
        <w:t xml:space="preserve"> v </w:t>
      </w:r>
      <w:r w:rsidRPr="00186F1F">
        <w:rPr>
          <w:rFonts w:ascii="Times New Roman" w:hAnsi="Times New Roman" w:cs="Times New Roman"/>
          <w:i/>
          <w:sz w:val="24"/>
          <w:szCs w:val="24"/>
        </w:rPr>
        <w:t>Chidavaenzi</w:t>
      </w:r>
      <w:r w:rsidRPr="00186F1F">
        <w:rPr>
          <w:rFonts w:ascii="Times New Roman" w:hAnsi="Times New Roman" w:cs="Times New Roman"/>
          <w:sz w:val="24"/>
          <w:szCs w:val="24"/>
        </w:rPr>
        <w:t xml:space="preserve"> 2009 (2) ZLR 132 (H) at 136F-G:</w:t>
      </w:r>
    </w:p>
    <w:p w:rsidR="008B54CC" w:rsidRPr="00186F1F" w:rsidRDefault="00117B1E" w:rsidP="005C62AD">
      <w:pPr>
        <w:spacing w:line="240" w:lineRule="auto"/>
        <w:ind w:left="720"/>
        <w:jc w:val="both"/>
        <w:rPr>
          <w:rFonts w:ascii="Times New Roman" w:hAnsi="Times New Roman" w:cs="Times New Roman"/>
          <w:sz w:val="24"/>
          <w:szCs w:val="24"/>
        </w:rPr>
      </w:pPr>
      <w:r w:rsidRPr="00186F1F">
        <w:rPr>
          <w:rFonts w:ascii="Times New Roman" w:hAnsi="Times New Roman" w:cs="Times New Roman"/>
          <w:sz w:val="24"/>
          <w:szCs w:val="24"/>
        </w:rPr>
        <w:t>‘</w:t>
      </w:r>
      <w:r w:rsidR="008B54CC" w:rsidRPr="00186F1F">
        <w:rPr>
          <w:rFonts w:ascii="Times New Roman" w:hAnsi="Times New Roman" w:cs="Times New Roman"/>
          <w:sz w:val="24"/>
          <w:szCs w:val="24"/>
        </w:rPr>
        <w:t>A material dispute of facts arises when material facts alleged by the applicant are disputed and traversed by the respondent in such a manner as to leave the court with no ready answer to the dispute between the parties in t</w:t>
      </w:r>
      <w:r w:rsidRPr="00186F1F">
        <w:rPr>
          <w:rFonts w:ascii="Times New Roman" w:hAnsi="Times New Roman" w:cs="Times New Roman"/>
          <w:sz w:val="24"/>
          <w:szCs w:val="24"/>
        </w:rPr>
        <w:t>he absence of further evidence.’</w:t>
      </w:r>
    </w:p>
    <w:p w:rsidR="00F16103" w:rsidRPr="00186F1F" w:rsidRDefault="008B54CC" w:rsidP="005C62AD">
      <w:pPr>
        <w:spacing w:line="240" w:lineRule="auto"/>
        <w:ind w:left="567"/>
        <w:jc w:val="both"/>
        <w:rPr>
          <w:rFonts w:ascii="Times New Roman" w:hAnsi="Times New Roman" w:cs="Times New Roman"/>
          <w:sz w:val="24"/>
          <w:szCs w:val="24"/>
        </w:rPr>
      </w:pPr>
      <w:r w:rsidRPr="00186F1F">
        <w:rPr>
          <w:rFonts w:ascii="Times New Roman" w:hAnsi="Times New Roman" w:cs="Times New Roman"/>
          <w:sz w:val="24"/>
          <w:szCs w:val="24"/>
        </w:rPr>
        <w:t>In this regard, the mere allegation of a possible dispute of fact is not conclusiv</w:t>
      </w:r>
      <w:r w:rsidR="00F16103" w:rsidRPr="00186F1F">
        <w:rPr>
          <w:rFonts w:ascii="Times New Roman" w:hAnsi="Times New Roman" w:cs="Times New Roman"/>
          <w:sz w:val="24"/>
          <w:szCs w:val="24"/>
        </w:rPr>
        <w:t>e of its existence. …………….</w:t>
      </w:r>
    </w:p>
    <w:p w:rsidR="004C1236" w:rsidRDefault="008B54CC" w:rsidP="007341B8">
      <w:pPr>
        <w:spacing w:line="240" w:lineRule="auto"/>
        <w:ind w:left="567"/>
        <w:jc w:val="both"/>
        <w:rPr>
          <w:rFonts w:ascii="Times New Roman" w:hAnsi="Times New Roman" w:cs="Times New Roman"/>
          <w:sz w:val="24"/>
          <w:szCs w:val="24"/>
        </w:rPr>
      </w:pPr>
      <w:r w:rsidRPr="00186F1F">
        <w:rPr>
          <w:rFonts w:ascii="Times New Roman" w:hAnsi="Times New Roman" w:cs="Times New Roman"/>
          <w:sz w:val="24"/>
          <w:szCs w:val="24"/>
        </w:rPr>
        <w:t xml:space="preserve">The respondent’s defence must be set out in clear and cogent detail.  A bare denial of the applicant’s material averments does not suffice.  </w:t>
      </w:r>
      <w:r w:rsidRPr="00186F1F">
        <w:rPr>
          <w:rFonts w:ascii="Times New Roman" w:hAnsi="Times New Roman" w:cs="Times New Roman"/>
          <w:sz w:val="24"/>
          <w:szCs w:val="24"/>
          <w:u w:val="single"/>
        </w:rPr>
        <w:t xml:space="preserve">The opposing papers must show a </w:t>
      </w:r>
      <w:r w:rsidRPr="00186F1F">
        <w:rPr>
          <w:rFonts w:ascii="Times New Roman" w:hAnsi="Times New Roman" w:cs="Times New Roman"/>
          <w:i/>
          <w:sz w:val="24"/>
          <w:szCs w:val="24"/>
          <w:u w:val="single"/>
        </w:rPr>
        <w:t>bona fide</w:t>
      </w:r>
      <w:r w:rsidRPr="00186F1F">
        <w:rPr>
          <w:rFonts w:ascii="Times New Roman" w:hAnsi="Times New Roman" w:cs="Times New Roman"/>
          <w:sz w:val="24"/>
          <w:szCs w:val="24"/>
          <w:u w:val="single"/>
        </w:rPr>
        <w:t xml:space="preserve"> dispute of fact incapable of resolution without </w:t>
      </w:r>
      <w:r w:rsidRPr="00186F1F">
        <w:rPr>
          <w:rFonts w:ascii="Times New Roman" w:hAnsi="Times New Roman" w:cs="Times New Roman"/>
          <w:i/>
          <w:sz w:val="24"/>
          <w:szCs w:val="24"/>
          <w:u w:val="single"/>
        </w:rPr>
        <w:t>viva voce</w:t>
      </w:r>
      <w:r w:rsidRPr="00186F1F">
        <w:rPr>
          <w:rFonts w:ascii="Times New Roman" w:hAnsi="Times New Roman" w:cs="Times New Roman"/>
          <w:sz w:val="24"/>
          <w:szCs w:val="24"/>
          <w:u w:val="single"/>
        </w:rPr>
        <w:t xml:space="preserve"> evidence having been heard.</w:t>
      </w:r>
      <w:r w:rsidRPr="00186F1F">
        <w:rPr>
          <w:rFonts w:ascii="Times New Roman" w:hAnsi="Times New Roman" w:cs="Times New Roman"/>
          <w:sz w:val="24"/>
          <w:szCs w:val="24"/>
        </w:rPr>
        <w:t xml:space="preserve"> See the </w:t>
      </w:r>
      <w:r w:rsidRPr="00186F1F">
        <w:rPr>
          <w:rFonts w:ascii="Times New Roman" w:hAnsi="Times New Roman" w:cs="Times New Roman"/>
          <w:i/>
          <w:sz w:val="24"/>
          <w:szCs w:val="24"/>
        </w:rPr>
        <w:t>Room Hire Co.</w:t>
      </w:r>
      <w:r w:rsidRPr="00186F1F">
        <w:rPr>
          <w:rFonts w:ascii="Times New Roman" w:hAnsi="Times New Roman" w:cs="Times New Roman"/>
          <w:sz w:val="24"/>
          <w:szCs w:val="24"/>
        </w:rPr>
        <w:t xml:space="preserve"> case, </w:t>
      </w:r>
      <w:r w:rsidRPr="00186F1F">
        <w:rPr>
          <w:rFonts w:ascii="Times New Roman" w:hAnsi="Times New Roman" w:cs="Times New Roman"/>
          <w:i/>
          <w:sz w:val="24"/>
          <w:szCs w:val="24"/>
        </w:rPr>
        <w:t>supra</w:t>
      </w:r>
      <w:r w:rsidRPr="00186F1F">
        <w:rPr>
          <w:rFonts w:ascii="Times New Roman" w:hAnsi="Times New Roman" w:cs="Times New Roman"/>
          <w:sz w:val="24"/>
          <w:szCs w:val="24"/>
        </w:rPr>
        <w:t xml:space="preserve">, at 1165, cited with approval in </w:t>
      </w:r>
      <w:r w:rsidRPr="00186F1F">
        <w:rPr>
          <w:rFonts w:ascii="Times New Roman" w:hAnsi="Times New Roman" w:cs="Times New Roman"/>
          <w:i/>
          <w:sz w:val="24"/>
          <w:szCs w:val="24"/>
        </w:rPr>
        <w:t>Vittareal Flats (Pvt) Ltd</w:t>
      </w:r>
      <w:r w:rsidRPr="00186F1F">
        <w:rPr>
          <w:rFonts w:ascii="Times New Roman" w:hAnsi="Times New Roman" w:cs="Times New Roman"/>
          <w:sz w:val="24"/>
          <w:szCs w:val="24"/>
        </w:rPr>
        <w:t xml:space="preserve"> v </w:t>
      </w:r>
      <w:r w:rsidRPr="00186F1F">
        <w:rPr>
          <w:rFonts w:ascii="Times New Roman" w:hAnsi="Times New Roman" w:cs="Times New Roman"/>
          <w:i/>
          <w:sz w:val="24"/>
          <w:szCs w:val="24"/>
        </w:rPr>
        <w:t>Undenge &amp; Others</w:t>
      </w:r>
      <w:r w:rsidRPr="00186F1F">
        <w:rPr>
          <w:rFonts w:ascii="Times New Roman" w:hAnsi="Times New Roman" w:cs="Times New Roman"/>
          <w:sz w:val="24"/>
          <w:szCs w:val="24"/>
        </w:rPr>
        <w:t xml:space="preserve"> 2005 (2) ZLR 176 (H) at 180C-D; </w:t>
      </w:r>
      <w:r w:rsidRPr="00186F1F">
        <w:rPr>
          <w:rFonts w:ascii="Times New Roman" w:hAnsi="Times New Roman" w:cs="Times New Roman"/>
          <w:i/>
          <w:sz w:val="24"/>
          <w:szCs w:val="24"/>
        </w:rPr>
        <w:t>van Niekerk</w:t>
      </w:r>
      <w:r w:rsidRPr="00186F1F">
        <w:rPr>
          <w:rFonts w:ascii="Times New Roman" w:hAnsi="Times New Roman" w:cs="Times New Roman"/>
          <w:sz w:val="24"/>
          <w:szCs w:val="24"/>
        </w:rPr>
        <w:t xml:space="preserve"> v </w:t>
      </w:r>
      <w:r w:rsidRPr="00186F1F">
        <w:rPr>
          <w:rFonts w:ascii="Times New Roman" w:hAnsi="Times New Roman" w:cs="Times New Roman"/>
          <w:i/>
          <w:sz w:val="24"/>
          <w:szCs w:val="24"/>
        </w:rPr>
        <w:t>van Niekerk &amp; Others</w:t>
      </w:r>
      <w:r w:rsidRPr="00186F1F">
        <w:rPr>
          <w:rFonts w:ascii="Times New Roman" w:hAnsi="Times New Roman" w:cs="Times New Roman"/>
          <w:sz w:val="24"/>
          <w:szCs w:val="24"/>
        </w:rPr>
        <w:t xml:space="preserve"> 1999 (1) ZLR 421 (S) at 428F-G.</w:t>
      </w:r>
      <w:r w:rsidR="000D7738" w:rsidRPr="00186F1F">
        <w:rPr>
          <w:rFonts w:ascii="Times New Roman" w:hAnsi="Times New Roman" w:cs="Times New Roman"/>
          <w:sz w:val="24"/>
          <w:szCs w:val="24"/>
        </w:rPr>
        <w:t>”</w:t>
      </w:r>
      <w:r w:rsidR="00337104" w:rsidRPr="00186F1F">
        <w:rPr>
          <w:rFonts w:ascii="Times New Roman" w:hAnsi="Times New Roman" w:cs="Times New Roman"/>
          <w:sz w:val="24"/>
          <w:szCs w:val="24"/>
        </w:rPr>
        <w:t xml:space="preserve"> (underlining for emphasis)</w:t>
      </w:r>
    </w:p>
    <w:p w:rsidR="00390C2E" w:rsidRPr="00186F1F" w:rsidRDefault="00390C2E" w:rsidP="007341B8">
      <w:pPr>
        <w:spacing w:line="240" w:lineRule="auto"/>
        <w:ind w:left="567"/>
        <w:jc w:val="both"/>
        <w:rPr>
          <w:rFonts w:ascii="Times New Roman" w:hAnsi="Times New Roman" w:cs="Times New Roman"/>
          <w:sz w:val="24"/>
          <w:szCs w:val="24"/>
        </w:rPr>
      </w:pPr>
    </w:p>
    <w:p w:rsidR="00337104" w:rsidRPr="00186F1F" w:rsidRDefault="00D15812" w:rsidP="00763F3F">
      <w:pPr>
        <w:pStyle w:val="Default"/>
        <w:tabs>
          <w:tab w:val="left" w:pos="1134"/>
        </w:tabs>
        <w:spacing w:line="480" w:lineRule="auto"/>
        <w:jc w:val="both"/>
        <w:rPr>
          <w:rFonts w:ascii="Times New Roman" w:hAnsi="Times New Roman" w:cs="Times New Roman"/>
        </w:rPr>
      </w:pPr>
      <w:r w:rsidRPr="00186F1F">
        <w:rPr>
          <w:rFonts w:ascii="Times New Roman" w:eastAsia="Cambria" w:hAnsi="Times New Roman" w:cs="Times New Roman"/>
          <w:lang w:bidi="en-US"/>
        </w:rPr>
        <w:tab/>
      </w:r>
      <w:r w:rsidR="00951DDB" w:rsidRPr="00186F1F">
        <w:rPr>
          <w:rFonts w:ascii="Times New Roman" w:eastAsia="Cambria" w:hAnsi="Times New Roman" w:cs="Times New Roman"/>
          <w:lang w:bidi="en-US"/>
        </w:rPr>
        <w:t xml:space="preserve">Where there is a </w:t>
      </w:r>
      <w:r w:rsidR="00516FE1" w:rsidRPr="00186F1F">
        <w:rPr>
          <w:rFonts w:ascii="Times New Roman" w:eastAsia="Cambria" w:hAnsi="Times New Roman" w:cs="Times New Roman"/>
          <w:lang w:bidi="en-US"/>
        </w:rPr>
        <w:t xml:space="preserve">material </w:t>
      </w:r>
      <w:r w:rsidR="00951DDB" w:rsidRPr="00186F1F">
        <w:rPr>
          <w:rFonts w:ascii="Times New Roman" w:eastAsia="Cambria" w:hAnsi="Times New Roman" w:cs="Times New Roman"/>
          <w:lang w:bidi="en-US"/>
        </w:rPr>
        <w:t>dispute of fact the court may dismiss the application, order oral evide</w:t>
      </w:r>
      <w:r w:rsidR="00EF3E7A" w:rsidRPr="00186F1F">
        <w:rPr>
          <w:rFonts w:ascii="Times New Roman" w:eastAsia="Cambria" w:hAnsi="Times New Roman" w:cs="Times New Roman"/>
          <w:lang w:bidi="en-US"/>
        </w:rPr>
        <w:t xml:space="preserve">nce or </w:t>
      </w:r>
      <w:r w:rsidR="00E9431A" w:rsidRPr="00186F1F">
        <w:rPr>
          <w:rFonts w:ascii="Times New Roman" w:eastAsia="Cambria" w:hAnsi="Times New Roman" w:cs="Times New Roman"/>
          <w:lang w:bidi="en-US"/>
        </w:rPr>
        <w:t>refer the matter</w:t>
      </w:r>
      <w:r w:rsidR="00951DDB" w:rsidRPr="00186F1F">
        <w:rPr>
          <w:rFonts w:ascii="Times New Roman" w:eastAsia="Cambria" w:hAnsi="Times New Roman" w:cs="Times New Roman"/>
          <w:lang w:bidi="en-US"/>
        </w:rPr>
        <w:t xml:space="preserve"> to trial with such orders as to pleading</w:t>
      </w:r>
      <w:r w:rsidR="00FF1553" w:rsidRPr="00186F1F">
        <w:rPr>
          <w:rFonts w:ascii="Times New Roman" w:eastAsia="Cambria" w:hAnsi="Times New Roman" w:cs="Times New Roman"/>
          <w:lang w:bidi="en-US"/>
        </w:rPr>
        <w:t>s as it sees fit</w:t>
      </w:r>
      <w:r w:rsidR="00951DDB" w:rsidRPr="00186F1F">
        <w:rPr>
          <w:rFonts w:ascii="Times New Roman" w:eastAsia="Cambria" w:hAnsi="Times New Roman" w:cs="Times New Roman"/>
          <w:lang w:bidi="en-US"/>
        </w:rPr>
        <w:t>.</w:t>
      </w:r>
      <w:r w:rsidR="00EF3E7A" w:rsidRPr="00186F1F">
        <w:rPr>
          <w:rFonts w:ascii="Times New Roman" w:hAnsi="Times New Roman" w:cs="Times New Roman"/>
        </w:rPr>
        <w:t xml:space="preserve"> </w:t>
      </w:r>
    </w:p>
    <w:p w:rsidR="00D15812" w:rsidRPr="00186F1F" w:rsidRDefault="00FF1553" w:rsidP="00763F3F">
      <w:pPr>
        <w:pStyle w:val="Default"/>
        <w:tabs>
          <w:tab w:val="left" w:pos="1134"/>
        </w:tabs>
        <w:spacing w:line="480" w:lineRule="auto"/>
        <w:jc w:val="both"/>
        <w:rPr>
          <w:rFonts w:ascii="Times New Roman" w:eastAsia="Cambria" w:hAnsi="Times New Roman" w:cs="Times New Roman"/>
          <w:lang w:bidi="en-US"/>
        </w:rPr>
      </w:pPr>
      <w:r w:rsidRPr="00186F1F">
        <w:rPr>
          <w:rFonts w:ascii="Times New Roman" w:hAnsi="Times New Roman" w:cs="Times New Roman"/>
        </w:rPr>
        <w:lastRenderedPageBreak/>
        <w:t>Upon a consideration of the alleged dispute</w:t>
      </w:r>
      <w:r w:rsidR="00337104" w:rsidRPr="00186F1F">
        <w:rPr>
          <w:rFonts w:ascii="Times New Roman" w:hAnsi="Times New Roman" w:cs="Times New Roman"/>
        </w:rPr>
        <w:t>s</w:t>
      </w:r>
      <w:r w:rsidRPr="00186F1F">
        <w:rPr>
          <w:rFonts w:ascii="Times New Roman" w:hAnsi="Times New Roman" w:cs="Times New Roman"/>
        </w:rPr>
        <w:t xml:space="preserve"> of fact I am of the view that</w:t>
      </w:r>
      <w:r w:rsidR="00EF3E7A" w:rsidRPr="00186F1F">
        <w:rPr>
          <w:rFonts w:ascii="Times New Roman" w:eastAsia="Cambria" w:hAnsi="Times New Roman" w:cs="Times New Roman"/>
          <w:lang w:bidi="en-US"/>
        </w:rPr>
        <w:t xml:space="preserve"> the court </w:t>
      </w:r>
      <w:r w:rsidR="00EF3E7A" w:rsidRPr="00186F1F">
        <w:rPr>
          <w:rFonts w:ascii="Times New Roman" w:eastAsia="Cambria" w:hAnsi="Times New Roman" w:cs="Times New Roman"/>
          <w:i/>
          <w:lang w:bidi="en-US"/>
        </w:rPr>
        <w:t>a quo</w:t>
      </w:r>
      <w:r w:rsidR="00EF3E7A" w:rsidRPr="00186F1F">
        <w:rPr>
          <w:rFonts w:ascii="Times New Roman" w:eastAsia="Cambria" w:hAnsi="Times New Roman" w:cs="Times New Roman"/>
          <w:lang w:bidi="en-US"/>
        </w:rPr>
        <w:t xml:space="preserve"> did tak</w:t>
      </w:r>
      <w:r w:rsidR="00E9431A" w:rsidRPr="00186F1F">
        <w:rPr>
          <w:rFonts w:ascii="Times New Roman" w:eastAsia="Cambria" w:hAnsi="Times New Roman" w:cs="Times New Roman"/>
          <w:lang w:bidi="en-US"/>
        </w:rPr>
        <w:t>e cognizance of the fact that</w:t>
      </w:r>
      <w:r w:rsidRPr="00186F1F">
        <w:rPr>
          <w:rFonts w:ascii="Times New Roman" w:eastAsia="Cambria" w:hAnsi="Times New Roman" w:cs="Times New Roman"/>
          <w:lang w:bidi="en-US"/>
        </w:rPr>
        <w:t xml:space="preserve"> the issue of</w:t>
      </w:r>
      <w:r w:rsidR="00EF3E7A" w:rsidRPr="00186F1F">
        <w:rPr>
          <w:rFonts w:ascii="Times New Roman" w:eastAsia="Cambria" w:hAnsi="Times New Roman" w:cs="Times New Roman"/>
          <w:lang w:bidi="en-US"/>
        </w:rPr>
        <w:t xml:space="preserve"> the validity of the agreements of sale could be resolved without resorting to trial. The appellant did not show </w:t>
      </w:r>
      <w:r w:rsidR="00E9431A" w:rsidRPr="00186F1F">
        <w:rPr>
          <w:rFonts w:ascii="Times New Roman" w:eastAsia="Cambria" w:hAnsi="Times New Roman" w:cs="Times New Roman"/>
          <w:lang w:bidi="en-US"/>
        </w:rPr>
        <w:t xml:space="preserve">that the issue was incapable of </w:t>
      </w:r>
      <w:r w:rsidRPr="00186F1F">
        <w:rPr>
          <w:rFonts w:ascii="Times New Roman" w:eastAsia="Cambria" w:hAnsi="Times New Roman" w:cs="Times New Roman"/>
          <w:lang w:bidi="en-US"/>
        </w:rPr>
        <w:t>resolution on</w:t>
      </w:r>
      <w:r w:rsidR="00E9431A" w:rsidRPr="00186F1F">
        <w:rPr>
          <w:rFonts w:ascii="Times New Roman" w:eastAsia="Cambria" w:hAnsi="Times New Roman" w:cs="Times New Roman"/>
          <w:lang w:bidi="en-US"/>
        </w:rPr>
        <w:t xml:space="preserve"> the </w:t>
      </w:r>
      <w:r w:rsidRPr="00186F1F">
        <w:rPr>
          <w:rFonts w:ascii="Times New Roman" w:eastAsia="Cambria" w:hAnsi="Times New Roman" w:cs="Times New Roman"/>
          <w:lang w:bidi="en-US"/>
        </w:rPr>
        <w:t xml:space="preserve">papers. </w:t>
      </w:r>
      <w:r w:rsidR="00EF3E7A" w:rsidRPr="00186F1F">
        <w:rPr>
          <w:rFonts w:ascii="Times New Roman" w:eastAsia="Cambria" w:hAnsi="Times New Roman" w:cs="Times New Roman"/>
          <w:lang w:bidi="en-US"/>
        </w:rPr>
        <w:t xml:space="preserve">The </w:t>
      </w:r>
      <w:r w:rsidR="00B73CC7" w:rsidRPr="00186F1F">
        <w:rPr>
          <w:rFonts w:ascii="Times New Roman" w:eastAsia="Cambria" w:hAnsi="Times New Roman" w:cs="Times New Roman"/>
          <w:lang w:bidi="en-US"/>
        </w:rPr>
        <w:t>first</w:t>
      </w:r>
      <w:r w:rsidR="00EF3E7A" w:rsidRPr="00186F1F">
        <w:rPr>
          <w:rFonts w:ascii="Times New Roman" w:eastAsia="Cambria" w:hAnsi="Times New Roman" w:cs="Times New Roman"/>
          <w:lang w:bidi="en-US"/>
        </w:rPr>
        <w:t xml:space="preserve"> respondent’s papers were clear and concise. He entered an agreement of sale with the executrix</w:t>
      </w:r>
      <w:r w:rsidRPr="00186F1F">
        <w:rPr>
          <w:rFonts w:ascii="Times New Roman" w:eastAsia="Cambria" w:hAnsi="Times New Roman" w:cs="Times New Roman"/>
          <w:lang w:bidi="en-US"/>
        </w:rPr>
        <w:t xml:space="preserve"> testamentary</w:t>
      </w:r>
      <w:r w:rsidR="00EF3E7A" w:rsidRPr="00186F1F">
        <w:rPr>
          <w:rFonts w:ascii="Times New Roman" w:eastAsia="Cambria" w:hAnsi="Times New Roman" w:cs="Times New Roman"/>
          <w:lang w:bidi="en-US"/>
        </w:rPr>
        <w:t xml:space="preserve"> in 1999. The executrix received her letter</w:t>
      </w:r>
      <w:r w:rsidR="0007757E" w:rsidRPr="00186F1F">
        <w:rPr>
          <w:rFonts w:ascii="Times New Roman" w:eastAsia="Cambria" w:hAnsi="Times New Roman" w:cs="Times New Roman"/>
          <w:lang w:bidi="en-US"/>
        </w:rPr>
        <w:t>s</w:t>
      </w:r>
      <w:r w:rsidR="00EF3E7A" w:rsidRPr="00186F1F">
        <w:rPr>
          <w:rFonts w:ascii="Times New Roman" w:eastAsia="Cambria" w:hAnsi="Times New Roman" w:cs="Times New Roman"/>
          <w:lang w:bidi="en-US"/>
        </w:rPr>
        <w:t xml:space="preserve"> of administration in</w:t>
      </w:r>
      <w:r w:rsidR="0007757E" w:rsidRPr="00186F1F">
        <w:rPr>
          <w:rFonts w:ascii="Times New Roman" w:eastAsia="Cambria" w:hAnsi="Times New Roman" w:cs="Times New Roman"/>
          <w:lang w:bidi="en-US"/>
        </w:rPr>
        <w:t xml:space="preserve"> 1998 and obtained</w:t>
      </w:r>
      <w:r w:rsidR="000D4ABF" w:rsidRPr="00186F1F">
        <w:rPr>
          <w:rFonts w:ascii="Times New Roman" w:eastAsia="Cambria" w:hAnsi="Times New Roman" w:cs="Times New Roman"/>
          <w:lang w:bidi="en-US"/>
        </w:rPr>
        <w:t xml:space="preserve"> authority to sell</w:t>
      </w:r>
      <w:r w:rsidR="0005783F" w:rsidRPr="00186F1F">
        <w:rPr>
          <w:rFonts w:ascii="Times New Roman" w:eastAsia="Cambria" w:hAnsi="Times New Roman" w:cs="Times New Roman"/>
          <w:lang w:bidi="en-US"/>
        </w:rPr>
        <w:t xml:space="preserve"> </w:t>
      </w:r>
      <w:r w:rsidR="0007757E" w:rsidRPr="00186F1F">
        <w:rPr>
          <w:rFonts w:ascii="Times New Roman" w:eastAsia="Cambria" w:hAnsi="Times New Roman" w:cs="Times New Roman"/>
          <w:lang w:bidi="en-US"/>
        </w:rPr>
        <w:t xml:space="preserve">in </w:t>
      </w:r>
      <w:r w:rsidR="00117B1E" w:rsidRPr="00186F1F">
        <w:rPr>
          <w:rFonts w:ascii="Times New Roman" w:eastAsia="Cambria" w:hAnsi="Times New Roman" w:cs="Times New Roman"/>
          <w:lang w:bidi="en-US"/>
        </w:rPr>
        <w:t>2006</w:t>
      </w:r>
      <w:r w:rsidR="00EF3E7A" w:rsidRPr="00186F1F">
        <w:rPr>
          <w:rFonts w:ascii="Times New Roman" w:eastAsia="Cambria" w:hAnsi="Times New Roman" w:cs="Times New Roman"/>
          <w:lang w:bidi="en-US"/>
        </w:rPr>
        <w:t xml:space="preserve"> and </w:t>
      </w:r>
      <w:r w:rsidR="0007757E" w:rsidRPr="00186F1F">
        <w:rPr>
          <w:rFonts w:ascii="Times New Roman" w:eastAsia="Cambria" w:hAnsi="Times New Roman" w:cs="Times New Roman"/>
          <w:lang w:bidi="en-US"/>
        </w:rPr>
        <w:t xml:space="preserve">thereafter </w:t>
      </w:r>
      <w:r w:rsidRPr="00186F1F">
        <w:rPr>
          <w:rFonts w:ascii="Times New Roman" w:eastAsia="Cambria" w:hAnsi="Times New Roman" w:cs="Times New Roman"/>
          <w:lang w:bidi="en-US"/>
        </w:rPr>
        <w:t xml:space="preserve">in </w:t>
      </w:r>
      <w:r w:rsidR="0007757E" w:rsidRPr="00186F1F">
        <w:rPr>
          <w:rFonts w:ascii="Times New Roman" w:eastAsia="Cambria" w:hAnsi="Times New Roman" w:cs="Times New Roman"/>
          <w:lang w:bidi="en-US"/>
        </w:rPr>
        <w:t xml:space="preserve">April </w:t>
      </w:r>
      <w:r w:rsidR="00EF3E7A" w:rsidRPr="00186F1F">
        <w:rPr>
          <w:rFonts w:ascii="Times New Roman" w:eastAsia="Cambria" w:hAnsi="Times New Roman" w:cs="Times New Roman"/>
          <w:lang w:bidi="en-US"/>
        </w:rPr>
        <w:t xml:space="preserve">2007 transfer of the property was effected. </w:t>
      </w:r>
      <w:r w:rsidRPr="00186F1F">
        <w:rPr>
          <w:rFonts w:ascii="Times New Roman" w:eastAsia="Cambria" w:hAnsi="Times New Roman" w:cs="Times New Roman"/>
          <w:lang w:bidi="en-US"/>
        </w:rPr>
        <w:t xml:space="preserve">That the </w:t>
      </w:r>
      <w:r w:rsidR="00B73CC7" w:rsidRPr="00186F1F">
        <w:rPr>
          <w:rFonts w:ascii="Times New Roman" w:eastAsia="Cambria" w:hAnsi="Times New Roman" w:cs="Times New Roman"/>
          <w:lang w:bidi="en-US"/>
        </w:rPr>
        <w:t>first</w:t>
      </w:r>
      <w:r w:rsidRPr="00186F1F">
        <w:rPr>
          <w:rFonts w:ascii="Times New Roman" w:eastAsia="Cambria" w:hAnsi="Times New Roman" w:cs="Times New Roman"/>
          <w:lang w:bidi="en-US"/>
        </w:rPr>
        <w:t xml:space="preserve"> </w:t>
      </w:r>
      <w:r w:rsidR="009D2557" w:rsidRPr="00186F1F">
        <w:rPr>
          <w:rFonts w:ascii="Times New Roman" w:eastAsia="Cambria" w:hAnsi="Times New Roman" w:cs="Times New Roman"/>
          <w:lang w:bidi="en-US"/>
        </w:rPr>
        <w:t>respondent’s transfer</w:t>
      </w:r>
      <w:r w:rsidRPr="00186F1F">
        <w:rPr>
          <w:rFonts w:ascii="Times New Roman" w:eastAsia="Cambria" w:hAnsi="Times New Roman" w:cs="Times New Roman"/>
          <w:lang w:bidi="en-US"/>
        </w:rPr>
        <w:t xml:space="preserve"> papers were lodged and signed for by the </w:t>
      </w:r>
      <w:r w:rsidR="009D2557" w:rsidRPr="00186F1F">
        <w:rPr>
          <w:rFonts w:ascii="Times New Roman" w:eastAsia="Cambria" w:hAnsi="Times New Roman" w:cs="Times New Roman"/>
          <w:lang w:bidi="en-US"/>
        </w:rPr>
        <w:t>Registrar</w:t>
      </w:r>
      <w:r w:rsidR="00D15812" w:rsidRPr="00186F1F">
        <w:rPr>
          <w:rFonts w:ascii="Times New Roman" w:eastAsia="Cambria" w:hAnsi="Times New Roman" w:cs="Times New Roman"/>
          <w:lang w:bidi="en-US"/>
        </w:rPr>
        <w:t xml:space="preserve"> of D</w:t>
      </w:r>
      <w:r w:rsidRPr="00186F1F">
        <w:rPr>
          <w:rFonts w:ascii="Times New Roman" w:eastAsia="Cambria" w:hAnsi="Times New Roman" w:cs="Times New Roman"/>
          <w:lang w:bidi="en-US"/>
        </w:rPr>
        <w:t xml:space="preserve">eeds in April 2007 is without </w:t>
      </w:r>
      <w:r w:rsidR="00337104" w:rsidRPr="00186F1F">
        <w:rPr>
          <w:rFonts w:ascii="Times New Roman" w:eastAsia="Cambria" w:hAnsi="Times New Roman" w:cs="Times New Roman"/>
          <w:lang w:bidi="en-US"/>
        </w:rPr>
        <w:t>doubt. The executrix as the lawful representative of the estate had the right to authorise transfer to first respondent when she did so.</w:t>
      </w:r>
    </w:p>
    <w:p w:rsidR="00931CAA" w:rsidRPr="00186F1F" w:rsidRDefault="00931CAA" w:rsidP="00C167FC">
      <w:pPr>
        <w:pStyle w:val="Default"/>
        <w:jc w:val="both"/>
        <w:rPr>
          <w:rFonts w:ascii="Times New Roman" w:eastAsia="Cambria" w:hAnsi="Times New Roman" w:cs="Times New Roman"/>
          <w:lang w:bidi="en-US"/>
        </w:rPr>
      </w:pPr>
    </w:p>
    <w:p w:rsidR="00C167FC" w:rsidRPr="00186F1F" w:rsidRDefault="00C167FC" w:rsidP="00C167FC">
      <w:pPr>
        <w:pStyle w:val="Default"/>
        <w:jc w:val="both"/>
        <w:rPr>
          <w:rFonts w:ascii="Times New Roman" w:eastAsia="Cambria" w:hAnsi="Times New Roman" w:cs="Times New Roman"/>
          <w:lang w:bidi="en-US"/>
        </w:rPr>
      </w:pPr>
    </w:p>
    <w:p w:rsidR="00931CAA" w:rsidRPr="00186F1F" w:rsidRDefault="00FF1553" w:rsidP="00763F3F">
      <w:pPr>
        <w:pStyle w:val="Default"/>
        <w:tabs>
          <w:tab w:val="left" w:pos="1134"/>
        </w:tabs>
        <w:spacing w:line="480" w:lineRule="auto"/>
        <w:jc w:val="both"/>
        <w:rPr>
          <w:rFonts w:ascii="Times New Roman" w:hAnsi="Times New Roman" w:cs="Times New Roman"/>
          <w:b/>
          <w:bCs/>
        </w:rPr>
      </w:pPr>
      <w:r w:rsidRPr="00186F1F">
        <w:rPr>
          <w:rFonts w:ascii="Times New Roman" w:eastAsia="Cambria" w:hAnsi="Times New Roman" w:cs="Times New Roman"/>
          <w:lang w:bidi="en-US"/>
        </w:rPr>
        <w:t xml:space="preserve"> </w:t>
      </w:r>
      <w:r w:rsidR="00D15812" w:rsidRPr="00186F1F">
        <w:rPr>
          <w:rFonts w:ascii="Times New Roman" w:eastAsia="Cambria" w:hAnsi="Times New Roman" w:cs="Times New Roman"/>
          <w:lang w:bidi="en-US"/>
        </w:rPr>
        <w:tab/>
      </w:r>
      <w:r w:rsidR="00C011B2" w:rsidRPr="00186F1F">
        <w:rPr>
          <w:rFonts w:ascii="Times New Roman" w:eastAsia="Cambria" w:hAnsi="Times New Roman" w:cs="Times New Roman"/>
          <w:lang w:bidi="en-US"/>
        </w:rPr>
        <w:t>On the other hand, t</w:t>
      </w:r>
      <w:r w:rsidR="0005783F" w:rsidRPr="00186F1F">
        <w:rPr>
          <w:rFonts w:ascii="Times New Roman" w:eastAsia="Cambria" w:hAnsi="Times New Roman" w:cs="Times New Roman"/>
          <w:lang w:bidi="en-US"/>
        </w:rPr>
        <w:t xml:space="preserve">he appellant’s registration papers </w:t>
      </w:r>
      <w:r w:rsidR="0007757E" w:rsidRPr="00186F1F">
        <w:rPr>
          <w:rFonts w:ascii="Times New Roman" w:eastAsia="Cambria" w:hAnsi="Times New Roman" w:cs="Times New Roman"/>
          <w:lang w:bidi="en-US"/>
        </w:rPr>
        <w:t>were</w:t>
      </w:r>
      <w:r w:rsidR="0005783F" w:rsidRPr="00186F1F">
        <w:rPr>
          <w:rFonts w:ascii="Times New Roman" w:eastAsia="Cambria" w:hAnsi="Times New Roman" w:cs="Times New Roman"/>
          <w:lang w:bidi="en-US"/>
        </w:rPr>
        <w:t xml:space="preserve"> only effected in </w:t>
      </w:r>
      <w:r w:rsidR="0007757E" w:rsidRPr="00186F1F">
        <w:rPr>
          <w:rFonts w:ascii="Times New Roman" w:eastAsia="Cambria" w:hAnsi="Times New Roman" w:cs="Times New Roman"/>
          <w:lang w:bidi="en-US"/>
        </w:rPr>
        <w:t>July</w:t>
      </w:r>
      <w:r w:rsidR="00D41CB5">
        <w:rPr>
          <w:rFonts w:ascii="Times New Roman" w:eastAsia="Cambria" w:hAnsi="Times New Roman" w:cs="Times New Roman"/>
          <w:lang w:bidi="en-US"/>
        </w:rPr>
        <w:t> </w:t>
      </w:r>
      <w:r w:rsidR="0005783F" w:rsidRPr="00186F1F">
        <w:rPr>
          <w:rFonts w:ascii="Times New Roman" w:eastAsia="Cambria" w:hAnsi="Times New Roman" w:cs="Times New Roman"/>
          <w:lang w:bidi="en-US"/>
        </w:rPr>
        <w:t xml:space="preserve">2007. </w:t>
      </w:r>
      <w:r w:rsidRPr="00186F1F">
        <w:rPr>
          <w:rFonts w:ascii="Times New Roman" w:eastAsia="Cambria" w:hAnsi="Times New Roman" w:cs="Times New Roman"/>
          <w:lang w:bidi="en-US"/>
        </w:rPr>
        <w:t xml:space="preserve">Section 10 of the Deeds </w:t>
      </w:r>
      <w:r w:rsidR="009D2557" w:rsidRPr="00186F1F">
        <w:rPr>
          <w:rFonts w:ascii="Times New Roman" w:eastAsia="Cambria" w:hAnsi="Times New Roman" w:cs="Times New Roman"/>
          <w:lang w:bidi="en-US"/>
        </w:rPr>
        <w:t>Registries</w:t>
      </w:r>
      <w:r w:rsidRPr="00186F1F">
        <w:rPr>
          <w:rFonts w:ascii="Times New Roman" w:eastAsia="Cambria" w:hAnsi="Times New Roman" w:cs="Times New Roman"/>
          <w:lang w:bidi="en-US"/>
        </w:rPr>
        <w:t xml:space="preserve"> Act</w:t>
      </w:r>
      <w:r w:rsidR="00D15812" w:rsidRPr="00186F1F">
        <w:rPr>
          <w:rFonts w:ascii="Times New Roman" w:eastAsia="Cambria" w:hAnsi="Times New Roman" w:cs="Times New Roman"/>
          <w:lang w:bidi="en-US"/>
        </w:rPr>
        <w:t>, [</w:t>
      </w:r>
      <w:r w:rsidR="00D15812" w:rsidRPr="00186F1F">
        <w:rPr>
          <w:rFonts w:ascii="Times New Roman" w:eastAsia="Cambria" w:hAnsi="Times New Roman" w:cs="Times New Roman"/>
          <w:i/>
          <w:lang w:bidi="en-US"/>
        </w:rPr>
        <w:t>C</w:t>
      </w:r>
      <w:r w:rsidRPr="00186F1F">
        <w:rPr>
          <w:rFonts w:ascii="Times New Roman" w:eastAsia="Cambria" w:hAnsi="Times New Roman" w:cs="Times New Roman"/>
          <w:i/>
          <w:lang w:bidi="en-US"/>
        </w:rPr>
        <w:t>hapter</w:t>
      </w:r>
      <w:r w:rsidR="00D15812" w:rsidRPr="00186F1F">
        <w:rPr>
          <w:rFonts w:ascii="Times New Roman" w:eastAsia="Cambria" w:hAnsi="Times New Roman" w:cs="Times New Roman"/>
          <w:i/>
          <w:lang w:bidi="en-US"/>
        </w:rPr>
        <w:t xml:space="preserve"> </w:t>
      </w:r>
      <w:r w:rsidR="0005783F" w:rsidRPr="00186F1F">
        <w:rPr>
          <w:rFonts w:ascii="Times New Roman" w:eastAsia="Cambria" w:hAnsi="Times New Roman" w:cs="Times New Roman"/>
          <w:i/>
          <w:lang w:bidi="en-US"/>
        </w:rPr>
        <w:t>20:05</w:t>
      </w:r>
      <w:r w:rsidR="00C011B2" w:rsidRPr="00186F1F">
        <w:rPr>
          <w:rFonts w:ascii="Times New Roman" w:eastAsia="Cambria" w:hAnsi="Times New Roman" w:cs="Times New Roman"/>
          <w:lang w:bidi="en-US"/>
        </w:rPr>
        <w:t>]</w:t>
      </w:r>
      <w:r w:rsidR="0005783F" w:rsidRPr="00186F1F">
        <w:rPr>
          <w:rFonts w:ascii="Times New Roman" w:hAnsi="Times New Roman" w:cs="Times New Roman"/>
          <w:b/>
          <w:bCs/>
        </w:rPr>
        <w:t xml:space="preserve"> </w:t>
      </w:r>
      <w:r w:rsidR="0007757E" w:rsidRPr="00186F1F">
        <w:rPr>
          <w:rFonts w:ascii="Times New Roman" w:hAnsi="Times New Roman" w:cs="Times New Roman"/>
          <w:bCs/>
        </w:rPr>
        <w:t>provides that</w:t>
      </w:r>
      <w:r w:rsidR="00931CAA" w:rsidRPr="00186F1F">
        <w:rPr>
          <w:rFonts w:ascii="Times New Roman" w:hAnsi="Times New Roman" w:cs="Times New Roman"/>
          <w:b/>
          <w:bCs/>
        </w:rPr>
        <w:t>:</w:t>
      </w:r>
    </w:p>
    <w:p w:rsidR="0005783F" w:rsidRPr="00186F1F" w:rsidRDefault="0007757E" w:rsidP="005C62AD">
      <w:pPr>
        <w:pStyle w:val="Default"/>
        <w:ind w:left="567"/>
        <w:jc w:val="both"/>
        <w:rPr>
          <w:rFonts w:ascii="Times New Roman" w:hAnsi="Times New Roman" w:cs="Times New Roman"/>
        </w:rPr>
      </w:pPr>
      <w:r w:rsidRPr="00186F1F">
        <w:rPr>
          <w:rFonts w:ascii="Times New Roman" w:hAnsi="Times New Roman" w:cs="Times New Roman"/>
          <w:b/>
          <w:bCs/>
        </w:rPr>
        <w:t>“</w:t>
      </w:r>
      <w:r w:rsidR="0005783F" w:rsidRPr="00186F1F">
        <w:rPr>
          <w:rFonts w:ascii="Times New Roman" w:hAnsi="Times New Roman" w:cs="Times New Roman"/>
          <w:b/>
          <w:bCs/>
        </w:rPr>
        <w:t xml:space="preserve">10 When registration takes place </w:t>
      </w:r>
    </w:p>
    <w:p w:rsidR="0005783F" w:rsidRPr="00186F1F" w:rsidRDefault="0005783F" w:rsidP="005C62AD">
      <w:pPr>
        <w:pStyle w:val="Default"/>
        <w:ind w:left="567"/>
        <w:jc w:val="both"/>
        <w:rPr>
          <w:rFonts w:ascii="Times New Roman" w:hAnsi="Times New Roman" w:cs="Times New Roman"/>
        </w:rPr>
      </w:pPr>
      <w:r w:rsidRPr="00186F1F">
        <w:rPr>
          <w:rFonts w:ascii="Times New Roman" w:hAnsi="Times New Roman" w:cs="Times New Roman"/>
        </w:rPr>
        <w:t xml:space="preserve">(1) Deeds executed or attested by a registrar </w:t>
      </w:r>
      <w:r w:rsidRPr="00186F1F">
        <w:rPr>
          <w:rFonts w:ascii="Times New Roman" w:hAnsi="Times New Roman" w:cs="Times New Roman"/>
          <w:u w:val="single"/>
        </w:rPr>
        <w:t>shall be deemed to be registered upon the affixing of the</w:t>
      </w:r>
      <w:r w:rsidRPr="00186F1F">
        <w:rPr>
          <w:rFonts w:ascii="Times New Roman" w:hAnsi="Times New Roman" w:cs="Times New Roman"/>
        </w:rPr>
        <w:t xml:space="preserve"> </w:t>
      </w:r>
      <w:r w:rsidRPr="00186F1F">
        <w:rPr>
          <w:rFonts w:ascii="Times New Roman" w:hAnsi="Times New Roman" w:cs="Times New Roman"/>
          <w:u w:val="single"/>
        </w:rPr>
        <w:t>registrar’s signature</w:t>
      </w:r>
      <w:r w:rsidRPr="00186F1F">
        <w:rPr>
          <w:rFonts w:ascii="Times New Roman" w:hAnsi="Times New Roman" w:cs="Times New Roman"/>
        </w:rPr>
        <w:t xml:space="preserve"> thereto: </w:t>
      </w:r>
    </w:p>
    <w:p w:rsidR="0005783F" w:rsidRPr="00186F1F" w:rsidRDefault="0005783F" w:rsidP="005C62AD">
      <w:pPr>
        <w:pStyle w:val="Default"/>
        <w:ind w:left="567"/>
        <w:jc w:val="both"/>
        <w:rPr>
          <w:rFonts w:ascii="Times New Roman" w:hAnsi="Times New Roman" w:cs="Times New Roman"/>
        </w:rPr>
      </w:pPr>
      <w:r w:rsidRPr="00186F1F">
        <w:rPr>
          <w:rFonts w:ascii="Times New Roman" w:hAnsi="Times New Roman" w:cs="Times New Roman"/>
        </w:rPr>
        <w:t>Provided that no such deed which is one of a batch of interdependent deed</w:t>
      </w:r>
      <w:r w:rsidR="000B0D3C" w:rsidRPr="00186F1F">
        <w:rPr>
          <w:rFonts w:ascii="Times New Roman" w:hAnsi="Times New Roman" w:cs="Times New Roman"/>
        </w:rPr>
        <w:t>s, intended for registration to</w:t>
      </w:r>
      <w:r w:rsidRPr="00186F1F">
        <w:rPr>
          <w:rFonts w:ascii="Times New Roman" w:hAnsi="Times New Roman" w:cs="Times New Roman"/>
        </w:rPr>
        <w:t xml:space="preserve">gether, shall be deemed to be registered until all the deeds of the batch have been signed by the registrar. </w:t>
      </w:r>
    </w:p>
    <w:p w:rsidR="0005783F" w:rsidRPr="00186F1F" w:rsidRDefault="0005783F" w:rsidP="005C62AD">
      <w:pPr>
        <w:pStyle w:val="Default"/>
        <w:ind w:left="567"/>
        <w:jc w:val="both"/>
        <w:rPr>
          <w:rFonts w:ascii="Times New Roman" w:hAnsi="Times New Roman" w:cs="Times New Roman"/>
          <w:u w:val="single"/>
        </w:rPr>
      </w:pPr>
      <w:r w:rsidRPr="00186F1F">
        <w:rPr>
          <w:rFonts w:ascii="Times New Roman" w:hAnsi="Times New Roman" w:cs="Times New Roman"/>
        </w:rPr>
        <w:t xml:space="preserve">(2) If by inadvertence the registrar’s signature has not been affixed to a deed at the time at which the signature should have been affixed in the ordinary course, the registrar may affix his signature thereto when the omission is discovered, and the deed </w:t>
      </w:r>
      <w:r w:rsidRPr="00186F1F">
        <w:rPr>
          <w:rFonts w:ascii="Times New Roman" w:hAnsi="Times New Roman" w:cs="Times New Roman"/>
          <w:u w:val="single"/>
        </w:rPr>
        <w:t xml:space="preserve">shall thereupon be deemed to have been registered at the time at which the signature should have been affixed. </w:t>
      </w:r>
    </w:p>
    <w:p w:rsidR="004912A2" w:rsidRPr="00186F1F" w:rsidRDefault="0005783F" w:rsidP="005C62AD">
      <w:pPr>
        <w:pStyle w:val="Default"/>
        <w:ind w:left="567"/>
        <w:jc w:val="both"/>
        <w:rPr>
          <w:rFonts w:ascii="Times New Roman" w:hAnsi="Times New Roman" w:cs="Times New Roman"/>
        </w:rPr>
      </w:pPr>
      <w:r w:rsidRPr="00186F1F">
        <w:rPr>
          <w:rFonts w:ascii="Times New Roman" w:hAnsi="Times New Roman" w:cs="Times New Roman"/>
        </w:rPr>
        <w:t>(3) All endorsements or entries made on title deeds or in registers in connexion with the registration of any deed executed or attested by a registrar shall be deemed to have been effected simultaneously with the registration of such deed, although in fact they may have been made subsequent thereto.</w:t>
      </w:r>
      <w:r w:rsidR="004912A2" w:rsidRPr="00186F1F">
        <w:rPr>
          <w:rFonts w:ascii="Times New Roman" w:hAnsi="Times New Roman" w:cs="Times New Roman"/>
        </w:rPr>
        <w:t>”</w:t>
      </w:r>
      <w:r w:rsidR="00C011B2" w:rsidRPr="00186F1F">
        <w:rPr>
          <w:rFonts w:ascii="Times New Roman" w:hAnsi="Times New Roman" w:cs="Times New Roman"/>
        </w:rPr>
        <w:t xml:space="preserve"> (</w:t>
      </w:r>
      <w:r w:rsidR="005C62AD" w:rsidRPr="00186F1F">
        <w:rPr>
          <w:rFonts w:ascii="Times New Roman" w:hAnsi="Times New Roman" w:cs="Times New Roman"/>
        </w:rPr>
        <w:t>Underlining</w:t>
      </w:r>
      <w:r w:rsidR="00C011B2" w:rsidRPr="00186F1F">
        <w:rPr>
          <w:rFonts w:ascii="Times New Roman" w:hAnsi="Times New Roman" w:cs="Times New Roman"/>
        </w:rPr>
        <w:t xml:space="preserve"> for </w:t>
      </w:r>
      <w:r w:rsidR="005C62AD" w:rsidRPr="00186F1F">
        <w:rPr>
          <w:rFonts w:ascii="Times New Roman" w:hAnsi="Times New Roman" w:cs="Times New Roman"/>
        </w:rPr>
        <w:t>emphasis)</w:t>
      </w:r>
    </w:p>
    <w:p w:rsidR="00763F3F" w:rsidRPr="00186F1F" w:rsidRDefault="00763F3F" w:rsidP="005C62AD">
      <w:pPr>
        <w:pStyle w:val="Default"/>
        <w:ind w:left="567"/>
        <w:jc w:val="both"/>
        <w:rPr>
          <w:rFonts w:ascii="Times New Roman" w:hAnsi="Times New Roman" w:cs="Times New Roman"/>
        </w:rPr>
      </w:pPr>
    </w:p>
    <w:p w:rsidR="005C62AD" w:rsidRPr="00186F1F" w:rsidRDefault="005C62AD" w:rsidP="005C62AD">
      <w:pPr>
        <w:pStyle w:val="Default"/>
        <w:ind w:left="567"/>
        <w:jc w:val="both"/>
        <w:rPr>
          <w:rFonts w:ascii="Times New Roman" w:hAnsi="Times New Roman" w:cs="Times New Roman"/>
        </w:rPr>
      </w:pPr>
    </w:p>
    <w:p w:rsidR="0005783F" w:rsidRPr="00186F1F" w:rsidRDefault="0005783F" w:rsidP="005C62AD">
      <w:pPr>
        <w:pStyle w:val="Default"/>
        <w:ind w:left="720"/>
        <w:jc w:val="both"/>
        <w:rPr>
          <w:rFonts w:ascii="Times New Roman" w:hAnsi="Times New Roman" w:cs="Times New Roman"/>
        </w:rPr>
      </w:pPr>
      <w:r w:rsidRPr="00186F1F">
        <w:rPr>
          <w:rFonts w:ascii="Times New Roman" w:hAnsi="Times New Roman" w:cs="Times New Roman"/>
        </w:rPr>
        <w:t xml:space="preserve"> </w:t>
      </w:r>
    </w:p>
    <w:p w:rsidR="0005783F" w:rsidRPr="00186F1F" w:rsidRDefault="005C62AD" w:rsidP="00D20167">
      <w:pPr>
        <w:pStyle w:val="Default"/>
        <w:tabs>
          <w:tab w:val="left" w:pos="1134"/>
        </w:tabs>
        <w:spacing w:line="480" w:lineRule="auto"/>
        <w:jc w:val="both"/>
        <w:rPr>
          <w:rFonts w:ascii="Times New Roman" w:hAnsi="Times New Roman" w:cs="Times New Roman"/>
        </w:rPr>
      </w:pPr>
      <w:r w:rsidRPr="00186F1F">
        <w:rPr>
          <w:rFonts w:ascii="Times New Roman" w:hAnsi="Times New Roman" w:cs="Times New Roman"/>
        </w:rPr>
        <w:tab/>
      </w:r>
      <w:r w:rsidR="008E2D1E" w:rsidRPr="00186F1F">
        <w:rPr>
          <w:rFonts w:ascii="Times New Roman" w:hAnsi="Times New Roman" w:cs="Times New Roman"/>
        </w:rPr>
        <w:t>By virtue of this section</w:t>
      </w:r>
      <w:r w:rsidR="006557C4" w:rsidRPr="00186F1F">
        <w:rPr>
          <w:rFonts w:ascii="Times New Roman" w:hAnsi="Times New Roman" w:cs="Times New Roman"/>
        </w:rPr>
        <w:t xml:space="preserve"> the </w:t>
      </w:r>
      <w:r w:rsidR="00B73CC7" w:rsidRPr="00186F1F">
        <w:rPr>
          <w:rFonts w:ascii="Times New Roman" w:hAnsi="Times New Roman" w:cs="Times New Roman"/>
        </w:rPr>
        <w:t>first</w:t>
      </w:r>
      <w:r w:rsidR="006557C4" w:rsidRPr="00186F1F">
        <w:rPr>
          <w:rFonts w:ascii="Times New Roman" w:hAnsi="Times New Roman" w:cs="Times New Roman"/>
        </w:rPr>
        <w:t xml:space="preserve"> </w:t>
      </w:r>
      <w:r w:rsidR="00C011B2" w:rsidRPr="00186F1F">
        <w:rPr>
          <w:rFonts w:ascii="Times New Roman" w:hAnsi="Times New Roman" w:cs="Times New Roman"/>
        </w:rPr>
        <w:t>respondent’s</w:t>
      </w:r>
      <w:r w:rsidR="006557C4" w:rsidRPr="00186F1F">
        <w:rPr>
          <w:rFonts w:ascii="Times New Roman" w:hAnsi="Times New Roman" w:cs="Times New Roman"/>
        </w:rPr>
        <w:t xml:space="preserve"> title was deemed to have been registered on 2 April 2007 under transfer number 1597/2007</w:t>
      </w:r>
      <w:r w:rsidR="00C011B2" w:rsidRPr="00186F1F">
        <w:rPr>
          <w:rFonts w:ascii="Times New Roman" w:hAnsi="Times New Roman" w:cs="Times New Roman"/>
        </w:rPr>
        <w:t xml:space="preserve"> when the registrar affixed his signature</w:t>
      </w:r>
      <w:r w:rsidR="006557C4" w:rsidRPr="00186F1F">
        <w:rPr>
          <w:rFonts w:ascii="Times New Roman" w:hAnsi="Times New Roman" w:cs="Times New Roman"/>
        </w:rPr>
        <w:t>.</w:t>
      </w:r>
    </w:p>
    <w:p w:rsidR="00D41CB5" w:rsidRDefault="00D41CB5" w:rsidP="005C62AD">
      <w:pPr>
        <w:pStyle w:val="Default"/>
        <w:spacing w:line="480" w:lineRule="auto"/>
        <w:jc w:val="both"/>
        <w:rPr>
          <w:rFonts w:ascii="Times New Roman" w:hAnsi="Times New Roman" w:cs="Times New Roman"/>
        </w:rPr>
      </w:pPr>
    </w:p>
    <w:p w:rsidR="0005783F" w:rsidRPr="00186F1F" w:rsidRDefault="00D41CB5" w:rsidP="00D20167">
      <w:pPr>
        <w:pStyle w:val="Default"/>
        <w:tabs>
          <w:tab w:val="left" w:pos="1134"/>
        </w:tabs>
        <w:spacing w:line="480" w:lineRule="auto"/>
        <w:jc w:val="both"/>
        <w:rPr>
          <w:rFonts w:ascii="Times New Roman" w:hAnsi="Times New Roman" w:cs="Times New Roman"/>
        </w:rPr>
      </w:pPr>
      <w:r>
        <w:rPr>
          <w:rFonts w:ascii="Times New Roman" w:hAnsi="Times New Roman" w:cs="Times New Roman"/>
        </w:rPr>
        <w:lastRenderedPageBreak/>
        <w:tab/>
      </w:r>
      <w:r w:rsidR="006557C4" w:rsidRPr="00186F1F">
        <w:rPr>
          <w:rFonts w:ascii="Times New Roman" w:hAnsi="Times New Roman" w:cs="Times New Roman"/>
        </w:rPr>
        <w:t>Section 11 of the Act further provides for deeds to follow sequence of their relative causes in these words:-</w:t>
      </w:r>
    </w:p>
    <w:p w:rsidR="0005783F" w:rsidRPr="00186F1F" w:rsidRDefault="006557C4" w:rsidP="005C62AD">
      <w:pPr>
        <w:pStyle w:val="Default"/>
        <w:ind w:left="567"/>
        <w:jc w:val="both"/>
        <w:rPr>
          <w:rFonts w:ascii="Times New Roman" w:hAnsi="Times New Roman" w:cs="Times New Roman"/>
        </w:rPr>
      </w:pPr>
      <w:r w:rsidRPr="00186F1F">
        <w:rPr>
          <w:rFonts w:ascii="Times New Roman" w:hAnsi="Times New Roman" w:cs="Times New Roman"/>
        </w:rPr>
        <w:t>“</w:t>
      </w:r>
      <w:r w:rsidR="0005783F" w:rsidRPr="00186F1F">
        <w:rPr>
          <w:rFonts w:ascii="Times New Roman" w:hAnsi="Times New Roman" w:cs="Times New Roman"/>
        </w:rPr>
        <w:t xml:space="preserve">(1) Save as otherwise provided in this Act or as directed by the court— </w:t>
      </w:r>
    </w:p>
    <w:p w:rsidR="0005783F" w:rsidRPr="00186F1F" w:rsidRDefault="0005783F" w:rsidP="005C62AD">
      <w:pPr>
        <w:pStyle w:val="Default"/>
        <w:ind w:left="567"/>
        <w:jc w:val="both"/>
        <w:rPr>
          <w:rFonts w:ascii="Times New Roman" w:hAnsi="Times New Roman" w:cs="Times New Roman"/>
        </w:rPr>
      </w:pPr>
      <w:r w:rsidRPr="00186F1F">
        <w:rPr>
          <w:rFonts w:ascii="Times New Roman" w:hAnsi="Times New Roman" w:cs="Times New Roman"/>
        </w:rPr>
        <w:t>(</w:t>
      </w:r>
      <w:r w:rsidRPr="00186F1F">
        <w:rPr>
          <w:rFonts w:ascii="Times New Roman" w:hAnsi="Times New Roman" w:cs="Times New Roman"/>
          <w:i/>
          <w:iCs/>
        </w:rPr>
        <w:t>a</w:t>
      </w:r>
      <w:r w:rsidRPr="00186F1F">
        <w:rPr>
          <w:rFonts w:ascii="Times New Roman" w:hAnsi="Times New Roman" w:cs="Times New Roman"/>
        </w:rPr>
        <w:t xml:space="preserve">) transfers of land and cessions of real rights therein </w:t>
      </w:r>
      <w:r w:rsidRPr="00186F1F">
        <w:rPr>
          <w:rFonts w:ascii="Times New Roman" w:hAnsi="Times New Roman" w:cs="Times New Roman"/>
          <w:u w:val="single"/>
        </w:rPr>
        <w:t>shall follow the sequence of the successive transactions in pursuance of which they are made</w:t>
      </w:r>
      <w:r w:rsidRPr="00186F1F">
        <w:rPr>
          <w:rFonts w:ascii="Times New Roman" w:hAnsi="Times New Roman" w:cs="Times New Roman"/>
        </w:rPr>
        <w:t xml:space="preserve">, and if made in pursuance of testamentary </w:t>
      </w:r>
      <w:r w:rsidR="00C2024D" w:rsidRPr="00186F1F">
        <w:rPr>
          <w:rFonts w:ascii="Times New Roman" w:hAnsi="Times New Roman" w:cs="Times New Roman"/>
        </w:rPr>
        <w:t>disposition</w:t>
      </w:r>
      <w:r w:rsidRPr="00186F1F">
        <w:rPr>
          <w:rFonts w:ascii="Times New Roman" w:hAnsi="Times New Roman" w:cs="Times New Roman"/>
        </w:rPr>
        <w:t xml:space="preserve"> or intestate succession they shall follow the sequence in which the right to ownership or other real right in the land accrued to the persons successively becoming vested with such right; </w:t>
      </w:r>
    </w:p>
    <w:p w:rsidR="00EF3E7A" w:rsidRDefault="0005783F" w:rsidP="00D20167">
      <w:pPr>
        <w:pStyle w:val="Default"/>
        <w:ind w:left="567"/>
        <w:jc w:val="both"/>
        <w:rPr>
          <w:rFonts w:ascii="Times New Roman" w:hAnsi="Times New Roman" w:cs="Times New Roman"/>
        </w:rPr>
      </w:pPr>
      <w:r w:rsidRPr="00186F1F">
        <w:rPr>
          <w:rFonts w:ascii="Times New Roman" w:hAnsi="Times New Roman" w:cs="Times New Roman"/>
        </w:rPr>
        <w:t>(</w:t>
      </w:r>
      <w:r w:rsidRPr="00186F1F">
        <w:rPr>
          <w:rFonts w:ascii="Times New Roman" w:hAnsi="Times New Roman" w:cs="Times New Roman"/>
          <w:i/>
          <w:iCs/>
        </w:rPr>
        <w:t>b</w:t>
      </w:r>
      <w:r w:rsidRPr="00186F1F">
        <w:rPr>
          <w:rFonts w:ascii="Times New Roman" w:hAnsi="Times New Roman" w:cs="Times New Roman"/>
        </w:rPr>
        <w:t>) it shall not be lawful to depart from any such sequence in recording in any deeds registry any change in the ownership in such land or of such real right unless the registrar is satisfied that the circumstances are exceptional and has consented to such departure:</w:t>
      </w:r>
      <w:r w:rsidR="00C011B2" w:rsidRPr="00186F1F">
        <w:rPr>
          <w:rFonts w:ascii="Times New Roman" w:hAnsi="Times New Roman" w:cs="Times New Roman"/>
        </w:rPr>
        <w:t>” (underlining for emphasis)</w:t>
      </w:r>
      <w:r w:rsidRPr="00186F1F">
        <w:rPr>
          <w:rFonts w:ascii="Times New Roman" w:hAnsi="Times New Roman" w:cs="Times New Roman"/>
        </w:rPr>
        <w:t xml:space="preserve"> </w:t>
      </w:r>
    </w:p>
    <w:p w:rsidR="00D41CB5" w:rsidRDefault="00D41CB5" w:rsidP="00763F3F">
      <w:pPr>
        <w:pStyle w:val="Default"/>
        <w:ind w:left="567"/>
        <w:jc w:val="both"/>
        <w:rPr>
          <w:rFonts w:ascii="Times New Roman" w:hAnsi="Times New Roman" w:cs="Times New Roman"/>
        </w:rPr>
      </w:pPr>
    </w:p>
    <w:p w:rsidR="00D41CB5" w:rsidRPr="00186F1F" w:rsidRDefault="00D41CB5" w:rsidP="00763F3F">
      <w:pPr>
        <w:pStyle w:val="Default"/>
        <w:ind w:left="567"/>
        <w:jc w:val="both"/>
        <w:rPr>
          <w:rFonts w:ascii="Times New Roman" w:hAnsi="Times New Roman" w:cs="Times New Roman"/>
        </w:rPr>
      </w:pPr>
    </w:p>
    <w:p w:rsidR="00092AB8" w:rsidRPr="00186F1F" w:rsidRDefault="00092AB8" w:rsidP="00763F3F">
      <w:pPr>
        <w:pStyle w:val="Default"/>
        <w:ind w:left="567"/>
        <w:jc w:val="both"/>
        <w:rPr>
          <w:rFonts w:ascii="Times New Roman" w:hAnsi="Times New Roman" w:cs="Times New Roman"/>
        </w:rPr>
      </w:pPr>
    </w:p>
    <w:p w:rsidR="006557C4" w:rsidRPr="00186F1F" w:rsidRDefault="005C62AD" w:rsidP="00D20167">
      <w:pPr>
        <w:tabs>
          <w:tab w:val="left" w:pos="1134"/>
          <w:tab w:val="left" w:pos="6288"/>
        </w:tabs>
        <w:spacing w:after="0" w:line="480" w:lineRule="auto"/>
        <w:contextualSpacing/>
        <w:jc w:val="both"/>
        <w:rPr>
          <w:rFonts w:ascii="Times New Roman" w:eastAsia="Cambria" w:hAnsi="Times New Roman" w:cs="Times New Roman"/>
          <w:sz w:val="24"/>
          <w:szCs w:val="24"/>
          <w:lang w:bidi="en-US"/>
        </w:rPr>
      </w:pPr>
      <w:r w:rsidRPr="00186F1F">
        <w:rPr>
          <w:rFonts w:ascii="Times New Roman" w:hAnsi="Times New Roman" w:cs="Times New Roman"/>
          <w:sz w:val="24"/>
          <w:szCs w:val="24"/>
        </w:rPr>
        <w:tab/>
      </w:r>
      <w:r w:rsidR="00C2024D" w:rsidRPr="00186F1F">
        <w:rPr>
          <w:rFonts w:ascii="Times New Roman" w:hAnsi="Times New Roman" w:cs="Times New Roman"/>
          <w:sz w:val="24"/>
          <w:szCs w:val="24"/>
        </w:rPr>
        <w:t>From</w:t>
      </w:r>
      <w:r w:rsidR="006557C4" w:rsidRPr="00186F1F">
        <w:rPr>
          <w:rFonts w:ascii="Times New Roman" w:hAnsi="Times New Roman" w:cs="Times New Roman"/>
          <w:sz w:val="24"/>
          <w:szCs w:val="24"/>
        </w:rPr>
        <w:t xml:space="preserve"> the foregoing</w:t>
      </w:r>
      <w:r w:rsidR="00C2024D" w:rsidRPr="00186F1F">
        <w:rPr>
          <w:rFonts w:ascii="Times New Roman" w:hAnsi="Times New Roman" w:cs="Times New Roman"/>
          <w:sz w:val="24"/>
          <w:szCs w:val="24"/>
        </w:rPr>
        <w:t xml:space="preserve"> it was</w:t>
      </w:r>
      <w:r w:rsidR="006557C4" w:rsidRPr="00186F1F">
        <w:rPr>
          <w:rFonts w:ascii="Times New Roman" w:hAnsi="Times New Roman" w:cs="Times New Roman"/>
          <w:sz w:val="24"/>
          <w:szCs w:val="24"/>
        </w:rPr>
        <w:t xml:space="preserve"> clear that </w:t>
      </w:r>
      <w:r w:rsidR="00C011B2" w:rsidRPr="00186F1F">
        <w:rPr>
          <w:rFonts w:ascii="Times New Roman" w:hAnsi="Times New Roman" w:cs="Times New Roman"/>
          <w:sz w:val="24"/>
          <w:szCs w:val="24"/>
        </w:rPr>
        <w:t xml:space="preserve">the </w:t>
      </w:r>
      <w:r w:rsidR="00B73CC7" w:rsidRPr="00186F1F">
        <w:rPr>
          <w:rFonts w:ascii="Times New Roman" w:hAnsi="Times New Roman" w:cs="Times New Roman"/>
          <w:sz w:val="24"/>
          <w:szCs w:val="24"/>
        </w:rPr>
        <w:t>first</w:t>
      </w:r>
      <w:r w:rsidR="006557C4" w:rsidRPr="00186F1F">
        <w:rPr>
          <w:rFonts w:ascii="Times New Roman" w:hAnsi="Times New Roman" w:cs="Times New Roman"/>
          <w:sz w:val="24"/>
          <w:szCs w:val="24"/>
        </w:rPr>
        <w:t xml:space="preserve"> respondent</w:t>
      </w:r>
      <w:r w:rsidR="00C011B2" w:rsidRPr="00186F1F">
        <w:rPr>
          <w:rFonts w:ascii="Times New Roman" w:hAnsi="Times New Roman" w:cs="Times New Roman"/>
          <w:sz w:val="24"/>
          <w:szCs w:val="24"/>
        </w:rPr>
        <w:t>’s</w:t>
      </w:r>
      <w:r w:rsidR="006557C4" w:rsidRPr="00186F1F">
        <w:rPr>
          <w:rFonts w:ascii="Times New Roman" w:hAnsi="Times New Roman" w:cs="Times New Roman"/>
          <w:sz w:val="24"/>
          <w:szCs w:val="24"/>
        </w:rPr>
        <w:t xml:space="preserve"> registration of title preceded</w:t>
      </w:r>
      <w:r w:rsidR="00C2024D" w:rsidRPr="00186F1F">
        <w:rPr>
          <w:rFonts w:ascii="Times New Roman" w:hAnsi="Times New Roman" w:cs="Times New Roman"/>
          <w:sz w:val="24"/>
          <w:szCs w:val="24"/>
        </w:rPr>
        <w:t xml:space="preserve"> the</w:t>
      </w:r>
      <w:r w:rsidR="006557C4" w:rsidRPr="00186F1F">
        <w:rPr>
          <w:rFonts w:ascii="Times New Roman" w:hAnsi="Times New Roman" w:cs="Times New Roman"/>
          <w:sz w:val="24"/>
          <w:szCs w:val="24"/>
        </w:rPr>
        <w:t xml:space="preserve"> appellant</w:t>
      </w:r>
      <w:r w:rsidR="00C2024D" w:rsidRPr="00186F1F">
        <w:rPr>
          <w:rFonts w:ascii="Times New Roman" w:hAnsi="Times New Roman" w:cs="Times New Roman"/>
          <w:sz w:val="24"/>
          <w:szCs w:val="24"/>
        </w:rPr>
        <w:t>’</w:t>
      </w:r>
      <w:r w:rsidR="006557C4" w:rsidRPr="00186F1F">
        <w:rPr>
          <w:rFonts w:ascii="Times New Roman" w:hAnsi="Times New Roman" w:cs="Times New Roman"/>
          <w:sz w:val="24"/>
          <w:szCs w:val="24"/>
        </w:rPr>
        <w:t>s. There</w:t>
      </w:r>
      <w:r w:rsidR="00C2024D" w:rsidRPr="00186F1F">
        <w:rPr>
          <w:rFonts w:ascii="Times New Roman" w:hAnsi="Times New Roman" w:cs="Times New Roman"/>
          <w:sz w:val="24"/>
          <w:szCs w:val="24"/>
        </w:rPr>
        <w:t xml:space="preserve"> was</w:t>
      </w:r>
      <w:r w:rsidR="006557C4" w:rsidRPr="00186F1F">
        <w:rPr>
          <w:rFonts w:ascii="Times New Roman" w:hAnsi="Times New Roman" w:cs="Times New Roman"/>
          <w:sz w:val="24"/>
          <w:szCs w:val="24"/>
        </w:rPr>
        <w:t xml:space="preserve"> </w:t>
      </w:r>
      <w:r w:rsidR="00C2024D" w:rsidRPr="00186F1F">
        <w:rPr>
          <w:rFonts w:ascii="Times New Roman" w:hAnsi="Times New Roman" w:cs="Times New Roman"/>
          <w:sz w:val="24"/>
          <w:szCs w:val="24"/>
        </w:rPr>
        <w:t>nothing</w:t>
      </w:r>
      <w:r w:rsidR="006557C4" w:rsidRPr="00186F1F">
        <w:rPr>
          <w:rFonts w:ascii="Times New Roman" w:hAnsi="Times New Roman" w:cs="Times New Roman"/>
          <w:sz w:val="24"/>
          <w:szCs w:val="24"/>
        </w:rPr>
        <w:t xml:space="preserve"> unclear about the </w:t>
      </w:r>
      <w:r w:rsidR="00B73CC7" w:rsidRPr="00186F1F">
        <w:rPr>
          <w:rFonts w:ascii="Times New Roman" w:hAnsi="Times New Roman" w:cs="Times New Roman"/>
          <w:sz w:val="24"/>
          <w:szCs w:val="24"/>
        </w:rPr>
        <w:t>first</w:t>
      </w:r>
      <w:r w:rsidR="006557C4" w:rsidRPr="00186F1F">
        <w:rPr>
          <w:rFonts w:ascii="Times New Roman" w:hAnsi="Times New Roman" w:cs="Times New Roman"/>
          <w:sz w:val="24"/>
          <w:szCs w:val="24"/>
        </w:rPr>
        <w:t xml:space="preserve"> </w:t>
      </w:r>
      <w:r w:rsidR="00C2024D" w:rsidRPr="00186F1F">
        <w:rPr>
          <w:rFonts w:ascii="Times New Roman" w:hAnsi="Times New Roman" w:cs="Times New Roman"/>
          <w:sz w:val="24"/>
          <w:szCs w:val="24"/>
        </w:rPr>
        <w:t>respondent’s</w:t>
      </w:r>
      <w:r w:rsidR="006557C4" w:rsidRPr="00186F1F">
        <w:rPr>
          <w:rFonts w:ascii="Times New Roman" w:hAnsi="Times New Roman" w:cs="Times New Roman"/>
          <w:sz w:val="24"/>
          <w:szCs w:val="24"/>
        </w:rPr>
        <w:t xml:space="preserve"> case in this regard.</w:t>
      </w:r>
    </w:p>
    <w:p w:rsidR="00EF3E7A" w:rsidRPr="00186F1F" w:rsidRDefault="00EF3E7A" w:rsidP="00D20167">
      <w:pPr>
        <w:tabs>
          <w:tab w:val="left" w:pos="6288"/>
        </w:tabs>
        <w:spacing w:after="0" w:line="480" w:lineRule="auto"/>
        <w:contextualSpacing/>
        <w:jc w:val="both"/>
        <w:rPr>
          <w:rFonts w:ascii="Times New Roman" w:eastAsia="Cambria" w:hAnsi="Times New Roman" w:cs="Times New Roman"/>
          <w:sz w:val="24"/>
          <w:szCs w:val="24"/>
          <w:lang w:bidi="en-US"/>
        </w:rPr>
      </w:pPr>
    </w:p>
    <w:p w:rsidR="00075D11" w:rsidRPr="00186F1F" w:rsidRDefault="005C62AD" w:rsidP="00D20167">
      <w:pPr>
        <w:tabs>
          <w:tab w:val="left" w:pos="1134"/>
          <w:tab w:val="left" w:pos="6288"/>
        </w:tabs>
        <w:spacing w:after="0" w:line="480" w:lineRule="auto"/>
        <w:contextualSpacing/>
        <w:jc w:val="both"/>
        <w:rPr>
          <w:rFonts w:ascii="Times New Roman" w:eastAsia="Cambria" w:hAnsi="Times New Roman" w:cs="Times New Roman"/>
          <w:sz w:val="24"/>
          <w:szCs w:val="24"/>
          <w:lang w:bidi="en-US"/>
        </w:rPr>
      </w:pPr>
      <w:r w:rsidRPr="00186F1F">
        <w:rPr>
          <w:rFonts w:ascii="Times New Roman" w:eastAsia="Cambria" w:hAnsi="Times New Roman" w:cs="Times New Roman"/>
          <w:sz w:val="24"/>
          <w:szCs w:val="24"/>
          <w:lang w:bidi="en-US"/>
        </w:rPr>
        <w:tab/>
      </w:r>
      <w:r w:rsidR="00EF3E7A" w:rsidRPr="00186F1F">
        <w:rPr>
          <w:rFonts w:ascii="Times New Roman" w:eastAsia="Cambria" w:hAnsi="Times New Roman" w:cs="Times New Roman"/>
          <w:sz w:val="24"/>
          <w:szCs w:val="24"/>
          <w:lang w:bidi="en-US"/>
        </w:rPr>
        <w:t>It was the appellant</w:t>
      </w:r>
      <w:r w:rsidR="0007757E" w:rsidRPr="00186F1F">
        <w:rPr>
          <w:rFonts w:ascii="Times New Roman" w:eastAsia="Cambria" w:hAnsi="Times New Roman" w:cs="Times New Roman"/>
          <w:sz w:val="24"/>
          <w:szCs w:val="24"/>
          <w:lang w:bidi="en-US"/>
        </w:rPr>
        <w:t>’</w:t>
      </w:r>
      <w:r w:rsidR="00EF3E7A" w:rsidRPr="00186F1F">
        <w:rPr>
          <w:rFonts w:ascii="Times New Roman" w:eastAsia="Cambria" w:hAnsi="Times New Roman" w:cs="Times New Roman"/>
          <w:sz w:val="24"/>
          <w:szCs w:val="24"/>
          <w:lang w:bidi="en-US"/>
        </w:rPr>
        <w:t xml:space="preserve">s case that left one with </w:t>
      </w:r>
      <w:r w:rsidR="00931CAA" w:rsidRPr="00186F1F">
        <w:rPr>
          <w:rFonts w:ascii="Times New Roman" w:eastAsia="Cambria" w:hAnsi="Times New Roman" w:cs="Times New Roman"/>
          <w:sz w:val="24"/>
          <w:szCs w:val="24"/>
          <w:lang w:bidi="en-US"/>
        </w:rPr>
        <w:t xml:space="preserve">more </w:t>
      </w:r>
      <w:r w:rsidR="00EF3E7A" w:rsidRPr="00186F1F">
        <w:rPr>
          <w:rFonts w:ascii="Times New Roman" w:eastAsia="Cambria" w:hAnsi="Times New Roman" w:cs="Times New Roman"/>
          <w:sz w:val="24"/>
          <w:szCs w:val="24"/>
          <w:lang w:bidi="en-US"/>
        </w:rPr>
        <w:t xml:space="preserve">questions than answers. He had </w:t>
      </w:r>
      <w:r w:rsidR="00931CAA" w:rsidRPr="00186F1F">
        <w:rPr>
          <w:rFonts w:ascii="Times New Roman" w:eastAsia="Cambria" w:hAnsi="Times New Roman" w:cs="Times New Roman"/>
          <w:sz w:val="24"/>
          <w:szCs w:val="24"/>
          <w:lang w:bidi="en-US"/>
        </w:rPr>
        <w:t xml:space="preserve">purportedly </w:t>
      </w:r>
      <w:r w:rsidR="00EF3E7A" w:rsidRPr="00186F1F">
        <w:rPr>
          <w:rFonts w:ascii="Times New Roman" w:eastAsia="Cambria" w:hAnsi="Times New Roman" w:cs="Times New Roman"/>
          <w:sz w:val="24"/>
          <w:szCs w:val="24"/>
          <w:lang w:bidi="en-US"/>
        </w:rPr>
        <w:t>bought the property from an</w:t>
      </w:r>
      <w:r w:rsidR="009F55B4" w:rsidRPr="00186F1F">
        <w:rPr>
          <w:rFonts w:ascii="Times New Roman" w:eastAsia="Cambria" w:hAnsi="Times New Roman" w:cs="Times New Roman"/>
          <w:sz w:val="24"/>
          <w:szCs w:val="24"/>
          <w:lang w:bidi="en-US"/>
        </w:rPr>
        <w:t xml:space="preserve"> </w:t>
      </w:r>
      <w:r w:rsidR="00931CAA" w:rsidRPr="00186F1F">
        <w:rPr>
          <w:rFonts w:ascii="Times New Roman" w:eastAsia="Cambria" w:hAnsi="Times New Roman" w:cs="Times New Roman"/>
          <w:sz w:val="24"/>
          <w:szCs w:val="24"/>
          <w:lang w:bidi="en-US"/>
        </w:rPr>
        <w:t xml:space="preserve">heir who had </w:t>
      </w:r>
      <w:r w:rsidR="009F55B4" w:rsidRPr="00186F1F">
        <w:rPr>
          <w:rFonts w:ascii="Times New Roman" w:eastAsia="Cambria" w:hAnsi="Times New Roman" w:cs="Times New Roman"/>
          <w:sz w:val="24"/>
          <w:szCs w:val="24"/>
          <w:lang w:bidi="en-US"/>
        </w:rPr>
        <w:t>no legal right</w:t>
      </w:r>
      <w:r w:rsidR="00931CAA" w:rsidRPr="00186F1F">
        <w:rPr>
          <w:rFonts w:ascii="Times New Roman" w:eastAsia="Cambria" w:hAnsi="Times New Roman" w:cs="Times New Roman"/>
          <w:sz w:val="24"/>
          <w:szCs w:val="24"/>
          <w:lang w:bidi="en-US"/>
        </w:rPr>
        <w:t xml:space="preserve"> to</w:t>
      </w:r>
      <w:r w:rsidR="009D6617" w:rsidRPr="00186F1F">
        <w:rPr>
          <w:rFonts w:ascii="Times New Roman" w:eastAsia="Cambria" w:hAnsi="Times New Roman" w:cs="Times New Roman"/>
          <w:sz w:val="24"/>
          <w:szCs w:val="24"/>
          <w:lang w:bidi="en-US"/>
        </w:rPr>
        <w:t xml:space="preserve"> deal with the property</w:t>
      </w:r>
      <w:r w:rsidR="0007757E" w:rsidRPr="00186F1F">
        <w:rPr>
          <w:rFonts w:ascii="Times New Roman" w:eastAsia="Cambria" w:hAnsi="Times New Roman" w:cs="Times New Roman"/>
          <w:sz w:val="24"/>
          <w:szCs w:val="24"/>
          <w:lang w:bidi="en-US"/>
        </w:rPr>
        <w:t xml:space="preserve"> and</w:t>
      </w:r>
      <w:r w:rsidR="009F55B4" w:rsidRPr="00186F1F">
        <w:rPr>
          <w:rFonts w:ascii="Times New Roman" w:eastAsia="Cambria" w:hAnsi="Times New Roman" w:cs="Times New Roman"/>
          <w:sz w:val="24"/>
          <w:szCs w:val="24"/>
          <w:lang w:bidi="en-US"/>
        </w:rPr>
        <w:t xml:space="preserve"> appellant’s</w:t>
      </w:r>
      <w:r w:rsidR="0007757E" w:rsidRPr="00186F1F">
        <w:rPr>
          <w:rFonts w:ascii="Times New Roman" w:eastAsia="Cambria" w:hAnsi="Times New Roman" w:cs="Times New Roman"/>
          <w:sz w:val="24"/>
          <w:szCs w:val="24"/>
          <w:lang w:bidi="en-US"/>
        </w:rPr>
        <w:t xml:space="preserve"> agent was</w:t>
      </w:r>
      <w:r w:rsidR="009D6617" w:rsidRPr="00186F1F">
        <w:rPr>
          <w:rFonts w:ascii="Times New Roman" w:eastAsia="Cambria" w:hAnsi="Times New Roman" w:cs="Times New Roman"/>
          <w:sz w:val="24"/>
          <w:szCs w:val="24"/>
          <w:lang w:bidi="en-US"/>
        </w:rPr>
        <w:t xml:space="preserve"> appointed executor </w:t>
      </w:r>
      <w:r w:rsidR="009D6617" w:rsidRPr="00186F1F">
        <w:rPr>
          <w:rFonts w:ascii="Times New Roman" w:eastAsia="Cambria" w:hAnsi="Times New Roman" w:cs="Times New Roman"/>
          <w:i/>
          <w:sz w:val="24"/>
          <w:szCs w:val="24"/>
          <w:lang w:bidi="en-US"/>
        </w:rPr>
        <w:t>dative</w:t>
      </w:r>
      <w:r w:rsidR="009D6617" w:rsidRPr="00186F1F">
        <w:rPr>
          <w:rFonts w:ascii="Times New Roman" w:eastAsia="Cambria" w:hAnsi="Times New Roman" w:cs="Times New Roman"/>
          <w:sz w:val="24"/>
          <w:szCs w:val="24"/>
          <w:lang w:bidi="en-US"/>
        </w:rPr>
        <w:t xml:space="preserve"> upon his own solicitation</w:t>
      </w:r>
      <w:r w:rsidR="00EF3E7A" w:rsidRPr="00186F1F">
        <w:rPr>
          <w:rFonts w:ascii="Times New Roman" w:eastAsia="Cambria" w:hAnsi="Times New Roman" w:cs="Times New Roman"/>
          <w:sz w:val="24"/>
          <w:szCs w:val="24"/>
          <w:lang w:bidi="en-US"/>
        </w:rPr>
        <w:t xml:space="preserve"> when the executrix testamentary was still in office. He then had proceeded to effect</w:t>
      </w:r>
      <w:r w:rsidR="004C1236">
        <w:rPr>
          <w:rFonts w:ascii="Times New Roman" w:eastAsia="Cambria" w:hAnsi="Times New Roman" w:cs="Times New Roman"/>
          <w:sz w:val="24"/>
          <w:szCs w:val="24"/>
          <w:lang w:bidi="en-US"/>
        </w:rPr>
        <w:t xml:space="preserve"> transfer of the property three </w:t>
      </w:r>
      <w:r w:rsidR="00EF3E7A" w:rsidRPr="00186F1F">
        <w:rPr>
          <w:rFonts w:ascii="Times New Roman" w:eastAsia="Cambria" w:hAnsi="Times New Roman" w:cs="Times New Roman"/>
          <w:sz w:val="24"/>
          <w:szCs w:val="24"/>
          <w:lang w:bidi="en-US"/>
        </w:rPr>
        <w:t>months</w:t>
      </w:r>
      <w:r w:rsidR="009D6617" w:rsidRPr="00186F1F">
        <w:rPr>
          <w:rFonts w:ascii="Times New Roman" w:eastAsia="Cambria" w:hAnsi="Times New Roman" w:cs="Times New Roman"/>
          <w:sz w:val="24"/>
          <w:szCs w:val="24"/>
          <w:lang w:bidi="en-US"/>
        </w:rPr>
        <w:t xml:space="preserve"> after</w:t>
      </w:r>
      <w:r w:rsidR="00EF3E7A" w:rsidRPr="00186F1F">
        <w:rPr>
          <w:rFonts w:ascii="Times New Roman" w:eastAsia="Cambria" w:hAnsi="Times New Roman" w:cs="Times New Roman"/>
          <w:sz w:val="24"/>
          <w:szCs w:val="24"/>
          <w:lang w:bidi="en-US"/>
        </w:rPr>
        <w:t xml:space="preserve"> the </w:t>
      </w:r>
      <w:r w:rsidR="00B73CC7" w:rsidRPr="00186F1F">
        <w:rPr>
          <w:rFonts w:ascii="Times New Roman" w:eastAsia="Cambria" w:hAnsi="Times New Roman" w:cs="Times New Roman"/>
          <w:sz w:val="24"/>
          <w:szCs w:val="24"/>
          <w:lang w:bidi="en-US"/>
        </w:rPr>
        <w:t>first</w:t>
      </w:r>
      <w:r w:rsidR="00EF3E7A" w:rsidRPr="00186F1F">
        <w:rPr>
          <w:rFonts w:ascii="Times New Roman" w:eastAsia="Cambria" w:hAnsi="Times New Roman" w:cs="Times New Roman"/>
          <w:sz w:val="24"/>
          <w:szCs w:val="24"/>
          <w:lang w:bidi="en-US"/>
        </w:rPr>
        <w:t xml:space="preserve"> respondent</w:t>
      </w:r>
      <w:r w:rsidR="009D6617" w:rsidRPr="00186F1F">
        <w:rPr>
          <w:rFonts w:ascii="Times New Roman" w:eastAsia="Cambria" w:hAnsi="Times New Roman" w:cs="Times New Roman"/>
          <w:sz w:val="24"/>
          <w:szCs w:val="24"/>
          <w:lang w:bidi="en-US"/>
        </w:rPr>
        <w:t xml:space="preserve"> had filed his transfer papers</w:t>
      </w:r>
      <w:r w:rsidR="00092AB8" w:rsidRPr="00186F1F">
        <w:rPr>
          <w:rFonts w:ascii="Times New Roman" w:eastAsia="Cambria" w:hAnsi="Times New Roman" w:cs="Times New Roman"/>
          <w:sz w:val="24"/>
          <w:szCs w:val="24"/>
          <w:lang w:bidi="en-US"/>
        </w:rPr>
        <w:t xml:space="preserve"> and the registrar had acknowledged their receipt by affixing his signature thereto thus complying with s 10.</w:t>
      </w:r>
      <w:r w:rsidR="009D6617" w:rsidRPr="00186F1F">
        <w:rPr>
          <w:rFonts w:ascii="Times New Roman" w:eastAsia="Cambria" w:hAnsi="Times New Roman" w:cs="Times New Roman"/>
          <w:sz w:val="24"/>
          <w:szCs w:val="24"/>
          <w:lang w:bidi="en-US"/>
        </w:rPr>
        <w:t xml:space="preserve"> </w:t>
      </w:r>
      <w:r w:rsidR="00092AB8" w:rsidRPr="00186F1F">
        <w:rPr>
          <w:rFonts w:ascii="Times New Roman" w:eastAsia="Cambria" w:hAnsi="Times New Roman" w:cs="Times New Roman"/>
          <w:sz w:val="24"/>
          <w:szCs w:val="24"/>
          <w:lang w:bidi="en-US"/>
        </w:rPr>
        <w:t>The fact that the appellant’s</w:t>
      </w:r>
      <w:r w:rsidR="009F55B4" w:rsidRPr="00186F1F">
        <w:rPr>
          <w:rFonts w:ascii="Times New Roman" w:eastAsia="Cambria" w:hAnsi="Times New Roman" w:cs="Times New Roman"/>
          <w:sz w:val="24"/>
          <w:szCs w:val="24"/>
          <w:lang w:bidi="en-US"/>
        </w:rPr>
        <w:t xml:space="preserve"> papers</w:t>
      </w:r>
      <w:r w:rsidR="00EF3E7A" w:rsidRPr="00186F1F">
        <w:rPr>
          <w:rFonts w:ascii="Times New Roman" w:eastAsia="Cambria" w:hAnsi="Times New Roman" w:cs="Times New Roman"/>
          <w:sz w:val="24"/>
          <w:szCs w:val="24"/>
          <w:lang w:bidi="en-US"/>
        </w:rPr>
        <w:t xml:space="preserve"> were </w:t>
      </w:r>
      <w:r w:rsidR="009D6617" w:rsidRPr="00186F1F">
        <w:rPr>
          <w:rFonts w:ascii="Times New Roman" w:eastAsia="Cambria" w:hAnsi="Times New Roman" w:cs="Times New Roman"/>
          <w:sz w:val="24"/>
          <w:szCs w:val="24"/>
          <w:lang w:bidi="en-US"/>
        </w:rPr>
        <w:t xml:space="preserve">inexplicably </w:t>
      </w:r>
      <w:r w:rsidR="00EF3E7A" w:rsidRPr="00186F1F">
        <w:rPr>
          <w:rFonts w:ascii="Times New Roman" w:eastAsia="Cambria" w:hAnsi="Times New Roman" w:cs="Times New Roman"/>
          <w:sz w:val="24"/>
          <w:szCs w:val="24"/>
          <w:lang w:bidi="en-US"/>
        </w:rPr>
        <w:t xml:space="preserve">finalized first by the </w:t>
      </w:r>
      <w:r w:rsidR="00371E9E" w:rsidRPr="00186F1F">
        <w:rPr>
          <w:rFonts w:ascii="Times New Roman" w:eastAsia="Cambria" w:hAnsi="Times New Roman" w:cs="Times New Roman"/>
          <w:sz w:val="24"/>
          <w:szCs w:val="24"/>
          <w:lang w:bidi="en-US"/>
        </w:rPr>
        <w:t>fourth</w:t>
      </w:r>
      <w:r w:rsidR="00EF3E7A" w:rsidRPr="00186F1F">
        <w:rPr>
          <w:rFonts w:ascii="Times New Roman" w:eastAsia="Cambria" w:hAnsi="Times New Roman" w:cs="Times New Roman"/>
          <w:sz w:val="24"/>
          <w:szCs w:val="24"/>
          <w:lang w:bidi="en-US"/>
        </w:rPr>
        <w:t xml:space="preserve"> respondent</w:t>
      </w:r>
      <w:r w:rsidR="00092AB8" w:rsidRPr="00186F1F">
        <w:rPr>
          <w:rFonts w:ascii="Times New Roman" w:eastAsia="Cambria" w:hAnsi="Times New Roman" w:cs="Times New Roman"/>
          <w:sz w:val="24"/>
          <w:szCs w:val="24"/>
          <w:lang w:bidi="en-US"/>
        </w:rPr>
        <w:t xml:space="preserve"> does not detract from the sequence of the lodging of the papers</w:t>
      </w:r>
      <w:r w:rsidR="00EF3E7A" w:rsidRPr="00186F1F">
        <w:rPr>
          <w:rFonts w:ascii="Times New Roman" w:eastAsia="Cambria" w:hAnsi="Times New Roman" w:cs="Times New Roman"/>
          <w:sz w:val="24"/>
          <w:szCs w:val="24"/>
          <w:lang w:bidi="en-US"/>
        </w:rPr>
        <w:t>.</w:t>
      </w:r>
      <w:r w:rsidR="00075D11" w:rsidRPr="00186F1F">
        <w:rPr>
          <w:rFonts w:ascii="Times New Roman" w:eastAsia="Cambria" w:hAnsi="Times New Roman" w:cs="Times New Roman"/>
          <w:sz w:val="24"/>
          <w:szCs w:val="24"/>
          <w:lang w:bidi="en-US"/>
        </w:rPr>
        <w:t xml:space="preserve"> </w:t>
      </w:r>
      <w:r w:rsidR="009D6617" w:rsidRPr="00186F1F">
        <w:rPr>
          <w:rFonts w:ascii="Times New Roman" w:eastAsia="Cambria" w:hAnsi="Times New Roman" w:cs="Times New Roman"/>
          <w:sz w:val="24"/>
          <w:szCs w:val="24"/>
          <w:lang w:bidi="en-US"/>
        </w:rPr>
        <w:t xml:space="preserve">In his papers </w:t>
      </w:r>
      <w:r w:rsidR="00092AB8" w:rsidRPr="00186F1F">
        <w:rPr>
          <w:rFonts w:ascii="Times New Roman" w:eastAsia="Cambria" w:hAnsi="Times New Roman" w:cs="Times New Roman"/>
          <w:sz w:val="24"/>
          <w:szCs w:val="24"/>
          <w:lang w:bidi="en-US"/>
        </w:rPr>
        <w:t xml:space="preserve">the </w:t>
      </w:r>
      <w:r w:rsidR="009D6617" w:rsidRPr="00186F1F">
        <w:rPr>
          <w:rFonts w:ascii="Times New Roman" w:eastAsia="Cambria" w:hAnsi="Times New Roman" w:cs="Times New Roman"/>
          <w:sz w:val="24"/>
          <w:szCs w:val="24"/>
          <w:lang w:bidi="en-US"/>
        </w:rPr>
        <w:t>appellant</w:t>
      </w:r>
      <w:r w:rsidR="00EF3E7A" w:rsidRPr="00186F1F">
        <w:rPr>
          <w:rFonts w:ascii="Times New Roman" w:eastAsia="Cambria" w:hAnsi="Times New Roman" w:cs="Times New Roman"/>
          <w:sz w:val="24"/>
          <w:szCs w:val="24"/>
          <w:lang w:bidi="en-US"/>
        </w:rPr>
        <w:t xml:space="preserve"> had not proffered any reasonable explanation to that course of events.</w:t>
      </w:r>
      <w:r w:rsidR="00075D11" w:rsidRPr="00186F1F">
        <w:rPr>
          <w:rFonts w:ascii="Times New Roman" w:eastAsia="Cambria" w:hAnsi="Times New Roman" w:cs="Times New Roman"/>
          <w:sz w:val="24"/>
          <w:szCs w:val="24"/>
          <w:lang w:bidi="en-US"/>
        </w:rPr>
        <w:t xml:space="preserve"> Unfortunately for appellant </w:t>
      </w:r>
      <w:r w:rsidR="00075D11" w:rsidRPr="00186F1F">
        <w:rPr>
          <w:rFonts w:ascii="Times New Roman" w:eastAsia="Cambria" w:hAnsi="Times New Roman" w:cs="Times New Roman"/>
          <w:i/>
          <w:sz w:val="24"/>
          <w:szCs w:val="24"/>
          <w:lang w:bidi="en-US"/>
        </w:rPr>
        <w:t>s</w:t>
      </w:r>
      <w:r w:rsidR="00FB16EC" w:rsidRPr="00186F1F">
        <w:rPr>
          <w:rFonts w:ascii="Times New Roman" w:eastAsia="Cambria" w:hAnsi="Times New Roman" w:cs="Times New Roman"/>
          <w:sz w:val="24"/>
          <w:szCs w:val="24"/>
          <w:lang w:bidi="en-US"/>
        </w:rPr>
        <w:t>s</w:t>
      </w:r>
      <w:r w:rsidR="00075D11" w:rsidRPr="00186F1F">
        <w:rPr>
          <w:rFonts w:ascii="Times New Roman" w:eastAsia="Cambria" w:hAnsi="Times New Roman" w:cs="Times New Roman"/>
          <w:sz w:val="24"/>
          <w:szCs w:val="24"/>
          <w:lang w:bidi="en-US"/>
        </w:rPr>
        <w:t xml:space="preserve"> 10 and 11 protected the </w:t>
      </w:r>
      <w:r w:rsidR="00B73CC7" w:rsidRPr="00186F1F">
        <w:rPr>
          <w:rFonts w:ascii="Times New Roman" w:eastAsia="Cambria" w:hAnsi="Times New Roman" w:cs="Times New Roman"/>
          <w:sz w:val="24"/>
          <w:szCs w:val="24"/>
          <w:lang w:bidi="en-US"/>
        </w:rPr>
        <w:t>first</w:t>
      </w:r>
      <w:r w:rsidR="00075D11" w:rsidRPr="00186F1F">
        <w:rPr>
          <w:rFonts w:ascii="Times New Roman" w:eastAsia="Cambria" w:hAnsi="Times New Roman" w:cs="Times New Roman"/>
          <w:sz w:val="24"/>
          <w:szCs w:val="24"/>
          <w:lang w:bidi="en-US"/>
        </w:rPr>
        <w:t xml:space="preserve"> respondent’s position as the regis</w:t>
      </w:r>
      <w:r w:rsidR="00211083" w:rsidRPr="00186F1F">
        <w:rPr>
          <w:rFonts w:ascii="Times New Roman" w:eastAsia="Cambria" w:hAnsi="Times New Roman" w:cs="Times New Roman"/>
          <w:sz w:val="24"/>
          <w:szCs w:val="24"/>
          <w:lang w:bidi="en-US"/>
        </w:rPr>
        <w:t>trar had affixed his signature o</w:t>
      </w:r>
      <w:r w:rsidR="00075D11" w:rsidRPr="00186F1F">
        <w:rPr>
          <w:rFonts w:ascii="Times New Roman" w:eastAsia="Cambria" w:hAnsi="Times New Roman" w:cs="Times New Roman"/>
          <w:sz w:val="24"/>
          <w:szCs w:val="24"/>
          <w:lang w:bidi="en-US"/>
        </w:rPr>
        <w:t xml:space="preserve">n </w:t>
      </w:r>
      <w:r w:rsidR="00FC1096">
        <w:rPr>
          <w:rFonts w:ascii="Times New Roman" w:eastAsia="Cambria" w:hAnsi="Times New Roman" w:cs="Times New Roman"/>
          <w:sz w:val="24"/>
          <w:szCs w:val="24"/>
          <w:lang w:bidi="en-US"/>
        </w:rPr>
        <w:t>2 </w:t>
      </w:r>
      <w:r w:rsidR="00075D11" w:rsidRPr="00186F1F">
        <w:rPr>
          <w:rFonts w:ascii="Times New Roman" w:eastAsia="Cambria" w:hAnsi="Times New Roman" w:cs="Times New Roman"/>
          <w:sz w:val="24"/>
          <w:szCs w:val="24"/>
          <w:lang w:bidi="en-US"/>
        </w:rPr>
        <w:t>April 2007.</w:t>
      </w:r>
    </w:p>
    <w:p w:rsidR="005C62AD" w:rsidRPr="00186F1F" w:rsidRDefault="005C62AD" w:rsidP="005C62AD">
      <w:pPr>
        <w:tabs>
          <w:tab w:val="left" w:pos="6288"/>
        </w:tabs>
        <w:spacing w:after="0" w:line="360" w:lineRule="auto"/>
        <w:contextualSpacing/>
        <w:jc w:val="both"/>
        <w:rPr>
          <w:rFonts w:ascii="Times New Roman" w:eastAsia="Cambria" w:hAnsi="Times New Roman" w:cs="Times New Roman"/>
          <w:sz w:val="24"/>
          <w:szCs w:val="24"/>
          <w:lang w:bidi="en-US"/>
        </w:rPr>
      </w:pPr>
    </w:p>
    <w:p w:rsidR="007B3D7A" w:rsidRPr="00186F1F" w:rsidRDefault="009D6617" w:rsidP="007B3D7A">
      <w:pPr>
        <w:tabs>
          <w:tab w:val="left" w:pos="1134"/>
          <w:tab w:val="left" w:pos="6288"/>
        </w:tabs>
        <w:spacing w:after="0" w:line="480" w:lineRule="auto"/>
        <w:contextualSpacing/>
        <w:jc w:val="both"/>
        <w:rPr>
          <w:rFonts w:ascii="Times New Roman" w:eastAsia="Cambria" w:hAnsi="Times New Roman" w:cs="Times New Roman"/>
          <w:sz w:val="24"/>
          <w:szCs w:val="24"/>
          <w:lang w:bidi="en-US"/>
        </w:rPr>
      </w:pPr>
      <w:r w:rsidRPr="00186F1F">
        <w:rPr>
          <w:rFonts w:ascii="Times New Roman" w:eastAsia="Cambria" w:hAnsi="Times New Roman" w:cs="Times New Roman"/>
          <w:sz w:val="24"/>
          <w:szCs w:val="24"/>
          <w:lang w:bidi="en-US"/>
        </w:rPr>
        <w:lastRenderedPageBreak/>
        <w:t xml:space="preserve"> </w:t>
      </w:r>
      <w:r w:rsidR="007B3D7A" w:rsidRPr="00186F1F">
        <w:rPr>
          <w:rFonts w:ascii="Times New Roman" w:eastAsia="Cambria" w:hAnsi="Times New Roman" w:cs="Times New Roman"/>
          <w:sz w:val="24"/>
          <w:szCs w:val="24"/>
          <w:lang w:bidi="en-US"/>
        </w:rPr>
        <w:tab/>
      </w:r>
      <w:r w:rsidR="00075D11" w:rsidRPr="00186F1F">
        <w:rPr>
          <w:rFonts w:ascii="Times New Roman" w:eastAsia="Cambria" w:hAnsi="Times New Roman" w:cs="Times New Roman"/>
          <w:sz w:val="24"/>
          <w:szCs w:val="24"/>
          <w:lang w:bidi="en-US"/>
        </w:rPr>
        <w:t>It was</w:t>
      </w:r>
      <w:r w:rsidR="00DC0EE4">
        <w:rPr>
          <w:rFonts w:ascii="Times New Roman" w:eastAsia="Cambria" w:hAnsi="Times New Roman" w:cs="Times New Roman"/>
          <w:sz w:val="24"/>
          <w:szCs w:val="24"/>
          <w:lang w:bidi="en-US"/>
        </w:rPr>
        <w:t xml:space="preserve"> clear that with regard to</w:t>
      </w:r>
      <w:r w:rsidRPr="00186F1F">
        <w:rPr>
          <w:rFonts w:ascii="Times New Roman" w:eastAsia="Cambria" w:hAnsi="Times New Roman" w:cs="Times New Roman"/>
          <w:sz w:val="24"/>
          <w:szCs w:val="24"/>
          <w:lang w:bidi="en-US"/>
        </w:rPr>
        <w:t xml:space="preserve"> the agreements of sale</w:t>
      </w:r>
      <w:r w:rsidR="00DC0EE4">
        <w:rPr>
          <w:rFonts w:ascii="Times New Roman" w:eastAsia="Cambria" w:hAnsi="Times New Roman" w:cs="Times New Roman"/>
          <w:sz w:val="24"/>
          <w:szCs w:val="24"/>
          <w:lang w:bidi="en-US"/>
        </w:rPr>
        <w:t xml:space="preserve"> there was</w:t>
      </w:r>
      <w:r w:rsidRPr="00186F1F">
        <w:rPr>
          <w:rFonts w:ascii="Times New Roman" w:eastAsia="Cambria" w:hAnsi="Times New Roman" w:cs="Times New Roman"/>
          <w:sz w:val="24"/>
          <w:szCs w:val="24"/>
          <w:lang w:bidi="en-US"/>
        </w:rPr>
        <w:t xml:space="preserve"> no r</w:t>
      </w:r>
      <w:r w:rsidR="0007757E" w:rsidRPr="00186F1F">
        <w:rPr>
          <w:rFonts w:ascii="Times New Roman" w:eastAsia="Cambria" w:hAnsi="Times New Roman" w:cs="Times New Roman"/>
          <w:sz w:val="24"/>
          <w:szCs w:val="24"/>
          <w:lang w:bidi="en-US"/>
        </w:rPr>
        <w:t>eal dispute as to their sequence and parties thereto</w:t>
      </w:r>
      <w:r w:rsidRPr="00186F1F">
        <w:rPr>
          <w:rFonts w:ascii="Times New Roman" w:eastAsia="Cambria" w:hAnsi="Times New Roman" w:cs="Times New Roman"/>
          <w:sz w:val="24"/>
          <w:szCs w:val="24"/>
          <w:lang w:bidi="en-US"/>
        </w:rPr>
        <w:t>. The agreem</w:t>
      </w:r>
      <w:r w:rsidR="009F55B4" w:rsidRPr="00186F1F">
        <w:rPr>
          <w:rFonts w:ascii="Times New Roman" w:eastAsia="Cambria" w:hAnsi="Times New Roman" w:cs="Times New Roman"/>
          <w:sz w:val="24"/>
          <w:szCs w:val="24"/>
          <w:lang w:bidi="en-US"/>
        </w:rPr>
        <w:t>ent</w:t>
      </w:r>
      <w:r w:rsidRPr="00186F1F">
        <w:rPr>
          <w:rFonts w:ascii="Times New Roman" w:eastAsia="Cambria" w:hAnsi="Times New Roman" w:cs="Times New Roman"/>
          <w:sz w:val="24"/>
          <w:szCs w:val="24"/>
          <w:lang w:bidi="en-US"/>
        </w:rPr>
        <w:t xml:space="preserve">s of sale had similar </w:t>
      </w:r>
      <w:r w:rsidR="0089284F" w:rsidRPr="00186F1F">
        <w:rPr>
          <w:rFonts w:ascii="Times New Roman" w:eastAsia="Cambria" w:hAnsi="Times New Roman" w:cs="Times New Roman"/>
          <w:sz w:val="24"/>
          <w:szCs w:val="24"/>
          <w:lang w:bidi="en-US"/>
        </w:rPr>
        <w:t xml:space="preserve">suspensive </w:t>
      </w:r>
      <w:r w:rsidR="009F55B4" w:rsidRPr="00186F1F">
        <w:rPr>
          <w:rFonts w:ascii="Times New Roman" w:eastAsia="Cambria" w:hAnsi="Times New Roman" w:cs="Times New Roman"/>
          <w:sz w:val="24"/>
          <w:szCs w:val="24"/>
          <w:lang w:bidi="en-US"/>
        </w:rPr>
        <w:t>conditions</w:t>
      </w:r>
      <w:r w:rsidR="0007757E" w:rsidRPr="00186F1F">
        <w:rPr>
          <w:rFonts w:ascii="Times New Roman" w:eastAsia="Cambria" w:hAnsi="Times New Roman" w:cs="Times New Roman"/>
          <w:sz w:val="24"/>
          <w:szCs w:val="24"/>
          <w:lang w:bidi="en-US"/>
        </w:rPr>
        <w:t xml:space="preserve"> </w:t>
      </w:r>
      <w:r w:rsidR="0044414F" w:rsidRPr="00186F1F">
        <w:rPr>
          <w:rFonts w:ascii="Times New Roman" w:eastAsia="Cambria" w:hAnsi="Times New Roman" w:cs="Times New Roman"/>
          <w:sz w:val="24"/>
          <w:szCs w:val="24"/>
          <w:lang w:bidi="en-US"/>
        </w:rPr>
        <w:t>acknowledging</w:t>
      </w:r>
      <w:r w:rsidR="0007757E" w:rsidRPr="00186F1F">
        <w:rPr>
          <w:rFonts w:ascii="Times New Roman" w:eastAsia="Cambria" w:hAnsi="Times New Roman" w:cs="Times New Roman"/>
          <w:sz w:val="24"/>
          <w:szCs w:val="24"/>
          <w:lang w:bidi="en-US"/>
        </w:rPr>
        <w:t xml:space="preserve"> the state of the subdivision</w:t>
      </w:r>
      <w:r w:rsidRPr="00186F1F">
        <w:rPr>
          <w:rFonts w:ascii="Times New Roman" w:eastAsia="Cambria" w:hAnsi="Times New Roman" w:cs="Times New Roman"/>
          <w:sz w:val="24"/>
          <w:szCs w:val="24"/>
          <w:lang w:bidi="en-US"/>
        </w:rPr>
        <w:t xml:space="preserve">. </w:t>
      </w:r>
      <w:r w:rsidR="0007757E" w:rsidRPr="00186F1F">
        <w:rPr>
          <w:rFonts w:ascii="Times New Roman" w:eastAsia="Cambria" w:hAnsi="Times New Roman" w:cs="Times New Roman"/>
          <w:sz w:val="24"/>
          <w:szCs w:val="24"/>
          <w:lang w:bidi="en-US"/>
        </w:rPr>
        <w:t xml:space="preserve">The </w:t>
      </w:r>
      <w:r w:rsidR="00B73CC7" w:rsidRPr="00186F1F">
        <w:rPr>
          <w:rFonts w:ascii="Times New Roman" w:eastAsia="Cambria" w:hAnsi="Times New Roman" w:cs="Times New Roman"/>
          <w:sz w:val="24"/>
          <w:szCs w:val="24"/>
          <w:lang w:bidi="en-US"/>
        </w:rPr>
        <w:t>first</w:t>
      </w:r>
      <w:r w:rsidRPr="00186F1F">
        <w:rPr>
          <w:rFonts w:ascii="Times New Roman" w:eastAsia="Cambria" w:hAnsi="Times New Roman" w:cs="Times New Roman"/>
          <w:sz w:val="24"/>
          <w:szCs w:val="24"/>
          <w:lang w:bidi="en-US"/>
        </w:rPr>
        <w:t xml:space="preserve"> </w:t>
      </w:r>
      <w:r w:rsidR="009F55B4" w:rsidRPr="00186F1F">
        <w:rPr>
          <w:rFonts w:ascii="Times New Roman" w:eastAsia="Cambria" w:hAnsi="Times New Roman" w:cs="Times New Roman"/>
          <w:sz w:val="24"/>
          <w:szCs w:val="24"/>
          <w:lang w:bidi="en-US"/>
        </w:rPr>
        <w:t>respondent’s</w:t>
      </w:r>
      <w:r w:rsidRPr="00186F1F">
        <w:rPr>
          <w:rFonts w:ascii="Times New Roman" w:eastAsia="Cambria" w:hAnsi="Times New Roman" w:cs="Times New Roman"/>
          <w:sz w:val="24"/>
          <w:szCs w:val="24"/>
          <w:lang w:bidi="en-US"/>
        </w:rPr>
        <w:t xml:space="preserve"> agreement of sale was entered into with the executrix testamentary as the legal </w:t>
      </w:r>
      <w:r w:rsidR="009F55B4" w:rsidRPr="00186F1F">
        <w:rPr>
          <w:rFonts w:ascii="Times New Roman" w:eastAsia="Cambria" w:hAnsi="Times New Roman" w:cs="Times New Roman"/>
          <w:sz w:val="24"/>
          <w:szCs w:val="24"/>
          <w:lang w:bidi="en-US"/>
        </w:rPr>
        <w:t>representative</w:t>
      </w:r>
      <w:r w:rsidRPr="00186F1F">
        <w:rPr>
          <w:rFonts w:ascii="Times New Roman" w:eastAsia="Cambria" w:hAnsi="Times New Roman" w:cs="Times New Roman"/>
          <w:sz w:val="24"/>
          <w:szCs w:val="24"/>
          <w:lang w:bidi="en-US"/>
        </w:rPr>
        <w:t xml:space="preserve"> of the </w:t>
      </w:r>
      <w:r w:rsidR="0044414F" w:rsidRPr="00186F1F">
        <w:rPr>
          <w:rFonts w:ascii="Times New Roman" w:eastAsia="Cambria" w:hAnsi="Times New Roman" w:cs="Times New Roman"/>
          <w:sz w:val="24"/>
          <w:szCs w:val="24"/>
          <w:lang w:bidi="en-US"/>
        </w:rPr>
        <w:t>deceased’s estate. The</w:t>
      </w:r>
      <w:r w:rsidRPr="00186F1F">
        <w:rPr>
          <w:rFonts w:ascii="Times New Roman" w:eastAsia="Cambria" w:hAnsi="Times New Roman" w:cs="Times New Roman"/>
          <w:sz w:val="24"/>
          <w:szCs w:val="24"/>
          <w:lang w:bidi="en-US"/>
        </w:rPr>
        <w:t xml:space="preserve"> appellant</w:t>
      </w:r>
      <w:r w:rsidR="0044414F" w:rsidRPr="00186F1F">
        <w:rPr>
          <w:rFonts w:ascii="Times New Roman" w:eastAsia="Cambria" w:hAnsi="Times New Roman" w:cs="Times New Roman"/>
          <w:sz w:val="24"/>
          <w:szCs w:val="24"/>
          <w:lang w:bidi="en-US"/>
        </w:rPr>
        <w:t>’</w:t>
      </w:r>
      <w:r w:rsidRPr="00186F1F">
        <w:rPr>
          <w:rFonts w:ascii="Times New Roman" w:eastAsia="Cambria" w:hAnsi="Times New Roman" w:cs="Times New Roman"/>
          <w:sz w:val="24"/>
          <w:szCs w:val="24"/>
          <w:lang w:bidi="en-US"/>
        </w:rPr>
        <w:t>s agreement of</w:t>
      </w:r>
      <w:r w:rsidR="009F55B4" w:rsidRPr="00186F1F">
        <w:rPr>
          <w:rFonts w:ascii="Times New Roman" w:eastAsia="Cambria" w:hAnsi="Times New Roman" w:cs="Times New Roman"/>
          <w:sz w:val="24"/>
          <w:szCs w:val="24"/>
          <w:lang w:bidi="en-US"/>
        </w:rPr>
        <w:t xml:space="preserve"> sale</w:t>
      </w:r>
      <w:r w:rsidR="00075D11" w:rsidRPr="00186F1F">
        <w:rPr>
          <w:rFonts w:ascii="Times New Roman" w:eastAsia="Cambria" w:hAnsi="Times New Roman" w:cs="Times New Roman"/>
          <w:sz w:val="24"/>
          <w:szCs w:val="24"/>
          <w:lang w:bidi="en-US"/>
        </w:rPr>
        <w:t>,</w:t>
      </w:r>
      <w:r w:rsidR="009F55B4" w:rsidRPr="00186F1F">
        <w:rPr>
          <w:rFonts w:ascii="Times New Roman" w:eastAsia="Cambria" w:hAnsi="Times New Roman" w:cs="Times New Roman"/>
          <w:sz w:val="24"/>
          <w:szCs w:val="24"/>
          <w:lang w:bidi="en-US"/>
        </w:rPr>
        <w:t xml:space="preserve"> </w:t>
      </w:r>
      <w:r w:rsidR="0044414F" w:rsidRPr="00186F1F">
        <w:rPr>
          <w:rFonts w:ascii="Times New Roman" w:eastAsia="Cambria" w:hAnsi="Times New Roman" w:cs="Times New Roman"/>
          <w:sz w:val="24"/>
          <w:szCs w:val="24"/>
          <w:lang w:bidi="en-US"/>
        </w:rPr>
        <w:t>on the other hand</w:t>
      </w:r>
      <w:r w:rsidR="00075D11" w:rsidRPr="00186F1F">
        <w:rPr>
          <w:rFonts w:ascii="Times New Roman" w:eastAsia="Cambria" w:hAnsi="Times New Roman" w:cs="Times New Roman"/>
          <w:sz w:val="24"/>
          <w:szCs w:val="24"/>
          <w:lang w:bidi="en-US"/>
        </w:rPr>
        <w:t>,</w:t>
      </w:r>
      <w:r w:rsidR="0044414F" w:rsidRPr="00186F1F">
        <w:rPr>
          <w:rFonts w:ascii="Times New Roman" w:eastAsia="Cambria" w:hAnsi="Times New Roman" w:cs="Times New Roman"/>
          <w:sz w:val="24"/>
          <w:szCs w:val="24"/>
          <w:lang w:bidi="en-US"/>
        </w:rPr>
        <w:t xml:space="preserve"> </w:t>
      </w:r>
      <w:r w:rsidR="009F55B4" w:rsidRPr="00186F1F">
        <w:rPr>
          <w:rFonts w:ascii="Times New Roman" w:eastAsia="Cambria" w:hAnsi="Times New Roman" w:cs="Times New Roman"/>
          <w:sz w:val="24"/>
          <w:szCs w:val="24"/>
          <w:lang w:bidi="en-US"/>
        </w:rPr>
        <w:t>was entered into with an heir</w:t>
      </w:r>
      <w:r w:rsidRPr="00186F1F">
        <w:rPr>
          <w:rFonts w:ascii="Times New Roman" w:eastAsia="Cambria" w:hAnsi="Times New Roman" w:cs="Times New Roman"/>
          <w:sz w:val="24"/>
          <w:szCs w:val="24"/>
          <w:lang w:bidi="en-US"/>
        </w:rPr>
        <w:t xml:space="preserve"> who had no authori</w:t>
      </w:r>
      <w:r w:rsidR="009F55B4" w:rsidRPr="00186F1F">
        <w:rPr>
          <w:rFonts w:ascii="Times New Roman" w:eastAsia="Cambria" w:hAnsi="Times New Roman" w:cs="Times New Roman"/>
          <w:sz w:val="24"/>
          <w:szCs w:val="24"/>
          <w:lang w:bidi="en-US"/>
        </w:rPr>
        <w:t>ty to deal in the property</w:t>
      </w:r>
      <w:r w:rsidR="0044414F" w:rsidRPr="00186F1F">
        <w:rPr>
          <w:rFonts w:ascii="Times New Roman" w:eastAsia="Cambria" w:hAnsi="Times New Roman" w:cs="Times New Roman"/>
          <w:sz w:val="24"/>
          <w:szCs w:val="24"/>
          <w:lang w:bidi="en-US"/>
        </w:rPr>
        <w:t xml:space="preserve"> to the exclusion of the executrix</w:t>
      </w:r>
      <w:r w:rsidR="009F55B4" w:rsidRPr="00186F1F">
        <w:rPr>
          <w:rFonts w:ascii="Times New Roman" w:eastAsia="Cambria" w:hAnsi="Times New Roman" w:cs="Times New Roman"/>
          <w:sz w:val="24"/>
          <w:szCs w:val="24"/>
          <w:lang w:bidi="en-US"/>
        </w:rPr>
        <w:t>.</w:t>
      </w:r>
      <w:r w:rsidR="00EF3E7A" w:rsidRPr="00186F1F">
        <w:rPr>
          <w:rFonts w:ascii="Times New Roman" w:eastAsia="Cambria" w:hAnsi="Times New Roman" w:cs="Times New Roman"/>
          <w:sz w:val="24"/>
          <w:szCs w:val="24"/>
          <w:lang w:bidi="en-US"/>
        </w:rPr>
        <w:t xml:space="preserve"> </w:t>
      </w:r>
    </w:p>
    <w:p w:rsidR="007B3D7A" w:rsidRPr="00186F1F" w:rsidRDefault="007B3D7A" w:rsidP="007B3D7A">
      <w:pPr>
        <w:tabs>
          <w:tab w:val="left" w:pos="1134"/>
          <w:tab w:val="left" w:pos="6288"/>
        </w:tabs>
        <w:spacing w:after="0" w:line="480" w:lineRule="auto"/>
        <w:contextualSpacing/>
        <w:jc w:val="both"/>
        <w:rPr>
          <w:rFonts w:ascii="Times New Roman" w:eastAsia="Cambria" w:hAnsi="Times New Roman" w:cs="Times New Roman"/>
          <w:sz w:val="24"/>
          <w:szCs w:val="24"/>
          <w:lang w:bidi="en-US"/>
        </w:rPr>
      </w:pPr>
    </w:p>
    <w:p w:rsidR="00EF3E7A" w:rsidRPr="00186F1F" w:rsidRDefault="007B3D7A" w:rsidP="00FC1096">
      <w:pPr>
        <w:tabs>
          <w:tab w:val="left" w:pos="1134"/>
          <w:tab w:val="left" w:pos="6288"/>
        </w:tabs>
        <w:spacing w:after="0" w:line="480" w:lineRule="auto"/>
        <w:contextualSpacing/>
        <w:jc w:val="both"/>
        <w:rPr>
          <w:rFonts w:ascii="Times New Roman" w:eastAsia="Cambria" w:hAnsi="Times New Roman" w:cs="Times New Roman"/>
          <w:sz w:val="24"/>
          <w:szCs w:val="24"/>
          <w:lang w:bidi="en-US"/>
        </w:rPr>
      </w:pPr>
      <w:r w:rsidRPr="00186F1F">
        <w:rPr>
          <w:rFonts w:ascii="Times New Roman" w:eastAsia="Cambria" w:hAnsi="Times New Roman" w:cs="Times New Roman"/>
          <w:sz w:val="24"/>
          <w:szCs w:val="24"/>
          <w:lang w:bidi="en-US"/>
        </w:rPr>
        <w:tab/>
      </w:r>
      <w:r w:rsidR="009F55B4" w:rsidRPr="00186F1F">
        <w:rPr>
          <w:rFonts w:ascii="Times New Roman" w:eastAsia="Cambria" w:hAnsi="Times New Roman" w:cs="Times New Roman"/>
          <w:sz w:val="24"/>
          <w:szCs w:val="24"/>
          <w:lang w:bidi="en-US"/>
        </w:rPr>
        <w:t>In the circumstances the appellant’s</w:t>
      </w:r>
      <w:r w:rsidR="00EF3E7A" w:rsidRPr="00186F1F">
        <w:rPr>
          <w:rFonts w:ascii="Times New Roman" w:eastAsia="Cambria" w:hAnsi="Times New Roman" w:cs="Times New Roman"/>
          <w:sz w:val="24"/>
          <w:szCs w:val="24"/>
          <w:lang w:bidi="en-US"/>
        </w:rPr>
        <w:t xml:space="preserve"> reques</w:t>
      </w:r>
      <w:r w:rsidR="0044414F" w:rsidRPr="00186F1F">
        <w:rPr>
          <w:rFonts w:ascii="Times New Roman" w:eastAsia="Cambria" w:hAnsi="Times New Roman" w:cs="Times New Roman"/>
          <w:sz w:val="24"/>
          <w:szCs w:val="24"/>
          <w:lang w:bidi="en-US"/>
        </w:rPr>
        <w:t>t to have the matter referred to</w:t>
      </w:r>
      <w:r w:rsidR="00092AB8" w:rsidRPr="00186F1F">
        <w:rPr>
          <w:rFonts w:ascii="Times New Roman" w:eastAsia="Cambria" w:hAnsi="Times New Roman" w:cs="Times New Roman"/>
          <w:sz w:val="24"/>
          <w:szCs w:val="24"/>
          <w:lang w:bidi="en-US"/>
        </w:rPr>
        <w:t xml:space="preserve"> trial was only</w:t>
      </w:r>
      <w:r w:rsidR="00EF3E7A" w:rsidRPr="00186F1F">
        <w:rPr>
          <w:rFonts w:ascii="Times New Roman" w:eastAsia="Cambria" w:hAnsi="Times New Roman" w:cs="Times New Roman"/>
          <w:sz w:val="24"/>
          <w:szCs w:val="24"/>
          <w:lang w:bidi="en-US"/>
        </w:rPr>
        <w:t xml:space="preserve"> a delay</w:t>
      </w:r>
      <w:r w:rsidR="009F55B4" w:rsidRPr="00186F1F">
        <w:rPr>
          <w:rFonts w:ascii="Times New Roman" w:eastAsia="Cambria" w:hAnsi="Times New Roman" w:cs="Times New Roman"/>
          <w:sz w:val="24"/>
          <w:szCs w:val="24"/>
          <w:lang w:bidi="en-US"/>
        </w:rPr>
        <w:t>ing</w:t>
      </w:r>
      <w:r w:rsidR="00C2024D" w:rsidRPr="00186F1F">
        <w:rPr>
          <w:rFonts w:ascii="Times New Roman" w:eastAsia="Cambria" w:hAnsi="Times New Roman" w:cs="Times New Roman"/>
          <w:sz w:val="24"/>
          <w:szCs w:val="24"/>
          <w:lang w:bidi="en-US"/>
        </w:rPr>
        <w:t xml:space="preserve"> tactic</w:t>
      </w:r>
      <w:r w:rsidR="00EF3E7A" w:rsidRPr="00186F1F">
        <w:rPr>
          <w:rFonts w:ascii="Times New Roman" w:eastAsia="Cambria" w:hAnsi="Times New Roman" w:cs="Times New Roman"/>
          <w:sz w:val="24"/>
          <w:szCs w:val="24"/>
          <w:lang w:bidi="en-US"/>
        </w:rPr>
        <w:t xml:space="preserve"> hence it was n</w:t>
      </w:r>
      <w:r w:rsidR="00075D11" w:rsidRPr="00186F1F">
        <w:rPr>
          <w:rFonts w:ascii="Times New Roman" w:eastAsia="Cambria" w:hAnsi="Times New Roman" w:cs="Times New Roman"/>
          <w:sz w:val="24"/>
          <w:szCs w:val="24"/>
          <w:lang w:bidi="en-US"/>
        </w:rPr>
        <w:t>ot granted. In my view there were</w:t>
      </w:r>
      <w:r w:rsidR="00EF3E7A" w:rsidRPr="00186F1F">
        <w:rPr>
          <w:rFonts w:ascii="Times New Roman" w:eastAsia="Cambria" w:hAnsi="Times New Roman" w:cs="Times New Roman"/>
          <w:sz w:val="24"/>
          <w:szCs w:val="24"/>
          <w:lang w:bidi="en-US"/>
        </w:rPr>
        <w:t xml:space="preserve"> no </w:t>
      </w:r>
      <w:r w:rsidR="00211083" w:rsidRPr="00186F1F">
        <w:rPr>
          <w:rFonts w:ascii="Times New Roman" w:eastAsia="Cambria" w:hAnsi="Times New Roman" w:cs="Times New Roman"/>
          <w:sz w:val="24"/>
          <w:szCs w:val="24"/>
          <w:lang w:bidi="en-US"/>
        </w:rPr>
        <w:t>real material</w:t>
      </w:r>
      <w:r w:rsidR="00EF3E7A" w:rsidRPr="00186F1F">
        <w:rPr>
          <w:rFonts w:ascii="Times New Roman" w:eastAsia="Cambria" w:hAnsi="Times New Roman" w:cs="Times New Roman"/>
          <w:sz w:val="24"/>
          <w:szCs w:val="24"/>
          <w:lang w:bidi="en-US"/>
        </w:rPr>
        <w:t xml:space="preserve"> dispute</w:t>
      </w:r>
      <w:r w:rsidR="00075D11" w:rsidRPr="00186F1F">
        <w:rPr>
          <w:rFonts w:ascii="Times New Roman" w:eastAsia="Cambria" w:hAnsi="Times New Roman" w:cs="Times New Roman"/>
          <w:sz w:val="24"/>
          <w:szCs w:val="24"/>
          <w:lang w:bidi="en-US"/>
        </w:rPr>
        <w:t>s</w:t>
      </w:r>
      <w:r w:rsidR="00EF3E7A" w:rsidRPr="00186F1F">
        <w:rPr>
          <w:rFonts w:ascii="Times New Roman" w:eastAsia="Cambria" w:hAnsi="Times New Roman" w:cs="Times New Roman"/>
          <w:sz w:val="24"/>
          <w:szCs w:val="24"/>
          <w:lang w:bidi="en-US"/>
        </w:rPr>
        <w:t xml:space="preserve"> of fact</w:t>
      </w:r>
      <w:r w:rsidR="009F55B4" w:rsidRPr="00186F1F">
        <w:rPr>
          <w:rFonts w:ascii="Times New Roman" w:eastAsia="Cambria" w:hAnsi="Times New Roman" w:cs="Times New Roman"/>
          <w:sz w:val="24"/>
          <w:szCs w:val="24"/>
          <w:lang w:bidi="en-US"/>
        </w:rPr>
        <w:t>.</w:t>
      </w:r>
      <w:r w:rsidR="00EF3E7A" w:rsidRPr="00186F1F">
        <w:rPr>
          <w:rFonts w:ascii="Times New Roman" w:eastAsia="Cambria" w:hAnsi="Times New Roman" w:cs="Times New Roman"/>
          <w:sz w:val="24"/>
          <w:szCs w:val="24"/>
          <w:lang w:bidi="en-US"/>
        </w:rPr>
        <w:t xml:space="preserve"> </w:t>
      </w:r>
      <w:r w:rsidR="00C2024D" w:rsidRPr="00186F1F">
        <w:rPr>
          <w:rFonts w:ascii="Times New Roman" w:eastAsia="Cambria" w:hAnsi="Times New Roman" w:cs="Times New Roman"/>
          <w:sz w:val="24"/>
          <w:szCs w:val="24"/>
          <w:lang w:bidi="en-US"/>
        </w:rPr>
        <w:t xml:space="preserve">The real issues between the parties were capable of resolution on the papers </w:t>
      </w:r>
      <w:r w:rsidR="0044414F" w:rsidRPr="00186F1F">
        <w:rPr>
          <w:rFonts w:ascii="Times New Roman" w:eastAsia="Cambria" w:hAnsi="Times New Roman" w:cs="Times New Roman"/>
          <w:sz w:val="24"/>
          <w:szCs w:val="24"/>
          <w:lang w:bidi="en-US"/>
        </w:rPr>
        <w:t xml:space="preserve">without the calling of </w:t>
      </w:r>
      <w:r w:rsidR="0044414F" w:rsidRPr="00186F1F">
        <w:rPr>
          <w:rFonts w:ascii="Times New Roman" w:eastAsia="Cambria" w:hAnsi="Times New Roman" w:cs="Times New Roman"/>
          <w:i/>
          <w:sz w:val="24"/>
          <w:szCs w:val="24"/>
          <w:lang w:bidi="en-US"/>
        </w:rPr>
        <w:t>viva voce</w:t>
      </w:r>
      <w:r w:rsidR="0044414F" w:rsidRPr="00186F1F">
        <w:rPr>
          <w:rFonts w:ascii="Times New Roman" w:eastAsia="Cambria" w:hAnsi="Times New Roman" w:cs="Times New Roman"/>
          <w:sz w:val="24"/>
          <w:szCs w:val="24"/>
          <w:lang w:bidi="en-US"/>
        </w:rPr>
        <w:t xml:space="preserve"> evidence or referring the matter to trial. There was thus no misdirection in this regard.</w:t>
      </w:r>
    </w:p>
    <w:p w:rsidR="00763F3F" w:rsidRPr="00186F1F" w:rsidRDefault="00763F3F" w:rsidP="007B3D7A">
      <w:pPr>
        <w:tabs>
          <w:tab w:val="left" w:pos="1134"/>
          <w:tab w:val="left" w:pos="6288"/>
        </w:tabs>
        <w:spacing w:after="0" w:line="480" w:lineRule="auto"/>
        <w:contextualSpacing/>
        <w:jc w:val="both"/>
        <w:rPr>
          <w:rFonts w:ascii="Times New Roman" w:eastAsia="Cambria" w:hAnsi="Times New Roman" w:cs="Times New Roman"/>
          <w:sz w:val="24"/>
          <w:szCs w:val="24"/>
          <w:lang w:bidi="en-US"/>
        </w:rPr>
      </w:pPr>
    </w:p>
    <w:p w:rsidR="00130A6A" w:rsidRPr="00186F1F" w:rsidRDefault="00130A6A" w:rsidP="00D20167">
      <w:pPr>
        <w:pStyle w:val="ListParagraph"/>
        <w:numPr>
          <w:ilvl w:val="0"/>
          <w:numId w:val="4"/>
        </w:numPr>
        <w:tabs>
          <w:tab w:val="left" w:pos="6288"/>
        </w:tabs>
        <w:spacing w:after="0" w:line="360" w:lineRule="auto"/>
        <w:ind w:left="714" w:hanging="357"/>
        <w:jc w:val="both"/>
        <w:rPr>
          <w:rFonts w:ascii="Times New Roman" w:eastAsia="Cambria" w:hAnsi="Times New Roman" w:cs="Times New Roman"/>
          <w:b/>
          <w:sz w:val="24"/>
          <w:szCs w:val="24"/>
          <w:lang w:bidi="en-US"/>
        </w:rPr>
      </w:pPr>
      <w:r w:rsidRPr="00186F1F">
        <w:rPr>
          <w:rFonts w:ascii="Times New Roman" w:eastAsia="Cambria" w:hAnsi="Times New Roman" w:cs="Times New Roman"/>
          <w:b/>
          <w:sz w:val="24"/>
          <w:szCs w:val="24"/>
          <w:lang w:bidi="en-US"/>
        </w:rPr>
        <w:t xml:space="preserve">Whether or not the court </w:t>
      </w:r>
      <w:r w:rsidRPr="00186F1F">
        <w:rPr>
          <w:rFonts w:ascii="Times New Roman" w:eastAsia="Cambria" w:hAnsi="Times New Roman" w:cs="Times New Roman"/>
          <w:b/>
          <w:i/>
          <w:sz w:val="24"/>
          <w:szCs w:val="24"/>
          <w:lang w:bidi="en-US"/>
        </w:rPr>
        <w:t>a quo</w:t>
      </w:r>
      <w:r w:rsidRPr="00186F1F">
        <w:rPr>
          <w:rFonts w:ascii="Times New Roman" w:eastAsia="Cambria" w:hAnsi="Times New Roman" w:cs="Times New Roman"/>
          <w:b/>
          <w:sz w:val="24"/>
          <w:szCs w:val="24"/>
          <w:lang w:bidi="en-US"/>
        </w:rPr>
        <w:t xml:space="preserve"> found that the Regional, Town and Country Planning Act did not apply</w:t>
      </w:r>
    </w:p>
    <w:p w:rsidR="00C167FC" w:rsidRPr="00186F1F" w:rsidRDefault="00C167FC" w:rsidP="00D20167">
      <w:pPr>
        <w:pStyle w:val="ListParagraph"/>
        <w:tabs>
          <w:tab w:val="left" w:pos="6288"/>
        </w:tabs>
        <w:spacing w:after="0" w:line="360" w:lineRule="auto"/>
        <w:jc w:val="both"/>
        <w:rPr>
          <w:rFonts w:ascii="Times New Roman" w:eastAsia="Cambria" w:hAnsi="Times New Roman" w:cs="Times New Roman"/>
          <w:b/>
          <w:sz w:val="24"/>
          <w:szCs w:val="24"/>
          <w:lang w:bidi="en-US"/>
        </w:rPr>
      </w:pPr>
    </w:p>
    <w:p w:rsidR="007B3D7A" w:rsidRPr="00186F1F" w:rsidRDefault="007B3D7A" w:rsidP="00FC1096">
      <w:pPr>
        <w:pStyle w:val="ListParagraph"/>
        <w:tabs>
          <w:tab w:val="left" w:pos="6288"/>
        </w:tabs>
        <w:spacing w:after="0" w:line="240" w:lineRule="auto"/>
        <w:jc w:val="both"/>
        <w:rPr>
          <w:rFonts w:ascii="Times New Roman" w:eastAsia="Cambria" w:hAnsi="Times New Roman" w:cs="Times New Roman"/>
          <w:b/>
          <w:sz w:val="24"/>
          <w:szCs w:val="24"/>
          <w:lang w:bidi="en-US"/>
        </w:rPr>
      </w:pPr>
    </w:p>
    <w:p w:rsidR="00130A6A" w:rsidRPr="00186F1F" w:rsidRDefault="007B3D7A" w:rsidP="00D20167">
      <w:pPr>
        <w:tabs>
          <w:tab w:val="left" w:pos="1134"/>
          <w:tab w:val="left" w:pos="6288"/>
        </w:tabs>
        <w:spacing w:after="0" w:line="480" w:lineRule="auto"/>
        <w:contextualSpacing/>
        <w:jc w:val="both"/>
        <w:rPr>
          <w:rFonts w:ascii="Times New Roman" w:eastAsia="Cambria" w:hAnsi="Times New Roman" w:cs="Times New Roman"/>
          <w:sz w:val="24"/>
          <w:szCs w:val="24"/>
          <w:lang w:bidi="en-US"/>
        </w:rPr>
      </w:pPr>
      <w:r w:rsidRPr="00186F1F">
        <w:rPr>
          <w:rFonts w:ascii="Times New Roman" w:eastAsia="Cambria" w:hAnsi="Times New Roman" w:cs="Times New Roman"/>
          <w:sz w:val="24"/>
          <w:szCs w:val="24"/>
          <w:lang w:bidi="en-US"/>
        </w:rPr>
        <w:tab/>
      </w:r>
      <w:r w:rsidR="0044414F" w:rsidRPr="00186F1F">
        <w:rPr>
          <w:rFonts w:ascii="Times New Roman" w:eastAsia="Cambria" w:hAnsi="Times New Roman" w:cs="Times New Roman"/>
          <w:sz w:val="24"/>
          <w:szCs w:val="24"/>
          <w:lang w:bidi="en-US"/>
        </w:rPr>
        <w:t>The appellant in his</w:t>
      </w:r>
      <w:r w:rsidR="00130A6A" w:rsidRPr="00186F1F">
        <w:rPr>
          <w:rFonts w:ascii="Times New Roman" w:eastAsia="Cambria" w:hAnsi="Times New Roman" w:cs="Times New Roman"/>
          <w:sz w:val="24"/>
          <w:szCs w:val="24"/>
          <w:lang w:bidi="en-US"/>
        </w:rPr>
        <w:t xml:space="preserve"> </w:t>
      </w:r>
      <w:r w:rsidRPr="00186F1F">
        <w:rPr>
          <w:rFonts w:ascii="Times New Roman" w:eastAsia="Cambria" w:hAnsi="Times New Roman" w:cs="Times New Roman"/>
          <w:sz w:val="24"/>
          <w:szCs w:val="24"/>
          <w:lang w:bidi="en-US"/>
        </w:rPr>
        <w:t>second</w:t>
      </w:r>
      <w:r w:rsidR="00130A6A" w:rsidRPr="00186F1F">
        <w:rPr>
          <w:rFonts w:ascii="Times New Roman" w:eastAsia="Cambria" w:hAnsi="Times New Roman" w:cs="Times New Roman"/>
          <w:sz w:val="24"/>
          <w:szCs w:val="24"/>
          <w:lang w:bidi="en-US"/>
        </w:rPr>
        <w:t xml:space="preserve"> </w:t>
      </w:r>
      <w:r w:rsidR="0044414F" w:rsidRPr="00186F1F">
        <w:rPr>
          <w:rFonts w:ascii="Times New Roman" w:eastAsia="Cambria" w:hAnsi="Times New Roman" w:cs="Times New Roman"/>
          <w:sz w:val="24"/>
          <w:szCs w:val="24"/>
          <w:lang w:bidi="en-US"/>
        </w:rPr>
        <w:t>ground of appeal averred</w:t>
      </w:r>
      <w:r w:rsidR="00130A6A" w:rsidRPr="00186F1F">
        <w:rPr>
          <w:rFonts w:ascii="Times New Roman" w:eastAsia="Cambria" w:hAnsi="Times New Roman" w:cs="Times New Roman"/>
          <w:sz w:val="24"/>
          <w:szCs w:val="24"/>
          <w:lang w:bidi="en-US"/>
        </w:rPr>
        <w:t xml:space="preserve"> that the court </w:t>
      </w:r>
      <w:r w:rsidR="00130A6A" w:rsidRPr="00186F1F">
        <w:rPr>
          <w:rFonts w:ascii="Times New Roman" w:eastAsia="Cambria" w:hAnsi="Times New Roman" w:cs="Times New Roman"/>
          <w:i/>
          <w:sz w:val="24"/>
          <w:szCs w:val="24"/>
          <w:lang w:bidi="en-US"/>
        </w:rPr>
        <w:t>a quo</w:t>
      </w:r>
      <w:r w:rsidR="00130A6A" w:rsidRPr="00186F1F">
        <w:rPr>
          <w:rFonts w:ascii="Times New Roman" w:eastAsia="Cambria" w:hAnsi="Times New Roman" w:cs="Times New Roman"/>
          <w:sz w:val="24"/>
          <w:szCs w:val="24"/>
          <w:lang w:bidi="en-US"/>
        </w:rPr>
        <w:t xml:space="preserve"> erred in finding that the Regional, Town and Country Planning Act has no application in this matter yet it is the law that regulates agreements relating to the sale of land. The court </w:t>
      </w:r>
      <w:r w:rsidR="00130A6A" w:rsidRPr="00186F1F">
        <w:rPr>
          <w:rFonts w:ascii="Times New Roman" w:eastAsia="Cambria" w:hAnsi="Times New Roman" w:cs="Times New Roman"/>
          <w:i/>
          <w:sz w:val="24"/>
          <w:szCs w:val="24"/>
          <w:lang w:bidi="en-US"/>
        </w:rPr>
        <w:t>a quo</w:t>
      </w:r>
      <w:r w:rsidR="00130A6A" w:rsidRPr="00186F1F">
        <w:rPr>
          <w:rFonts w:ascii="Times New Roman" w:eastAsia="Cambria" w:hAnsi="Times New Roman" w:cs="Times New Roman"/>
          <w:sz w:val="24"/>
          <w:szCs w:val="24"/>
          <w:lang w:bidi="en-US"/>
        </w:rPr>
        <w:t xml:space="preserve"> stated as follows with regards to this Act:-</w:t>
      </w:r>
    </w:p>
    <w:p w:rsidR="00130A6A" w:rsidRPr="00186F1F" w:rsidRDefault="00130A6A" w:rsidP="007B3D7A">
      <w:pPr>
        <w:tabs>
          <w:tab w:val="left" w:pos="6288"/>
        </w:tabs>
        <w:spacing w:after="0" w:line="240" w:lineRule="auto"/>
        <w:ind w:left="567"/>
        <w:contextualSpacing/>
        <w:jc w:val="both"/>
        <w:rPr>
          <w:rFonts w:ascii="Times New Roman" w:eastAsia="Cambria" w:hAnsi="Times New Roman" w:cs="Times New Roman"/>
          <w:sz w:val="24"/>
          <w:szCs w:val="24"/>
          <w:lang w:bidi="en-US"/>
        </w:rPr>
      </w:pPr>
      <w:r w:rsidRPr="00186F1F">
        <w:rPr>
          <w:rFonts w:ascii="Times New Roman" w:eastAsia="Cambria" w:hAnsi="Times New Roman" w:cs="Times New Roman"/>
          <w:sz w:val="24"/>
          <w:szCs w:val="24"/>
          <w:lang w:bidi="en-US"/>
        </w:rPr>
        <w:t xml:space="preserve">“None of the arguments raised by the first respondent as detailed earlier in this judgment can be of any avail to the first respondent in the face of the above stated and established facts. It would appear to me that the issue of whether or not the provisions of the Regional, Town and Country Planning Act are applicable and if so with what effect, cannot be of any avail to the respondents in the circumstances of this case. Neither can it be the basis for this court in these proceedings, to declare invalid the agreement of sale in favour of the </w:t>
      </w:r>
      <w:r w:rsidR="00D3001C" w:rsidRPr="00186F1F">
        <w:rPr>
          <w:rFonts w:ascii="Times New Roman" w:eastAsia="Cambria" w:hAnsi="Times New Roman" w:cs="Times New Roman"/>
          <w:sz w:val="24"/>
          <w:szCs w:val="24"/>
          <w:lang w:bidi="en-US"/>
        </w:rPr>
        <w:t xml:space="preserve">applicant. That agreement has not been subjected to scrutiny by this court. The fact is that the applicant is </w:t>
      </w:r>
      <w:r w:rsidR="00D3001C" w:rsidRPr="00186F1F">
        <w:rPr>
          <w:rFonts w:ascii="Times New Roman" w:eastAsia="Cambria" w:hAnsi="Times New Roman" w:cs="Times New Roman"/>
          <w:sz w:val="24"/>
          <w:szCs w:val="24"/>
          <w:lang w:bidi="en-US"/>
        </w:rPr>
        <w:lastRenderedPageBreak/>
        <w:t>currently registered as the owner of the property and there is no basis for this court, in these proceedings, to deny the relief sought by the applicant.</w:t>
      </w:r>
      <w:r w:rsidRPr="00186F1F">
        <w:rPr>
          <w:rFonts w:ascii="Times New Roman" w:eastAsia="Cambria" w:hAnsi="Times New Roman" w:cs="Times New Roman"/>
          <w:sz w:val="24"/>
          <w:szCs w:val="24"/>
          <w:lang w:bidi="en-US"/>
        </w:rPr>
        <w:t>”</w:t>
      </w:r>
    </w:p>
    <w:p w:rsidR="007B3D7A" w:rsidRPr="00186F1F" w:rsidRDefault="007B3D7A" w:rsidP="007B3D7A">
      <w:pPr>
        <w:tabs>
          <w:tab w:val="left" w:pos="6288"/>
        </w:tabs>
        <w:spacing w:after="0" w:line="240" w:lineRule="auto"/>
        <w:ind w:left="567"/>
        <w:contextualSpacing/>
        <w:jc w:val="both"/>
        <w:rPr>
          <w:rFonts w:ascii="Times New Roman" w:eastAsia="Cambria" w:hAnsi="Times New Roman" w:cs="Times New Roman"/>
          <w:sz w:val="24"/>
          <w:szCs w:val="24"/>
          <w:lang w:bidi="en-US"/>
        </w:rPr>
      </w:pPr>
    </w:p>
    <w:p w:rsidR="00130A6A" w:rsidRPr="00186F1F" w:rsidRDefault="00130A6A" w:rsidP="005C62AD">
      <w:pPr>
        <w:tabs>
          <w:tab w:val="left" w:pos="6288"/>
        </w:tabs>
        <w:spacing w:after="0" w:line="360" w:lineRule="auto"/>
        <w:contextualSpacing/>
        <w:jc w:val="both"/>
        <w:rPr>
          <w:rFonts w:ascii="Times New Roman" w:eastAsia="Cambria" w:hAnsi="Times New Roman" w:cs="Times New Roman"/>
          <w:sz w:val="24"/>
          <w:szCs w:val="24"/>
          <w:lang w:bidi="en-US"/>
        </w:rPr>
      </w:pPr>
    </w:p>
    <w:p w:rsidR="00130A6A" w:rsidRPr="00186F1F" w:rsidRDefault="007B3D7A" w:rsidP="007B3D7A">
      <w:pPr>
        <w:tabs>
          <w:tab w:val="left" w:pos="1134"/>
          <w:tab w:val="left" w:pos="6288"/>
        </w:tabs>
        <w:spacing w:after="0" w:line="480" w:lineRule="auto"/>
        <w:contextualSpacing/>
        <w:jc w:val="both"/>
        <w:rPr>
          <w:rFonts w:ascii="Times New Roman" w:eastAsia="Cambria" w:hAnsi="Times New Roman" w:cs="Times New Roman"/>
          <w:sz w:val="24"/>
          <w:szCs w:val="24"/>
          <w:lang w:bidi="en-US"/>
        </w:rPr>
      </w:pPr>
      <w:r w:rsidRPr="00186F1F">
        <w:rPr>
          <w:rFonts w:ascii="Times New Roman" w:eastAsia="Cambria" w:hAnsi="Times New Roman" w:cs="Times New Roman"/>
          <w:sz w:val="24"/>
          <w:szCs w:val="24"/>
          <w:lang w:bidi="en-US"/>
        </w:rPr>
        <w:tab/>
      </w:r>
      <w:r w:rsidR="00130A6A" w:rsidRPr="00186F1F">
        <w:rPr>
          <w:rFonts w:ascii="Times New Roman" w:eastAsia="Cambria" w:hAnsi="Times New Roman" w:cs="Times New Roman"/>
          <w:sz w:val="24"/>
          <w:szCs w:val="24"/>
          <w:lang w:bidi="en-US"/>
        </w:rPr>
        <w:t xml:space="preserve">The above is what the court </w:t>
      </w:r>
      <w:r w:rsidR="00130A6A" w:rsidRPr="00186F1F">
        <w:rPr>
          <w:rFonts w:ascii="Times New Roman" w:eastAsia="Cambria" w:hAnsi="Times New Roman" w:cs="Times New Roman"/>
          <w:i/>
          <w:sz w:val="24"/>
          <w:szCs w:val="24"/>
          <w:lang w:bidi="en-US"/>
        </w:rPr>
        <w:t>a quo</w:t>
      </w:r>
      <w:r w:rsidR="00130A6A" w:rsidRPr="00186F1F">
        <w:rPr>
          <w:rFonts w:ascii="Times New Roman" w:eastAsia="Cambria" w:hAnsi="Times New Roman" w:cs="Times New Roman"/>
          <w:sz w:val="24"/>
          <w:szCs w:val="24"/>
          <w:lang w:bidi="en-US"/>
        </w:rPr>
        <w:t xml:space="preserve"> said with regards to the Act in question. It did not make any findings that the Act did </w:t>
      </w:r>
      <w:r w:rsidR="003759DA">
        <w:rPr>
          <w:rFonts w:ascii="Times New Roman" w:eastAsia="Cambria" w:hAnsi="Times New Roman" w:cs="Times New Roman"/>
          <w:sz w:val="24"/>
          <w:szCs w:val="24"/>
          <w:lang w:bidi="en-US"/>
        </w:rPr>
        <w:t>not apply but rather that it would not</w:t>
      </w:r>
      <w:r w:rsidR="00130A6A" w:rsidRPr="00186F1F">
        <w:rPr>
          <w:rFonts w:ascii="Times New Roman" w:eastAsia="Cambria" w:hAnsi="Times New Roman" w:cs="Times New Roman"/>
          <w:sz w:val="24"/>
          <w:szCs w:val="24"/>
          <w:lang w:bidi="en-US"/>
        </w:rPr>
        <w:t xml:space="preserve"> delve into whether or not it applied in view of its findings pertaining to the registration of the </w:t>
      </w:r>
      <w:r w:rsidR="00B73CC7" w:rsidRPr="00186F1F">
        <w:rPr>
          <w:rFonts w:ascii="Times New Roman" w:eastAsia="Cambria" w:hAnsi="Times New Roman" w:cs="Times New Roman"/>
          <w:sz w:val="24"/>
          <w:szCs w:val="24"/>
          <w:lang w:bidi="en-US"/>
        </w:rPr>
        <w:t>first</w:t>
      </w:r>
      <w:r w:rsidR="00E9378C" w:rsidRPr="00186F1F">
        <w:rPr>
          <w:rFonts w:ascii="Times New Roman" w:eastAsia="Cambria" w:hAnsi="Times New Roman" w:cs="Times New Roman"/>
          <w:sz w:val="24"/>
          <w:szCs w:val="24"/>
          <w:lang w:bidi="en-US"/>
        </w:rPr>
        <w:t xml:space="preserve"> respondent’s </w:t>
      </w:r>
      <w:r w:rsidR="00130A6A" w:rsidRPr="00186F1F">
        <w:rPr>
          <w:rFonts w:ascii="Times New Roman" w:eastAsia="Cambria" w:hAnsi="Times New Roman" w:cs="Times New Roman"/>
          <w:sz w:val="24"/>
          <w:szCs w:val="24"/>
          <w:lang w:bidi="en-US"/>
        </w:rPr>
        <w:t>title that preceded that of the appellant which showed that he was the owner of the said property</w:t>
      </w:r>
      <w:r w:rsidRPr="00186F1F">
        <w:rPr>
          <w:rFonts w:ascii="Times New Roman" w:eastAsia="Cambria" w:hAnsi="Times New Roman" w:cs="Times New Roman"/>
          <w:sz w:val="24"/>
          <w:szCs w:val="24"/>
          <w:lang w:bidi="en-US"/>
        </w:rPr>
        <w:t xml:space="preserve"> as of</w:t>
      </w:r>
      <w:r w:rsidR="00E45657" w:rsidRPr="00186F1F">
        <w:rPr>
          <w:rFonts w:ascii="Times New Roman" w:eastAsia="Cambria" w:hAnsi="Times New Roman" w:cs="Times New Roman"/>
          <w:sz w:val="24"/>
          <w:szCs w:val="24"/>
          <w:lang w:bidi="en-US"/>
        </w:rPr>
        <w:t xml:space="preserve"> 2</w:t>
      </w:r>
      <w:r w:rsidR="004C1236">
        <w:rPr>
          <w:rFonts w:ascii="Times New Roman" w:eastAsia="Cambria" w:hAnsi="Times New Roman" w:cs="Times New Roman"/>
          <w:sz w:val="24"/>
          <w:szCs w:val="24"/>
          <w:lang w:bidi="en-US"/>
        </w:rPr>
        <w:t> </w:t>
      </w:r>
      <w:r w:rsidRPr="00186F1F">
        <w:rPr>
          <w:rFonts w:ascii="Times New Roman" w:eastAsia="Cambria" w:hAnsi="Times New Roman" w:cs="Times New Roman"/>
          <w:sz w:val="24"/>
          <w:szCs w:val="24"/>
          <w:lang w:bidi="en-US"/>
        </w:rPr>
        <w:t>April </w:t>
      </w:r>
      <w:r w:rsidR="00E9378C" w:rsidRPr="00186F1F">
        <w:rPr>
          <w:rFonts w:ascii="Times New Roman" w:eastAsia="Cambria" w:hAnsi="Times New Roman" w:cs="Times New Roman"/>
          <w:sz w:val="24"/>
          <w:szCs w:val="24"/>
          <w:lang w:bidi="en-US"/>
        </w:rPr>
        <w:t>2007</w:t>
      </w:r>
      <w:r w:rsidR="00130A6A" w:rsidRPr="00186F1F">
        <w:rPr>
          <w:rFonts w:ascii="Times New Roman" w:eastAsia="Cambria" w:hAnsi="Times New Roman" w:cs="Times New Roman"/>
          <w:sz w:val="24"/>
          <w:szCs w:val="24"/>
          <w:lang w:bidi="en-US"/>
        </w:rPr>
        <w:t xml:space="preserve">. </w:t>
      </w:r>
      <w:r w:rsidR="007D5717" w:rsidRPr="00186F1F">
        <w:rPr>
          <w:rFonts w:ascii="Times New Roman" w:eastAsia="Cambria" w:hAnsi="Times New Roman" w:cs="Times New Roman"/>
          <w:sz w:val="24"/>
          <w:szCs w:val="24"/>
          <w:lang w:bidi="en-US"/>
        </w:rPr>
        <w:t xml:space="preserve">Such registration of title was done with the authority of the executrix. </w:t>
      </w:r>
      <w:r w:rsidR="0089284F" w:rsidRPr="00186F1F">
        <w:rPr>
          <w:rFonts w:ascii="Times New Roman" w:eastAsia="Cambria" w:hAnsi="Times New Roman" w:cs="Times New Roman"/>
          <w:sz w:val="24"/>
          <w:szCs w:val="24"/>
          <w:lang w:bidi="en-US"/>
        </w:rPr>
        <w:t xml:space="preserve">The facts of the case did not call for such a determination. </w:t>
      </w:r>
      <w:r w:rsidR="00130A6A" w:rsidRPr="00186F1F">
        <w:rPr>
          <w:rFonts w:ascii="Times New Roman" w:eastAsia="Cambria" w:hAnsi="Times New Roman" w:cs="Times New Roman"/>
          <w:sz w:val="24"/>
          <w:szCs w:val="24"/>
          <w:lang w:bidi="en-US"/>
        </w:rPr>
        <w:t xml:space="preserve">A reading of the judgment of the court </w:t>
      </w:r>
      <w:r w:rsidR="00130A6A" w:rsidRPr="00186F1F">
        <w:rPr>
          <w:rFonts w:ascii="Times New Roman" w:eastAsia="Cambria" w:hAnsi="Times New Roman" w:cs="Times New Roman"/>
          <w:i/>
          <w:sz w:val="24"/>
          <w:szCs w:val="24"/>
          <w:lang w:bidi="en-US"/>
        </w:rPr>
        <w:t>a quo</w:t>
      </w:r>
      <w:r w:rsidR="00130A6A" w:rsidRPr="00186F1F">
        <w:rPr>
          <w:rFonts w:ascii="Times New Roman" w:eastAsia="Cambria" w:hAnsi="Times New Roman" w:cs="Times New Roman"/>
          <w:sz w:val="24"/>
          <w:szCs w:val="24"/>
          <w:lang w:bidi="en-US"/>
        </w:rPr>
        <w:t xml:space="preserve"> shows that the court did not make any determination on whethe</w:t>
      </w:r>
      <w:r w:rsidR="00D16A35">
        <w:rPr>
          <w:rFonts w:ascii="Times New Roman" w:eastAsia="Cambria" w:hAnsi="Times New Roman" w:cs="Times New Roman"/>
          <w:sz w:val="24"/>
          <w:szCs w:val="24"/>
          <w:lang w:bidi="en-US"/>
        </w:rPr>
        <w:t>r or not the Act was applicable in this case</w:t>
      </w:r>
      <w:r w:rsidR="00130A6A" w:rsidRPr="004C1236">
        <w:rPr>
          <w:rFonts w:ascii="Times New Roman" w:eastAsia="Cambria" w:hAnsi="Times New Roman" w:cs="Times New Roman"/>
          <w:color w:val="FF0000"/>
          <w:sz w:val="24"/>
          <w:szCs w:val="24"/>
          <w:lang w:bidi="en-US"/>
        </w:rPr>
        <w:t xml:space="preserve"> </w:t>
      </w:r>
      <w:r w:rsidR="00130A6A" w:rsidRPr="00186F1F">
        <w:rPr>
          <w:rFonts w:ascii="Times New Roman" w:eastAsia="Cambria" w:hAnsi="Times New Roman" w:cs="Times New Roman"/>
          <w:sz w:val="24"/>
          <w:szCs w:val="24"/>
          <w:lang w:bidi="en-US"/>
        </w:rPr>
        <w:t xml:space="preserve">hence the allegation by the appellant pertaining </w:t>
      </w:r>
      <w:r w:rsidR="00D3001C" w:rsidRPr="00186F1F">
        <w:rPr>
          <w:rFonts w:ascii="Times New Roman" w:eastAsia="Cambria" w:hAnsi="Times New Roman" w:cs="Times New Roman"/>
          <w:sz w:val="24"/>
          <w:szCs w:val="24"/>
          <w:lang w:bidi="en-US"/>
        </w:rPr>
        <w:t xml:space="preserve">to </w:t>
      </w:r>
      <w:r w:rsidR="00130A6A" w:rsidRPr="00186F1F">
        <w:rPr>
          <w:rFonts w:ascii="Times New Roman" w:eastAsia="Cambria" w:hAnsi="Times New Roman" w:cs="Times New Roman"/>
          <w:sz w:val="24"/>
          <w:szCs w:val="24"/>
          <w:lang w:bidi="en-US"/>
        </w:rPr>
        <w:t xml:space="preserve">this issue is misplaced and this ground of appeal </w:t>
      </w:r>
      <w:r w:rsidR="00D3001C" w:rsidRPr="00186F1F">
        <w:rPr>
          <w:rFonts w:ascii="Times New Roman" w:eastAsia="Cambria" w:hAnsi="Times New Roman" w:cs="Times New Roman"/>
          <w:sz w:val="24"/>
          <w:szCs w:val="24"/>
          <w:lang w:bidi="en-US"/>
        </w:rPr>
        <w:t>lacks merit and so must</w:t>
      </w:r>
      <w:r w:rsidR="00130A6A" w:rsidRPr="00186F1F">
        <w:rPr>
          <w:rFonts w:ascii="Times New Roman" w:eastAsia="Cambria" w:hAnsi="Times New Roman" w:cs="Times New Roman"/>
          <w:sz w:val="24"/>
          <w:szCs w:val="24"/>
          <w:lang w:bidi="en-US"/>
        </w:rPr>
        <w:t xml:space="preserve"> fail.</w:t>
      </w:r>
    </w:p>
    <w:p w:rsidR="00130A6A" w:rsidRPr="00186F1F" w:rsidRDefault="00130A6A" w:rsidP="005C62AD">
      <w:pPr>
        <w:tabs>
          <w:tab w:val="left" w:pos="6288"/>
        </w:tabs>
        <w:spacing w:after="0" w:line="360" w:lineRule="auto"/>
        <w:contextualSpacing/>
        <w:jc w:val="both"/>
        <w:rPr>
          <w:rFonts w:ascii="Times New Roman" w:eastAsia="Cambria" w:hAnsi="Times New Roman" w:cs="Times New Roman"/>
          <w:b/>
          <w:sz w:val="24"/>
          <w:szCs w:val="24"/>
          <w:lang w:bidi="en-US"/>
        </w:rPr>
      </w:pPr>
    </w:p>
    <w:p w:rsidR="007B3D7A" w:rsidRDefault="00130A6A" w:rsidP="00E45657">
      <w:pPr>
        <w:numPr>
          <w:ilvl w:val="0"/>
          <w:numId w:val="4"/>
        </w:numPr>
        <w:tabs>
          <w:tab w:val="left" w:pos="6288"/>
        </w:tabs>
        <w:spacing w:after="0" w:line="240" w:lineRule="auto"/>
        <w:ind w:left="714" w:hanging="357"/>
        <w:contextualSpacing/>
        <w:jc w:val="both"/>
        <w:rPr>
          <w:rFonts w:ascii="Times New Roman" w:eastAsia="Cambria" w:hAnsi="Times New Roman" w:cs="Times New Roman"/>
          <w:b/>
          <w:sz w:val="24"/>
          <w:szCs w:val="24"/>
          <w:lang w:bidi="en-US"/>
        </w:rPr>
      </w:pPr>
      <w:r w:rsidRPr="00186F1F">
        <w:rPr>
          <w:rFonts w:ascii="Times New Roman" w:eastAsia="Cambria" w:hAnsi="Times New Roman" w:cs="Times New Roman"/>
          <w:b/>
          <w:sz w:val="24"/>
          <w:szCs w:val="24"/>
          <w:lang w:bidi="en-US"/>
        </w:rPr>
        <w:t xml:space="preserve">Whether or not the court </w:t>
      </w:r>
      <w:r w:rsidRPr="00186F1F">
        <w:rPr>
          <w:rFonts w:ascii="Times New Roman" w:eastAsia="Cambria" w:hAnsi="Times New Roman" w:cs="Times New Roman"/>
          <w:b/>
          <w:i/>
          <w:sz w:val="24"/>
          <w:szCs w:val="24"/>
          <w:lang w:bidi="en-US"/>
        </w:rPr>
        <w:t>a quo</w:t>
      </w:r>
      <w:r w:rsidRPr="00186F1F">
        <w:rPr>
          <w:rFonts w:ascii="Times New Roman" w:eastAsia="Cambria" w:hAnsi="Times New Roman" w:cs="Times New Roman"/>
          <w:b/>
          <w:sz w:val="24"/>
          <w:szCs w:val="24"/>
          <w:lang w:bidi="en-US"/>
        </w:rPr>
        <w:t xml:space="preserve"> erred in invalidating the </w:t>
      </w:r>
      <w:r w:rsidR="00D3001C" w:rsidRPr="00186F1F">
        <w:rPr>
          <w:rFonts w:ascii="Times New Roman" w:eastAsia="Cambria" w:hAnsi="Times New Roman" w:cs="Times New Roman"/>
          <w:b/>
          <w:sz w:val="24"/>
          <w:szCs w:val="24"/>
          <w:lang w:bidi="en-US"/>
        </w:rPr>
        <w:t xml:space="preserve">agreement of sale </w:t>
      </w:r>
      <w:r w:rsidR="005F35DC" w:rsidRPr="00186F1F">
        <w:rPr>
          <w:rFonts w:ascii="Times New Roman" w:eastAsia="Cambria" w:hAnsi="Times New Roman" w:cs="Times New Roman"/>
          <w:b/>
          <w:sz w:val="24"/>
          <w:szCs w:val="24"/>
          <w:lang w:bidi="en-US"/>
        </w:rPr>
        <w:t>between</w:t>
      </w:r>
      <w:r w:rsidR="00D3001C" w:rsidRPr="00186F1F">
        <w:rPr>
          <w:rFonts w:ascii="Times New Roman" w:eastAsia="Cambria" w:hAnsi="Times New Roman" w:cs="Times New Roman"/>
          <w:b/>
          <w:sz w:val="24"/>
          <w:szCs w:val="24"/>
          <w:lang w:bidi="en-US"/>
        </w:rPr>
        <w:t xml:space="preserve"> the </w:t>
      </w:r>
      <w:r w:rsidR="00F6026C" w:rsidRPr="00186F1F">
        <w:rPr>
          <w:rFonts w:ascii="Times New Roman" w:eastAsia="Cambria" w:hAnsi="Times New Roman" w:cs="Times New Roman"/>
          <w:b/>
          <w:sz w:val="24"/>
          <w:szCs w:val="24"/>
          <w:lang w:bidi="en-US"/>
        </w:rPr>
        <w:t>second</w:t>
      </w:r>
      <w:r w:rsidR="00D3001C" w:rsidRPr="00186F1F">
        <w:rPr>
          <w:rFonts w:ascii="Times New Roman" w:eastAsia="Cambria" w:hAnsi="Times New Roman" w:cs="Times New Roman"/>
          <w:b/>
          <w:sz w:val="24"/>
          <w:szCs w:val="24"/>
          <w:lang w:bidi="en-US"/>
        </w:rPr>
        <w:t xml:space="preserve"> </w:t>
      </w:r>
      <w:r w:rsidR="005F35DC" w:rsidRPr="00186F1F">
        <w:rPr>
          <w:rFonts w:ascii="Times New Roman" w:eastAsia="Cambria" w:hAnsi="Times New Roman" w:cs="Times New Roman"/>
          <w:b/>
          <w:sz w:val="24"/>
          <w:szCs w:val="24"/>
          <w:lang w:bidi="en-US"/>
        </w:rPr>
        <w:t>respondent</w:t>
      </w:r>
      <w:r w:rsidR="00D3001C" w:rsidRPr="00186F1F">
        <w:rPr>
          <w:rFonts w:ascii="Times New Roman" w:eastAsia="Cambria" w:hAnsi="Times New Roman" w:cs="Times New Roman"/>
          <w:b/>
          <w:sz w:val="24"/>
          <w:szCs w:val="24"/>
          <w:lang w:bidi="en-US"/>
        </w:rPr>
        <w:t xml:space="preserve"> and the appellant, and the </w:t>
      </w:r>
      <w:r w:rsidRPr="00186F1F">
        <w:rPr>
          <w:rFonts w:ascii="Times New Roman" w:eastAsia="Cambria" w:hAnsi="Times New Roman" w:cs="Times New Roman"/>
          <w:b/>
          <w:sz w:val="24"/>
          <w:szCs w:val="24"/>
          <w:lang w:bidi="en-US"/>
        </w:rPr>
        <w:t>appoin</w:t>
      </w:r>
      <w:r w:rsidR="005F35DC" w:rsidRPr="00186F1F">
        <w:rPr>
          <w:rFonts w:ascii="Times New Roman" w:eastAsia="Cambria" w:hAnsi="Times New Roman" w:cs="Times New Roman"/>
          <w:b/>
          <w:sz w:val="24"/>
          <w:szCs w:val="24"/>
          <w:lang w:bidi="en-US"/>
        </w:rPr>
        <w:t xml:space="preserve">tment of </w:t>
      </w:r>
      <w:r w:rsidR="00F6026C" w:rsidRPr="00186F1F">
        <w:rPr>
          <w:rFonts w:ascii="Times New Roman" w:eastAsia="Cambria" w:hAnsi="Times New Roman" w:cs="Times New Roman"/>
          <w:b/>
          <w:sz w:val="24"/>
          <w:szCs w:val="24"/>
          <w:lang w:bidi="en-US"/>
        </w:rPr>
        <w:t>third</w:t>
      </w:r>
      <w:r w:rsidR="005F35DC" w:rsidRPr="00186F1F">
        <w:rPr>
          <w:rFonts w:ascii="Times New Roman" w:eastAsia="Cambria" w:hAnsi="Times New Roman" w:cs="Times New Roman"/>
          <w:b/>
          <w:sz w:val="24"/>
          <w:szCs w:val="24"/>
          <w:lang w:bidi="en-US"/>
        </w:rPr>
        <w:t xml:space="preserve"> respondent as</w:t>
      </w:r>
      <w:r w:rsidRPr="00186F1F">
        <w:rPr>
          <w:rFonts w:ascii="Times New Roman" w:eastAsia="Cambria" w:hAnsi="Times New Roman" w:cs="Times New Roman"/>
          <w:b/>
          <w:sz w:val="24"/>
          <w:szCs w:val="24"/>
          <w:lang w:bidi="en-US"/>
        </w:rPr>
        <w:t xml:space="preserve"> executor </w:t>
      </w:r>
      <w:r w:rsidRPr="00186F1F">
        <w:rPr>
          <w:rFonts w:ascii="Times New Roman" w:eastAsia="Cambria" w:hAnsi="Times New Roman" w:cs="Times New Roman"/>
          <w:b/>
          <w:i/>
          <w:sz w:val="24"/>
          <w:szCs w:val="24"/>
          <w:lang w:bidi="en-US"/>
        </w:rPr>
        <w:t>dative</w:t>
      </w:r>
      <w:r w:rsidR="000F1A7D" w:rsidRPr="00186F1F">
        <w:rPr>
          <w:rFonts w:ascii="Times New Roman" w:eastAsia="Cambria" w:hAnsi="Times New Roman" w:cs="Times New Roman"/>
          <w:b/>
          <w:sz w:val="24"/>
          <w:szCs w:val="24"/>
          <w:lang w:bidi="en-US"/>
        </w:rPr>
        <w:t xml:space="preserve"> and </w:t>
      </w:r>
      <w:r w:rsidR="005F35DC" w:rsidRPr="00186F1F">
        <w:rPr>
          <w:rFonts w:ascii="Times New Roman" w:eastAsia="Cambria" w:hAnsi="Times New Roman" w:cs="Times New Roman"/>
          <w:b/>
          <w:sz w:val="24"/>
          <w:szCs w:val="24"/>
          <w:lang w:bidi="en-US"/>
        </w:rPr>
        <w:t xml:space="preserve">nullifying his </w:t>
      </w:r>
      <w:r w:rsidR="003B3DE3" w:rsidRPr="00186F1F">
        <w:rPr>
          <w:rFonts w:ascii="Times New Roman" w:eastAsia="Cambria" w:hAnsi="Times New Roman" w:cs="Times New Roman"/>
          <w:b/>
          <w:sz w:val="24"/>
          <w:szCs w:val="24"/>
          <w:lang w:bidi="en-US"/>
        </w:rPr>
        <w:t>subsequent</w:t>
      </w:r>
      <w:r w:rsidR="000F1A7D" w:rsidRPr="00186F1F">
        <w:rPr>
          <w:rFonts w:ascii="Times New Roman" w:eastAsia="Cambria" w:hAnsi="Times New Roman" w:cs="Times New Roman"/>
          <w:b/>
          <w:sz w:val="24"/>
          <w:szCs w:val="24"/>
          <w:lang w:bidi="en-US"/>
        </w:rPr>
        <w:t xml:space="preserve"> </w:t>
      </w:r>
      <w:r w:rsidR="003B3DE3" w:rsidRPr="00186F1F">
        <w:rPr>
          <w:rFonts w:ascii="Times New Roman" w:eastAsia="Cambria" w:hAnsi="Times New Roman" w:cs="Times New Roman"/>
          <w:b/>
          <w:sz w:val="24"/>
          <w:szCs w:val="24"/>
          <w:lang w:bidi="en-US"/>
        </w:rPr>
        <w:t>actions.</w:t>
      </w:r>
    </w:p>
    <w:p w:rsidR="00FC1096" w:rsidRPr="00186F1F" w:rsidRDefault="00FC1096" w:rsidP="00FC1096">
      <w:pPr>
        <w:tabs>
          <w:tab w:val="left" w:pos="6288"/>
        </w:tabs>
        <w:spacing w:after="0" w:line="240" w:lineRule="auto"/>
        <w:ind w:left="714"/>
        <w:contextualSpacing/>
        <w:jc w:val="both"/>
        <w:rPr>
          <w:rFonts w:ascii="Times New Roman" w:eastAsia="Cambria" w:hAnsi="Times New Roman" w:cs="Times New Roman"/>
          <w:b/>
          <w:sz w:val="24"/>
          <w:szCs w:val="24"/>
          <w:lang w:bidi="en-US"/>
        </w:rPr>
      </w:pPr>
    </w:p>
    <w:p w:rsidR="007B3D7A" w:rsidRPr="00186F1F" w:rsidRDefault="007B3D7A" w:rsidP="009F0CBF">
      <w:pPr>
        <w:tabs>
          <w:tab w:val="left" w:pos="6288"/>
        </w:tabs>
        <w:spacing w:after="0" w:line="360" w:lineRule="auto"/>
        <w:ind w:left="720"/>
        <w:contextualSpacing/>
        <w:jc w:val="both"/>
        <w:rPr>
          <w:rFonts w:ascii="Times New Roman" w:eastAsia="Cambria" w:hAnsi="Times New Roman" w:cs="Times New Roman"/>
          <w:b/>
          <w:sz w:val="24"/>
          <w:szCs w:val="24"/>
          <w:lang w:bidi="en-US"/>
        </w:rPr>
      </w:pPr>
    </w:p>
    <w:p w:rsidR="0089284F" w:rsidRPr="00186F1F" w:rsidRDefault="007B3D7A" w:rsidP="009F0CBF">
      <w:pPr>
        <w:tabs>
          <w:tab w:val="left" w:pos="1134"/>
          <w:tab w:val="left" w:pos="6288"/>
        </w:tabs>
        <w:spacing w:after="0" w:line="480" w:lineRule="auto"/>
        <w:contextualSpacing/>
        <w:jc w:val="both"/>
        <w:rPr>
          <w:rFonts w:ascii="Times New Roman" w:eastAsia="Cambria" w:hAnsi="Times New Roman" w:cs="Times New Roman"/>
          <w:sz w:val="24"/>
          <w:szCs w:val="24"/>
          <w:lang w:bidi="en-US"/>
        </w:rPr>
      </w:pPr>
      <w:r w:rsidRPr="00186F1F">
        <w:rPr>
          <w:rFonts w:ascii="Times New Roman" w:eastAsia="Cambria" w:hAnsi="Times New Roman" w:cs="Times New Roman"/>
          <w:sz w:val="24"/>
          <w:szCs w:val="24"/>
          <w:lang w:bidi="en-US"/>
        </w:rPr>
        <w:tab/>
      </w:r>
      <w:r w:rsidR="00130A6A" w:rsidRPr="00186F1F">
        <w:rPr>
          <w:rFonts w:ascii="Times New Roman" w:eastAsia="Cambria" w:hAnsi="Times New Roman" w:cs="Times New Roman"/>
          <w:sz w:val="24"/>
          <w:szCs w:val="24"/>
          <w:lang w:bidi="en-US"/>
        </w:rPr>
        <w:t xml:space="preserve">In the third ground </w:t>
      </w:r>
      <w:r w:rsidR="00E45657" w:rsidRPr="00186F1F">
        <w:rPr>
          <w:rFonts w:ascii="Times New Roman" w:eastAsia="Cambria" w:hAnsi="Times New Roman" w:cs="Times New Roman"/>
          <w:sz w:val="24"/>
          <w:szCs w:val="24"/>
          <w:lang w:bidi="en-US"/>
        </w:rPr>
        <w:t>of appeal the appellant alleged</w:t>
      </w:r>
      <w:r w:rsidR="00130A6A" w:rsidRPr="00186F1F">
        <w:rPr>
          <w:rFonts w:ascii="Times New Roman" w:eastAsia="Cambria" w:hAnsi="Times New Roman" w:cs="Times New Roman"/>
          <w:sz w:val="24"/>
          <w:szCs w:val="24"/>
          <w:lang w:bidi="en-US"/>
        </w:rPr>
        <w:t xml:space="preserve"> that the learned judge </w:t>
      </w:r>
      <w:r w:rsidR="00130A6A" w:rsidRPr="00186F1F">
        <w:rPr>
          <w:rFonts w:ascii="Times New Roman" w:eastAsia="Cambria" w:hAnsi="Times New Roman" w:cs="Times New Roman"/>
          <w:i/>
          <w:sz w:val="24"/>
          <w:szCs w:val="24"/>
          <w:lang w:bidi="en-US"/>
        </w:rPr>
        <w:t>a quo</w:t>
      </w:r>
      <w:r w:rsidR="00130A6A" w:rsidRPr="00186F1F">
        <w:rPr>
          <w:rFonts w:ascii="Times New Roman" w:eastAsia="Cambria" w:hAnsi="Times New Roman" w:cs="Times New Roman"/>
          <w:sz w:val="24"/>
          <w:szCs w:val="24"/>
          <w:lang w:bidi="en-US"/>
        </w:rPr>
        <w:t xml:space="preserve"> erred at l</w:t>
      </w:r>
      <w:r w:rsidR="005F35DC" w:rsidRPr="00186F1F">
        <w:rPr>
          <w:rFonts w:ascii="Times New Roman" w:eastAsia="Cambria" w:hAnsi="Times New Roman" w:cs="Times New Roman"/>
          <w:sz w:val="24"/>
          <w:szCs w:val="24"/>
          <w:lang w:bidi="en-US"/>
        </w:rPr>
        <w:t>aw in invalidating the appointment of the</w:t>
      </w:r>
      <w:r w:rsidR="00130A6A" w:rsidRPr="00186F1F">
        <w:rPr>
          <w:rFonts w:ascii="Times New Roman" w:eastAsia="Cambria" w:hAnsi="Times New Roman" w:cs="Times New Roman"/>
          <w:sz w:val="24"/>
          <w:szCs w:val="24"/>
          <w:lang w:bidi="en-US"/>
        </w:rPr>
        <w:t xml:space="preserve"> executor </w:t>
      </w:r>
      <w:r w:rsidR="00130A6A" w:rsidRPr="00186F1F">
        <w:rPr>
          <w:rFonts w:ascii="Times New Roman" w:eastAsia="Cambria" w:hAnsi="Times New Roman" w:cs="Times New Roman"/>
          <w:i/>
          <w:sz w:val="24"/>
          <w:szCs w:val="24"/>
          <w:lang w:bidi="en-US"/>
        </w:rPr>
        <w:t>dative</w:t>
      </w:r>
      <w:r w:rsidR="00130A6A" w:rsidRPr="00186F1F">
        <w:rPr>
          <w:rFonts w:ascii="Times New Roman" w:eastAsia="Cambria" w:hAnsi="Times New Roman" w:cs="Times New Roman"/>
          <w:sz w:val="24"/>
          <w:szCs w:val="24"/>
          <w:lang w:bidi="en-US"/>
        </w:rPr>
        <w:t xml:space="preserve"> and setting aside his actions when such an appointment was a legal requirement for the purposes of transferring property into </w:t>
      </w:r>
      <w:r w:rsidR="00E45657" w:rsidRPr="00186F1F">
        <w:rPr>
          <w:rFonts w:ascii="Times New Roman" w:eastAsia="Cambria" w:hAnsi="Times New Roman" w:cs="Times New Roman"/>
          <w:sz w:val="24"/>
          <w:szCs w:val="24"/>
          <w:lang w:bidi="en-US"/>
        </w:rPr>
        <w:t xml:space="preserve">the </w:t>
      </w:r>
      <w:r w:rsidR="00130A6A" w:rsidRPr="00186F1F">
        <w:rPr>
          <w:rFonts w:ascii="Times New Roman" w:eastAsia="Cambria" w:hAnsi="Times New Roman" w:cs="Times New Roman"/>
          <w:sz w:val="24"/>
          <w:szCs w:val="24"/>
          <w:lang w:bidi="en-US"/>
        </w:rPr>
        <w:t>appellant’s name.</w:t>
      </w:r>
      <w:r w:rsidR="000F1A7D" w:rsidRPr="00186F1F">
        <w:rPr>
          <w:rFonts w:ascii="Times New Roman" w:eastAsia="Cambria" w:hAnsi="Times New Roman" w:cs="Times New Roman"/>
          <w:sz w:val="24"/>
          <w:szCs w:val="24"/>
          <w:lang w:bidi="en-US"/>
        </w:rPr>
        <w:t xml:space="preserve"> I</w:t>
      </w:r>
      <w:r w:rsidR="00130A6A" w:rsidRPr="00186F1F">
        <w:rPr>
          <w:rFonts w:ascii="Times New Roman" w:eastAsia="Cambria" w:hAnsi="Times New Roman" w:cs="Times New Roman"/>
          <w:sz w:val="24"/>
          <w:szCs w:val="24"/>
          <w:lang w:bidi="en-US"/>
        </w:rPr>
        <w:t xml:space="preserve">t is my view that the court </w:t>
      </w:r>
      <w:r w:rsidR="00130A6A" w:rsidRPr="00186F1F">
        <w:rPr>
          <w:rFonts w:ascii="Times New Roman" w:eastAsia="Cambria" w:hAnsi="Times New Roman" w:cs="Times New Roman"/>
          <w:i/>
          <w:sz w:val="24"/>
          <w:szCs w:val="24"/>
          <w:lang w:bidi="en-US"/>
        </w:rPr>
        <w:t>a quo</w:t>
      </w:r>
      <w:r w:rsidR="000F1A7D" w:rsidRPr="00186F1F">
        <w:rPr>
          <w:rFonts w:ascii="Times New Roman" w:eastAsia="Cambria" w:hAnsi="Times New Roman" w:cs="Times New Roman"/>
          <w:sz w:val="24"/>
          <w:szCs w:val="24"/>
          <w:lang w:bidi="en-US"/>
        </w:rPr>
        <w:t>’s findings with regard</w:t>
      </w:r>
      <w:r w:rsidR="00130A6A" w:rsidRPr="00186F1F">
        <w:rPr>
          <w:rFonts w:ascii="Times New Roman" w:eastAsia="Cambria" w:hAnsi="Times New Roman" w:cs="Times New Roman"/>
          <w:sz w:val="24"/>
          <w:szCs w:val="24"/>
          <w:lang w:bidi="en-US"/>
        </w:rPr>
        <w:t xml:space="preserve"> to this aspect cannot be faulted. This is so because there was a duly appointed executrix testamentary in terms of the deceased’s will. Such appointment had not been nullified or set aside. The court </w:t>
      </w:r>
      <w:r w:rsidR="00130A6A" w:rsidRPr="00186F1F">
        <w:rPr>
          <w:rFonts w:ascii="Times New Roman" w:eastAsia="Cambria" w:hAnsi="Times New Roman" w:cs="Times New Roman"/>
          <w:i/>
          <w:sz w:val="24"/>
          <w:szCs w:val="24"/>
          <w:lang w:bidi="en-US"/>
        </w:rPr>
        <w:t>a quo</w:t>
      </w:r>
      <w:r w:rsidR="00130A6A" w:rsidRPr="00186F1F">
        <w:rPr>
          <w:rFonts w:ascii="Times New Roman" w:eastAsia="Cambria" w:hAnsi="Times New Roman" w:cs="Times New Roman"/>
          <w:sz w:val="24"/>
          <w:szCs w:val="24"/>
          <w:lang w:bidi="en-US"/>
        </w:rPr>
        <w:t xml:space="preserve"> </w:t>
      </w:r>
      <w:r w:rsidR="0089284F" w:rsidRPr="00186F1F">
        <w:rPr>
          <w:rFonts w:ascii="Times New Roman" w:eastAsia="Cambria" w:hAnsi="Times New Roman" w:cs="Times New Roman"/>
          <w:sz w:val="24"/>
          <w:szCs w:val="24"/>
          <w:lang w:bidi="en-US"/>
        </w:rPr>
        <w:t xml:space="preserve">aptly </w:t>
      </w:r>
      <w:r w:rsidR="00130A6A" w:rsidRPr="00186F1F">
        <w:rPr>
          <w:rFonts w:ascii="Times New Roman" w:eastAsia="Cambria" w:hAnsi="Times New Roman" w:cs="Times New Roman"/>
          <w:sz w:val="24"/>
          <w:szCs w:val="24"/>
          <w:lang w:bidi="en-US"/>
        </w:rPr>
        <w:t>made the following findings in this respect:-</w:t>
      </w:r>
    </w:p>
    <w:p w:rsidR="009327E1" w:rsidRPr="00186F1F" w:rsidRDefault="009327E1" w:rsidP="007B3D7A">
      <w:pPr>
        <w:tabs>
          <w:tab w:val="left" w:pos="6288"/>
        </w:tabs>
        <w:spacing w:after="0" w:line="240" w:lineRule="auto"/>
        <w:ind w:left="567"/>
        <w:contextualSpacing/>
        <w:jc w:val="both"/>
        <w:rPr>
          <w:rFonts w:ascii="Times New Roman" w:eastAsia="Cambria" w:hAnsi="Times New Roman" w:cs="Times New Roman"/>
          <w:i/>
          <w:sz w:val="24"/>
          <w:szCs w:val="24"/>
          <w:lang w:bidi="en-US"/>
        </w:rPr>
      </w:pPr>
      <w:r w:rsidRPr="00186F1F">
        <w:rPr>
          <w:rFonts w:ascii="Times New Roman" w:eastAsia="Cambria" w:hAnsi="Times New Roman" w:cs="Times New Roman"/>
          <w:i/>
          <w:sz w:val="24"/>
          <w:szCs w:val="24"/>
          <w:lang w:bidi="en-US"/>
        </w:rPr>
        <w:t xml:space="preserve"> </w:t>
      </w:r>
      <w:r w:rsidR="00130A6A" w:rsidRPr="00186F1F">
        <w:rPr>
          <w:rFonts w:ascii="Times New Roman" w:eastAsia="Cambria" w:hAnsi="Times New Roman" w:cs="Times New Roman"/>
          <w:sz w:val="24"/>
          <w:szCs w:val="24"/>
          <w:lang w:bidi="en-US"/>
        </w:rPr>
        <w:t>“</w:t>
      </w:r>
      <w:r w:rsidR="0089284F" w:rsidRPr="00186F1F">
        <w:rPr>
          <w:rFonts w:ascii="Times New Roman" w:eastAsia="Cambria" w:hAnsi="Times New Roman" w:cs="Times New Roman"/>
          <w:sz w:val="24"/>
          <w:szCs w:val="24"/>
          <w:lang w:bidi="en-US"/>
        </w:rPr>
        <w:t xml:space="preserve">Firstly, the </w:t>
      </w:r>
      <w:r w:rsidR="00B97ECB" w:rsidRPr="00186F1F">
        <w:rPr>
          <w:rFonts w:ascii="Times New Roman" w:eastAsia="Cambria" w:hAnsi="Times New Roman" w:cs="Times New Roman"/>
          <w:sz w:val="24"/>
          <w:szCs w:val="24"/>
          <w:lang w:bidi="en-US"/>
        </w:rPr>
        <w:t>applicant</w:t>
      </w:r>
      <w:r w:rsidR="0089284F" w:rsidRPr="00186F1F">
        <w:rPr>
          <w:rFonts w:ascii="Times New Roman" w:eastAsia="Cambria" w:hAnsi="Times New Roman" w:cs="Times New Roman"/>
          <w:sz w:val="24"/>
          <w:szCs w:val="24"/>
          <w:lang w:bidi="en-US"/>
        </w:rPr>
        <w:t xml:space="preserve"> purchased the property in issue from the estate</w:t>
      </w:r>
      <w:r w:rsidR="00B97ECB" w:rsidRPr="00186F1F">
        <w:rPr>
          <w:rFonts w:ascii="Times New Roman" w:eastAsia="Cambria" w:hAnsi="Times New Roman" w:cs="Times New Roman"/>
          <w:sz w:val="24"/>
          <w:szCs w:val="24"/>
          <w:lang w:bidi="en-US"/>
        </w:rPr>
        <w:t xml:space="preserve"> </w:t>
      </w:r>
      <w:r w:rsidR="0089284F" w:rsidRPr="00186F1F">
        <w:rPr>
          <w:rFonts w:ascii="Times New Roman" w:eastAsia="Cambria" w:hAnsi="Times New Roman" w:cs="Times New Roman"/>
          <w:sz w:val="24"/>
          <w:szCs w:val="24"/>
          <w:lang w:bidi="en-US"/>
        </w:rPr>
        <w:t>as represented by the executrix testamentary.</w:t>
      </w:r>
      <w:r w:rsidR="00B97ECB" w:rsidRPr="00186F1F">
        <w:rPr>
          <w:rFonts w:ascii="Times New Roman" w:eastAsia="Cambria" w:hAnsi="Times New Roman" w:cs="Times New Roman"/>
          <w:sz w:val="24"/>
          <w:szCs w:val="24"/>
          <w:lang w:bidi="en-US"/>
        </w:rPr>
        <w:t xml:space="preserve"> </w:t>
      </w:r>
      <w:r w:rsidR="00130A6A" w:rsidRPr="00186F1F">
        <w:rPr>
          <w:rFonts w:ascii="Times New Roman" w:eastAsia="Cambria" w:hAnsi="Times New Roman" w:cs="Times New Roman"/>
          <w:sz w:val="24"/>
          <w:szCs w:val="24"/>
          <w:lang w:bidi="en-US"/>
        </w:rPr>
        <w:t>The first respondent</w:t>
      </w:r>
      <w:r w:rsidR="0089284F" w:rsidRPr="00186F1F">
        <w:rPr>
          <w:rFonts w:ascii="Times New Roman" w:eastAsia="Cambria" w:hAnsi="Times New Roman" w:cs="Times New Roman"/>
          <w:sz w:val="24"/>
          <w:szCs w:val="24"/>
          <w:lang w:bidi="en-US"/>
        </w:rPr>
        <w:t>,</w:t>
      </w:r>
      <w:r w:rsidR="00130A6A" w:rsidRPr="00186F1F">
        <w:rPr>
          <w:rFonts w:ascii="Times New Roman" w:eastAsia="Cambria" w:hAnsi="Times New Roman" w:cs="Times New Roman"/>
          <w:sz w:val="24"/>
          <w:szCs w:val="24"/>
          <w:lang w:bidi="en-US"/>
        </w:rPr>
        <w:t xml:space="preserve"> on the other </w:t>
      </w:r>
      <w:r w:rsidR="00B97ECB" w:rsidRPr="00186F1F">
        <w:rPr>
          <w:rFonts w:ascii="Times New Roman" w:eastAsia="Cambria" w:hAnsi="Times New Roman" w:cs="Times New Roman"/>
          <w:sz w:val="24"/>
          <w:szCs w:val="24"/>
          <w:lang w:bidi="en-US"/>
        </w:rPr>
        <w:t>hand,</w:t>
      </w:r>
      <w:r w:rsidR="0089284F" w:rsidRPr="00186F1F">
        <w:rPr>
          <w:rFonts w:ascii="Times New Roman" w:eastAsia="Cambria" w:hAnsi="Times New Roman" w:cs="Times New Roman"/>
          <w:sz w:val="24"/>
          <w:szCs w:val="24"/>
          <w:lang w:bidi="en-US"/>
        </w:rPr>
        <w:t xml:space="preserve"> </w:t>
      </w:r>
      <w:r w:rsidR="00130A6A" w:rsidRPr="00186F1F">
        <w:rPr>
          <w:rFonts w:ascii="Times New Roman" w:eastAsia="Cambria" w:hAnsi="Times New Roman" w:cs="Times New Roman"/>
          <w:sz w:val="24"/>
          <w:szCs w:val="24"/>
          <w:lang w:bidi="en-US"/>
        </w:rPr>
        <w:t xml:space="preserve">purchased the same property purportedly from the same estate but in his case the estate was represented by the executor </w:t>
      </w:r>
      <w:r w:rsidR="00130A6A" w:rsidRPr="00186F1F">
        <w:rPr>
          <w:rFonts w:ascii="Times New Roman" w:eastAsia="Cambria" w:hAnsi="Times New Roman" w:cs="Times New Roman"/>
          <w:i/>
          <w:sz w:val="24"/>
          <w:szCs w:val="24"/>
          <w:lang w:bidi="en-US"/>
        </w:rPr>
        <w:lastRenderedPageBreak/>
        <w:t>dative</w:t>
      </w:r>
      <w:r w:rsidR="00130A6A" w:rsidRPr="00186F1F">
        <w:rPr>
          <w:rFonts w:ascii="Times New Roman" w:eastAsia="Cambria" w:hAnsi="Times New Roman" w:cs="Times New Roman"/>
          <w:sz w:val="24"/>
          <w:szCs w:val="24"/>
          <w:lang w:bidi="en-US"/>
        </w:rPr>
        <w:t xml:space="preserve">. It is an undisputed fact that the executor </w:t>
      </w:r>
      <w:r w:rsidR="00130A6A" w:rsidRPr="00186F1F">
        <w:rPr>
          <w:rFonts w:ascii="Times New Roman" w:eastAsia="Cambria" w:hAnsi="Times New Roman" w:cs="Times New Roman"/>
          <w:i/>
          <w:sz w:val="24"/>
          <w:szCs w:val="24"/>
          <w:lang w:bidi="en-US"/>
        </w:rPr>
        <w:t>dative</w:t>
      </w:r>
      <w:r w:rsidR="00130A6A" w:rsidRPr="00186F1F">
        <w:rPr>
          <w:rFonts w:ascii="Times New Roman" w:eastAsia="Cambria" w:hAnsi="Times New Roman" w:cs="Times New Roman"/>
          <w:sz w:val="24"/>
          <w:szCs w:val="24"/>
          <w:lang w:bidi="en-US"/>
        </w:rPr>
        <w:t xml:space="preserve"> was appointed to the office while the executrix testamentary was still alive, holding office, not incapacitated and still sane. Neither had the executrix testamentary been removed from office. Secondly, the applicant’s agreement of sale preceded that of the first </w:t>
      </w:r>
      <w:r w:rsidR="00C45838" w:rsidRPr="00186F1F">
        <w:rPr>
          <w:rFonts w:ascii="Times New Roman" w:eastAsia="Cambria" w:hAnsi="Times New Roman" w:cs="Times New Roman"/>
          <w:sz w:val="24"/>
          <w:szCs w:val="24"/>
          <w:lang w:bidi="en-US"/>
        </w:rPr>
        <w:t>respondent. Thirdly</w:t>
      </w:r>
      <w:r w:rsidRPr="00186F1F">
        <w:rPr>
          <w:rFonts w:ascii="Times New Roman" w:eastAsia="Cambria" w:hAnsi="Times New Roman" w:cs="Times New Roman"/>
          <w:sz w:val="24"/>
          <w:szCs w:val="24"/>
          <w:lang w:bidi="en-US"/>
        </w:rPr>
        <w:t xml:space="preserve">, it is also </w:t>
      </w:r>
      <w:r w:rsidR="00C45838" w:rsidRPr="00186F1F">
        <w:rPr>
          <w:rFonts w:ascii="Times New Roman" w:eastAsia="Cambria" w:hAnsi="Times New Roman" w:cs="Times New Roman"/>
          <w:sz w:val="24"/>
          <w:szCs w:val="24"/>
          <w:lang w:bidi="en-US"/>
        </w:rPr>
        <w:t>clear from</w:t>
      </w:r>
      <w:r w:rsidRPr="00186F1F">
        <w:rPr>
          <w:rFonts w:ascii="Times New Roman" w:eastAsia="Cambria" w:hAnsi="Times New Roman" w:cs="Times New Roman"/>
          <w:sz w:val="24"/>
          <w:szCs w:val="24"/>
          <w:lang w:bidi="en-US"/>
        </w:rPr>
        <w:t xml:space="preserve"> the papers that the property was registered into the applicant’s name on 2 </w:t>
      </w:r>
      <w:r w:rsidR="00C45838" w:rsidRPr="00186F1F">
        <w:rPr>
          <w:rFonts w:ascii="Times New Roman" w:eastAsia="Cambria" w:hAnsi="Times New Roman" w:cs="Times New Roman"/>
          <w:sz w:val="24"/>
          <w:szCs w:val="24"/>
          <w:lang w:bidi="en-US"/>
        </w:rPr>
        <w:t>April</w:t>
      </w:r>
      <w:r w:rsidRPr="00186F1F">
        <w:rPr>
          <w:rFonts w:ascii="Times New Roman" w:eastAsia="Cambria" w:hAnsi="Times New Roman" w:cs="Times New Roman"/>
          <w:sz w:val="24"/>
          <w:szCs w:val="24"/>
          <w:lang w:bidi="en-US"/>
        </w:rPr>
        <w:t xml:space="preserve"> 2007 by deed of transfer 15</w:t>
      </w:r>
      <w:r w:rsidR="00B97ECB" w:rsidRPr="00186F1F">
        <w:rPr>
          <w:rFonts w:ascii="Times New Roman" w:eastAsia="Cambria" w:hAnsi="Times New Roman" w:cs="Times New Roman"/>
          <w:sz w:val="24"/>
          <w:szCs w:val="24"/>
          <w:lang w:bidi="en-US"/>
        </w:rPr>
        <w:t>97</w:t>
      </w:r>
      <w:r w:rsidRPr="00186F1F">
        <w:rPr>
          <w:rFonts w:ascii="Times New Roman" w:eastAsia="Cambria" w:hAnsi="Times New Roman" w:cs="Times New Roman"/>
          <w:sz w:val="24"/>
          <w:szCs w:val="24"/>
          <w:lang w:bidi="en-US"/>
        </w:rPr>
        <w:t xml:space="preserve">/2007 while the transfer to the first respondent was done 3(three) months later on 4 </w:t>
      </w:r>
      <w:r w:rsidR="00C45838" w:rsidRPr="00186F1F">
        <w:rPr>
          <w:rFonts w:ascii="Times New Roman" w:eastAsia="Cambria" w:hAnsi="Times New Roman" w:cs="Times New Roman"/>
          <w:sz w:val="24"/>
          <w:szCs w:val="24"/>
          <w:lang w:bidi="en-US"/>
        </w:rPr>
        <w:t>July</w:t>
      </w:r>
      <w:r w:rsidRPr="00186F1F">
        <w:rPr>
          <w:rFonts w:ascii="Times New Roman" w:eastAsia="Cambria" w:hAnsi="Times New Roman" w:cs="Times New Roman"/>
          <w:sz w:val="24"/>
          <w:szCs w:val="24"/>
          <w:lang w:bidi="en-US"/>
        </w:rPr>
        <w:t xml:space="preserve"> 2007 by deed of transfer 4079/2007</w:t>
      </w:r>
      <w:r w:rsidRPr="00186F1F">
        <w:rPr>
          <w:rFonts w:ascii="Times New Roman" w:eastAsia="Cambria" w:hAnsi="Times New Roman" w:cs="Times New Roman"/>
          <w:i/>
          <w:sz w:val="24"/>
          <w:szCs w:val="24"/>
          <w:lang w:bidi="en-US"/>
        </w:rPr>
        <w:t>”</w:t>
      </w:r>
    </w:p>
    <w:p w:rsidR="007B3D7A" w:rsidRPr="00186F1F" w:rsidRDefault="007B3D7A" w:rsidP="007B3D7A">
      <w:pPr>
        <w:tabs>
          <w:tab w:val="left" w:pos="6288"/>
        </w:tabs>
        <w:spacing w:after="0" w:line="240" w:lineRule="auto"/>
        <w:ind w:left="567"/>
        <w:contextualSpacing/>
        <w:jc w:val="both"/>
        <w:rPr>
          <w:rFonts w:ascii="Times New Roman" w:eastAsia="Cambria" w:hAnsi="Times New Roman" w:cs="Times New Roman"/>
          <w:i/>
          <w:sz w:val="24"/>
          <w:szCs w:val="24"/>
          <w:lang w:bidi="en-US"/>
        </w:rPr>
      </w:pPr>
    </w:p>
    <w:p w:rsidR="00C45838" w:rsidRPr="00186F1F" w:rsidRDefault="00C45838" w:rsidP="005C62AD">
      <w:pPr>
        <w:tabs>
          <w:tab w:val="left" w:pos="6288"/>
        </w:tabs>
        <w:spacing w:after="0" w:line="360" w:lineRule="auto"/>
        <w:ind w:left="720"/>
        <w:contextualSpacing/>
        <w:jc w:val="both"/>
        <w:rPr>
          <w:rFonts w:ascii="Times New Roman" w:eastAsia="Cambria" w:hAnsi="Times New Roman" w:cs="Times New Roman"/>
          <w:i/>
          <w:sz w:val="24"/>
          <w:szCs w:val="24"/>
          <w:lang w:bidi="en-US"/>
        </w:rPr>
      </w:pPr>
    </w:p>
    <w:p w:rsidR="00C45838" w:rsidRPr="00186F1F" w:rsidRDefault="007B3D7A" w:rsidP="007B3D7A">
      <w:pPr>
        <w:tabs>
          <w:tab w:val="left" w:pos="1134"/>
          <w:tab w:val="left" w:pos="6288"/>
        </w:tabs>
        <w:spacing w:after="0" w:line="480" w:lineRule="auto"/>
        <w:contextualSpacing/>
        <w:jc w:val="both"/>
        <w:rPr>
          <w:rFonts w:ascii="Times New Roman" w:eastAsia="Cambria" w:hAnsi="Times New Roman" w:cs="Times New Roman"/>
          <w:sz w:val="24"/>
          <w:szCs w:val="24"/>
          <w:lang w:bidi="en-US"/>
        </w:rPr>
      </w:pPr>
      <w:r w:rsidRPr="00186F1F">
        <w:rPr>
          <w:rFonts w:ascii="Times New Roman" w:eastAsia="Cambria" w:hAnsi="Times New Roman" w:cs="Times New Roman"/>
          <w:sz w:val="24"/>
          <w:szCs w:val="24"/>
          <w:lang w:bidi="en-US"/>
        </w:rPr>
        <w:tab/>
      </w:r>
      <w:r w:rsidR="009327E1" w:rsidRPr="00186F1F">
        <w:rPr>
          <w:rFonts w:ascii="Times New Roman" w:eastAsia="Cambria" w:hAnsi="Times New Roman" w:cs="Times New Roman"/>
          <w:sz w:val="24"/>
          <w:szCs w:val="24"/>
          <w:lang w:bidi="en-US"/>
        </w:rPr>
        <w:t xml:space="preserve">After discussing the applicable law including </w:t>
      </w:r>
      <w:r w:rsidR="009327E1" w:rsidRPr="00D16A35">
        <w:rPr>
          <w:rFonts w:ascii="Times New Roman" w:eastAsia="Cambria" w:hAnsi="Times New Roman" w:cs="Times New Roman"/>
          <w:i/>
          <w:sz w:val="24"/>
          <w:szCs w:val="24"/>
          <w:lang w:bidi="en-US"/>
        </w:rPr>
        <w:t>ss</w:t>
      </w:r>
      <w:r w:rsidR="009327E1" w:rsidRPr="00186F1F">
        <w:rPr>
          <w:rFonts w:ascii="Times New Roman" w:eastAsia="Cambria" w:hAnsi="Times New Roman" w:cs="Times New Roman"/>
          <w:sz w:val="24"/>
          <w:szCs w:val="24"/>
          <w:lang w:bidi="en-US"/>
        </w:rPr>
        <w:t xml:space="preserve"> 10, 11 and 14 of the De</w:t>
      </w:r>
      <w:r w:rsidR="00E9378C" w:rsidRPr="00186F1F">
        <w:rPr>
          <w:rFonts w:ascii="Times New Roman" w:eastAsia="Cambria" w:hAnsi="Times New Roman" w:cs="Times New Roman"/>
          <w:sz w:val="24"/>
          <w:szCs w:val="24"/>
          <w:lang w:bidi="en-US"/>
        </w:rPr>
        <w:t xml:space="preserve">eds Registries Act, </w:t>
      </w:r>
      <w:r w:rsidR="009327E1" w:rsidRPr="00186F1F">
        <w:rPr>
          <w:rFonts w:ascii="Times New Roman" w:eastAsia="Cambria" w:hAnsi="Times New Roman" w:cs="Times New Roman"/>
          <w:sz w:val="24"/>
          <w:szCs w:val="24"/>
          <w:lang w:bidi="en-US"/>
        </w:rPr>
        <w:t xml:space="preserve"> the court </w:t>
      </w:r>
      <w:r w:rsidR="009327E1" w:rsidRPr="00186F1F">
        <w:rPr>
          <w:rFonts w:ascii="Times New Roman" w:eastAsia="Cambria" w:hAnsi="Times New Roman" w:cs="Times New Roman"/>
          <w:i/>
          <w:sz w:val="24"/>
          <w:szCs w:val="24"/>
          <w:lang w:bidi="en-US"/>
        </w:rPr>
        <w:t>a q</w:t>
      </w:r>
      <w:r w:rsidR="00C45838" w:rsidRPr="00186F1F">
        <w:rPr>
          <w:rFonts w:ascii="Times New Roman" w:eastAsia="Cambria" w:hAnsi="Times New Roman" w:cs="Times New Roman"/>
          <w:i/>
          <w:sz w:val="24"/>
          <w:szCs w:val="24"/>
          <w:lang w:bidi="en-US"/>
        </w:rPr>
        <w:t>u</w:t>
      </w:r>
      <w:r w:rsidR="009327E1" w:rsidRPr="00186F1F">
        <w:rPr>
          <w:rFonts w:ascii="Times New Roman" w:eastAsia="Cambria" w:hAnsi="Times New Roman" w:cs="Times New Roman"/>
          <w:i/>
          <w:sz w:val="24"/>
          <w:szCs w:val="24"/>
          <w:lang w:bidi="en-US"/>
        </w:rPr>
        <w:t>o</w:t>
      </w:r>
      <w:r w:rsidR="00C45838" w:rsidRPr="00186F1F">
        <w:rPr>
          <w:rFonts w:ascii="Times New Roman" w:eastAsia="Cambria" w:hAnsi="Times New Roman" w:cs="Times New Roman"/>
          <w:sz w:val="24"/>
          <w:szCs w:val="24"/>
          <w:lang w:bidi="en-US"/>
        </w:rPr>
        <w:t xml:space="preserve"> proceeded to</w:t>
      </w:r>
      <w:r w:rsidR="00B97ECB" w:rsidRPr="00186F1F">
        <w:rPr>
          <w:rFonts w:ascii="Times New Roman" w:eastAsia="Cambria" w:hAnsi="Times New Roman" w:cs="Times New Roman"/>
          <w:sz w:val="24"/>
          <w:szCs w:val="24"/>
          <w:lang w:bidi="en-US"/>
        </w:rPr>
        <w:t xml:space="preserve"> aptly</w:t>
      </w:r>
      <w:r w:rsidR="004912A2" w:rsidRPr="00186F1F">
        <w:rPr>
          <w:rFonts w:ascii="Times New Roman" w:eastAsia="Cambria" w:hAnsi="Times New Roman" w:cs="Times New Roman"/>
          <w:sz w:val="24"/>
          <w:szCs w:val="24"/>
          <w:lang w:bidi="en-US"/>
        </w:rPr>
        <w:t xml:space="preserve"> conclude that:-</w:t>
      </w:r>
    </w:p>
    <w:p w:rsidR="00B97ECB" w:rsidRPr="00186F1F" w:rsidRDefault="00C45838" w:rsidP="00FF73DA">
      <w:pPr>
        <w:tabs>
          <w:tab w:val="left" w:pos="6288"/>
        </w:tabs>
        <w:spacing w:after="0" w:line="240" w:lineRule="auto"/>
        <w:ind w:left="567"/>
        <w:contextualSpacing/>
        <w:jc w:val="both"/>
        <w:rPr>
          <w:rFonts w:ascii="Times New Roman" w:eastAsia="Cambria" w:hAnsi="Times New Roman" w:cs="Times New Roman"/>
          <w:sz w:val="24"/>
          <w:szCs w:val="24"/>
          <w:lang w:bidi="en-US"/>
        </w:rPr>
      </w:pPr>
      <w:r w:rsidRPr="00186F1F">
        <w:rPr>
          <w:rFonts w:ascii="Times New Roman" w:eastAsia="Cambria" w:hAnsi="Times New Roman" w:cs="Times New Roman"/>
          <w:sz w:val="24"/>
          <w:szCs w:val="24"/>
          <w:lang w:bidi="en-US"/>
        </w:rPr>
        <w:t>“</w:t>
      </w:r>
      <w:r w:rsidR="00130A6A" w:rsidRPr="00186F1F">
        <w:rPr>
          <w:rFonts w:ascii="Times New Roman" w:eastAsia="Cambria" w:hAnsi="Times New Roman" w:cs="Times New Roman"/>
          <w:sz w:val="24"/>
          <w:szCs w:val="24"/>
          <w:lang w:bidi="en-US"/>
        </w:rPr>
        <w:t>…the third respondent having been appointed as executor dative whilst the executrix testamentary was still alive, holding office, not incapacitated and still sane, was improperly appointed. The deceased had left a will in which the executrix testamentary was appointed. The sixth respondent was thus not dealing with an intestate estate. The third respondent’s appointment as executor dative was in the circumstances irr</w:t>
      </w:r>
      <w:r w:rsidR="00D45265" w:rsidRPr="00186F1F">
        <w:rPr>
          <w:rFonts w:ascii="Times New Roman" w:eastAsia="Cambria" w:hAnsi="Times New Roman" w:cs="Times New Roman"/>
          <w:sz w:val="24"/>
          <w:szCs w:val="24"/>
          <w:lang w:bidi="en-US"/>
        </w:rPr>
        <w:t xml:space="preserve">egular and any acts carried out </w:t>
      </w:r>
      <w:r w:rsidR="00130A6A" w:rsidRPr="00186F1F">
        <w:rPr>
          <w:rFonts w:ascii="Times New Roman" w:eastAsia="Cambria" w:hAnsi="Times New Roman" w:cs="Times New Roman"/>
          <w:sz w:val="24"/>
          <w:szCs w:val="24"/>
          <w:lang w:bidi="en-US"/>
        </w:rPr>
        <w:t>by him in the name of the estate would thus be of no legal consequence.</w:t>
      </w:r>
    </w:p>
    <w:p w:rsidR="00130A6A" w:rsidRPr="00186F1F" w:rsidRDefault="00B97ECB" w:rsidP="00D20167">
      <w:pPr>
        <w:tabs>
          <w:tab w:val="left" w:pos="6288"/>
        </w:tabs>
        <w:spacing w:after="0" w:line="240" w:lineRule="auto"/>
        <w:ind w:left="567"/>
        <w:contextualSpacing/>
        <w:jc w:val="both"/>
        <w:rPr>
          <w:rFonts w:ascii="Times New Roman" w:eastAsia="Cambria" w:hAnsi="Times New Roman" w:cs="Times New Roman"/>
          <w:sz w:val="24"/>
          <w:szCs w:val="24"/>
          <w:lang w:val="en-ZW" w:bidi="en-US"/>
        </w:rPr>
      </w:pPr>
      <w:r w:rsidRPr="00186F1F">
        <w:rPr>
          <w:rFonts w:ascii="Times New Roman" w:eastAsia="Cambria" w:hAnsi="Times New Roman" w:cs="Times New Roman"/>
          <w:sz w:val="24"/>
          <w:szCs w:val="24"/>
          <w:lang w:val="en-ZW" w:bidi="en-US"/>
        </w:rPr>
        <w:t>According to the affidavit placed before the magistrate in 12060/06, the second respondent who is the heir to the deceased estate, sold the property in issue to the first respondent. It thus appears that the second respondent purported to sell the property before the property had vested in him; hence arises the illegality and nullity of the purported sale to the second respondent (</w:t>
      </w:r>
      <w:r w:rsidRPr="00186F1F">
        <w:rPr>
          <w:rFonts w:ascii="Times New Roman" w:eastAsia="Cambria" w:hAnsi="Times New Roman" w:cs="Times New Roman"/>
          <w:i/>
          <w:sz w:val="24"/>
          <w:szCs w:val="24"/>
          <w:lang w:val="en-ZW" w:bidi="en-US"/>
        </w:rPr>
        <w:t>sic</w:t>
      </w:r>
      <w:r w:rsidRPr="00186F1F">
        <w:rPr>
          <w:rFonts w:ascii="Times New Roman" w:eastAsia="Cambria" w:hAnsi="Times New Roman" w:cs="Times New Roman"/>
          <w:sz w:val="24"/>
          <w:szCs w:val="24"/>
          <w:lang w:val="en-ZW" w:bidi="en-US"/>
        </w:rPr>
        <w:t>). Thus both the agreement of sale and the deed of transfer in favour of the first respondent are in the circumstances null and void.”</w:t>
      </w:r>
      <w:r w:rsidR="006E62A5" w:rsidRPr="00186F1F">
        <w:rPr>
          <w:rFonts w:ascii="Times New Roman" w:eastAsia="Cambria" w:hAnsi="Times New Roman" w:cs="Times New Roman"/>
          <w:sz w:val="24"/>
          <w:szCs w:val="24"/>
          <w:lang w:val="en-ZW" w:bidi="en-US"/>
        </w:rPr>
        <w:t xml:space="preserve"> </w:t>
      </w:r>
    </w:p>
    <w:p w:rsidR="00FF73DA" w:rsidRPr="00186F1F" w:rsidRDefault="00FF73DA" w:rsidP="00FF73DA">
      <w:pPr>
        <w:tabs>
          <w:tab w:val="left" w:pos="6288"/>
        </w:tabs>
        <w:spacing w:after="0" w:line="240" w:lineRule="auto"/>
        <w:ind w:left="567"/>
        <w:contextualSpacing/>
        <w:jc w:val="both"/>
        <w:rPr>
          <w:rFonts w:ascii="Times New Roman" w:eastAsia="Cambria" w:hAnsi="Times New Roman" w:cs="Times New Roman"/>
          <w:sz w:val="24"/>
          <w:szCs w:val="24"/>
          <w:lang w:val="en-ZW" w:bidi="en-US"/>
        </w:rPr>
      </w:pPr>
    </w:p>
    <w:p w:rsidR="004912A2" w:rsidRPr="00186F1F" w:rsidRDefault="004912A2" w:rsidP="009F0CBF">
      <w:pPr>
        <w:tabs>
          <w:tab w:val="left" w:pos="6288"/>
        </w:tabs>
        <w:spacing w:after="0" w:line="240" w:lineRule="auto"/>
        <w:contextualSpacing/>
        <w:jc w:val="both"/>
        <w:rPr>
          <w:rFonts w:ascii="Times New Roman" w:eastAsia="Cambria" w:hAnsi="Times New Roman" w:cs="Times New Roman"/>
          <w:sz w:val="24"/>
          <w:szCs w:val="24"/>
          <w:lang w:val="en-ZW" w:bidi="en-US"/>
        </w:rPr>
      </w:pPr>
    </w:p>
    <w:p w:rsidR="00FF73DA" w:rsidRPr="00186F1F" w:rsidRDefault="00FF73DA" w:rsidP="005C62AD">
      <w:pPr>
        <w:tabs>
          <w:tab w:val="left" w:pos="6288"/>
        </w:tabs>
        <w:spacing w:after="0" w:line="240" w:lineRule="auto"/>
        <w:contextualSpacing/>
        <w:jc w:val="both"/>
        <w:rPr>
          <w:rFonts w:ascii="Times New Roman" w:eastAsia="Cambria" w:hAnsi="Times New Roman" w:cs="Times New Roman"/>
          <w:sz w:val="24"/>
          <w:szCs w:val="24"/>
          <w:lang w:val="en-ZW" w:bidi="en-US"/>
        </w:rPr>
      </w:pPr>
    </w:p>
    <w:p w:rsidR="004C1236" w:rsidRDefault="00FF73DA" w:rsidP="005D12BB">
      <w:pPr>
        <w:tabs>
          <w:tab w:val="left" w:pos="1134"/>
        </w:tabs>
        <w:spacing w:after="0" w:line="480" w:lineRule="auto"/>
        <w:ind w:firstLine="720"/>
        <w:jc w:val="both"/>
        <w:rPr>
          <w:rFonts w:ascii="Times New Roman" w:hAnsi="Times New Roman" w:cs="Times New Roman"/>
          <w:sz w:val="24"/>
          <w:szCs w:val="24"/>
        </w:rPr>
      </w:pPr>
      <w:r w:rsidRPr="00186F1F">
        <w:rPr>
          <w:rFonts w:ascii="Times New Roman" w:eastAsia="Cambria" w:hAnsi="Times New Roman" w:cs="Times New Roman"/>
          <w:sz w:val="24"/>
          <w:szCs w:val="24"/>
          <w:lang w:bidi="en-US"/>
        </w:rPr>
        <w:tab/>
      </w:r>
      <w:r w:rsidR="00130A6A" w:rsidRPr="00186F1F">
        <w:rPr>
          <w:rFonts w:ascii="Times New Roman" w:eastAsia="Cambria" w:hAnsi="Times New Roman" w:cs="Times New Roman"/>
          <w:sz w:val="24"/>
          <w:szCs w:val="24"/>
          <w:lang w:bidi="en-US"/>
        </w:rPr>
        <w:t xml:space="preserve">The court </w:t>
      </w:r>
      <w:r w:rsidR="00130A6A" w:rsidRPr="00186F1F">
        <w:rPr>
          <w:rFonts w:ascii="Times New Roman" w:eastAsia="Cambria" w:hAnsi="Times New Roman" w:cs="Times New Roman"/>
          <w:i/>
          <w:sz w:val="24"/>
          <w:szCs w:val="24"/>
          <w:lang w:bidi="en-US"/>
        </w:rPr>
        <w:t>a quo</w:t>
      </w:r>
      <w:r w:rsidR="00B97ECB" w:rsidRPr="00186F1F">
        <w:rPr>
          <w:rFonts w:ascii="Times New Roman" w:eastAsia="Cambria" w:hAnsi="Times New Roman" w:cs="Times New Roman"/>
          <w:sz w:val="24"/>
          <w:szCs w:val="24"/>
          <w:lang w:bidi="en-US"/>
        </w:rPr>
        <w:t>’s findings in this regard cannot be faulted.</w:t>
      </w:r>
      <w:r w:rsidR="00A22741" w:rsidRPr="00186F1F">
        <w:rPr>
          <w:rFonts w:ascii="Times New Roman" w:hAnsi="Times New Roman" w:cs="Times New Roman"/>
          <w:sz w:val="24"/>
          <w:szCs w:val="24"/>
        </w:rPr>
        <w:t xml:space="preserve"> </w:t>
      </w:r>
      <w:r w:rsidR="00B97ECB" w:rsidRPr="00186F1F">
        <w:rPr>
          <w:rFonts w:ascii="Times New Roman" w:hAnsi="Times New Roman" w:cs="Times New Roman"/>
          <w:sz w:val="24"/>
          <w:szCs w:val="24"/>
        </w:rPr>
        <w:t>It</w:t>
      </w:r>
      <w:r w:rsidR="00B65E65" w:rsidRPr="00186F1F">
        <w:rPr>
          <w:rFonts w:ascii="Times New Roman" w:hAnsi="Times New Roman" w:cs="Times New Roman"/>
          <w:sz w:val="24"/>
          <w:szCs w:val="24"/>
        </w:rPr>
        <w:t xml:space="preserve"> is </w:t>
      </w:r>
      <w:r w:rsidR="004912A2" w:rsidRPr="00186F1F">
        <w:rPr>
          <w:rFonts w:ascii="Times New Roman" w:hAnsi="Times New Roman" w:cs="Times New Roman"/>
          <w:sz w:val="24"/>
          <w:szCs w:val="24"/>
        </w:rPr>
        <w:t>trite that</w:t>
      </w:r>
      <w:r w:rsidR="00A22741" w:rsidRPr="00186F1F">
        <w:rPr>
          <w:rFonts w:ascii="Times New Roman" w:hAnsi="Times New Roman" w:cs="Times New Roman"/>
          <w:sz w:val="24"/>
          <w:szCs w:val="24"/>
        </w:rPr>
        <w:t xml:space="preserve"> an executor</w:t>
      </w:r>
      <w:r w:rsidR="00E9378C" w:rsidRPr="00186F1F">
        <w:rPr>
          <w:rFonts w:ascii="Times New Roman" w:hAnsi="Times New Roman" w:cs="Times New Roman"/>
          <w:sz w:val="24"/>
          <w:szCs w:val="24"/>
        </w:rPr>
        <w:t>/executrix</w:t>
      </w:r>
      <w:r w:rsidR="00A22741" w:rsidRPr="00186F1F">
        <w:rPr>
          <w:rFonts w:ascii="Times New Roman" w:hAnsi="Times New Roman" w:cs="Times New Roman"/>
          <w:sz w:val="24"/>
          <w:szCs w:val="24"/>
        </w:rPr>
        <w:t xml:space="preserve"> is the </w:t>
      </w:r>
      <w:r w:rsidR="0067347B" w:rsidRPr="00186F1F">
        <w:rPr>
          <w:rFonts w:ascii="Times New Roman" w:hAnsi="Times New Roman" w:cs="Times New Roman"/>
          <w:sz w:val="24"/>
          <w:szCs w:val="24"/>
        </w:rPr>
        <w:t>recognized</w:t>
      </w:r>
      <w:r w:rsidR="00A22741" w:rsidRPr="00186F1F">
        <w:rPr>
          <w:rFonts w:ascii="Times New Roman" w:hAnsi="Times New Roman" w:cs="Times New Roman"/>
          <w:sz w:val="24"/>
          <w:szCs w:val="24"/>
        </w:rPr>
        <w:t xml:space="preserve"> legal representative of a deceased estate.</w:t>
      </w:r>
      <w:r w:rsidR="00B65E65" w:rsidRPr="00186F1F">
        <w:rPr>
          <w:rFonts w:ascii="Times New Roman" w:hAnsi="Times New Roman" w:cs="Times New Roman"/>
          <w:sz w:val="24"/>
          <w:szCs w:val="24"/>
        </w:rPr>
        <w:t xml:space="preserve"> He</w:t>
      </w:r>
      <w:r w:rsidR="00516FE1" w:rsidRPr="00186F1F">
        <w:rPr>
          <w:rFonts w:ascii="Times New Roman" w:hAnsi="Times New Roman" w:cs="Times New Roman"/>
          <w:sz w:val="24"/>
          <w:szCs w:val="24"/>
        </w:rPr>
        <w:t>/she</w:t>
      </w:r>
      <w:r w:rsidR="00B65E65" w:rsidRPr="00186F1F">
        <w:rPr>
          <w:rFonts w:ascii="Times New Roman" w:hAnsi="Times New Roman" w:cs="Times New Roman"/>
          <w:sz w:val="24"/>
          <w:szCs w:val="24"/>
        </w:rPr>
        <w:t xml:space="preserve"> is</w:t>
      </w:r>
      <w:r w:rsidR="00A22741" w:rsidRPr="00186F1F">
        <w:rPr>
          <w:rFonts w:ascii="Times New Roman" w:hAnsi="Times New Roman" w:cs="Times New Roman"/>
          <w:sz w:val="24"/>
          <w:szCs w:val="24"/>
        </w:rPr>
        <w:t xml:space="preserve"> appointed to administer the estate and to ensure the estate is properly wound up with all assets and liabilities being accounted for.</w:t>
      </w:r>
    </w:p>
    <w:p w:rsidR="00390C2E" w:rsidRPr="00186F1F" w:rsidRDefault="00390C2E" w:rsidP="005D12BB">
      <w:pPr>
        <w:tabs>
          <w:tab w:val="left" w:pos="1134"/>
        </w:tabs>
        <w:spacing w:after="0" w:line="480" w:lineRule="auto"/>
        <w:ind w:firstLine="720"/>
        <w:jc w:val="both"/>
        <w:rPr>
          <w:rFonts w:ascii="Times New Roman" w:hAnsi="Times New Roman" w:cs="Times New Roman"/>
          <w:sz w:val="24"/>
          <w:szCs w:val="24"/>
        </w:rPr>
      </w:pPr>
    </w:p>
    <w:p w:rsidR="00A22741" w:rsidRPr="00186F1F" w:rsidRDefault="009F0CBF" w:rsidP="00FC1096">
      <w:pPr>
        <w:tabs>
          <w:tab w:val="left" w:pos="1134"/>
        </w:tabs>
        <w:spacing w:after="0" w:line="480" w:lineRule="auto"/>
        <w:ind w:firstLine="720"/>
        <w:jc w:val="both"/>
        <w:rPr>
          <w:rFonts w:ascii="Times New Roman" w:hAnsi="Times New Roman" w:cs="Times New Roman"/>
          <w:sz w:val="24"/>
          <w:szCs w:val="24"/>
        </w:rPr>
      </w:pPr>
      <w:r w:rsidRPr="00186F1F">
        <w:rPr>
          <w:rFonts w:ascii="Times New Roman" w:hAnsi="Times New Roman" w:cs="Times New Roman"/>
          <w:sz w:val="24"/>
          <w:szCs w:val="24"/>
        </w:rPr>
        <w:tab/>
      </w:r>
      <w:r w:rsidR="00A22741" w:rsidRPr="00186F1F">
        <w:rPr>
          <w:rFonts w:ascii="Times New Roman" w:hAnsi="Times New Roman" w:cs="Times New Roman"/>
          <w:sz w:val="24"/>
          <w:szCs w:val="24"/>
        </w:rPr>
        <w:t xml:space="preserve">In this regard </w:t>
      </w:r>
      <w:r w:rsidR="00A22741" w:rsidRPr="00D16A35">
        <w:rPr>
          <w:rFonts w:ascii="Times New Roman" w:hAnsi="Times New Roman" w:cs="Times New Roman"/>
          <w:i/>
          <w:sz w:val="24"/>
          <w:szCs w:val="24"/>
        </w:rPr>
        <w:t>s</w:t>
      </w:r>
      <w:r w:rsidR="00A22741" w:rsidRPr="00186F1F">
        <w:rPr>
          <w:rFonts w:ascii="Times New Roman" w:hAnsi="Times New Roman" w:cs="Times New Roman"/>
          <w:sz w:val="24"/>
          <w:szCs w:val="24"/>
        </w:rPr>
        <w:t xml:space="preserve"> 23 of the Administration of Estates Act, [</w:t>
      </w:r>
      <w:r w:rsidR="00A22741" w:rsidRPr="00186F1F">
        <w:rPr>
          <w:rFonts w:ascii="Times New Roman" w:hAnsi="Times New Roman" w:cs="Times New Roman"/>
          <w:i/>
          <w:sz w:val="24"/>
          <w:szCs w:val="24"/>
        </w:rPr>
        <w:t>Chapter 6:01</w:t>
      </w:r>
      <w:r w:rsidR="00A22741" w:rsidRPr="00186F1F">
        <w:rPr>
          <w:rFonts w:ascii="Times New Roman" w:hAnsi="Times New Roman" w:cs="Times New Roman"/>
          <w:sz w:val="24"/>
          <w:szCs w:val="24"/>
        </w:rPr>
        <w:t xml:space="preserve">] </w:t>
      </w:r>
      <w:r w:rsidR="004912A2" w:rsidRPr="00186F1F">
        <w:rPr>
          <w:rFonts w:ascii="Times New Roman" w:hAnsi="Times New Roman" w:cs="Times New Roman"/>
          <w:sz w:val="24"/>
          <w:szCs w:val="24"/>
        </w:rPr>
        <w:t xml:space="preserve">(the Act) </w:t>
      </w:r>
      <w:r w:rsidR="00A22741" w:rsidRPr="00186F1F">
        <w:rPr>
          <w:rFonts w:ascii="Times New Roman" w:hAnsi="Times New Roman" w:cs="Times New Roman"/>
          <w:sz w:val="24"/>
          <w:szCs w:val="24"/>
        </w:rPr>
        <w:t>provides that:</w:t>
      </w:r>
      <w:r w:rsidR="00B65E65" w:rsidRPr="00186F1F">
        <w:rPr>
          <w:rFonts w:ascii="Times New Roman" w:hAnsi="Times New Roman" w:cs="Times New Roman"/>
          <w:sz w:val="24"/>
          <w:szCs w:val="24"/>
        </w:rPr>
        <w:t>-</w:t>
      </w:r>
    </w:p>
    <w:p w:rsidR="00A22741" w:rsidRDefault="00A22741" w:rsidP="00D20167">
      <w:pPr>
        <w:spacing w:after="0" w:line="240" w:lineRule="auto"/>
        <w:ind w:left="567"/>
        <w:jc w:val="both"/>
        <w:rPr>
          <w:rFonts w:ascii="Times New Roman" w:hAnsi="Times New Roman" w:cs="Times New Roman"/>
          <w:sz w:val="24"/>
          <w:szCs w:val="24"/>
        </w:rPr>
      </w:pPr>
      <w:r w:rsidRPr="00186F1F">
        <w:rPr>
          <w:rFonts w:ascii="Times New Roman" w:hAnsi="Times New Roman" w:cs="Times New Roman"/>
          <w:sz w:val="24"/>
          <w:szCs w:val="24"/>
        </w:rPr>
        <w:t>“The estates of all persons dying either testate or intestate shall be administered and distributed according to law under letters of administration to be granted in the Form B in the second schedule by the Master….”</w:t>
      </w:r>
    </w:p>
    <w:p w:rsidR="00A22741" w:rsidRPr="00186F1F" w:rsidRDefault="00A22741" w:rsidP="00390C2E">
      <w:pPr>
        <w:spacing w:after="0" w:line="240" w:lineRule="auto"/>
        <w:jc w:val="both"/>
        <w:rPr>
          <w:rFonts w:ascii="Times New Roman" w:hAnsi="Times New Roman" w:cs="Times New Roman"/>
          <w:sz w:val="24"/>
          <w:szCs w:val="24"/>
        </w:rPr>
      </w:pPr>
    </w:p>
    <w:p w:rsidR="00A22741" w:rsidRPr="00186F1F" w:rsidRDefault="00FF73DA" w:rsidP="00FC1096">
      <w:pPr>
        <w:tabs>
          <w:tab w:val="left" w:pos="1134"/>
        </w:tabs>
        <w:spacing w:after="0" w:line="480" w:lineRule="auto"/>
        <w:ind w:firstLine="720"/>
        <w:jc w:val="both"/>
        <w:rPr>
          <w:rFonts w:ascii="Times New Roman" w:hAnsi="Times New Roman" w:cs="Times New Roman"/>
          <w:sz w:val="24"/>
          <w:szCs w:val="24"/>
        </w:rPr>
      </w:pPr>
      <w:r w:rsidRPr="00186F1F">
        <w:rPr>
          <w:rFonts w:ascii="Times New Roman" w:hAnsi="Times New Roman" w:cs="Times New Roman"/>
          <w:sz w:val="24"/>
          <w:szCs w:val="24"/>
        </w:rPr>
        <w:lastRenderedPageBreak/>
        <w:tab/>
      </w:r>
      <w:r w:rsidR="00A22741" w:rsidRPr="00186F1F">
        <w:rPr>
          <w:rFonts w:ascii="Times New Roman" w:hAnsi="Times New Roman" w:cs="Times New Roman"/>
          <w:sz w:val="24"/>
          <w:szCs w:val="24"/>
        </w:rPr>
        <w:t>It follows that in a case involving</w:t>
      </w:r>
      <w:r w:rsidR="00B65E65" w:rsidRPr="00186F1F">
        <w:rPr>
          <w:rFonts w:ascii="Times New Roman" w:hAnsi="Times New Roman" w:cs="Times New Roman"/>
          <w:sz w:val="24"/>
          <w:szCs w:val="24"/>
        </w:rPr>
        <w:t xml:space="preserve"> estates of</w:t>
      </w:r>
      <w:r w:rsidR="00A22741" w:rsidRPr="00186F1F">
        <w:rPr>
          <w:rFonts w:ascii="Times New Roman" w:hAnsi="Times New Roman" w:cs="Times New Roman"/>
          <w:sz w:val="24"/>
          <w:szCs w:val="24"/>
        </w:rPr>
        <w:t xml:space="preserve"> deceased persons there shall be appointed a representative who is empowered through letters of administration to act for and on behalf of the deceased’s estate. This is so because the deceased estate cannot represent itself. In terms of </w:t>
      </w:r>
      <w:r w:rsidR="00A22741" w:rsidRPr="00D16A35">
        <w:rPr>
          <w:rFonts w:ascii="Times New Roman" w:hAnsi="Times New Roman" w:cs="Times New Roman"/>
          <w:i/>
          <w:sz w:val="24"/>
          <w:szCs w:val="24"/>
        </w:rPr>
        <w:t>s</w:t>
      </w:r>
      <w:r w:rsidR="00A22741" w:rsidRPr="00186F1F">
        <w:rPr>
          <w:rFonts w:ascii="Times New Roman" w:hAnsi="Times New Roman" w:cs="Times New Roman"/>
          <w:sz w:val="24"/>
          <w:szCs w:val="24"/>
        </w:rPr>
        <w:t xml:space="preserve"> 25 of the Act a deceased estate is represented by an executor or executrix duly appointed and issued with letters of administration by the Master.</w:t>
      </w:r>
    </w:p>
    <w:p w:rsidR="00FF73DA" w:rsidRPr="00186F1F" w:rsidRDefault="00FF73DA" w:rsidP="009F0CBF">
      <w:pPr>
        <w:spacing w:after="0" w:line="360" w:lineRule="auto"/>
        <w:jc w:val="both"/>
        <w:rPr>
          <w:rFonts w:ascii="Times New Roman" w:hAnsi="Times New Roman" w:cs="Times New Roman"/>
          <w:sz w:val="24"/>
          <w:szCs w:val="24"/>
        </w:rPr>
      </w:pPr>
    </w:p>
    <w:p w:rsidR="00A22741" w:rsidRPr="00186F1F" w:rsidRDefault="009F0CBF" w:rsidP="009F0CBF">
      <w:pPr>
        <w:tabs>
          <w:tab w:val="left" w:pos="1134"/>
        </w:tabs>
        <w:spacing w:after="0" w:line="480" w:lineRule="auto"/>
        <w:ind w:firstLine="720"/>
        <w:jc w:val="both"/>
        <w:rPr>
          <w:rFonts w:ascii="Times New Roman" w:hAnsi="Times New Roman" w:cs="Times New Roman"/>
          <w:sz w:val="24"/>
          <w:szCs w:val="24"/>
        </w:rPr>
      </w:pPr>
      <w:r w:rsidRPr="00186F1F">
        <w:rPr>
          <w:rFonts w:ascii="Times New Roman" w:hAnsi="Times New Roman" w:cs="Times New Roman"/>
          <w:sz w:val="24"/>
          <w:szCs w:val="24"/>
        </w:rPr>
        <w:tab/>
      </w:r>
      <w:r w:rsidR="00A22741" w:rsidRPr="00186F1F">
        <w:rPr>
          <w:rFonts w:ascii="Times New Roman" w:hAnsi="Times New Roman" w:cs="Times New Roman"/>
          <w:sz w:val="24"/>
          <w:szCs w:val="24"/>
        </w:rPr>
        <w:t xml:space="preserve">In </w:t>
      </w:r>
      <w:r w:rsidR="00A22741" w:rsidRPr="00186F1F">
        <w:rPr>
          <w:rFonts w:ascii="Times New Roman" w:hAnsi="Times New Roman" w:cs="Times New Roman"/>
          <w:i/>
          <w:sz w:val="24"/>
          <w:szCs w:val="24"/>
        </w:rPr>
        <w:t>Nyandoro &amp; Anor v Nyandoro &amp; Ors</w:t>
      </w:r>
      <w:r w:rsidR="00A22741" w:rsidRPr="00186F1F">
        <w:rPr>
          <w:rFonts w:ascii="Times New Roman" w:hAnsi="Times New Roman" w:cs="Times New Roman"/>
          <w:sz w:val="24"/>
          <w:szCs w:val="24"/>
        </w:rPr>
        <w:t xml:space="preserve"> 2008 </w:t>
      </w:r>
      <w:r w:rsidR="00B65E65" w:rsidRPr="00186F1F">
        <w:rPr>
          <w:rFonts w:ascii="Times New Roman" w:hAnsi="Times New Roman" w:cs="Times New Roman"/>
          <w:sz w:val="24"/>
          <w:szCs w:val="24"/>
        </w:rPr>
        <w:t>(2) ZLR 219</w:t>
      </w:r>
      <w:r w:rsidR="001530C0" w:rsidRPr="00186F1F">
        <w:rPr>
          <w:rFonts w:ascii="Times New Roman" w:hAnsi="Times New Roman" w:cs="Times New Roman"/>
          <w:sz w:val="24"/>
          <w:szCs w:val="24"/>
        </w:rPr>
        <w:t>(H)</w:t>
      </w:r>
      <w:r w:rsidR="00542124" w:rsidRPr="00186F1F">
        <w:rPr>
          <w:rFonts w:ascii="Times New Roman" w:hAnsi="Times New Roman" w:cs="Times New Roman"/>
          <w:sz w:val="24"/>
          <w:szCs w:val="24"/>
        </w:rPr>
        <w:t xml:space="preserve"> </w:t>
      </w:r>
      <w:r w:rsidR="00AB0F9C" w:rsidRPr="00186F1F">
        <w:rPr>
          <w:rFonts w:ascii="Times New Roman" w:hAnsi="Times New Roman" w:cs="Times New Roman"/>
          <w:sz w:val="24"/>
          <w:szCs w:val="24"/>
        </w:rPr>
        <w:t xml:space="preserve">at </w:t>
      </w:r>
      <w:r w:rsidR="004C1236">
        <w:rPr>
          <w:rFonts w:ascii="Times New Roman" w:hAnsi="Times New Roman" w:cs="Times New Roman"/>
          <w:sz w:val="24"/>
          <w:szCs w:val="24"/>
        </w:rPr>
        <w:t>222H-223C KUDYA </w:t>
      </w:r>
      <w:r w:rsidR="00542124" w:rsidRPr="00186F1F">
        <w:rPr>
          <w:rFonts w:ascii="Times New Roman" w:hAnsi="Times New Roman" w:cs="Times New Roman"/>
          <w:sz w:val="24"/>
          <w:szCs w:val="24"/>
        </w:rPr>
        <w:t>J</w:t>
      </w:r>
      <w:r w:rsidR="00A22741" w:rsidRPr="00186F1F">
        <w:rPr>
          <w:rFonts w:ascii="Times New Roman" w:hAnsi="Times New Roman" w:cs="Times New Roman"/>
          <w:sz w:val="24"/>
          <w:szCs w:val="24"/>
        </w:rPr>
        <w:t xml:space="preserve"> aptly </w:t>
      </w:r>
      <w:r w:rsidR="00542124" w:rsidRPr="00186F1F">
        <w:rPr>
          <w:rFonts w:ascii="Times New Roman" w:hAnsi="Times New Roman" w:cs="Times New Roman"/>
          <w:sz w:val="24"/>
          <w:szCs w:val="24"/>
        </w:rPr>
        <w:t>restated the legal position as follow</w:t>
      </w:r>
      <w:r w:rsidR="00AB0F9C" w:rsidRPr="00186F1F">
        <w:rPr>
          <w:rFonts w:ascii="Times New Roman" w:hAnsi="Times New Roman" w:cs="Times New Roman"/>
          <w:sz w:val="24"/>
          <w:szCs w:val="24"/>
        </w:rPr>
        <w:t>s</w:t>
      </w:r>
      <w:r w:rsidR="00A22741" w:rsidRPr="00186F1F">
        <w:rPr>
          <w:rFonts w:ascii="Times New Roman" w:hAnsi="Times New Roman" w:cs="Times New Roman"/>
          <w:sz w:val="24"/>
          <w:szCs w:val="24"/>
        </w:rPr>
        <w:t>:</w:t>
      </w:r>
      <w:r w:rsidR="00AB0F9C" w:rsidRPr="00186F1F">
        <w:rPr>
          <w:rFonts w:ascii="Times New Roman" w:hAnsi="Times New Roman" w:cs="Times New Roman"/>
          <w:sz w:val="24"/>
          <w:szCs w:val="24"/>
        </w:rPr>
        <w:t>-</w:t>
      </w:r>
    </w:p>
    <w:p w:rsidR="00684608" w:rsidRPr="00186F1F" w:rsidRDefault="00AB0F9C" w:rsidP="00684608">
      <w:pPr>
        <w:spacing w:line="240" w:lineRule="auto"/>
        <w:ind w:left="720"/>
        <w:jc w:val="both"/>
        <w:rPr>
          <w:rFonts w:ascii="Times New Roman" w:hAnsi="Times New Roman" w:cs="Times New Roman"/>
          <w:sz w:val="24"/>
          <w:szCs w:val="24"/>
        </w:rPr>
      </w:pPr>
      <w:r w:rsidRPr="00186F1F">
        <w:rPr>
          <w:rFonts w:ascii="Times New Roman" w:hAnsi="Times New Roman" w:cs="Times New Roman"/>
          <w:sz w:val="24"/>
          <w:szCs w:val="24"/>
        </w:rPr>
        <w:t xml:space="preserve">“In </w:t>
      </w:r>
      <w:r w:rsidR="009A02A3" w:rsidRPr="00186F1F">
        <w:rPr>
          <w:rFonts w:ascii="Times New Roman" w:hAnsi="Times New Roman" w:cs="Times New Roman"/>
          <w:i/>
          <w:sz w:val="24"/>
          <w:szCs w:val="24"/>
        </w:rPr>
        <w:t>Clarke v Barnacle NO &amp;</w:t>
      </w:r>
      <w:r w:rsidRPr="00186F1F">
        <w:rPr>
          <w:rFonts w:ascii="Times New Roman" w:hAnsi="Times New Roman" w:cs="Times New Roman"/>
          <w:i/>
          <w:sz w:val="24"/>
          <w:szCs w:val="24"/>
        </w:rPr>
        <w:t xml:space="preserve"> Ors</w:t>
      </w:r>
      <w:r w:rsidRPr="00186F1F">
        <w:rPr>
          <w:rFonts w:ascii="Times New Roman" w:hAnsi="Times New Roman" w:cs="Times New Roman"/>
          <w:sz w:val="24"/>
          <w:szCs w:val="24"/>
        </w:rPr>
        <w:t xml:space="preserve"> 1958 R&amp;N 358 (SR) at 349B -350A MORTON J stated the legal position that still obtains to this day in Zimbabwe. It is that “whether testate or intestate, an executor, either testamentary or dative, must be appointed…..so that the executor and he alone is looked upon as the person to represent the estate of the deceased person.” He left no doubt that towards the rest of the world the executor occupies the position of legal representative of the deceased with all the rights and obligations attaching to that position and that because a deceased’s estate is vested in the executor, he is the only person who has </w:t>
      </w:r>
      <w:r w:rsidRPr="00186F1F">
        <w:rPr>
          <w:rFonts w:ascii="Times New Roman" w:hAnsi="Times New Roman" w:cs="Times New Roman"/>
          <w:i/>
          <w:sz w:val="24"/>
          <w:szCs w:val="24"/>
        </w:rPr>
        <w:t>locus standi</w:t>
      </w:r>
      <w:r w:rsidRPr="00186F1F">
        <w:rPr>
          <w:rFonts w:ascii="Times New Roman" w:hAnsi="Times New Roman" w:cs="Times New Roman"/>
          <w:sz w:val="24"/>
          <w:szCs w:val="24"/>
        </w:rPr>
        <w:t xml:space="preserve"> to bring a vindicatory action relative to property alleged to form part of the estate.</w:t>
      </w:r>
    </w:p>
    <w:p w:rsidR="00A22741" w:rsidRPr="00186F1F" w:rsidRDefault="00AB0F9C" w:rsidP="00FC1096">
      <w:pPr>
        <w:tabs>
          <w:tab w:val="left" w:pos="1134"/>
        </w:tabs>
        <w:spacing w:after="0" w:line="240" w:lineRule="auto"/>
        <w:ind w:left="720"/>
        <w:jc w:val="both"/>
        <w:rPr>
          <w:rFonts w:ascii="Times New Roman" w:hAnsi="Times New Roman" w:cs="Times New Roman"/>
          <w:sz w:val="24"/>
          <w:szCs w:val="24"/>
        </w:rPr>
      </w:pPr>
      <w:r w:rsidRPr="00186F1F">
        <w:rPr>
          <w:rFonts w:ascii="Times New Roman" w:hAnsi="Times New Roman" w:cs="Times New Roman"/>
          <w:sz w:val="24"/>
          <w:szCs w:val="24"/>
        </w:rPr>
        <w:t xml:space="preserve">Arising from the nature of a deceased estate as described in </w:t>
      </w:r>
      <w:r w:rsidRPr="00186F1F">
        <w:rPr>
          <w:rFonts w:ascii="Times New Roman" w:hAnsi="Times New Roman" w:cs="Times New Roman"/>
          <w:i/>
          <w:sz w:val="24"/>
          <w:szCs w:val="24"/>
        </w:rPr>
        <w:t>Clarke v Barnacle, supra,</w:t>
      </w:r>
      <w:r w:rsidRPr="00186F1F">
        <w:rPr>
          <w:rFonts w:ascii="Times New Roman" w:hAnsi="Times New Roman" w:cs="Times New Roman"/>
          <w:sz w:val="24"/>
          <w:szCs w:val="24"/>
        </w:rPr>
        <w:t xml:space="preserve"> and </w:t>
      </w:r>
      <w:r w:rsidRPr="00186F1F">
        <w:rPr>
          <w:rFonts w:ascii="Times New Roman" w:hAnsi="Times New Roman" w:cs="Times New Roman"/>
          <w:i/>
          <w:sz w:val="24"/>
          <w:szCs w:val="24"/>
        </w:rPr>
        <w:t>Mhlanga v Ndlovu</w:t>
      </w:r>
      <w:r w:rsidRPr="00186F1F">
        <w:rPr>
          <w:rFonts w:ascii="Times New Roman" w:hAnsi="Times New Roman" w:cs="Times New Roman"/>
          <w:sz w:val="24"/>
          <w:szCs w:val="24"/>
        </w:rPr>
        <w:t xml:space="preserve">, </w:t>
      </w:r>
      <w:r w:rsidRPr="00186F1F">
        <w:rPr>
          <w:rFonts w:ascii="Times New Roman" w:hAnsi="Times New Roman" w:cs="Times New Roman"/>
          <w:i/>
          <w:sz w:val="24"/>
          <w:szCs w:val="24"/>
        </w:rPr>
        <w:t>supra</w:t>
      </w:r>
      <w:r w:rsidRPr="00186F1F">
        <w:rPr>
          <w:rFonts w:ascii="Times New Roman" w:hAnsi="Times New Roman" w:cs="Times New Roman"/>
          <w:sz w:val="24"/>
          <w:szCs w:val="24"/>
        </w:rPr>
        <w:t>, it must follow that the citation of a deceased estate as a party to litigation is wrong. The correct part</w:t>
      </w:r>
      <w:r w:rsidR="00D16A35">
        <w:rPr>
          <w:rFonts w:ascii="Times New Roman" w:hAnsi="Times New Roman" w:cs="Times New Roman"/>
          <w:sz w:val="24"/>
          <w:szCs w:val="24"/>
        </w:rPr>
        <w:t>y</w:t>
      </w:r>
      <w:r w:rsidRPr="00186F1F">
        <w:rPr>
          <w:rFonts w:ascii="Times New Roman" w:hAnsi="Times New Roman" w:cs="Times New Roman"/>
          <w:sz w:val="24"/>
          <w:szCs w:val="24"/>
        </w:rPr>
        <w:t xml:space="preserve"> to cite in </w:t>
      </w:r>
      <w:r w:rsidRPr="00634D46">
        <w:rPr>
          <w:rFonts w:ascii="Times New Roman" w:hAnsi="Times New Roman" w:cs="Times New Roman"/>
          <w:i/>
          <w:sz w:val="24"/>
          <w:szCs w:val="24"/>
        </w:rPr>
        <w:t>lieu</w:t>
      </w:r>
      <w:r w:rsidRPr="00186F1F">
        <w:rPr>
          <w:rFonts w:ascii="Times New Roman" w:hAnsi="Times New Roman" w:cs="Times New Roman"/>
          <w:sz w:val="24"/>
          <w:szCs w:val="24"/>
        </w:rPr>
        <w:t xml:space="preserve"> of the deceased estate is the executor by name. The citation of the second plaintiff and second defendant </w:t>
      </w:r>
      <w:r w:rsidRPr="00186F1F">
        <w:rPr>
          <w:rFonts w:ascii="Times New Roman" w:hAnsi="Times New Roman" w:cs="Times New Roman"/>
          <w:i/>
          <w:sz w:val="24"/>
          <w:szCs w:val="24"/>
        </w:rPr>
        <w:t>in casu</w:t>
      </w:r>
      <w:r w:rsidRPr="00186F1F">
        <w:rPr>
          <w:rFonts w:ascii="Times New Roman" w:hAnsi="Times New Roman" w:cs="Times New Roman"/>
          <w:sz w:val="24"/>
          <w:szCs w:val="24"/>
        </w:rPr>
        <w:t xml:space="preserve"> was therefore improper and incurable. It makes </w:t>
      </w:r>
      <w:r w:rsidR="009A02A3" w:rsidRPr="00186F1F">
        <w:rPr>
          <w:rFonts w:ascii="Times New Roman" w:hAnsi="Times New Roman" w:cs="Times New Roman"/>
          <w:sz w:val="24"/>
          <w:szCs w:val="24"/>
        </w:rPr>
        <w:t>their</w:t>
      </w:r>
      <w:r w:rsidRPr="00186F1F">
        <w:rPr>
          <w:rFonts w:ascii="Times New Roman" w:hAnsi="Times New Roman" w:cs="Times New Roman"/>
          <w:sz w:val="24"/>
          <w:szCs w:val="24"/>
        </w:rPr>
        <w:t xml:space="preserve"> presence before me a nullity.”</w:t>
      </w:r>
    </w:p>
    <w:p w:rsidR="00FF73DA" w:rsidRPr="00186F1F" w:rsidRDefault="00FF73DA" w:rsidP="009A02A3">
      <w:pPr>
        <w:spacing w:after="0" w:line="240" w:lineRule="auto"/>
        <w:ind w:left="567"/>
        <w:jc w:val="both"/>
        <w:rPr>
          <w:rFonts w:ascii="Times New Roman" w:hAnsi="Times New Roman" w:cs="Times New Roman"/>
          <w:sz w:val="24"/>
          <w:szCs w:val="24"/>
        </w:rPr>
      </w:pPr>
    </w:p>
    <w:p w:rsidR="00A22741" w:rsidRPr="00186F1F" w:rsidRDefault="00A22741" w:rsidP="005C62AD">
      <w:pPr>
        <w:jc w:val="both"/>
        <w:rPr>
          <w:rFonts w:ascii="Times New Roman" w:hAnsi="Times New Roman" w:cs="Times New Roman"/>
          <w:sz w:val="24"/>
          <w:szCs w:val="24"/>
        </w:rPr>
      </w:pPr>
    </w:p>
    <w:p w:rsidR="00FF73DA" w:rsidRDefault="00FF73DA" w:rsidP="005D12BB">
      <w:pPr>
        <w:tabs>
          <w:tab w:val="left" w:pos="1134"/>
        </w:tabs>
        <w:spacing w:after="0" w:line="480" w:lineRule="auto"/>
        <w:ind w:firstLine="720"/>
        <w:jc w:val="both"/>
        <w:rPr>
          <w:rFonts w:ascii="Times New Roman" w:hAnsi="Times New Roman" w:cs="Times New Roman"/>
          <w:sz w:val="24"/>
          <w:szCs w:val="24"/>
        </w:rPr>
      </w:pPr>
      <w:r w:rsidRPr="00186F1F">
        <w:rPr>
          <w:rFonts w:ascii="Times New Roman" w:hAnsi="Times New Roman" w:cs="Times New Roman"/>
          <w:sz w:val="24"/>
          <w:szCs w:val="24"/>
        </w:rPr>
        <w:tab/>
      </w:r>
      <w:r w:rsidR="00A22741" w:rsidRPr="00186F1F">
        <w:rPr>
          <w:rFonts w:ascii="Times New Roman" w:hAnsi="Times New Roman" w:cs="Times New Roman"/>
          <w:sz w:val="24"/>
          <w:szCs w:val="24"/>
        </w:rPr>
        <w:t>The executor</w:t>
      </w:r>
      <w:r w:rsidR="00B65E65" w:rsidRPr="00186F1F">
        <w:rPr>
          <w:rFonts w:ascii="Times New Roman" w:hAnsi="Times New Roman" w:cs="Times New Roman"/>
          <w:sz w:val="24"/>
          <w:szCs w:val="24"/>
        </w:rPr>
        <w:t>/executrix</w:t>
      </w:r>
      <w:r w:rsidR="00A22741" w:rsidRPr="00186F1F">
        <w:rPr>
          <w:rFonts w:ascii="Times New Roman" w:hAnsi="Times New Roman" w:cs="Times New Roman"/>
          <w:sz w:val="24"/>
          <w:szCs w:val="24"/>
        </w:rPr>
        <w:t xml:space="preserve"> of an estate has certain rights and powers in connection with the estate and certain duties to perform both at common law and in terms of the A</w:t>
      </w:r>
      <w:r w:rsidR="00B65E65" w:rsidRPr="00186F1F">
        <w:rPr>
          <w:rFonts w:ascii="Times New Roman" w:hAnsi="Times New Roman" w:cs="Times New Roman"/>
          <w:sz w:val="24"/>
          <w:szCs w:val="24"/>
        </w:rPr>
        <w:t>ct.</w:t>
      </w:r>
    </w:p>
    <w:p w:rsidR="00390C2E" w:rsidRPr="00186F1F" w:rsidRDefault="00390C2E" w:rsidP="005D12BB">
      <w:pPr>
        <w:tabs>
          <w:tab w:val="left" w:pos="1134"/>
        </w:tabs>
        <w:spacing w:after="0" w:line="480" w:lineRule="auto"/>
        <w:ind w:firstLine="720"/>
        <w:jc w:val="both"/>
        <w:rPr>
          <w:rFonts w:ascii="Times New Roman" w:hAnsi="Times New Roman" w:cs="Times New Roman"/>
          <w:sz w:val="24"/>
          <w:szCs w:val="24"/>
        </w:rPr>
      </w:pPr>
    </w:p>
    <w:p w:rsidR="00A22741" w:rsidRPr="00186F1F" w:rsidRDefault="00A22741" w:rsidP="00FF73DA">
      <w:pPr>
        <w:tabs>
          <w:tab w:val="left" w:pos="1134"/>
        </w:tabs>
        <w:spacing w:after="0" w:line="480" w:lineRule="auto"/>
        <w:jc w:val="both"/>
        <w:rPr>
          <w:rFonts w:ascii="Times New Roman" w:hAnsi="Times New Roman" w:cs="Times New Roman"/>
          <w:sz w:val="24"/>
          <w:szCs w:val="24"/>
        </w:rPr>
      </w:pPr>
      <w:r w:rsidRPr="00186F1F">
        <w:rPr>
          <w:rFonts w:ascii="Times New Roman" w:hAnsi="Times New Roman" w:cs="Times New Roman"/>
          <w:sz w:val="24"/>
          <w:szCs w:val="24"/>
        </w:rPr>
        <w:t xml:space="preserve"> </w:t>
      </w:r>
      <w:r w:rsidR="00FF73DA" w:rsidRPr="00186F1F">
        <w:rPr>
          <w:rFonts w:ascii="Times New Roman" w:hAnsi="Times New Roman" w:cs="Times New Roman"/>
          <w:sz w:val="24"/>
          <w:szCs w:val="24"/>
        </w:rPr>
        <w:tab/>
      </w:r>
      <w:r w:rsidRPr="00186F1F">
        <w:rPr>
          <w:rFonts w:ascii="Times New Roman" w:hAnsi="Times New Roman" w:cs="Times New Roman"/>
          <w:sz w:val="24"/>
          <w:szCs w:val="24"/>
        </w:rPr>
        <w:t xml:space="preserve">In </w:t>
      </w:r>
      <w:r w:rsidRPr="00186F1F">
        <w:rPr>
          <w:rFonts w:ascii="Times New Roman" w:hAnsi="Times New Roman" w:cs="Times New Roman"/>
          <w:i/>
          <w:sz w:val="24"/>
          <w:szCs w:val="24"/>
        </w:rPr>
        <w:t>The Law and Practice of Administration of</w:t>
      </w:r>
      <w:r w:rsidRPr="00186F1F">
        <w:rPr>
          <w:rFonts w:ascii="Times New Roman" w:hAnsi="Times New Roman" w:cs="Times New Roman"/>
          <w:sz w:val="24"/>
          <w:szCs w:val="24"/>
        </w:rPr>
        <w:t xml:space="preserve"> </w:t>
      </w:r>
      <w:r w:rsidRPr="00186F1F">
        <w:rPr>
          <w:rFonts w:ascii="Times New Roman" w:hAnsi="Times New Roman" w:cs="Times New Roman"/>
          <w:i/>
          <w:sz w:val="24"/>
          <w:szCs w:val="24"/>
        </w:rPr>
        <w:t>Estates</w:t>
      </w:r>
      <w:r w:rsidRPr="00186F1F">
        <w:rPr>
          <w:rFonts w:ascii="Times New Roman" w:hAnsi="Times New Roman" w:cs="Times New Roman"/>
          <w:sz w:val="24"/>
          <w:szCs w:val="24"/>
        </w:rPr>
        <w:t>, 5</w:t>
      </w:r>
      <w:r w:rsidRPr="00186F1F">
        <w:rPr>
          <w:rFonts w:ascii="Times New Roman" w:hAnsi="Times New Roman" w:cs="Times New Roman"/>
          <w:sz w:val="24"/>
          <w:szCs w:val="24"/>
          <w:vertAlign w:val="superscript"/>
        </w:rPr>
        <w:t>th</w:t>
      </w:r>
      <w:r w:rsidRPr="00186F1F">
        <w:rPr>
          <w:rFonts w:ascii="Times New Roman" w:hAnsi="Times New Roman" w:cs="Times New Roman"/>
          <w:sz w:val="24"/>
          <w:szCs w:val="24"/>
        </w:rPr>
        <w:t xml:space="preserve"> ed by D Meyerowitz at p</w:t>
      </w:r>
      <w:r w:rsidR="00FC1096">
        <w:rPr>
          <w:rFonts w:ascii="Times New Roman" w:hAnsi="Times New Roman" w:cs="Times New Roman"/>
          <w:sz w:val="24"/>
          <w:szCs w:val="24"/>
        </w:rPr>
        <w:t> </w:t>
      </w:r>
      <w:r w:rsidRPr="00186F1F">
        <w:rPr>
          <w:rFonts w:ascii="Times New Roman" w:hAnsi="Times New Roman" w:cs="Times New Roman"/>
          <w:sz w:val="24"/>
          <w:szCs w:val="24"/>
        </w:rPr>
        <w:t xml:space="preserve">123 </w:t>
      </w:r>
      <w:r w:rsidR="00516FE1" w:rsidRPr="00186F1F">
        <w:rPr>
          <w:rFonts w:ascii="Times New Roman" w:hAnsi="Times New Roman" w:cs="Times New Roman"/>
          <w:sz w:val="24"/>
          <w:szCs w:val="24"/>
        </w:rPr>
        <w:t>the esteemed author states</w:t>
      </w:r>
      <w:r w:rsidRPr="00186F1F">
        <w:rPr>
          <w:rFonts w:ascii="Times New Roman" w:hAnsi="Times New Roman" w:cs="Times New Roman"/>
          <w:sz w:val="24"/>
          <w:szCs w:val="24"/>
        </w:rPr>
        <w:t xml:space="preserve"> that:</w:t>
      </w:r>
    </w:p>
    <w:p w:rsidR="00A22741" w:rsidRPr="00186F1F" w:rsidRDefault="00A22741" w:rsidP="00FF73DA">
      <w:pPr>
        <w:spacing w:after="0" w:line="240" w:lineRule="auto"/>
        <w:ind w:left="567"/>
        <w:jc w:val="both"/>
        <w:rPr>
          <w:rFonts w:ascii="Times New Roman" w:hAnsi="Times New Roman" w:cs="Times New Roman"/>
          <w:sz w:val="24"/>
          <w:szCs w:val="24"/>
        </w:rPr>
      </w:pPr>
      <w:r w:rsidRPr="00186F1F">
        <w:rPr>
          <w:rFonts w:ascii="Times New Roman" w:hAnsi="Times New Roman" w:cs="Times New Roman"/>
          <w:sz w:val="24"/>
          <w:szCs w:val="24"/>
        </w:rPr>
        <w:t xml:space="preserve">“An executor is not a mere procurator or agent for the heirs but is legally vested with the administration of the estate. A deceased estate is an aggregate of assets and liabilities and </w:t>
      </w:r>
      <w:r w:rsidRPr="00186F1F">
        <w:rPr>
          <w:rFonts w:ascii="Times New Roman" w:hAnsi="Times New Roman" w:cs="Times New Roman"/>
          <w:sz w:val="24"/>
          <w:szCs w:val="24"/>
        </w:rPr>
        <w:lastRenderedPageBreak/>
        <w:t>the totality of the rights, obligations and powers of dealing therewith, vests in the executor, so that he alone can deal with them.</w:t>
      </w:r>
    </w:p>
    <w:p w:rsidR="00A22741" w:rsidRPr="00186F1F" w:rsidRDefault="00A22741" w:rsidP="00FF73DA">
      <w:pPr>
        <w:spacing w:after="0" w:line="240" w:lineRule="auto"/>
        <w:ind w:left="567"/>
        <w:jc w:val="both"/>
        <w:rPr>
          <w:rFonts w:ascii="Times New Roman" w:hAnsi="Times New Roman" w:cs="Times New Roman"/>
          <w:sz w:val="24"/>
          <w:szCs w:val="24"/>
        </w:rPr>
      </w:pPr>
      <w:r w:rsidRPr="00186F1F">
        <w:rPr>
          <w:rFonts w:ascii="Times New Roman" w:hAnsi="Times New Roman" w:cs="Times New Roman"/>
          <w:sz w:val="24"/>
          <w:szCs w:val="24"/>
        </w:rPr>
        <w:t xml:space="preserve"> He has no principal and represents neither the heirs nor the creditors of the estate</w:t>
      </w:r>
      <w:r w:rsidR="004912A2" w:rsidRPr="00186F1F">
        <w:rPr>
          <w:rFonts w:ascii="Times New Roman" w:hAnsi="Times New Roman" w:cs="Times New Roman"/>
          <w:sz w:val="24"/>
          <w:szCs w:val="24"/>
        </w:rPr>
        <w:t>.”</w:t>
      </w:r>
    </w:p>
    <w:p w:rsidR="00FF73DA" w:rsidRPr="00186F1F" w:rsidRDefault="00FF73DA" w:rsidP="00FF73DA">
      <w:pPr>
        <w:spacing w:after="0" w:line="240" w:lineRule="auto"/>
        <w:ind w:left="567"/>
        <w:jc w:val="both"/>
        <w:rPr>
          <w:rFonts w:ascii="Times New Roman" w:hAnsi="Times New Roman" w:cs="Times New Roman"/>
          <w:sz w:val="24"/>
          <w:szCs w:val="24"/>
        </w:rPr>
      </w:pPr>
    </w:p>
    <w:p w:rsidR="00A22741" w:rsidRPr="00186F1F" w:rsidRDefault="00A22741" w:rsidP="009F0CBF">
      <w:pPr>
        <w:spacing w:after="0" w:line="240" w:lineRule="auto"/>
        <w:jc w:val="both"/>
        <w:rPr>
          <w:rFonts w:ascii="Times New Roman" w:hAnsi="Times New Roman" w:cs="Times New Roman"/>
          <w:sz w:val="24"/>
          <w:szCs w:val="24"/>
        </w:rPr>
      </w:pPr>
    </w:p>
    <w:p w:rsidR="00074B78" w:rsidRDefault="00FF73DA" w:rsidP="00D20167">
      <w:pPr>
        <w:tabs>
          <w:tab w:val="left" w:pos="1134"/>
        </w:tabs>
        <w:spacing w:after="0" w:line="360" w:lineRule="auto"/>
        <w:jc w:val="both"/>
        <w:rPr>
          <w:rFonts w:ascii="Times New Roman" w:hAnsi="Times New Roman" w:cs="Times New Roman"/>
          <w:sz w:val="24"/>
          <w:szCs w:val="24"/>
        </w:rPr>
      </w:pPr>
      <w:r w:rsidRPr="00186F1F">
        <w:rPr>
          <w:rFonts w:ascii="Times New Roman" w:hAnsi="Times New Roman" w:cs="Times New Roman"/>
          <w:sz w:val="24"/>
          <w:szCs w:val="24"/>
        </w:rPr>
        <w:tab/>
      </w:r>
      <w:r w:rsidR="00E9378C" w:rsidRPr="00186F1F">
        <w:rPr>
          <w:rFonts w:ascii="Times New Roman" w:hAnsi="Times New Roman" w:cs="Times New Roman"/>
          <w:sz w:val="24"/>
          <w:szCs w:val="24"/>
        </w:rPr>
        <w:t>Further,</w:t>
      </w:r>
      <w:r w:rsidR="00B65E65" w:rsidRPr="00186F1F">
        <w:rPr>
          <w:rFonts w:ascii="Times New Roman" w:hAnsi="Times New Roman" w:cs="Times New Roman"/>
          <w:sz w:val="24"/>
          <w:szCs w:val="24"/>
        </w:rPr>
        <w:t xml:space="preserve"> a</w:t>
      </w:r>
      <w:r w:rsidR="00516FE1" w:rsidRPr="00186F1F">
        <w:rPr>
          <w:rFonts w:ascii="Times New Roman" w:hAnsi="Times New Roman" w:cs="Times New Roman"/>
          <w:sz w:val="24"/>
          <w:szCs w:val="24"/>
        </w:rPr>
        <w:t>t p 124 the author firmly states</w:t>
      </w:r>
      <w:r w:rsidR="00B65E65" w:rsidRPr="00186F1F">
        <w:rPr>
          <w:rFonts w:ascii="Times New Roman" w:hAnsi="Times New Roman" w:cs="Times New Roman"/>
          <w:sz w:val="24"/>
          <w:szCs w:val="24"/>
        </w:rPr>
        <w:t xml:space="preserve"> that:</w:t>
      </w:r>
    </w:p>
    <w:p w:rsidR="00074B78" w:rsidRPr="00CD75F1" w:rsidRDefault="00074B78" w:rsidP="00074B78">
      <w:pPr>
        <w:tabs>
          <w:tab w:val="left" w:pos="1134"/>
        </w:tabs>
        <w:spacing w:after="0" w:line="240" w:lineRule="auto"/>
        <w:jc w:val="both"/>
        <w:rPr>
          <w:rFonts w:ascii="Times New Roman" w:hAnsi="Times New Roman" w:cs="Times New Roman"/>
          <w:sz w:val="12"/>
          <w:szCs w:val="12"/>
        </w:rPr>
      </w:pPr>
    </w:p>
    <w:p w:rsidR="00B65E65" w:rsidRPr="00186F1F" w:rsidRDefault="00B65E65" w:rsidP="00074B78">
      <w:pPr>
        <w:spacing w:after="0" w:line="240" w:lineRule="auto"/>
        <w:ind w:left="567"/>
        <w:jc w:val="both"/>
        <w:rPr>
          <w:rFonts w:ascii="Times New Roman" w:hAnsi="Times New Roman" w:cs="Times New Roman"/>
          <w:sz w:val="24"/>
          <w:szCs w:val="24"/>
        </w:rPr>
      </w:pPr>
      <w:r w:rsidRPr="00186F1F">
        <w:rPr>
          <w:rFonts w:ascii="Times New Roman" w:hAnsi="Times New Roman" w:cs="Times New Roman"/>
          <w:sz w:val="24"/>
          <w:szCs w:val="24"/>
        </w:rPr>
        <w:t>“No proceedings can be taken against the estate without making the executor a party to them. Similarly, no person can institute proceedings on behalf of the estate except the executor. The estate cannot sue or be sued until an executor has been appointed.”</w:t>
      </w:r>
    </w:p>
    <w:p w:rsidR="00FF73DA" w:rsidRPr="00186F1F" w:rsidRDefault="00FF73DA" w:rsidP="00FF73DA">
      <w:pPr>
        <w:spacing w:after="0" w:line="240" w:lineRule="auto"/>
        <w:ind w:left="567"/>
        <w:jc w:val="both"/>
        <w:rPr>
          <w:rFonts w:ascii="Times New Roman" w:hAnsi="Times New Roman" w:cs="Times New Roman"/>
          <w:sz w:val="24"/>
          <w:szCs w:val="24"/>
        </w:rPr>
      </w:pPr>
    </w:p>
    <w:p w:rsidR="00FF73DA" w:rsidRPr="00186F1F" w:rsidRDefault="00FF73DA" w:rsidP="00FF73DA">
      <w:pPr>
        <w:spacing w:after="0" w:line="240" w:lineRule="auto"/>
        <w:ind w:left="567"/>
        <w:jc w:val="both"/>
        <w:rPr>
          <w:rFonts w:ascii="Times New Roman" w:hAnsi="Times New Roman" w:cs="Times New Roman"/>
          <w:sz w:val="24"/>
          <w:szCs w:val="24"/>
        </w:rPr>
      </w:pPr>
    </w:p>
    <w:p w:rsidR="00B65E65" w:rsidRPr="00186F1F" w:rsidRDefault="00B65E65" w:rsidP="00D20167">
      <w:pPr>
        <w:spacing w:after="0" w:line="240" w:lineRule="auto"/>
        <w:ind w:left="720"/>
        <w:jc w:val="both"/>
        <w:rPr>
          <w:rFonts w:ascii="Times New Roman" w:hAnsi="Times New Roman" w:cs="Times New Roman"/>
          <w:sz w:val="24"/>
          <w:szCs w:val="24"/>
        </w:rPr>
      </w:pPr>
    </w:p>
    <w:p w:rsidR="00320B2E" w:rsidRPr="00186F1F" w:rsidRDefault="00FF73DA" w:rsidP="009F0CBF">
      <w:pPr>
        <w:tabs>
          <w:tab w:val="left" w:pos="1134"/>
        </w:tabs>
        <w:spacing w:after="0" w:line="480" w:lineRule="auto"/>
        <w:ind w:firstLine="720"/>
        <w:jc w:val="both"/>
        <w:rPr>
          <w:rFonts w:ascii="Times New Roman" w:hAnsi="Times New Roman" w:cs="Times New Roman"/>
          <w:sz w:val="24"/>
          <w:szCs w:val="24"/>
        </w:rPr>
      </w:pPr>
      <w:r w:rsidRPr="00186F1F">
        <w:rPr>
          <w:rFonts w:ascii="Times New Roman" w:hAnsi="Times New Roman" w:cs="Times New Roman"/>
          <w:sz w:val="24"/>
          <w:szCs w:val="24"/>
        </w:rPr>
        <w:tab/>
      </w:r>
      <w:r w:rsidR="00A22741" w:rsidRPr="00186F1F">
        <w:rPr>
          <w:rFonts w:ascii="Times New Roman" w:hAnsi="Times New Roman" w:cs="Times New Roman"/>
          <w:sz w:val="24"/>
          <w:szCs w:val="24"/>
        </w:rPr>
        <w:t xml:space="preserve">If therefore the totality of the rights, obligations and powers of dealing with </w:t>
      </w:r>
      <w:r w:rsidR="00516FE1" w:rsidRPr="00186F1F">
        <w:rPr>
          <w:rFonts w:ascii="Times New Roman" w:hAnsi="Times New Roman" w:cs="Times New Roman"/>
          <w:sz w:val="24"/>
          <w:szCs w:val="24"/>
        </w:rPr>
        <w:t xml:space="preserve">a </w:t>
      </w:r>
      <w:r w:rsidR="00A22741" w:rsidRPr="00186F1F">
        <w:rPr>
          <w:rFonts w:ascii="Times New Roman" w:hAnsi="Times New Roman" w:cs="Times New Roman"/>
          <w:sz w:val="24"/>
          <w:szCs w:val="24"/>
        </w:rPr>
        <w:t>deceased estate is vested in an executor</w:t>
      </w:r>
      <w:r w:rsidR="006E62A5" w:rsidRPr="00186F1F">
        <w:rPr>
          <w:rFonts w:ascii="Times New Roman" w:hAnsi="Times New Roman" w:cs="Times New Roman"/>
          <w:sz w:val="24"/>
          <w:szCs w:val="24"/>
        </w:rPr>
        <w:t>/executrix</w:t>
      </w:r>
      <w:r w:rsidR="00A22741" w:rsidRPr="00186F1F">
        <w:rPr>
          <w:rFonts w:ascii="Times New Roman" w:hAnsi="Times New Roman" w:cs="Times New Roman"/>
          <w:sz w:val="24"/>
          <w:szCs w:val="24"/>
        </w:rPr>
        <w:t xml:space="preserve"> it follows that the executor</w:t>
      </w:r>
      <w:r w:rsidR="00516FE1" w:rsidRPr="00186F1F">
        <w:rPr>
          <w:rFonts w:ascii="Times New Roman" w:hAnsi="Times New Roman" w:cs="Times New Roman"/>
          <w:sz w:val="24"/>
          <w:szCs w:val="24"/>
        </w:rPr>
        <w:t>/executrix</w:t>
      </w:r>
      <w:r w:rsidR="00A22741" w:rsidRPr="00186F1F">
        <w:rPr>
          <w:rFonts w:ascii="Times New Roman" w:hAnsi="Times New Roman" w:cs="Times New Roman"/>
          <w:sz w:val="24"/>
          <w:szCs w:val="24"/>
        </w:rPr>
        <w:t xml:space="preserve"> must invariably be cited by name in any suit against the estate.  </w:t>
      </w:r>
      <w:r w:rsidR="009F560B" w:rsidRPr="00186F1F">
        <w:rPr>
          <w:rFonts w:ascii="Times New Roman" w:hAnsi="Times New Roman" w:cs="Times New Roman"/>
          <w:sz w:val="24"/>
          <w:szCs w:val="24"/>
        </w:rPr>
        <w:t>Failure</w:t>
      </w:r>
      <w:r w:rsidR="00A22741" w:rsidRPr="00186F1F">
        <w:rPr>
          <w:rFonts w:ascii="Times New Roman" w:hAnsi="Times New Roman" w:cs="Times New Roman"/>
          <w:sz w:val="24"/>
          <w:szCs w:val="24"/>
        </w:rPr>
        <w:t xml:space="preserve"> to cite the executor</w:t>
      </w:r>
      <w:r w:rsidR="006E62A5" w:rsidRPr="00186F1F">
        <w:rPr>
          <w:rFonts w:ascii="Times New Roman" w:hAnsi="Times New Roman" w:cs="Times New Roman"/>
          <w:sz w:val="24"/>
          <w:szCs w:val="24"/>
        </w:rPr>
        <w:t>/executrix</w:t>
      </w:r>
      <w:r w:rsidR="00A20EDF" w:rsidRPr="00186F1F">
        <w:rPr>
          <w:rFonts w:ascii="Times New Roman" w:hAnsi="Times New Roman" w:cs="Times New Roman"/>
          <w:sz w:val="24"/>
          <w:szCs w:val="24"/>
        </w:rPr>
        <w:t xml:space="preserve"> would be</w:t>
      </w:r>
      <w:r w:rsidR="00A22741" w:rsidRPr="00186F1F">
        <w:rPr>
          <w:rFonts w:ascii="Times New Roman" w:hAnsi="Times New Roman" w:cs="Times New Roman"/>
          <w:sz w:val="24"/>
          <w:szCs w:val="24"/>
        </w:rPr>
        <w:t xml:space="preserve"> fatal to an action against the deceased’s estate.</w:t>
      </w:r>
    </w:p>
    <w:p w:rsidR="00FF73DA" w:rsidRPr="00186F1F" w:rsidRDefault="00FF73DA" w:rsidP="009F0CBF">
      <w:pPr>
        <w:spacing w:after="0" w:line="360" w:lineRule="auto"/>
        <w:ind w:firstLine="720"/>
        <w:jc w:val="both"/>
        <w:rPr>
          <w:rFonts w:ascii="Times New Roman" w:hAnsi="Times New Roman" w:cs="Times New Roman"/>
          <w:sz w:val="24"/>
          <w:szCs w:val="24"/>
        </w:rPr>
      </w:pPr>
    </w:p>
    <w:p w:rsidR="004E2C7E" w:rsidRPr="00186F1F" w:rsidRDefault="00320B2E" w:rsidP="00320B2E">
      <w:pPr>
        <w:tabs>
          <w:tab w:val="left" w:pos="1134"/>
          <w:tab w:val="left" w:pos="6288"/>
        </w:tabs>
        <w:spacing w:after="0" w:line="480" w:lineRule="auto"/>
        <w:contextualSpacing/>
        <w:jc w:val="both"/>
        <w:rPr>
          <w:rFonts w:ascii="Times New Roman" w:hAnsi="Times New Roman" w:cs="Times New Roman"/>
          <w:sz w:val="24"/>
          <w:szCs w:val="24"/>
        </w:rPr>
      </w:pPr>
      <w:r w:rsidRPr="00186F1F">
        <w:rPr>
          <w:rFonts w:ascii="Times New Roman" w:hAnsi="Times New Roman" w:cs="Times New Roman"/>
          <w:sz w:val="24"/>
          <w:szCs w:val="24"/>
        </w:rPr>
        <w:tab/>
      </w:r>
      <w:r w:rsidR="004E2C7E" w:rsidRPr="00186F1F">
        <w:rPr>
          <w:rFonts w:ascii="Times New Roman" w:hAnsi="Times New Roman" w:cs="Times New Roman"/>
          <w:sz w:val="24"/>
          <w:szCs w:val="24"/>
        </w:rPr>
        <w:t xml:space="preserve">In </w:t>
      </w:r>
      <w:r w:rsidR="004E2C7E" w:rsidRPr="00186F1F">
        <w:rPr>
          <w:rFonts w:ascii="Times New Roman" w:hAnsi="Times New Roman" w:cs="Times New Roman"/>
          <w:i/>
          <w:sz w:val="24"/>
          <w:szCs w:val="24"/>
        </w:rPr>
        <w:t>c</w:t>
      </w:r>
      <w:r w:rsidR="003B3DE3" w:rsidRPr="00186F1F">
        <w:rPr>
          <w:rFonts w:ascii="Times New Roman" w:hAnsi="Times New Roman" w:cs="Times New Roman"/>
          <w:i/>
          <w:sz w:val="24"/>
          <w:szCs w:val="24"/>
        </w:rPr>
        <w:t>asu,</w:t>
      </w:r>
      <w:r w:rsidR="003B3DE3" w:rsidRPr="00186F1F">
        <w:rPr>
          <w:rFonts w:ascii="Times New Roman" w:hAnsi="Times New Roman" w:cs="Times New Roman"/>
          <w:sz w:val="24"/>
          <w:szCs w:val="24"/>
        </w:rPr>
        <w:t xml:space="preserve"> it is common cause that an executrix</w:t>
      </w:r>
      <w:r w:rsidR="004E2C7E" w:rsidRPr="00186F1F">
        <w:rPr>
          <w:rFonts w:ascii="Times New Roman" w:hAnsi="Times New Roman" w:cs="Times New Roman"/>
          <w:sz w:val="24"/>
          <w:szCs w:val="24"/>
        </w:rPr>
        <w:t xml:space="preserve"> testamentary was still in office when the </w:t>
      </w:r>
      <w:r w:rsidR="00F6026C" w:rsidRPr="00186F1F">
        <w:rPr>
          <w:rFonts w:ascii="Times New Roman" w:hAnsi="Times New Roman" w:cs="Times New Roman"/>
          <w:sz w:val="24"/>
          <w:szCs w:val="24"/>
        </w:rPr>
        <w:t>second</w:t>
      </w:r>
      <w:r w:rsidR="004E2C7E" w:rsidRPr="00186F1F">
        <w:rPr>
          <w:rFonts w:ascii="Times New Roman" w:hAnsi="Times New Roman" w:cs="Times New Roman"/>
          <w:sz w:val="24"/>
          <w:szCs w:val="24"/>
        </w:rPr>
        <w:t xml:space="preserve"> respondent </w:t>
      </w:r>
      <w:r w:rsidR="003B3DE3" w:rsidRPr="00186F1F">
        <w:rPr>
          <w:rFonts w:ascii="Times New Roman" w:hAnsi="Times New Roman" w:cs="Times New Roman"/>
          <w:sz w:val="24"/>
          <w:szCs w:val="24"/>
        </w:rPr>
        <w:t>purported</w:t>
      </w:r>
      <w:r w:rsidR="009F560B" w:rsidRPr="00186F1F">
        <w:rPr>
          <w:rFonts w:ascii="Times New Roman" w:hAnsi="Times New Roman" w:cs="Times New Roman"/>
          <w:sz w:val="24"/>
          <w:szCs w:val="24"/>
        </w:rPr>
        <w:t xml:space="preserve"> to sell</w:t>
      </w:r>
      <w:r w:rsidR="004E2C7E" w:rsidRPr="00186F1F">
        <w:rPr>
          <w:rFonts w:ascii="Times New Roman" w:hAnsi="Times New Roman" w:cs="Times New Roman"/>
          <w:sz w:val="24"/>
          <w:szCs w:val="24"/>
        </w:rPr>
        <w:t xml:space="preserve"> the </w:t>
      </w:r>
      <w:r w:rsidR="003B3DE3" w:rsidRPr="00186F1F">
        <w:rPr>
          <w:rFonts w:ascii="Times New Roman" w:hAnsi="Times New Roman" w:cs="Times New Roman"/>
          <w:sz w:val="24"/>
          <w:szCs w:val="24"/>
        </w:rPr>
        <w:t>property</w:t>
      </w:r>
      <w:r w:rsidR="004E2C7E" w:rsidRPr="00186F1F">
        <w:rPr>
          <w:rFonts w:ascii="Times New Roman" w:hAnsi="Times New Roman" w:cs="Times New Roman"/>
          <w:sz w:val="24"/>
          <w:szCs w:val="24"/>
        </w:rPr>
        <w:t xml:space="preserve"> in </w:t>
      </w:r>
      <w:r w:rsidR="003B3DE3" w:rsidRPr="00186F1F">
        <w:rPr>
          <w:rFonts w:ascii="Times New Roman" w:hAnsi="Times New Roman" w:cs="Times New Roman"/>
          <w:sz w:val="24"/>
          <w:szCs w:val="24"/>
        </w:rPr>
        <w:t>question</w:t>
      </w:r>
      <w:r w:rsidR="004E2C7E" w:rsidRPr="00186F1F">
        <w:rPr>
          <w:rFonts w:ascii="Times New Roman" w:hAnsi="Times New Roman" w:cs="Times New Roman"/>
          <w:sz w:val="24"/>
          <w:szCs w:val="24"/>
        </w:rPr>
        <w:t xml:space="preserve"> to the </w:t>
      </w:r>
      <w:r w:rsidR="00A20EDF" w:rsidRPr="00186F1F">
        <w:rPr>
          <w:rFonts w:ascii="Times New Roman" w:hAnsi="Times New Roman" w:cs="Times New Roman"/>
          <w:sz w:val="24"/>
          <w:szCs w:val="24"/>
        </w:rPr>
        <w:t>appellant. The</w:t>
      </w:r>
      <w:r w:rsidR="009F560B" w:rsidRPr="00186F1F">
        <w:rPr>
          <w:rFonts w:ascii="Times New Roman" w:hAnsi="Times New Roman" w:cs="Times New Roman"/>
          <w:sz w:val="24"/>
          <w:szCs w:val="24"/>
        </w:rPr>
        <w:t xml:space="preserve"> sale was without the consent or authority of the executrix.</w:t>
      </w:r>
      <w:r w:rsidR="00A20EDF" w:rsidRPr="00186F1F">
        <w:rPr>
          <w:rFonts w:ascii="Times New Roman" w:hAnsi="Times New Roman" w:cs="Times New Roman"/>
          <w:sz w:val="24"/>
          <w:szCs w:val="24"/>
        </w:rPr>
        <w:t xml:space="preserve"> </w:t>
      </w:r>
      <w:r w:rsidRPr="00186F1F">
        <w:rPr>
          <w:rFonts w:ascii="Times New Roman" w:hAnsi="Times New Roman" w:cs="Times New Roman"/>
          <w:sz w:val="24"/>
          <w:szCs w:val="24"/>
        </w:rPr>
        <w:t>It</w:t>
      </w:r>
      <w:r w:rsidR="009F560B" w:rsidRPr="00186F1F">
        <w:rPr>
          <w:rFonts w:ascii="Times New Roman" w:hAnsi="Times New Roman" w:cs="Times New Roman"/>
          <w:sz w:val="24"/>
          <w:szCs w:val="24"/>
        </w:rPr>
        <w:t xml:space="preserve"> is also not </w:t>
      </w:r>
      <w:r w:rsidR="00107ED2" w:rsidRPr="00186F1F">
        <w:rPr>
          <w:rFonts w:ascii="Times New Roman" w:hAnsi="Times New Roman" w:cs="Times New Roman"/>
          <w:sz w:val="24"/>
          <w:szCs w:val="24"/>
        </w:rPr>
        <w:t>seriously</w:t>
      </w:r>
      <w:r w:rsidR="009F560B" w:rsidRPr="00186F1F">
        <w:rPr>
          <w:rFonts w:ascii="Times New Roman" w:hAnsi="Times New Roman" w:cs="Times New Roman"/>
          <w:sz w:val="24"/>
          <w:szCs w:val="24"/>
        </w:rPr>
        <w:t xml:space="preserve"> disputed that th</w:t>
      </w:r>
      <w:r w:rsidR="00107ED2" w:rsidRPr="00186F1F">
        <w:rPr>
          <w:rFonts w:ascii="Times New Roman" w:hAnsi="Times New Roman" w:cs="Times New Roman"/>
          <w:sz w:val="24"/>
          <w:szCs w:val="24"/>
        </w:rPr>
        <w:t xml:space="preserve">e executrix was not cited as a </w:t>
      </w:r>
      <w:r w:rsidR="009F560B" w:rsidRPr="00186F1F">
        <w:rPr>
          <w:rFonts w:ascii="Times New Roman" w:hAnsi="Times New Roman" w:cs="Times New Roman"/>
          <w:sz w:val="24"/>
          <w:szCs w:val="24"/>
        </w:rPr>
        <w:t xml:space="preserve">party to the proceedings in the </w:t>
      </w:r>
      <w:r w:rsidR="004912A2" w:rsidRPr="00186F1F">
        <w:rPr>
          <w:rFonts w:ascii="Times New Roman" w:hAnsi="Times New Roman" w:cs="Times New Roman"/>
          <w:sz w:val="24"/>
          <w:szCs w:val="24"/>
        </w:rPr>
        <w:t>magistrates’</w:t>
      </w:r>
      <w:r w:rsidR="009F560B" w:rsidRPr="00186F1F">
        <w:rPr>
          <w:rFonts w:ascii="Times New Roman" w:hAnsi="Times New Roman" w:cs="Times New Roman"/>
          <w:sz w:val="24"/>
          <w:szCs w:val="24"/>
        </w:rPr>
        <w:t xml:space="preserve"> court </w:t>
      </w:r>
      <w:r w:rsidR="00107ED2" w:rsidRPr="00186F1F">
        <w:rPr>
          <w:rFonts w:ascii="Times New Roman" w:hAnsi="Times New Roman" w:cs="Times New Roman"/>
          <w:sz w:val="24"/>
          <w:szCs w:val="24"/>
        </w:rPr>
        <w:t>that</w:t>
      </w:r>
      <w:r w:rsidR="009F560B" w:rsidRPr="00186F1F">
        <w:rPr>
          <w:rFonts w:ascii="Times New Roman" w:hAnsi="Times New Roman" w:cs="Times New Roman"/>
          <w:sz w:val="24"/>
          <w:szCs w:val="24"/>
        </w:rPr>
        <w:t xml:space="preserve"> the appellant </w:t>
      </w:r>
      <w:r w:rsidR="00107ED2" w:rsidRPr="00186F1F">
        <w:rPr>
          <w:rFonts w:ascii="Times New Roman" w:hAnsi="Times New Roman" w:cs="Times New Roman"/>
          <w:sz w:val="24"/>
          <w:szCs w:val="24"/>
        </w:rPr>
        <w:t>sought</w:t>
      </w:r>
      <w:r w:rsidR="009F560B" w:rsidRPr="00186F1F">
        <w:rPr>
          <w:rFonts w:ascii="Times New Roman" w:hAnsi="Times New Roman" w:cs="Times New Roman"/>
          <w:sz w:val="24"/>
          <w:szCs w:val="24"/>
        </w:rPr>
        <w:t xml:space="preserve"> to rely on as </w:t>
      </w:r>
      <w:r w:rsidR="00107ED2" w:rsidRPr="00186F1F">
        <w:rPr>
          <w:rFonts w:ascii="Times New Roman" w:hAnsi="Times New Roman" w:cs="Times New Roman"/>
          <w:sz w:val="24"/>
          <w:szCs w:val="24"/>
        </w:rPr>
        <w:t>authority</w:t>
      </w:r>
      <w:r w:rsidR="009F560B" w:rsidRPr="00186F1F">
        <w:rPr>
          <w:rFonts w:ascii="Times New Roman" w:hAnsi="Times New Roman" w:cs="Times New Roman"/>
          <w:sz w:val="24"/>
          <w:szCs w:val="24"/>
        </w:rPr>
        <w:t xml:space="preserve"> for the </w:t>
      </w:r>
      <w:r w:rsidR="00F6026C" w:rsidRPr="00186F1F">
        <w:rPr>
          <w:rFonts w:ascii="Times New Roman" w:hAnsi="Times New Roman" w:cs="Times New Roman"/>
          <w:sz w:val="24"/>
          <w:szCs w:val="24"/>
        </w:rPr>
        <w:t>third</w:t>
      </w:r>
      <w:r w:rsidR="009F560B" w:rsidRPr="00186F1F">
        <w:rPr>
          <w:rFonts w:ascii="Times New Roman" w:hAnsi="Times New Roman" w:cs="Times New Roman"/>
          <w:sz w:val="24"/>
          <w:szCs w:val="24"/>
        </w:rPr>
        <w:t xml:space="preserve"> respondent’s actions. The appointment of the </w:t>
      </w:r>
      <w:r w:rsidR="00F6026C" w:rsidRPr="00186F1F">
        <w:rPr>
          <w:rFonts w:ascii="Times New Roman" w:hAnsi="Times New Roman" w:cs="Times New Roman"/>
          <w:sz w:val="24"/>
          <w:szCs w:val="24"/>
        </w:rPr>
        <w:t>third</w:t>
      </w:r>
      <w:r w:rsidR="009F560B" w:rsidRPr="00186F1F">
        <w:rPr>
          <w:rFonts w:ascii="Times New Roman" w:hAnsi="Times New Roman" w:cs="Times New Roman"/>
          <w:sz w:val="24"/>
          <w:szCs w:val="24"/>
        </w:rPr>
        <w:t xml:space="preserve"> respondent as executor </w:t>
      </w:r>
      <w:r w:rsidR="00107ED2" w:rsidRPr="00186F1F">
        <w:rPr>
          <w:rFonts w:ascii="Times New Roman" w:hAnsi="Times New Roman" w:cs="Times New Roman"/>
          <w:i/>
          <w:sz w:val="24"/>
          <w:szCs w:val="24"/>
        </w:rPr>
        <w:t>dative</w:t>
      </w:r>
      <w:r w:rsidR="009F560B" w:rsidRPr="00186F1F">
        <w:rPr>
          <w:rFonts w:ascii="Times New Roman" w:hAnsi="Times New Roman" w:cs="Times New Roman"/>
          <w:sz w:val="24"/>
          <w:szCs w:val="24"/>
        </w:rPr>
        <w:t xml:space="preserve"> was done without citing or involving the executrix. It would appear that the </w:t>
      </w:r>
      <w:r w:rsidR="00107ED2" w:rsidRPr="00186F1F">
        <w:rPr>
          <w:rFonts w:ascii="Times New Roman" w:hAnsi="Times New Roman" w:cs="Times New Roman"/>
          <w:sz w:val="24"/>
          <w:szCs w:val="24"/>
        </w:rPr>
        <w:t xml:space="preserve">appellant and his agents chose </w:t>
      </w:r>
      <w:r w:rsidR="00A20EDF" w:rsidRPr="00186F1F">
        <w:rPr>
          <w:rFonts w:ascii="Times New Roman" w:hAnsi="Times New Roman" w:cs="Times New Roman"/>
          <w:sz w:val="24"/>
          <w:szCs w:val="24"/>
        </w:rPr>
        <w:t>to side</w:t>
      </w:r>
      <w:r w:rsidR="00107ED2" w:rsidRPr="00186F1F">
        <w:rPr>
          <w:rFonts w:ascii="Times New Roman" w:hAnsi="Times New Roman" w:cs="Times New Roman"/>
          <w:sz w:val="24"/>
          <w:szCs w:val="24"/>
        </w:rPr>
        <w:t>step the exec</w:t>
      </w:r>
      <w:r w:rsidR="00516FE1" w:rsidRPr="00186F1F">
        <w:rPr>
          <w:rFonts w:ascii="Times New Roman" w:hAnsi="Times New Roman" w:cs="Times New Roman"/>
          <w:sz w:val="24"/>
          <w:szCs w:val="24"/>
        </w:rPr>
        <w:t>utrix. Such conduct was unlawful</w:t>
      </w:r>
      <w:r w:rsidR="00107ED2" w:rsidRPr="00186F1F">
        <w:rPr>
          <w:rFonts w:ascii="Times New Roman" w:hAnsi="Times New Roman" w:cs="Times New Roman"/>
          <w:sz w:val="24"/>
          <w:szCs w:val="24"/>
        </w:rPr>
        <w:t xml:space="preserve"> and rendered their </w:t>
      </w:r>
      <w:r w:rsidR="00516FE1" w:rsidRPr="00186F1F">
        <w:rPr>
          <w:rFonts w:ascii="Times New Roman" w:hAnsi="Times New Roman" w:cs="Times New Roman"/>
          <w:sz w:val="24"/>
          <w:szCs w:val="24"/>
        </w:rPr>
        <w:t>subsequent actions a nullity</w:t>
      </w:r>
      <w:r w:rsidR="00107ED2" w:rsidRPr="00186F1F">
        <w:rPr>
          <w:rFonts w:ascii="Times New Roman" w:hAnsi="Times New Roman" w:cs="Times New Roman"/>
          <w:sz w:val="24"/>
          <w:szCs w:val="24"/>
        </w:rPr>
        <w:t>.</w:t>
      </w:r>
    </w:p>
    <w:p w:rsidR="00320B2E" w:rsidRPr="00186F1F" w:rsidRDefault="00320B2E" w:rsidP="00320B2E">
      <w:pPr>
        <w:tabs>
          <w:tab w:val="left" w:pos="6288"/>
        </w:tabs>
        <w:spacing w:after="0" w:line="480" w:lineRule="auto"/>
        <w:contextualSpacing/>
        <w:jc w:val="both"/>
        <w:rPr>
          <w:rFonts w:ascii="Times New Roman" w:eastAsia="Cambria" w:hAnsi="Times New Roman" w:cs="Times New Roman"/>
          <w:sz w:val="24"/>
          <w:szCs w:val="24"/>
          <w:lang w:bidi="en-US"/>
        </w:rPr>
      </w:pPr>
    </w:p>
    <w:p w:rsidR="000F1A7D" w:rsidRPr="00186F1F" w:rsidRDefault="004E2C7E" w:rsidP="00EA1ED8">
      <w:pPr>
        <w:tabs>
          <w:tab w:val="left" w:pos="1134"/>
          <w:tab w:val="left" w:pos="6288"/>
        </w:tabs>
        <w:spacing w:after="0" w:line="480" w:lineRule="auto"/>
        <w:contextualSpacing/>
        <w:jc w:val="both"/>
        <w:rPr>
          <w:rFonts w:ascii="Times New Roman" w:eastAsia="Cambria" w:hAnsi="Times New Roman" w:cs="Times New Roman"/>
          <w:b/>
          <w:sz w:val="24"/>
          <w:szCs w:val="24"/>
          <w:lang w:val="en-ZW" w:bidi="en-US"/>
        </w:rPr>
      </w:pPr>
      <w:r w:rsidRPr="00186F1F">
        <w:rPr>
          <w:rFonts w:ascii="Times New Roman" w:eastAsia="Cambria" w:hAnsi="Times New Roman" w:cs="Times New Roman"/>
          <w:sz w:val="24"/>
          <w:szCs w:val="24"/>
          <w:lang w:bidi="en-US"/>
        </w:rPr>
        <w:t xml:space="preserve"> </w:t>
      </w:r>
      <w:r w:rsidR="00320B2E" w:rsidRPr="00186F1F">
        <w:rPr>
          <w:rFonts w:ascii="Times New Roman" w:eastAsia="Cambria" w:hAnsi="Times New Roman" w:cs="Times New Roman"/>
          <w:sz w:val="24"/>
          <w:szCs w:val="24"/>
          <w:lang w:bidi="en-US"/>
        </w:rPr>
        <w:tab/>
      </w:r>
      <w:r w:rsidRPr="00186F1F">
        <w:rPr>
          <w:rFonts w:ascii="Times New Roman" w:eastAsia="Cambria" w:hAnsi="Times New Roman" w:cs="Times New Roman"/>
          <w:sz w:val="24"/>
          <w:szCs w:val="24"/>
          <w:lang w:bidi="en-US"/>
        </w:rPr>
        <w:t>A properly appointed executrix cannot</w:t>
      </w:r>
      <w:r w:rsidR="00107ED2" w:rsidRPr="00186F1F">
        <w:rPr>
          <w:rFonts w:ascii="Times New Roman" w:eastAsia="Cambria" w:hAnsi="Times New Roman" w:cs="Times New Roman"/>
          <w:sz w:val="24"/>
          <w:szCs w:val="24"/>
          <w:lang w:bidi="en-US"/>
        </w:rPr>
        <w:t xml:space="preserve"> sim</w:t>
      </w:r>
      <w:r w:rsidR="00A20EDF" w:rsidRPr="00186F1F">
        <w:rPr>
          <w:rFonts w:ascii="Times New Roman" w:eastAsia="Cambria" w:hAnsi="Times New Roman" w:cs="Times New Roman"/>
          <w:sz w:val="24"/>
          <w:szCs w:val="24"/>
          <w:lang w:bidi="en-US"/>
        </w:rPr>
        <w:t>ply be ignored or sidestepped when</w:t>
      </w:r>
      <w:r w:rsidR="00107ED2" w:rsidRPr="00186F1F">
        <w:rPr>
          <w:rFonts w:ascii="Times New Roman" w:eastAsia="Cambria" w:hAnsi="Times New Roman" w:cs="Times New Roman"/>
          <w:sz w:val="24"/>
          <w:szCs w:val="24"/>
          <w:lang w:bidi="en-US"/>
        </w:rPr>
        <w:t xml:space="preserve"> dealing with a deceased estate. If there are any challenges with the executrix the proper procedure is to first seek his removal</w:t>
      </w:r>
      <w:r w:rsidR="006B4B62" w:rsidRPr="00186F1F">
        <w:rPr>
          <w:rFonts w:ascii="Times New Roman" w:eastAsia="Cambria" w:hAnsi="Times New Roman" w:cs="Times New Roman"/>
          <w:sz w:val="24"/>
          <w:szCs w:val="24"/>
          <w:lang w:bidi="en-US"/>
        </w:rPr>
        <w:t xml:space="preserve"> from office. </w:t>
      </w:r>
      <w:r w:rsidR="00107ED2" w:rsidRPr="00186F1F">
        <w:rPr>
          <w:rFonts w:ascii="Times New Roman" w:eastAsia="Cambria" w:hAnsi="Times New Roman" w:cs="Times New Roman"/>
          <w:sz w:val="24"/>
          <w:szCs w:val="24"/>
          <w:lang w:bidi="en-US"/>
        </w:rPr>
        <w:t xml:space="preserve"> </w:t>
      </w:r>
      <w:r w:rsidR="006B4B62" w:rsidRPr="00186F1F">
        <w:rPr>
          <w:rFonts w:ascii="Times New Roman" w:eastAsia="Cambria" w:hAnsi="Times New Roman" w:cs="Times New Roman"/>
          <w:sz w:val="24"/>
          <w:szCs w:val="24"/>
          <w:lang w:bidi="en-US"/>
        </w:rPr>
        <w:t>An</w:t>
      </w:r>
      <w:r w:rsidR="00107ED2" w:rsidRPr="00186F1F">
        <w:rPr>
          <w:rFonts w:ascii="Times New Roman" w:eastAsia="Cambria" w:hAnsi="Times New Roman" w:cs="Times New Roman"/>
          <w:sz w:val="24"/>
          <w:szCs w:val="24"/>
          <w:lang w:bidi="en-US"/>
        </w:rPr>
        <w:t xml:space="preserve"> executrix cannot</w:t>
      </w:r>
      <w:r w:rsidRPr="00186F1F">
        <w:rPr>
          <w:rFonts w:ascii="Times New Roman" w:eastAsia="Cambria" w:hAnsi="Times New Roman" w:cs="Times New Roman"/>
          <w:sz w:val="24"/>
          <w:szCs w:val="24"/>
          <w:lang w:bidi="en-US"/>
        </w:rPr>
        <w:t xml:space="preserve"> be removed from office or incapacitated </w:t>
      </w:r>
      <w:r w:rsidRPr="00186F1F">
        <w:rPr>
          <w:rFonts w:ascii="Times New Roman" w:eastAsia="Cambria" w:hAnsi="Times New Roman" w:cs="Times New Roman"/>
          <w:sz w:val="24"/>
          <w:szCs w:val="24"/>
          <w:lang w:bidi="en-US"/>
        </w:rPr>
        <w:lastRenderedPageBreak/>
        <w:t xml:space="preserve">from dealing with any asset of the estate by a </w:t>
      </w:r>
      <w:r w:rsidR="003B3DE3" w:rsidRPr="00186F1F">
        <w:rPr>
          <w:rFonts w:ascii="Times New Roman" w:eastAsia="Cambria" w:hAnsi="Times New Roman" w:cs="Times New Roman"/>
          <w:sz w:val="24"/>
          <w:szCs w:val="24"/>
          <w:lang w:bidi="en-US"/>
        </w:rPr>
        <w:t>purported</w:t>
      </w:r>
      <w:r w:rsidRPr="00186F1F">
        <w:rPr>
          <w:rFonts w:ascii="Times New Roman" w:eastAsia="Cambria" w:hAnsi="Times New Roman" w:cs="Times New Roman"/>
          <w:sz w:val="24"/>
          <w:szCs w:val="24"/>
          <w:lang w:bidi="en-US"/>
        </w:rPr>
        <w:t xml:space="preserve"> appointment of an executor </w:t>
      </w:r>
      <w:r w:rsidRPr="00186F1F">
        <w:rPr>
          <w:rFonts w:ascii="Times New Roman" w:eastAsia="Cambria" w:hAnsi="Times New Roman" w:cs="Times New Roman"/>
          <w:i/>
          <w:sz w:val="24"/>
          <w:szCs w:val="24"/>
          <w:lang w:bidi="en-US"/>
        </w:rPr>
        <w:t>dative</w:t>
      </w:r>
      <w:r w:rsidRPr="00186F1F">
        <w:rPr>
          <w:rFonts w:ascii="Times New Roman" w:eastAsia="Cambria" w:hAnsi="Times New Roman" w:cs="Times New Roman"/>
          <w:sz w:val="24"/>
          <w:szCs w:val="24"/>
          <w:lang w:bidi="en-US"/>
        </w:rPr>
        <w:t xml:space="preserve">. It must be acknowledged that </w:t>
      </w:r>
      <w:r w:rsidR="00074B78">
        <w:rPr>
          <w:rFonts w:ascii="Times New Roman" w:eastAsia="Cambria" w:hAnsi="Times New Roman" w:cs="Times New Roman"/>
          <w:sz w:val="24"/>
          <w:szCs w:val="24"/>
          <w:lang w:val="en-ZW" w:bidi="en-US"/>
        </w:rPr>
        <w:t>c</w:t>
      </w:r>
      <w:r w:rsidR="00130A6A" w:rsidRPr="00186F1F">
        <w:rPr>
          <w:rFonts w:ascii="Times New Roman" w:eastAsia="Cambria" w:hAnsi="Times New Roman" w:cs="Times New Roman"/>
          <w:sz w:val="24"/>
          <w:szCs w:val="24"/>
          <w:lang w:val="en-ZW" w:bidi="en-US"/>
        </w:rPr>
        <w:t>ourts do not lightly remove an executor</w:t>
      </w:r>
      <w:r w:rsidR="006E62A5" w:rsidRPr="00186F1F">
        <w:rPr>
          <w:rFonts w:ascii="Times New Roman" w:eastAsia="Cambria" w:hAnsi="Times New Roman" w:cs="Times New Roman"/>
          <w:sz w:val="24"/>
          <w:szCs w:val="24"/>
          <w:lang w:val="en-ZW" w:bidi="en-US"/>
        </w:rPr>
        <w:t>/executrix</w:t>
      </w:r>
      <w:r w:rsidR="00130A6A" w:rsidRPr="00186F1F">
        <w:rPr>
          <w:rFonts w:ascii="Times New Roman" w:eastAsia="Cambria" w:hAnsi="Times New Roman" w:cs="Times New Roman"/>
          <w:sz w:val="24"/>
          <w:szCs w:val="24"/>
          <w:lang w:val="en-ZW" w:bidi="en-US"/>
        </w:rPr>
        <w:t xml:space="preserve"> in the absence of evidence of serious misconduct or incapacitation that</w:t>
      </w:r>
      <w:r w:rsidR="000F1A7D" w:rsidRPr="00186F1F">
        <w:rPr>
          <w:rFonts w:ascii="Times New Roman" w:eastAsia="Cambria" w:hAnsi="Times New Roman" w:cs="Times New Roman"/>
          <w:sz w:val="24"/>
          <w:szCs w:val="24"/>
          <w:lang w:val="en-ZW" w:bidi="en-US"/>
        </w:rPr>
        <w:t xml:space="preserve"> would prej</w:t>
      </w:r>
      <w:r w:rsidRPr="00186F1F">
        <w:rPr>
          <w:rFonts w:ascii="Times New Roman" w:eastAsia="Cambria" w:hAnsi="Times New Roman" w:cs="Times New Roman"/>
          <w:sz w:val="24"/>
          <w:szCs w:val="24"/>
          <w:lang w:val="en-ZW" w:bidi="en-US"/>
        </w:rPr>
        <w:t xml:space="preserve">udice the estate. </w:t>
      </w:r>
      <w:r w:rsidR="00107ED2" w:rsidRPr="00186F1F">
        <w:rPr>
          <w:rFonts w:ascii="Times New Roman" w:eastAsia="Cambria" w:hAnsi="Times New Roman" w:cs="Times New Roman"/>
          <w:sz w:val="24"/>
          <w:szCs w:val="24"/>
          <w:lang w:val="en-ZW" w:bidi="en-US"/>
        </w:rPr>
        <w:t>In</w:t>
      </w:r>
      <w:r w:rsidR="00130A6A" w:rsidRPr="00186F1F">
        <w:rPr>
          <w:rFonts w:ascii="Times New Roman" w:eastAsia="Cambria" w:hAnsi="Times New Roman" w:cs="Times New Roman"/>
          <w:sz w:val="24"/>
          <w:szCs w:val="24"/>
          <w:lang w:val="en-ZW" w:bidi="en-US"/>
        </w:rPr>
        <w:t> </w:t>
      </w:r>
      <w:r w:rsidR="00130A6A" w:rsidRPr="00186F1F">
        <w:rPr>
          <w:rFonts w:ascii="Times New Roman" w:eastAsia="Cambria" w:hAnsi="Times New Roman" w:cs="Times New Roman"/>
          <w:i/>
          <w:iCs/>
          <w:sz w:val="24"/>
          <w:szCs w:val="24"/>
          <w:lang w:val="en-ZW" w:bidi="en-US"/>
        </w:rPr>
        <w:t>The Master v Moyo NO &amp; Ors</w:t>
      </w:r>
      <w:r w:rsidR="00130A6A" w:rsidRPr="00186F1F">
        <w:rPr>
          <w:rFonts w:ascii="Times New Roman" w:eastAsia="Cambria" w:hAnsi="Times New Roman" w:cs="Times New Roman"/>
          <w:b/>
          <w:i/>
          <w:iCs/>
          <w:sz w:val="24"/>
          <w:szCs w:val="24"/>
          <w:lang w:val="en-ZW" w:bidi="en-US"/>
        </w:rPr>
        <w:t> </w:t>
      </w:r>
      <w:r w:rsidR="000F1A7D" w:rsidRPr="00186F1F">
        <w:rPr>
          <w:rFonts w:ascii="Times New Roman" w:eastAsia="Cambria" w:hAnsi="Times New Roman" w:cs="Times New Roman"/>
          <w:sz w:val="24"/>
          <w:szCs w:val="24"/>
          <w:lang w:val="en-ZW" w:bidi="en-US"/>
        </w:rPr>
        <w:t>2009 (1) ZLR 119(H) the court</w:t>
      </w:r>
      <w:r w:rsidR="000F1A7D" w:rsidRPr="00186F1F">
        <w:rPr>
          <w:rFonts w:ascii="Times New Roman" w:eastAsia="Cambria" w:hAnsi="Times New Roman" w:cs="Times New Roman"/>
          <w:b/>
          <w:sz w:val="24"/>
          <w:szCs w:val="24"/>
          <w:lang w:val="en-ZW" w:bidi="en-US"/>
        </w:rPr>
        <w:t xml:space="preserve"> </w:t>
      </w:r>
      <w:r w:rsidR="000F1A7D" w:rsidRPr="00186F1F">
        <w:rPr>
          <w:rFonts w:ascii="Times New Roman" w:eastAsia="Cambria" w:hAnsi="Times New Roman" w:cs="Times New Roman"/>
          <w:sz w:val="24"/>
          <w:szCs w:val="24"/>
          <w:lang w:val="en-ZW" w:bidi="en-US"/>
        </w:rPr>
        <w:t>held</w:t>
      </w:r>
      <w:r w:rsidR="00EA1ED8" w:rsidRPr="00186F1F">
        <w:rPr>
          <w:rFonts w:ascii="Times New Roman" w:eastAsia="Cambria" w:hAnsi="Times New Roman" w:cs="Times New Roman"/>
          <w:sz w:val="24"/>
          <w:szCs w:val="24"/>
          <w:lang w:val="en-ZW" w:bidi="en-US"/>
        </w:rPr>
        <w:t>,</w:t>
      </w:r>
      <w:r w:rsidR="009A02A3" w:rsidRPr="00186F1F">
        <w:rPr>
          <w:rFonts w:ascii="Times New Roman" w:eastAsia="Cambria" w:hAnsi="Times New Roman" w:cs="Times New Roman"/>
          <w:sz w:val="24"/>
          <w:szCs w:val="24"/>
          <w:lang w:val="en-ZW" w:bidi="en-US"/>
        </w:rPr>
        <w:t xml:space="preserve"> </w:t>
      </w:r>
      <w:r w:rsidR="00EA1ED8" w:rsidRPr="00186F1F">
        <w:rPr>
          <w:rFonts w:ascii="Times New Roman" w:eastAsia="Cambria" w:hAnsi="Times New Roman" w:cs="Times New Roman"/>
          <w:i/>
          <w:sz w:val="24"/>
          <w:szCs w:val="24"/>
          <w:lang w:val="en-ZW" w:bidi="en-US"/>
        </w:rPr>
        <w:t>inter alia</w:t>
      </w:r>
      <w:r w:rsidR="00EA1ED8" w:rsidRPr="00186F1F">
        <w:rPr>
          <w:rFonts w:ascii="Times New Roman" w:eastAsia="Cambria" w:hAnsi="Times New Roman" w:cs="Times New Roman"/>
          <w:sz w:val="24"/>
          <w:szCs w:val="24"/>
          <w:lang w:val="en-ZW" w:bidi="en-US"/>
        </w:rPr>
        <w:t>,</w:t>
      </w:r>
      <w:r w:rsidR="000F1A7D" w:rsidRPr="00186F1F">
        <w:rPr>
          <w:rFonts w:ascii="Times New Roman" w:eastAsia="Cambria" w:hAnsi="Times New Roman" w:cs="Times New Roman"/>
          <w:sz w:val="24"/>
          <w:szCs w:val="24"/>
          <w:lang w:val="en-ZW" w:bidi="en-US"/>
        </w:rPr>
        <w:t xml:space="preserve"> that</w:t>
      </w:r>
      <w:r w:rsidR="00EA1ED8" w:rsidRPr="00186F1F">
        <w:rPr>
          <w:rFonts w:ascii="Times New Roman" w:eastAsia="Cambria" w:hAnsi="Times New Roman" w:cs="Times New Roman"/>
          <w:sz w:val="24"/>
          <w:szCs w:val="24"/>
          <w:lang w:val="en-ZW" w:bidi="en-US"/>
        </w:rPr>
        <w:t xml:space="preserve"> t</w:t>
      </w:r>
      <w:r w:rsidR="000F1A7D" w:rsidRPr="00186F1F">
        <w:rPr>
          <w:rFonts w:ascii="Times New Roman" w:eastAsia="Cambria" w:hAnsi="Times New Roman" w:cs="Times New Roman"/>
          <w:sz w:val="24"/>
          <w:szCs w:val="24"/>
          <w:lang w:val="en-ZW" w:bidi="en-US"/>
        </w:rPr>
        <w:t>he removal of an executor should never be undertaken lightly. If the Master applies for the removal of an executor in terms of s 117(1) of the Administration of Estates Act [</w:t>
      </w:r>
      <w:r w:rsidR="000F1A7D" w:rsidRPr="00186F1F">
        <w:rPr>
          <w:rFonts w:ascii="Times New Roman" w:eastAsia="Cambria" w:hAnsi="Times New Roman" w:cs="Times New Roman"/>
          <w:i/>
          <w:sz w:val="24"/>
          <w:szCs w:val="24"/>
          <w:lang w:val="en-ZW" w:bidi="en-US"/>
        </w:rPr>
        <w:t>Chapter 6:01</w:t>
      </w:r>
      <w:r w:rsidR="000F1A7D" w:rsidRPr="00186F1F">
        <w:rPr>
          <w:rFonts w:ascii="Times New Roman" w:eastAsia="Cambria" w:hAnsi="Times New Roman" w:cs="Times New Roman"/>
          <w:sz w:val="24"/>
          <w:szCs w:val="24"/>
          <w:lang w:val="en-ZW" w:bidi="en-US"/>
        </w:rPr>
        <w:t>], the court must be satisfied that the executor had failed to perform satisfactorily any duty or requirement imposed on him by, or in terms of, the law.</w:t>
      </w:r>
      <w:r w:rsidR="00EA1ED8" w:rsidRPr="00186F1F">
        <w:rPr>
          <w:rFonts w:ascii="Times New Roman" w:eastAsia="Cambria" w:hAnsi="Times New Roman" w:cs="Times New Roman"/>
          <w:sz w:val="24"/>
          <w:szCs w:val="24"/>
          <w:lang w:val="en-ZW" w:bidi="en-US"/>
        </w:rPr>
        <w:t xml:space="preserve"> The court also alluded to the legal position</w:t>
      </w:r>
      <w:r w:rsidR="000F1A7D" w:rsidRPr="00186F1F">
        <w:rPr>
          <w:rFonts w:ascii="Times New Roman" w:eastAsia="Cambria" w:hAnsi="Times New Roman" w:cs="Times New Roman"/>
          <w:sz w:val="24"/>
          <w:szCs w:val="24"/>
          <w:lang w:val="en-ZW" w:bidi="en-US"/>
        </w:rPr>
        <w:t xml:space="preserve"> that</w:t>
      </w:r>
      <w:r w:rsidR="00EA1ED8" w:rsidRPr="00186F1F">
        <w:rPr>
          <w:rFonts w:ascii="Times New Roman" w:eastAsia="Cambria" w:hAnsi="Times New Roman" w:cs="Times New Roman"/>
          <w:sz w:val="24"/>
          <w:szCs w:val="24"/>
          <w:lang w:val="en-ZW" w:bidi="en-US"/>
        </w:rPr>
        <w:t xml:space="preserve"> in an application</w:t>
      </w:r>
      <w:r w:rsidR="000F1A7D" w:rsidRPr="00186F1F">
        <w:rPr>
          <w:rFonts w:ascii="Times New Roman" w:eastAsia="Cambria" w:hAnsi="Times New Roman" w:cs="Times New Roman"/>
          <w:sz w:val="24"/>
          <w:szCs w:val="24"/>
          <w:lang w:val="en-ZW" w:bidi="en-US"/>
        </w:rPr>
        <w:t xml:space="preserve"> for the removal of an executor, the executor should be cited in his personal capacity, not in his official capacity as executor. When an action is brought against an executor in</w:t>
      </w:r>
      <w:r w:rsidR="000F1A7D" w:rsidRPr="00186F1F">
        <w:rPr>
          <w:rFonts w:ascii="Times New Roman" w:eastAsia="Cambria" w:hAnsi="Times New Roman" w:cs="Times New Roman"/>
          <w:b/>
          <w:sz w:val="24"/>
          <w:szCs w:val="24"/>
          <w:lang w:val="en-ZW" w:bidi="en-US"/>
        </w:rPr>
        <w:t xml:space="preserve"> </w:t>
      </w:r>
      <w:r w:rsidR="000F1A7D" w:rsidRPr="00186F1F">
        <w:rPr>
          <w:rFonts w:ascii="Times New Roman" w:eastAsia="Cambria" w:hAnsi="Times New Roman" w:cs="Times New Roman"/>
          <w:sz w:val="24"/>
          <w:szCs w:val="24"/>
          <w:lang w:val="en-ZW" w:bidi="en-US"/>
        </w:rPr>
        <w:t>his representative capacity, it is an action against the estate, rather than one against the individual.</w:t>
      </w:r>
    </w:p>
    <w:p w:rsidR="000F1A7D" w:rsidRPr="00186F1F" w:rsidRDefault="000F1A7D" w:rsidP="005C62AD">
      <w:pPr>
        <w:tabs>
          <w:tab w:val="left" w:pos="6288"/>
        </w:tabs>
        <w:spacing w:after="0" w:line="240" w:lineRule="auto"/>
        <w:contextualSpacing/>
        <w:jc w:val="both"/>
        <w:rPr>
          <w:rFonts w:ascii="Times New Roman" w:eastAsia="Cambria" w:hAnsi="Times New Roman" w:cs="Times New Roman"/>
          <w:sz w:val="24"/>
          <w:szCs w:val="24"/>
          <w:lang w:val="en-ZW" w:bidi="en-US"/>
        </w:rPr>
      </w:pPr>
    </w:p>
    <w:p w:rsidR="003F33C8" w:rsidRPr="00186F1F" w:rsidRDefault="00130A6A" w:rsidP="003F33C8">
      <w:pPr>
        <w:tabs>
          <w:tab w:val="left" w:pos="1134"/>
          <w:tab w:val="left" w:pos="6288"/>
        </w:tabs>
        <w:spacing w:after="0" w:line="480" w:lineRule="auto"/>
        <w:contextualSpacing/>
        <w:jc w:val="both"/>
        <w:rPr>
          <w:rFonts w:ascii="Times New Roman" w:eastAsia="Cambria" w:hAnsi="Times New Roman" w:cs="Times New Roman"/>
          <w:sz w:val="24"/>
          <w:szCs w:val="24"/>
          <w:lang w:val="en-ZW" w:bidi="en-US"/>
        </w:rPr>
      </w:pPr>
      <w:r w:rsidRPr="00186F1F">
        <w:rPr>
          <w:rFonts w:ascii="Times New Roman" w:eastAsia="Cambria" w:hAnsi="Times New Roman" w:cs="Times New Roman"/>
          <w:sz w:val="24"/>
          <w:szCs w:val="24"/>
          <w:lang w:val="en-ZW" w:bidi="en-US"/>
        </w:rPr>
        <w:t xml:space="preserve"> </w:t>
      </w:r>
      <w:r w:rsidR="00320B2E" w:rsidRPr="00186F1F">
        <w:rPr>
          <w:rFonts w:ascii="Times New Roman" w:eastAsia="Cambria" w:hAnsi="Times New Roman" w:cs="Times New Roman"/>
          <w:sz w:val="24"/>
          <w:szCs w:val="24"/>
          <w:lang w:val="en-ZW" w:bidi="en-US"/>
        </w:rPr>
        <w:tab/>
      </w:r>
      <w:r w:rsidR="0034388D" w:rsidRPr="00186F1F">
        <w:rPr>
          <w:rFonts w:ascii="Times New Roman" w:eastAsia="Cambria" w:hAnsi="Times New Roman" w:cs="Times New Roman"/>
          <w:sz w:val="24"/>
          <w:szCs w:val="24"/>
          <w:lang w:val="en-ZW" w:bidi="en-US"/>
        </w:rPr>
        <w:t xml:space="preserve">In </w:t>
      </w:r>
      <w:r w:rsidR="0034388D" w:rsidRPr="00186F1F">
        <w:rPr>
          <w:rFonts w:ascii="Times New Roman" w:eastAsia="Cambria" w:hAnsi="Times New Roman" w:cs="Times New Roman"/>
          <w:i/>
          <w:sz w:val="24"/>
          <w:szCs w:val="24"/>
          <w:lang w:val="en-ZW" w:bidi="en-US"/>
        </w:rPr>
        <w:t>casu</w:t>
      </w:r>
      <w:r w:rsidR="0034388D" w:rsidRPr="00186F1F">
        <w:rPr>
          <w:rFonts w:ascii="Times New Roman" w:eastAsia="Cambria" w:hAnsi="Times New Roman" w:cs="Times New Roman"/>
          <w:sz w:val="24"/>
          <w:szCs w:val="24"/>
          <w:lang w:val="en-ZW" w:bidi="en-US"/>
        </w:rPr>
        <w:t>,</w:t>
      </w:r>
      <w:r w:rsidR="00A42B76" w:rsidRPr="00186F1F">
        <w:rPr>
          <w:rFonts w:ascii="Times New Roman" w:eastAsia="Cambria" w:hAnsi="Times New Roman" w:cs="Times New Roman"/>
          <w:sz w:val="24"/>
          <w:szCs w:val="24"/>
          <w:lang w:val="en-ZW" w:bidi="en-US"/>
        </w:rPr>
        <w:t xml:space="preserve"> </w:t>
      </w:r>
      <w:r w:rsidR="0034388D" w:rsidRPr="00186F1F">
        <w:rPr>
          <w:rFonts w:ascii="Times New Roman" w:eastAsia="Cambria" w:hAnsi="Times New Roman" w:cs="Times New Roman"/>
          <w:sz w:val="24"/>
          <w:szCs w:val="24"/>
          <w:lang w:val="en-ZW" w:bidi="en-US"/>
        </w:rPr>
        <w:t>t</w:t>
      </w:r>
      <w:r w:rsidRPr="00186F1F">
        <w:rPr>
          <w:rFonts w:ascii="Times New Roman" w:eastAsia="Cambria" w:hAnsi="Times New Roman" w:cs="Times New Roman"/>
          <w:sz w:val="24"/>
          <w:szCs w:val="24"/>
          <w:lang w:val="en-ZW" w:bidi="en-US"/>
        </w:rPr>
        <w:t xml:space="preserve">here is no evidence on record to show that the executrix testamentary appointed by virtue of the deceased’s will had been removed from office at the time the executor </w:t>
      </w:r>
      <w:r w:rsidRPr="00186F1F">
        <w:rPr>
          <w:rFonts w:ascii="Times New Roman" w:eastAsia="Cambria" w:hAnsi="Times New Roman" w:cs="Times New Roman"/>
          <w:i/>
          <w:sz w:val="24"/>
          <w:szCs w:val="24"/>
          <w:lang w:val="en-ZW" w:bidi="en-US"/>
        </w:rPr>
        <w:t>dative</w:t>
      </w:r>
      <w:r w:rsidRPr="00186F1F">
        <w:rPr>
          <w:rFonts w:ascii="Times New Roman" w:eastAsia="Cambria" w:hAnsi="Times New Roman" w:cs="Times New Roman"/>
          <w:sz w:val="24"/>
          <w:szCs w:val="24"/>
          <w:lang w:val="en-ZW" w:bidi="en-US"/>
        </w:rPr>
        <w:t xml:space="preserve"> was appointed.</w:t>
      </w:r>
      <w:r w:rsidR="00107ED2" w:rsidRPr="00186F1F">
        <w:rPr>
          <w:rFonts w:ascii="Times New Roman" w:eastAsia="Cambria" w:hAnsi="Times New Roman" w:cs="Times New Roman"/>
          <w:sz w:val="24"/>
          <w:szCs w:val="24"/>
          <w:lang w:val="en-ZW" w:bidi="en-US"/>
        </w:rPr>
        <w:t xml:space="preserve"> The evidence</w:t>
      </w:r>
      <w:r w:rsidR="00F77019" w:rsidRPr="00186F1F">
        <w:rPr>
          <w:rFonts w:ascii="Times New Roman" w:eastAsia="Cambria" w:hAnsi="Times New Roman" w:cs="Times New Roman"/>
          <w:sz w:val="24"/>
          <w:szCs w:val="24"/>
          <w:lang w:val="en-ZW" w:bidi="en-US"/>
        </w:rPr>
        <w:t>,</w:t>
      </w:r>
      <w:r w:rsidR="00107ED2" w:rsidRPr="00186F1F">
        <w:rPr>
          <w:rFonts w:ascii="Times New Roman" w:eastAsia="Cambria" w:hAnsi="Times New Roman" w:cs="Times New Roman"/>
          <w:sz w:val="24"/>
          <w:szCs w:val="24"/>
          <w:lang w:val="en-ZW" w:bidi="en-US"/>
        </w:rPr>
        <w:t xml:space="preserve"> in fact</w:t>
      </w:r>
      <w:r w:rsidR="00F77019" w:rsidRPr="00186F1F">
        <w:rPr>
          <w:rFonts w:ascii="Times New Roman" w:eastAsia="Cambria" w:hAnsi="Times New Roman" w:cs="Times New Roman"/>
          <w:sz w:val="24"/>
          <w:szCs w:val="24"/>
          <w:lang w:val="en-ZW" w:bidi="en-US"/>
        </w:rPr>
        <w:t>,</w:t>
      </w:r>
      <w:r w:rsidR="00107ED2" w:rsidRPr="00186F1F">
        <w:rPr>
          <w:rFonts w:ascii="Times New Roman" w:eastAsia="Cambria" w:hAnsi="Times New Roman" w:cs="Times New Roman"/>
          <w:sz w:val="24"/>
          <w:szCs w:val="24"/>
          <w:lang w:val="en-ZW" w:bidi="en-US"/>
        </w:rPr>
        <w:t xml:space="preserve"> shows that the executrix was still in office and administering the estate.</w:t>
      </w:r>
      <w:r w:rsidR="00F77019" w:rsidRPr="00186F1F">
        <w:rPr>
          <w:rFonts w:ascii="Times New Roman" w:eastAsia="Cambria" w:hAnsi="Times New Roman" w:cs="Times New Roman"/>
          <w:sz w:val="24"/>
          <w:szCs w:val="24"/>
          <w:lang w:val="en-ZW" w:bidi="en-US"/>
        </w:rPr>
        <w:t xml:space="preserve"> There was no evidence of any leg</w:t>
      </w:r>
      <w:r w:rsidR="00D16A35">
        <w:rPr>
          <w:rFonts w:ascii="Times New Roman" w:eastAsia="Cambria" w:hAnsi="Times New Roman" w:cs="Times New Roman"/>
          <w:sz w:val="24"/>
          <w:szCs w:val="24"/>
          <w:lang w:val="en-ZW" w:bidi="en-US"/>
        </w:rPr>
        <w:t>al process or complaints for her</w:t>
      </w:r>
      <w:r w:rsidR="00F77019" w:rsidRPr="00186F1F">
        <w:rPr>
          <w:rFonts w:ascii="Times New Roman" w:eastAsia="Cambria" w:hAnsi="Times New Roman" w:cs="Times New Roman"/>
          <w:sz w:val="24"/>
          <w:szCs w:val="24"/>
          <w:lang w:val="en-ZW" w:bidi="en-US"/>
        </w:rPr>
        <w:t xml:space="preserve"> removal from office.</w:t>
      </w:r>
    </w:p>
    <w:p w:rsidR="00320B2E" w:rsidRPr="00186F1F" w:rsidRDefault="00320B2E" w:rsidP="005C62AD">
      <w:pPr>
        <w:tabs>
          <w:tab w:val="left" w:pos="6288"/>
        </w:tabs>
        <w:spacing w:after="0" w:line="360" w:lineRule="auto"/>
        <w:contextualSpacing/>
        <w:jc w:val="both"/>
        <w:rPr>
          <w:rFonts w:ascii="Times New Roman" w:eastAsia="Cambria" w:hAnsi="Times New Roman" w:cs="Times New Roman"/>
          <w:sz w:val="24"/>
          <w:szCs w:val="24"/>
          <w:lang w:val="en-ZW" w:bidi="en-US"/>
        </w:rPr>
      </w:pPr>
    </w:p>
    <w:p w:rsidR="00130A6A" w:rsidRPr="00186F1F" w:rsidRDefault="00320B2E" w:rsidP="003F33C8">
      <w:pPr>
        <w:tabs>
          <w:tab w:val="left" w:pos="1134"/>
          <w:tab w:val="left" w:pos="6288"/>
        </w:tabs>
        <w:spacing w:after="0" w:line="480" w:lineRule="auto"/>
        <w:contextualSpacing/>
        <w:jc w:val="both"/>
        <w:rPr>
          <w:rFonts w:ascii="Times New Roman" w:eastAsia="Cambria" w:hAnsi="Times New Roman" w:cs="Times New Roman"/>
          <w:sz w:val="24"/>
          <w:szCs w:val="24"/>
          <w:lang w:bidi="en-US"/>
        </w:rPr>
      </w:pPr>
      <w:r w:rsidRPr="00186F1F">
        <w:rPr>
          <w:rFonts w:ascii="Times New Roman" w:eastAsia="Cambria" w:hAnsi="Times New Roman" w:cs="Times New Roman"/>
          <w:sz w:val="24"/>
          <w:szCs w:val="24"/>
          <w:lang w:val="en-ZW" w:bidi="en-US"/>
        </w:rPr>
        <w:tab/>
      </w:r>
      <w:r w:rsidR="00F77019" w:rsidRPr="00186F1F">
        <w:rPr>
          <w:rFonts w:ascii="Times New Roman" w:eastAsia="Cambria" w:hAnsi="Times New Roman" w:cs="Times New Roman"/>
          <w:sz w:val="24"/>
          <w:szCs w:val="24"/>
          <w:lang w:val="en-ZW" w:bidi="en-US"/>
        </w:rPr>
        <w:t>In</w:t>
      </w:r>
      <w:r w:rsidR="00130A6A" w:rsidRPr="00186F1F">
        <w:rPr>
          <w:rFonts w:ascii="Times New Roman" w:eastAsia="Cambria" w:hAnsi="Times New Roman" w:cs="Times New Roman"/>
          <w:sz w:val="24"/>
          <w:szCs w:val="24"/>
          <w:lang w:val="en-ZW" w:bidi="en-US"/>
        </w:rPr>
        <w:t xml:space="preserve"> light</w:t>
      </w:r>
      <w:r w:rsidR="00145AE4" w:rsidRPr="00186F1F">
        <w:rPr>
          <w:rFonts w:ascii="Times New Roman" w:eastAsia="Cambria" w:hAnsi="Times New Roman" w:cs="Times New Roman"/>
          <w:sz w:val="24"/>
          <w:szCs w:val="24"/>
          <w:lang w:val="en-ZW" w:bidi="en-US"/>
        </w:rPr>
        <w:t xml:space="preserve"> of this, the court </w:t>
      </w:r>
      <w:r w:rsidR="00516FE1" w:rsidRPr="00186F1F">
        <w:rPr>
          <w:rFonts w:ascii="Times New Roman" w:eastAsia="Cambria" w:hAnsi="Times New Roman" w:cs="Times New Roman"/>
          <w:i/>
          <w:sz w:val="24"/>
          <w:szCs w:val="24"/>
          <w:lang w:val="en-ZW" w:bidi="en-US"/>
        </w:rPr>
        <w:t xml:space="preserve">a </w:t>
      </w:r>
      <w:r w:rsidR="00145AE4" w:rsidRPr="00186F1F">
        <w:rPr>
          <w:rFonts w:ascii="Times New Roman" w:eastAsia="Cambria" w:hAnsi="Times New Roman" w:cs="Times New Roman"/>
          <w:i/>
          <w:sz w:val="24"/>
          <w:szCs w:val="24"/>
          <w:lang w:val="en-ZW" w:bidi="en-US"/>
        </w:rPr>
        <w:t>quo’s</w:t>
      </w:r>
      <w:r w:rsidR="00145AE4" w:rsidRPr="00186F1F">
        <w:rPr>
          <w:rFonts w:ascii="Times New Roman" w:eastAsia="Cambria" w:hAnsi="Times New Roman" w:cs="Times New Roman"/>
          <w:sz w:val="24"/>
          <w:szCs w:val="24"/>
          <w:lang w:val="en-ZW" w:bidi="en-US"/>
        </w:rPr>
        <w:t xml:space="preserve"> finding</w:t>
      </w:r>
      <w:r w:rsidR="00130A6A" w:rsidRPr="00186F1F">
        <w:rPr>
          <w:rFonts w:ascii="Times New Roman" w:eastAsia="Cambria" w:hAnsi="Times New Roman" w:cs="Times New Roman"/>
          <w:sz w:val="24"/>
          <w:szCs w:val="24"/>
          <w:lang w:val="en-ZW" w:bidi="en-US"/>
        </w:rPr>
        <w:t xml:space="preserve"> that the appointment of the executor </w:t>
      </w:r>
      <w:r w:rsidR="00130A6A" w:rsidRPr="00186F1F">
        <w:rPr>
          <w:rFonts w:ascii="Times New Roman" w:eastAsia="Cambria" w:hAnsi="Times New Roman" w:cs="Times New Roman"/>
          <w:i/>
          <w:sz w:val="24"/>
          <w:szCs w:val="24"/>
          <w:lang w:val="en-ZW" w:bidi="en-US"/>
        </w:rPr>
        <w:t>dative</w:t>
      </w:r>
      <w:r w:rsidR="00145AE4" w:rsidRPr="00186F1F">
        <w:rPr>
          <w:rFonts w:ascii="Times New Roman" w:eastAsia="Cambria" w:hAnsi="Times New Roman" w:cs="Times New Roman"/>
          <w:sz w:val="24"/>
          <w:szCs w:val="24"/>
          <w:lang w:val="en-ZW" w:bidi="en-US"/>
        </w:rPr>
        <w:t xml:space="preserve"> was tainted with illegality cannot be faulted</w:t>
      </w:r>
      <w:r w:rsidR="00130A6A" w:rsidRPr="00186F1F">
        <w:rPr>
          <w:rFonts w:ascii="Times New Roman" w:eastAsia="Cambria" w:hAnsi="Times New Roman" w:cs="Times New Roman"/>
          <w:sz w:val="24"/>
          <w:szCs w:val="24"/>
          <w:lang w:val="en-ZW" w:bidi="en-US"/>
        </w:rPr>
        <w:t xml:space="preserve">. </w:t>
      </w:r>
      <w:r w:rsidR="00A42B76" w:rsidRPr="00186F1F">
        <w:rPr>
          <w:rFonts w:ascii="Times New Roman" w:eastAsia="Cambria" w:hAnsi="Times New Roman" w:cs="Times New Roman"/>
          <w:sz w:val="24"/>
          <w:szCs w:val="24"/>
          <w:lang w:val="en-ZW" w:bidi="en-US"/>
        </w:rPr>
        <w:t xml:space="preserve">As a consequence all the actions he did subsequent to that </w:t>
      </w:r>
      <w:r w:rsidR="00516FE1" w:rsidRPr="00186F1F">
        <w:rPr>
          <w:rFonts w:ascii="Times New Roman" w:eastAsia="Cambria" w:hAnsi="Times New Roman" w:cs="Times New Roman"/>
          <w:sz w:val="24"/>
          <w:szCs w:val="24"/>
          <w:lang w:val="en-ZW" w:bidi="en-US"/>
        </w:rPr>
        <w:t xml:space="preserve">faulty </w:t>
      </w:r>
      <w:r w:rsidR="00A42B76" w:rsidRPr="00186F1F">
        <w:rPr>
          <w:rFonts w:ascii="Times New Roman" w:eastAsia="Cambria" w:hAnsi="Times New Roman" w:cs="Times New Roman"/>
          <w:sz w:val="24"/>
          <w:szCs w:val="24"/>
          <w:lang w:val="en-ZW" w:bidi="en-US"/>
        </w:rPr>
        <w:t xml:space="preserve">appointment were a nullity. </w:t>
      </w:r>
      <w:r w:rsidR="00130A6A" w:rsidRPr="00186F1F">
        <w:rPr>
          <w:rFonts w:ascii="Times New Roman" w:eastAsia="Cambria" w:hAnsi="Times New Roman" w:cs="Times New Roman"/>
          <w:sz w:val="24"/>
          <w:szCs w:val="24"/>
          <w:lang w:val="en-ZW" w:bidi="en-US"/>
        </w:rPr>
        <w:t xml:space="preserve">This ground of appeal </w:t>
      </w:r>
      <w:r w:rsidR="00F77019" w:rsidRPr="00186F1F">
        <w:rPr>
          <w:rFonts w:ascii="Times New Roman" w:eastAsia="Cambria" w:hAnsi="Times New Roman" w:cs="Times New Roman"/>
          <w:sz w:val="24"/>
          <w:szCs w:val="24"/>
          <w:lang w:val="en-ZW" w:bidi="en-US"/>
        </w:rPr>
        <w:t xml:space="preserve">therefore </w:t>
      </w:r>
      <w:r w:rsidR="00130A6A" w:rsidRPr="00186F1F">
        <w:rPr>
          <w:rFonts w:ascii="Times New Roman" w:eastAsia="Cambria" w:hAnsi="Times New Roman" w:cs="Times New Roman"/>
          <w:sz w:val="24"/>
          <w:szCs w:val="24"/>
          <w:lang w:val="en-ZW" w:bidi="en-US"/>
        </w:rPr>
        <w:t xml:space="preserve">lacks merit. The court </w:t>
      </w:r>
      <w:r w:rsidR="00CD75F1">
        <w:rPr>
          <w:rFonts w:ascii="Times New Roman" w:eastAsia="Cambria" w:hAnsi="Times New Roman" w:cs="Times New Roman"/>
          <w:i/>
          <w:sz w:val="24"/>
          <w:szCs w:val="24"/>
          <w:lang w:val="en-ZW" w:bidi="en-US"/>
        </w:rPr>
        <w:t>a </w:t>
      </w:r>
      <w:r w:rsidR="00130A6A" w:rsidRPr="00186F1F">
        <w:rPr>
          <w:rFonts w:ascii="Times New Roman" w:eastAsia="Cambria" w:hAnsi="Times New Roman" w:cs="Times New Roman"/>
          <w:i/>
          <w:sz w:val="24"/>
          <w:szCs w:val="24"/>
          <w:lang w:val="en-ZW" w:bidi="en-US"/>
        </w:rPr>
        <w:t>quo</w:t>
      </w:r>
      <w:r w:rsidR="00130A6A" w:rsidRPr="00186F1F">
        <w:rPr>
          <w:rFonts w:ascii="Times New Roman" w:eastAsia="Cambria" w:hAnsi="Times New Roman" w:cs="Times New Roman"/>
          <w:sz w:val="24"/>
          <w:szCs w:val="24"/>
          <w:lang w:val="en-ZW" w:bidi="en-US"/>
        </w:rPr>
        <w:t xml:space="preserve"> could not have upheld an irregularity which </w:t>
      </w:r>
      <w:r w:rsidR="00130A6A" w:rsidRPr="00186F1F">
        <w:rPr>
          <w:rFonts w:ascii="Times New Roman" w:eastAsia="Cambria" w:hAnsi="Times New Roman" w:cs="Times New Roman"/>
          <w:i/>
          <w:sz w:val="24"/>
          <w:szCs w:val="24"/>
          <w:lang w:val="en-ZW" w:bidi="en-US"/>
        </w:rPr>
        <w:t>in casu</w:t>
      </w:r>
      <w:r w:rsidR="00130A6A" w:rsidRPr="00186F1F">
        <w:rPr>
          <w:rFonts w:ascii="Times New Roman" w:eastAsia="Cambria" w:hAnsi="Times New Roman" w:cs="Times New Roman"/>
          <w:sz w:val="24"/>
          <w:szCs w:val="24"/>
          <w:lang w:val="en-ZW" w:bidi="en-US"/>
        </w:rPr>
        <w:t xml:space="preserve"> is t</w:t>
      </w:r>
      <w:r w:rsidR="00130A6A" w:rsidRPr="00186F1F">
        <w:rPr>
          <w:rFonts w:ascii="Times New Roman" w:eastAsia="Cambria" w:hAnsi="Times New Roman" w:cs="Times New Roman"/>
          <w:sz w:val="24"/>
          <w:szCs w:val="24"/>
          <w:lang w:bidi="en-US"/>
        </w:rPr>
        <w:t xml:space="preserve">he </w:t>
      </w:r>
      <w:r w:rsidR="00516FE1" w:rsidRPr="00186F1F">
        <w:rPr>
          <w:rFonts w:ascii="Times New Roman" w:eastAsia="Cambria" w:hAnsi="Times New Roman" w:cs="Times New Roman"/>
          <w:sz w:val="24"/>
          <w:szCs w:val="24"/>
          <w:lang w:bidi="en-US"/>
        </w:rPr>
        <w:t xml:space="preserve">unlawful </w:t>
      </w:r>
      <w:r w:rsidR="00130A6A" w:rsidRPr="00186F1F">
        <w:rPr>
          <w:rFonts w:ascii="Times New Roman" w:eastAsia="Cambria" w:hAnsi="Times New Roman" w:cs="Times New Roman"/>
          <w:sz w:val="24"/>
          <w:szCs w:val="24"/>
          <w:lang w:bidi="en-US"/>
        </w:rPr>
        <w:t xml:space="preserve">appointment of an executor </w:t>
      </w:r>
      <w:r w:rsidR="00130A6A" w:rsidRPr="00186F1F">
        <w:rPr>
          <w:rFonts w:ascii="Times New Roman" w:eastAsia="Cambria" w:hAnsi="Times New Roman" w:cs="Times New Roman"/>
          <w:i/>
          <w:sz w:val="24"/>
          <w:szCs w:val="24"/>
          <w:lang w:bidi="en-US"/>
        </w:rPr>
        <w:t>dative</w:t>
      </w:r>
      <w:r w:rsidR="00130A6A" w:rsidRPr="00186F1F">
        <w:rPr>
          <w:rFonts w:ascii="Times New Roman" w:eastAsia="Cambria" w:hAnsi="Times New Roman" w:cs="Times New Roman"/>
          <w:sz w:val="24"/>
          <w:szCs w:val="24"/>
          <w:lang w:bidi="en-US"/>
        </w:rPr>
        <w:t xml:space="preserve"> to administer the estate in the face of an existing executrix testamentary.</w:t>
      </w:r>
    </w:p>
    <w:p w:rsidR="00130A6A" w:rsidRPr="00186F1F" w:rsidRDefault="00130A6A" w:rsidP="005C62AD">
      <w:pPr>
        <w:tabs>
          <w:tab w:val="left" w:pos="6288"/>
        </w:tabs>
        <w:spacing w:after="0" w:line="360" w:lineRule="auto"/>
        <w:contextualSpacing/>
        <w:jc w:val="both"/>
        <w:rPr>
          <w:rFonts w:ascii="Times New Roman" w:eastAsia="Cambria" w:hAnsi="Times New Roman" w:cs="Times New Roman"/>
          <w:sz w:val="24"/>
          <w:szCs w:val="24"/>
          <w:lang w:val="en-ZW" w:bidi="en-US"/>
        </w:rPr>
      </w:pPr>
    </w:p>
    <w:p w:rsidR="00A42B76" w:rsidRPr="00186F1F" w:rsidRDefault="00A42B76" w:rsidP="005C62AD">
      <w:pPr>
        <w:spacing w:after="160" w:line="360" w:lineRule="auto"/>
        <w:jc w:val="both"/>
        <w:rPr>
          <w:rFonts w:ascii="Times New Roman" w:eastAsia="Calibri" w:hAnsi="Times New Roman" w:cs="Times New Roman"/>
          <w:b/>
          <w:sz w:val="24"/>
          <w:szCs w:val="24"/>
          <w:lang w:val="en-ZW"/>
        </w:rPr>
      </w:pPr>
      <w:r w:rsidRPr="00186F1F">
        <w:rPr>
          <w:rFonts w:ascii="Times New Roman" w:eastAsia="Calibri" w:hAnsi="Times New Roman" w:cs="Times New Roman"/>
          <w:b/>
          <w:sz w:val="24"/>
          <w:szCs w:val="24"/>
          <w:lang w:val="en-ZW"/>
        </w:rPr>
        <w:lastRenderedPageBreak/>
        <w:t>DISPOSITION</w:t>
      </w:r>
    </w:p>
    <w:p w:rsidR="00145AE4" w:rsidRDefault="00320B2E" w:rsidP="003F33C8">
      <w:pPr>
        <w:tabs>
          <w:tab w:val="left" w:pos="1134"/>
        </w:tabs>
        <w:spacing w:after="0" w:line="480" w:lineRule="auto"/>
        <w:jc w:val="both"/>
        <w:rPr>
          <w:rFonts w:ascii="Times New Roman" w:eastAsia="Calibri" w:hAnsi="Times New Roman" w:cs="Times New Roman"/>
          <w:sz w:val="24"/>
          <w:szCs w:val="24"/>
          <w:lang w:val="en-ZW"/>
        </w:rPr>
      </w:pPr>
      <w:r w:rsidRPr="00186F1F">
        <w:rPr>
          <w:rFonts w:ascii="Times New Roman" w:eastAsia="Calibri" w:hAnsi="Times New Roman" w:cs="Times New Roman"/>
          <w:sz w:val="24"/>
          <w:szCs w:val="24"/>
          <w:lang w:val="en-ZW"/>
        </w:rPr>
        <w:tab/>
      </w:r>
      <w:r w:rsidR="00F77019" w:rsidRPr="00186F1F">
        <w:rPr>
          <w:rFonts w:ascii="Times New Roman" w:eastAsia="Calibri" w:hAnsi="Times New Roman" w:cs="Times New Roman"/>
          <w:sz w:val="24"/>
          <w:szCs w:val="24"/>
          <w:lang w:val="en-ZW"/>
        </w:rPr>
        <w:t>It is evident from the above that all the grounds of appeal lacked merit. In the circumstances the appeal must fail</w:t>
      </w:r>
      <w:r w:rsidR="00960053" w:rsidRPr="00186F1F">
        <w:rPr>
          <w:rFonts w:ascii="Times New Roman" w:eastAsia="Calibri" w:hAnsi="Times New Roman" w:cs="Times New Roman"/>
          <w:sz w:val="24"/>
          <w:szCs w:val="24"/>
          <w:lang w:val="en-ZW"/>
        </w:rPr>
        <w:t xml:space="preserve">. </w:t>
      </w:r>
      <w:r w:rsidR="0067347B" w:rsidRPr="00186F1F">
        <w:rPr>
          <w:rFonts w:ascii="Times New Roman" w:eastAsia="Calibri" w:hAnsi="Times New Roman" w:cs="Times New Roman"/>
          <w:sz w:val="24"/>
          <w:szCs w:val="24"/>
          <w:lang w:val="en-ZW"/>
        </w:rPr>
        <w:t xml:space="preserve"> On costs there is no reason why costs should not follow the cause. The appeal must be dismissed with costs.</w:t>
      </w:r>
      <w:r w:rsidR="008C16D5" w:rsidRPr="00186F1F">
        <w:rPr>
          <w:rFonts w:ascii="Times New Roman" w:eastAsia="Calibri" w:hAnsi="Times New Roman" w:cs="Times New Roman"/>
          <w:sz w:val="24"/>
          <w:szCs w:val="24"/>
          <w:lang w:val="en-ZW"/>
        </w:rPr>
        <w:t xml:space="preserve"> </w:t>
      </w:r>
    </w:p>
    <w:p w:rsidR="003F33C8" w:rsidRPr="00186F1F" w:rsidRDefault="003F33C8" w:rsidP="003F33C8">
      <w:pPr>
        <w:tabs>
          <w:tab w:val="left" w:pos="1134"/>
        </w:tabs>
        <w:spacing w:after="0" w:line="480" w:lineRule="auto"/>
        <w:jc w:val="both"/>
        <w:rPr>
          <w:rFonts w:ascii="Times New Roman" w:eastAsia="Calibri" w:hAnsi="Times New Roman" w:cs="Times New Roman"/>
          <w:sz w:val="24"/>
          <w:szCs w:val="24"/>
          <w:lang w:val="en-ZW"/>
        </w:rPr>
      </w:pPr>
    </w:p>
    <w:p w:rsidR="00960053" w:rsidRDefault="003F33C8" w:rsidP="003F33C8">
      <w:pPr>
        <w:tabs>
          <w:tab w:val="left" w:pos="1134"/>
        </w:tabs>
        <w:spacing w:after="0" w:line="480" w:lineRule="auto"/>
        <w:jc w:val="both"/>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ab/>
      </w:r>
      <w:r w:rsidR="00960053" w:rsidRPr="00186F1F">
        <w:rPr>
          <w:rFonts w:ascii="Times New Roman" w:eastAsia="Calibri" w:hAnsi="Times New Roman" w:cs="Times New Roman"/>
          <w:sz w:val="24"/>
          <w:szCs w:val="24"/>
          <w:lang w:val="en-ZA"/>
        </w:rPr>
        <w:t>It i</w:t>
      </w:r>
      <w:r w:rsidR="00145AE4" w:rsidRPr="00186F1F">
        <w:rPr>
          <w:rFonts w:ascii="Times New Roman" w:eastAsia="Calibri" w:hAnsi="Times New Roman" w:cs="Times New Roman"/>
          <w:sz w:val="24"/>
          <w:szCs w:val="24"/>
          <w:lang w:val="en-ZA"/>
        </w:rPr>
        <w:t>s accordingly ordered that</w:t>
      </w:r>
      <w:r w:rsidR="00960053" w:rsidRPr="00186F1F">
        <w:rPr>
          <w:rFonts w:ascii="Times New Roman" w:eastAsia="Calibri" w:hAnsi="Times New Roman" w:cs="Times New Roman"/>
          <w:sz w:val="24"/>
          <w:szCs w:val="24"/>
          <w:lang w:val="en-ZA"/>
        </w:rPr>
        <w:t>:-</w:t>
      </w:r>
    </w:p>
    <w:p w:rsidR="003F33C8" w:rsidRPr="00186F1F" w:rsidRDefault="003F33C8" w:rsidP="003F33C8">
      <w:pPr>
        <w:tabs>
          <w:tab w:val="left" w:pos="1134"/>
        </w:tabs>
        <w:spacing w:after="0" w:line="480" w:lineRule="auto"/>
        <w:jc w:val="both"/>
        <w:rPr>
          <w:rFonts w:ascii="Times New Roman" w:eastAsia="Calibri" w:hAnsi="Times New Roman" w:cs="Times New Roman"/>
          <w:b/>
          <w:sz w:val="24"/>
          <w:szCs w:val="24"/>
          <w:lang w:val="en-ZW"/>
        </w:rPr>
      </w:pPr>
    </w:p>
    <w:p w:rsidR="00960053" w:rsidRPr="00186F1F" w:rsidRDefault="003F33C8" w:rsidP="003F33C8">
      <w:pPr>
        <w:tabs>
          <w:tab w:val="left" w:pos="1134"/>
        </w:tabs>
        <w:spacing w:after="0" w:line="360" w:lineRule="auto"/>
        <w:ind w:left="567"/>
        <w:contextualSpacing/>
        <w:jc w:val="both"/>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ab/>
      </w:r>
      <w:r w:rsidR="008C16D5" w:rsidRPr="00186F1F">
        <w:rPr>
          <w:rFonts w:ascii="Times New Roman" w:eastAsia="Calibri" w:hAnsi="Times New Roman" w:cs="Times New Roman"/>
          <w:sz w:val="24"/>
          <w:szCs w:val="24"/>
          <w:lang w:val="en-ZA"/>
        </w:rPr>
        <w:t>“The appeal is</w:t>
      </w:r>
      <w:r w:rsidR="0067347B" w:rsidRPr="00186F1F">
        <w:rPr>
          <w:rFonts w:ascii="Times New Roman" w:eastAsia="Calibri" w:hAnsi="Times New Roman" w:cs="Times New Roman"/>
          <w:sz w:val="24"/>
          <w:szCs w:val="24"/>
          <w:lang w:val="en-ZA"/>
        </w:rPr>
        <w:t xml:space="preserve"> hereby</w:t>
      </w:r>
      <w:r w:rsidR="008C16D5" w:rsidRPr="00186F1F">
        <w:rPr>
          <w:rFonts w:ascii="Times New Roman" w:eastAsia="Calibri" w:hAnsi="Times New Roman" w:cs="Times New Roman"/>
          <w:sz w:val="24"/>
          <w:szCs w:val="24"/>
          <w:lang w:val="en-ZA"/>
        </w:rPr>
        <w:t xml:space="preserve"> dismissed </w:t>
      </w:r>
      <w:r w:rsidR="00960053" w:rsidRPr="00186F1F">
        <w:rPr>
          <w:rFonts w:ascii="Times New Roman" w:eastAsia="Calibri" w:hAnsi="Times New Roman" w:cs="Times New Roman"/>
          <w:sz w:val="24"/>
          <w:szCs w:val="24"/>
          <w:lang w:val="en-ZA"/>
        </w:rPr>
        <w:t>with costs.</w:t>
      </w:r>
      <w:r w:rsidR="008C16D5" w:rsidRPr="00186F1F">
        <w:rPr>
          <w:rFonts w:ascii="Times New Roman" w:eastAsia="Calibri" w:hAnsi="Times New Roman" w:cs="Times New Roman"/>
          <w:sz w:val="24"/>
          <w:szCs w:val="24"/>
          <w:lang w:val="en-ZA"/>
        </w:rPr>
        <w:t>”</w:t>
      </w:r>
    </w:p>
    <w:p w:rsidR="00320B2E" w:rsidRPr="00186F1F" w:rsidRDefault="00320B2E" w:rsidP="00320B2E">
      <w:pPr>
        <w:spacing w:before="240" w:after="160" w:line="360" w:lineRule="auto"/>
        <w:ind w:left="567"/>
        <w:contextualSpacing/>
        <w:jc w:val="both"/>
        <w:rPr>
          <w:rFonts w:ascii="Times New Roman" w:eastAsia="Calibri" w:hAnsi="Times New Roman" w:cs="Times New Roman"/>
          <w:sz w:val="24"/>
          <w:szCs w:val="24"/>
          <w:lang w:val="en-ZA"/>
        </w:rPr>
      </w:pPr>
    </w:p>
    <w:p w:rsidR="00D20167" w:rsidRPr="00186F1F" w:rsidRDefault="00960053" w:rsidP="00D20167">
      <w:pPr>
        <w:spacing w:before="240" w:after="160" w:line="360" w:lineRule="auto"/>
        <w:ind w:firstLine="720"/>
        <w:jc w:val="both"/>
        <w:rPr>
          <w:rFonts w:ascii="Times New Roman" w:eastAsia="Calibri" w:hAnsi="Times New Roman" w:cs="Times New Roman"/>
          <w:sz w:val="24"/>
          <w:szCs w:val="24"/>
          <w:lang w:val="en-ZA"/>
        </w:rPr>
      </w:pPr>
      <w:r w:rsidRPr="00186F1F">
        <w:rPr>
          <w:rFonts w:ascii="Times New Roman" w:eastAsia="Calibri" w:hAnsi="Times New Roman" w:cs="Times New Roman"/>
          <w:sz w:val="24"/>
          <w:szCs w:val="24"/>
          <w:lang w:val="en-ZA"/>
        </w:rPr>
        <w:tab/>
      </w:r>
    </w:p>
    <w:p w:rsidR="00960053" w:rsidRPr="00186F1F" w:rsidRDefault="00320B2E" w:rsidP="00D20167">
      <w:pPr>
        <w:tabs>
          <w:tab w:val="left" w:pos="1134"/>
        </w:tabs>
        <w:spacing w:after="0" w:line="360" w:lineRule="auto"/>
        <w:jc w:val="both"/>
        <w:rPr>
          <w:rFonts w:ascii="Times New Roman" w:eastAsia="Calibri" w:hAnsi="Times New Roman" w:cs="Times New Roman"/>
          <w:sz w:val="24"/>
          <w:szCs w:val="24"/>
          <w:lang w:val="en-ZA"/>
        </w:rPr>
      </w:pPr>
      <w:r w:rsidRPr="00186F1F">
        <w:rPr>
          <w:rFonts w:ascii="Times New Roman" w:eastAsia="Calibri" w:hAnsi="Times New Roman" w:cs="Times New Roman"/>
          <w:b/>
          <w:sz w:val="24"/>
          <w:szCs w:val="24"/>
          <w:lang w:val="en-ZA"/>
        </w:rPr>
        <w:tab/>
      </w:r>
      <w:r w:rsidR="008C16D5" w:rsidRPr="00186F1F">
        <w:rPr>
          <w:rFonts w:ascii="Times New Roman" w:eastAsia="Calibri" w:hAnsi="Times New Roman" w:cs="Times New Roman"/>
          <w:b/>
          <w:sz w:val="24"/>
          <w:szCs w:val="24"/>
          <w:lang w:val="en-ZA"/>
        </w:rPr>
        <w:t>BHUNU</w:t>
      </w:r>
      <w:r w:rsidR="00960053" w:rsidRPr="00186F1F">
        <w:rPr>
          <w:rFonts w:ascii="Times New Roman" w:eastAsia="Calibri" w:hAnsi="Times New Roman" w:cs="Times New Roman"/>
          <w:b/>
          <w:sz w:val="24"/>
          <w:szCs w:val="24"/>
          <w:lang w:val="en-ZA"/>
        </w:rPr>
        <w:t xml:space="preserve"> JA</w:t>
      </w:r>
      <w:r w:rsidRPr="00186F1F">
        <w:rPr>
          <w:rFonts w:ascii="Times New Roman" w:eastAsia="Calibri" w:hAnsi="Times New Roman" w:cs="Times New Roman"/>
          <w:b/>
          <w:sz w:val="24"/>
          <w:szCs w:val="24"/>
          <w:lang w:val="en-ZA"/>
        </w:rPr>
        <w:t>:</w:t>
      </w:r>
      <w:r w:rsidR="00960053" w:rsidRPr="00186F1F">
        <w:rPr>
          <w:rFonts w:ascii="Times New Roman" w:eastAsia="Calibri" w:hAnsi="Times New Roman" w:cs="Times New Roman"/>
          <w:sz w:val="24"/>
          <w:szCs w:val="24"/>
          <w:lang w:val="en-ZA"/>
        </w:rPr>
        <w:tab/>
      </w:r>
      <w:r w:rsidR="00960053" w:rsidRPr="00186F1F">
        <w:rPr>
          <w:rFonts w:ascii="Times New Roman" w:eastAsia="Calibri" w:hAnsi="Times New Roman" w:cs="Times New Roman"/>
          <w:sz w:val="24"/>
          <w:szCs w:val="24"/>
          <w:lang w:val="en-ZA"/>
        </w:rPr>
        <w:tab/>
      </w:r>
      <w:r w:rsidR="00960053" w:rsidRPr="00186F1F">
        <w:rPr>
          <w:rFonts w:ascii="Times New Roman" w:eastAsia="Calibri" w:hAnsi="Times New Roman" w:cs="Times New Roman"/>
          <w:sz w:val="24"/>
          <w:szCs w:val="24"/>
          <w:lang w:val="en-ZA"/>
        </w:rPr>
        <w:tab/>
      </w:r>
      <w:r w:rsidRPr="00186F1F">
        <w:rPr>
          <w:rFonts w:ascii="Times New Roman" w:eastAsia="Calibri" w:hAnsi="Times New Roman" w:cs="Times New Roman"/>
          <w:sz w:val="24"/>
          <w:szCs w:val="24"/>
          <w:lang w:val="en-ZA"/>
        </w:rPr>
        <w:t>I agree</w:t>
      </w:r>
    </w:p>
    <w:p w:rsidR="00320B2E" w:rsidRDefault="00320B2E" w:rsidP="005C62AD">
      <w:pPr>
        <w:spacing w:before="240" w:after="160" w:line="360" w:lineRule="auto"/>
        <w:jc w:val="both"/>
        <w:rPr>
          <w:rFonts w:ascii="Times New Roman" w:eastAsia="Calibri" w:hAnsi="Times New Roman" w:cs="Times New Roman"/>
          <w:sz w:val="24"/>
          <w:szCs w:val="24"/>
          <w:lang w:val="en-ZA"/>
        </w:rPr>
      </w:pPr>
    </w:p>
    <w:p w:rsidR="00D20167" w:rsidRPr="00186F1F" w:rsidRDefault="00D20167" w:rsidP="00D20167">
      <w:pPr>
        <w:spacing w:after="0" w:line="360" w:lineRule="auto"/>
        <w:jc w:val="both"/>
        <w:rPr>
          <w:rFonts w:ascii="Times New Roman" w:eastAsia="Calibri" w:hAnsi="Times New Roman" w:cs="Times New Roman"/>
          <w:b/>
          <w:sz w:val="24"/>
          <w:szCs w:val="24"/>
          <w:lang w:val="en-ZA"/>
        </w:rPr>
      </w:pPr>
    </w:p>
    <w:p w:rsidR="00960053" w:rsidRPr="00186F1F" w:rsidRDefault="00320B2E" w:rsidP="00D20167">
      <w:pPr>
        <w:tabs>
          <w:tab w:val="left" w:pos="1134"/>
        </w:tabs>
        <w:spacing w:after="0" w:line="360" w:lineRule="auto"/>
        <w:ind w:left="720"/>
        <w:jc w:val="both"/>
        <w:rPr>
          <w:rFonts w:ascii="Times New Roman" w:eastAsia="Calibri" w:hAnsi="Times New Roman" w:cs="Times New Roman"/>
          <w:sz w:val="24"/>
          <w:szCs w:val="24"/>
          <w:lang w:val="en-ZA"/>
        </w:rPr>
      </w:pPr>
      <w:r w:rsidRPr="00186F1F">
        <w:rPr>
          <w:rFonts w:ascii="Times New Roman" w:eastAsia="Calibri" w:hAnsi="Times New Roman" w:cs="Times New Roman"/>
          <w:b/>
          <w:sz w:val="24"/>
          <w:szCs w:val="24"/>
          <w:lang w:val="en-ZA"/>
        </w:rPr>
        <w:tab/>
      </w:r>
      <w:r w:rsidR="008C16D5" w:rsidRPr="00186F1F">
        <w:rPr>
          <w:rFonts w:ascii="Times New Roman" w:eastAsia="Calibri" w:hAnsi="Times New Roman" w:cs="Times New Roman"/>
          <w:b/>
          <w:sz w:val="24"/>
          <w:szCs w:val="24"/>
          <w:lang w:val="en-ZA"/>
        </w:rPr>
        <w:t>MATHONSI</w:t>
      </w:r>
      <w:r w:rsidR="00960053" w:rsidRPr="00186F1F">
        <w:rPr>
          <w:rFonts w:ascii="Times New Roman" w:eastAsia="Calibri" w:hAnsi="Times New Roman" w:cs="Times New Roman"/>
          <w:b/>
          <w:sz w:val="24"/>
          <w:szCs w:val="24"/>
          <w:lang w:val="en-ZA"/>
        </w:rPr>
        <w:t xml:space="preserve"> JA</w:t>
      </w:r>
      <w:r w:rsidR="003F33C8">
        <w:rPr>
          <w:rFonts w:ascii="Times New Roman" w:eastAsia="Calibri" w:hAnsi="Times New Roman" w:cs="Times New Roman"/>
          <w:b/>
          <w:sz w:val="24"/>
          <w:szCs w:val="24"/>
          <w:lang w:val="en-ZA"/>
        </w:rPr>
        <w:t>:</w:t>
      </w:r>
      <w:r w:rsidR="003F33C8">
        <w:rPr>
          <w:rFonts w:ascii="Times New Roman" w:eastAsia="Calibri" w:hAnsi="Times New Roman" w:cs="Times New Roman"/>
          <w:b/>
          <w:sz w:val="24"/>
          <w:szCs w:val="24"/>
          <w:lang w:val="en-ZA"/>
        </w:rPr>
        <w:tab/>
      </w:r>
      <w:r w:rsidR="003F33C8">
        <w:rPr>
          <w:rFonts w:ascii="Times New Roman" w:eastAsia="Calibri" w:hAnsi="Times New Roman" w:cs="Times New Roman"/>
          <w:b/>
          <w:sz w:val="24"/>
          <w:szCs w:val="24"/>
          <w:lang w:val="en-ZA"/>
        </w:rPr>
        <w:tab/>
      </w:r>
      <w:r w:rsidRPr="00186F1F">
        <w:rPr>
          <w:rFonts w:ascii="Times New Roman" w:eastAsia="Calibri" w:hAnsi="Times New Roman" w:cs="Times New Roman"/>
          <w:sz w:val="24"/>
          <w:szCs w:val="24"/>
          <w:lang w:val="en-ZA"/>
        </w:rPr>
        <w:t>I agree</w:t>
      </w:r>
      <w:r w:rsidR="008C16D5" w:rsidRPr="00186F1F">
        <w:rPr>
          <w:rFonts w:ascii="Times New Roman" w:eastAsia="Calibri" w:hAnsi="Times New Roman" w:cs="Times New Roman"/>
          <w:sz w:val="24"/>
          <w:szCs w:val="24"/>
          <w:lang w:val="en-ZA"/>
        </w:rPr>
        <w:tab/>
      </w:r>
      <w:r w:rsidR="008C16D5" w:rsidRPr="00186F1F">
        <w:rPr>
          <w:rFonts w:ascii="Times New Roman" w:eastAsia="Calibri" w:hAnsi="Times New Roman" w:cs="Times New Roman"/>
          <w:sz w:val="24"/>
          <w:szCs w:val="24"/>
          <w:lang w:val="en-ZA"/>
        </w:rPr>
        <w:tab/>
      </w:r>
    </w:p>
    <w:p w:rsidR="00960053" w:rsidRPr="00186F1F" w:rsidRDefault="00960053" w:rsidP="005C62AD">
      <w:pPr>
        <w:spacing w:before="240" w:after="160" w:line="360" w:lineRule="auto"/>
        <w:jc w:val="both"/>
        <w:rPr>
          <w:rFonts w:ascii="Times New Roman" w:eastAsia="Calibri" w:hAnsi="Times New Roman" w:cs="Times New Roman"/>
          <w:sz w:val="24"/>
          <w:szCs w:val="24"/>
          <w:lang w:val="en-ZA"/>
        </w:rPr>
      </w:pPr>
    </w:p>
    <w:p w:rsidR="000974C7" w:rsidRPr="00186F1F" w:rsidRDefault="000974C7" w:rsidP="005C62AD">
      <w:pPr>
        <w:spacing w:before="240" w:after="160" w:line="360" w:lineRule="auto"/>
        <w:jc w:val="both"/>
        <w:rPr>
          <w:rFonts w:ascii="Times New Roman" w:eastAsia="Calibri" w:hAnsi="Times New Roman" w:cs="Times New Roman"/>
          <w:i/>
          <w:sz w:val="24"/>
          <w:szCs w:val="24"/>
          <w:lang w:val="en-ZA"/>
        </w:rPr>
      </w:pPr>
    </w:p>
    <w:p w:rsidR="00960053" w:rsidRPr="00186F1F" w:rsidRDefault="008C16D5" w:rsidP="005C62AD">
      <w:pPr>
        <w:spacing w:before="240" w:after="160" w:line="360" w:lineRule="auto"/>
        <w:jc w:val="both"/>
        <w:rPr>
          <w:rFonts w:ascii="Times New Roman" w:eastAsia="Calibri" w:hAnsi="Times New Roman" w:cs="Times New Roman"/>
          <w:sz w:val="24"/>
          <w:szCs w:val="24"/>
          <w:lang w:val="en-ZA"/>
        </w:rPr>
      </w:pPr>
      <w:r w:rsidRPr="00186F1F">
        <w:rPr>
          <w:rFonts w:ascii="Times New Roman" w:eastAsia="Calibri" w:hAnsi="Times New Roman" w:cs="Times New Roman"/>
          <w:i/>
          <w:sz w:val="24"/>
          <w:szCs w:val="24"/>
          <w:lang w:val="en-ZA"/>
        </w:rPr>
        <w:t>Shava Law Chambers</w:t>
      </w:r>
      <w:r w:rsidR="00960053" w:rsidRPr="00186F1F">
        <w:rPr>
          <w:rFonts w:ascii="Times New Roman" w:eastAsia="Calibri" w:hAnsi="Times New Roman" w:cs="Times New Roman"/>
          <w:i/>
          <w:sz w:val="24"/>
          <w:szCs w:val="24"/>
          <w:lang w:val="en-ZA"/>
        </w:rPr>
        <w:t xml:space="preserve">, </w:t>
      </w:r>
      <w:r w:rsidR="00960053" w:rsidRPr="00186F1F">
        <w:rPr>
          <w:rFonts w:ascii="Times New Roman" w:eastAsia="Calibri" w:hAnsi="Times New Roman" w:cs="Times New Roman"/>
          <w:sz w:val="24"/>
          <w:szCs w:val="24"/>
          <w:lang w:val="en-ZA"/>
        </w:rPr>
        <w:t>appellant’s legal practi</w:t>
      </w:r>
      <w:r w:rsidR="000B196E" w:rsidRPr="00186F1F">
        <w:rPr>
          <w:rFonts w:ascii="Times New Roman" w:eastAsia="Calibri" w:hAnsi="Times New Roman" w:cs="Times New Roman"/>
          <w:sz w:val="24"/>
          <w:szCs w:val="24"/>
          <w:lang w:val="en-ZA"/>
        </w:rPr>
        <w:t>ti</w:t>
      </w:r>
      <w:r w:rsidR="00960053" w:rsidRPr="00186F1F">
        <w:rPr>
          <w:rFonts w:ascii="Times New Roman" w:eastAsia="Calibri" w:hAnsi="Times New Roman" w:cs="Times New Roman"/>
          <w:sz w:val="24"/>
          <w:szCs w:val="24"/>
          <w:lang w:val="en-ZA"/>
        </w:rPr>
        <w:t>oner</w:t>
      </w:r>
    </w:p>
    <w:p w:rsidR="00960053" w:rsidRPr="00186F1F" w:rsidRDefault="008C16D5" w:rsidP="005C62AD">
      <w:pPr>
        <w:spacing w:before="240" w:after="160" w:line="360" w:lineRule="auto"/>
        <w:jc w:val="both"/>
        <w:rPr>
          <w:rFonts w:ascii="Times New Roman" w:eastAsia="Calibri" w:hAnsi="Times New Roman" w:cs="Times New Roman"/>
          <w:sz w:val="24"/>
          <w:szCs w:val="24"/>
          <w:lang w:val="en-ZA"/>
        </w:rPr>
      </w:pPr>
      <w:r w:rsidRPr="00186F1F">
        <w:rPr>
          <w:rFonts w:ascii="Times New Roman" w:eastAsia="Calibri" w:hAnsi="Times New Roman" w:cs="Times New Roman"/>
          <w:i/>
          <w:sz w:val="24"/>
          <w:szCs w:val="24"/>
          <w:lang w:val="en-ZA"/>
        </w:rPr>
        <w:t>Chigwanda Legal Practitioners</w:t>
      </w:r>
      <w:r w:rsidR="00960053" w:rsidRPr="00186F1F">
        <w:rPr>
          <w:rFonts w:ascii="Times New Roman" w:eastAsia="Calibri" w:hAnsi="Times New Roman" w:cs="Times New Roman"/>
          <w:sz w:val="24"/>
          <w:szCs w:val="24"/>
          <w:lang w:val="en-ZA"/>
        </w:rPr>
        <w:t>, 1</w:t>
      </w:r>
      <w:r w:rsidR="00960053" w:rsidRPr="00186F1F">
        <w:rPr>
          <w:rFonts w:ascii="Times New Roman" w:eastAsia="Calibri" w:hAnsi="Times New Roman" w:cs="Times New Roman"/>
          <w:sz w:val="24"/>
          <w:szCs w:val="24"/>
          <w:vertAlign w:val="superscript"/>
          <w:lang w:val="en-ZA"/>
        </w:rPr>
        <w:t>st</w:t>
      </w:r>
      <w:r w:rsidR="00960053" w:rsidRPr="00186F1F">
        <w:rPr>
          <w:rFonts w:ascii="Times New Roman" w:eastAsia="Calibri" w:hAnsi="Times New Roman" w:cs="Times New Roman"/>
          <w:sz w:val="24"/>
          <w:szCs w:val="24"/>
          <w:lang w:val="en-ZA"/>
        </w:rPr>
        <w:t xml:space="preserve"> respondent’s legal practitioner</w:t>
      </w:r>
    </w:p>
    <w:sectPr w:rsidR="00960053" w:rsidRPr="00186F1F" w:rsidSect="000A0D6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812" w:rsidRDefault="00622812">
      <w:pPr>
        <w:spacing w:after="0" w:line="240" w:lineRule="auto"/>
      </w:pPr>
      <w:r>
        <w:separator/>
      </w:r>
    </w:p>
  </w:endnote>
  <w:endnote w:type="continuationSeparator" w:id="0">
    <w:p w:rsidR="00622812" w:rsidRDefault="0062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812" w:rsidRDefault="00622812">
      <w:pPr>
        <w:spacing w:after="0" w:line="240" w:lineRule="auto"/>
      </w:pPr>
      <w:r>
        <w:separator/>
      </w:r>
    </w:p>
  </w:footnote>
  <w:footnote w:type="continuationSeparator" w:id="0">
    <w:p w:rsidR="00622812" w:rsidRDefault="006228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D68" w:rsidRDefault="00490685">
    <w:pPr>
      <w:pStyle w:val="Header"/>
    </w:pPr>
    <w:r>
      <w:rPr>
        <w:noProof/>
        <w:lang w:val="en-ZA" w:eastAsia="en-ZA"/>
      </w:rPr>
      <mc:AlternateContent>
        <mc:Choice Requires="wps">
          <w:drawing>
            <wp:anchor distT="0" distB="0" distL="114300" distR="114300" simplePos="0" relativeHeight="251659264" behindDoc="0" locked="0" layoutInCell="0" allowOverlap="1" wp14:anchorId="751B1E2E" wp14:editId="2C61D2D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0D68" w:rsidRPr="00D41CB5" w:rsidRDefault="00490685">
                          <w:pPr>
                            <w:spacing w:after="0" w:line="240" w:lineRule="auto"/>
                            <w:jc w:val="right"/>
                            <w:rPr>
                              <w:rFonts w:ascii="Times New Roman" w:hAnsi="Times New Roman" w:cs="Times New Roman"/>
                              <w:noProof/>
                              <w:sz w:val="24"/>
                              <w:szCs w:val="24"/>
                            </w:rPr>
                          </w:pPr>
                          <w:r w:rsidRPr="00D41CB5">
                            <w:rPr>
                              <w:rFonts w:ascii="Times New Roman" w:hAnsi="Times New Roman" w:cs="Times New Roman"/>
                              <w:noProof/>
                              <w:sz w:val="24"/>
                              <w:szCs w:val="24"/>
                            </w:rPr>
                            <w:t xml:space="preserve">Judgment No. SC </w:t>
                          </w:r>
                          <w:r w:rsidR="00CE6515">
                            <w:rPr>
                              <w:rFonts w:ascii="Times New Roman" w:hAnsi="Times New Roman" w:cs="Times New Roman"/>
                              <w:noProof/>
                              <w:sz w:val="24"/>
                              <w:szCs w:val="24"/>
                            </w:rPr>
                            <w:t>61</w:t>
                          </w:r>
                          <w:r w:rsidRPr="00D41CB5">
                            <w:rPr>
                              <w:rFonts w:ascii="Times New Roman" w:hAnsi="Times New Roman" w:cs="Times New Roman"/>
                              <w:noProof/>
                              <w:sz w:val="24"/>
                              <w:szCs w:val="24"/>
                            </w:rPr>
                            <w:t>/</w:t>
                          </w:r>
                          <w:r w:rsidR="00CE6515">
                            <w:rPr>
                              <w:rFonts w:ascii="Times New Roman" w:hAnsi="Times New Roman" w:cs="Times New Roman"/>
                              <w:noProof/>
                              <w:sz w:val="24"/>
                              <w:szCs w:val="24"/>
                            </w:rPr>
                            <w:t>21</w:t>
                          </w:r>
                        </w:p>
                        <w:p w:rsidR="000A0D68" w:rsidRPr="00D41CB5" w:rsidRDefault="003228AE">
                          <w:pPr>
                            <w:spacing w:after="0" w:line="240" w:lineRule="auto"/>
                            <w:jc w:val="right"/>
                            <w:rPr>
                              <w:rFonts w:ascii="Times New Roman" w:hAnsi="Times New Roman" w:cs="Times New Roman"/>
                              <w:noProof/>
                              <w:sz w:val="24"/>
                              <w:szCs w:val="24"/>
                            </w:rPr>
                          </w:pPr>
                          <w:r w:rsidRPr="00D41CB5">
                            <w:rPr>
                              <w:rFonts w:ascii="Times New Roman" w:hAnsi="Times New Roman" w:cs="Times New Roman"/>
                              <w:noProof/>
                              <w:sz w:val="24"/>
                              <w:szCs w:val="24"/>
                            </w:rPr>
                            <w:t>Civil Appeal No. SC 433/19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51B1E2E" id="_x0000_t202" coordsize="21600,21600" o:spt="202" path="m,l,21600r21600,l21600,xe">
              <v:stroke joinstyle="miter"/>
              <v:path gradientshapeok="t" o:connecttype="rect"/>
            </v:shapetype>
            <v:shape id="Text Box 220" o:spid="_x0000_s1026" type="#_x0000_t202" style="position:absolute;margin-left:0;margin-top:0;width:468pt;height:13.7pt;z-index:2516592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0A0D68" w:rsidRPr="00D41CB5" w:rsidRDefault="00490685">
                    <w:pPr>
                      <w:spacing w:after="0" w:line="240" w:lineRule="auto"/>
                      <w:jc w:val="right"/>
                      <w:rPr>
                        <w:rFonts w:ascii="Times New Roman" w:hAnsi="Times New Roman" w:cs="Times New Roman"/>
                        <w:noProof/>
                        <w:sz w:val="24"/>
                        <w:szCs w:val="24"/>
                      </w:rPr>
                    </w:pPr>
                    <w:r w:rsidRPr="00D41CB5">
                      <w:rPr>
                        <w:rFonts w:ascii="Times New Roman" w:hAnsi="Times New Roman" w:cs="Times New Roman"/>
                        <w:noProof/>
                        <w:sz w:val="24"/>
                        <w:szCs w:val="24"/>
                      </w:rPr>
                      <w:t xml:space="preserve">Judgment No. SC </w:t>
                    </w:r>
                    <w:r w:rsidR="00CE6515">
                      <w:rPr>
                        <w:rFonts w:ascii="Times New Roman" w:hAnsi="Times New Roman" w:cs="Times New Roman"/>
                        <w:noProof/>
                        <w:sz w:val="24"/>
                        <w:szCs w:val="24"/>
                      </w:rPr>
                      <w:t>61</w:t>
                    </w:r>
                    <w:r w:rsidRPr="00D41CB5">
                      <w:rPr>
                        <w:rFonts w:ascii="Times New Roman" w:hAnsi="Times New Roman" w:cs="Times New Roman"/>
                        <w:noProof/>
                        <w:sz w:val="24"/>
                        <w:szCs w:val="24"/>
                      </w:rPr>
                      <w:t>/</w:t>
                    </w:r>
                    <w:r w:rsidR="00CE6515">
                      <w:rPr>
                        <w:rFonts w:ascii="Times New Roman" w:hAnsi="Times New Roman" w:cs="Times New Roman"/>
                        <w:noProof/>
                        <w:sz w:val="24"/>
                        <w:szCs w:val="24"/>
                      </w:rPr>
                      <w:t>21</w:t>
                    </w:r>
                  </w:p>
                  <w:p w:rsidR="000A0D68" w:rsidRPr="00D41CB5" w:rsidRDefault="003228AE">
                    <w:pPr>
                      <w:spacing w:after="0" w:line="240" w:lineRule="auto"/>
                      <w:jc w:val="right"/>
                      <w:rPr>
                        <w:rFonts w:ascii="Times New Roman" w:hAnsi="Times New Roman" w:cs="Times New Roman"/>
                        <w:noProof/>
                        <w:sz w:val="24"/>
                        <w:szCs w:val="24"/>
                      </w:rPr>
                    </w:pPr>
                    <w:r w:rsidRPr="00D41CB5">
                      <w:rPr>
                        <w:rFonts w:ascii="Times New Roman" w:hAnsi="Times New Roman" w:cs="Times New Roman"/>
                        <w:noProof/>
                        <w:sz w:val="24"/>
                        <w:szCs w:val="24"/>
                      </w:rPr>
                      <w:t>Civil Appeal No. SC 433/19</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7216" behindDoc="0" locked="0" layoutInCell="0" allowOverlap="1" wp14:anchorId="3FE2F70C" wp14:editId="012C58E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70AD47">
                          <a:lumMod val="60000"/>
                          <a:lumOff val="40000"/>
                        </a:srgbClr>
                      </a:solidFill>
                      <a:ln>
                        <a:noFill/>
                      </a:ln>
                    </wps:spPr>
                    <wps:txbx>
                      <w:txbxContent>
                        <w:p w:rsidR="000A0D68" w:rsidRPr="006C3D6E" w:rsidRDefault="00490685">
                          <w:pPr>
                            <w:spacing w:after="0" w:line="240" w:lineRule="auto"/>
                            <w:rPr>
                              <w:color w:val="FFFFFF"/>
                            </w:rPr>
                          </w:pPr>
                          <w:r w:rsidRPr="006C3D6E">
                            <w:fldChar w:fldCharType="begin"/>
                          </w:r>
                          <w:r>
                            <w:instrText xml:space="preserve"> PAGE   \* MERGEFORMAT </w:instrText>
                          </w:r>
                          <w:r w:rsidRPr="006C3D6E">
                            <w:fldChar w:fldCharType="separate"/>
                          </w:r>
                          <w:r w:rsidR="00D722A7" w:rsidRPr="00D722A7">
                            <w:rPr>
                              <w:noProof/>
                              <w:color w:val="FFFFFF"/>
                            </w:rPr>
                            <w:t>1</w:t>
                          </w:r>
                          <w:r w:rsidRPr="006C3D6E">
                            <w:rPr>
                              <w:noProof/>
                              <w:color w:val="FFFFF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FE2F70C" id="_x0000_t202" coordsize="21600,21600" o:spt="202" path="m,l,21600r21600,l21600,xe">
              <v:stroke joinstyle="miter"/>
              <v:path gradientshapeok="t" o:connecttype="rect"/>
            </v:shapetype>
            <v:shape id="Text Box 221" o:spid="_x0000_s1027" type="#_x0000_t202" style="position:absolute;margin-left:20.6pt;margin-top:0;width:71.8pt;height:13.45pt;z-index:25165721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" o:allowincell="f" fillcolor="#a9d18e" stroked="f">
              <v:textbox style="mso-fit-shape-to-text:t" inset=",0,,0">
                <w:txbxContent>
                  <w:p w:rsidR="000A0D68" w:rsidRPr="006C3D6E" w:rsidRDefault="00490685">
                    <w:pPr>
                      <w:spacing w:after="0" w:line="240" w:lineRule="auto"/>
                      <w:rPr>
                        <w:color w:val="FFFFFF"/>
                      </w:rPr>
                    </w:pPr>
                    <w:r w:rsidRPr="006C3D6E">
                      <w:fldChar w:fldCharType="begin"/>
                    </w:r>
                    <w:r>
                      <w:instrText xml:space="preserve"> PAGE   \* MERGEFORMAT </w:instrText>
                    </w:r>
                    <w:r w:rsidRPr="006C3D6E">
                      <w:fldChar w:fldCharType="separate"/>
                    </w:r>
                    <w:r w:rsidR="00D722A7" w:rsidRPr="00D722A7">
                      <w:rPr>
                        <w:noProof/>
                        <w:color w:val="FFFFFF"/>
                      </w:rPr>
                      <w:t>1</w:t>
                    </w:r>
                    <w:r w:rsidRPr="006C3D6E">
                      <w:rPr>
                        <w:noProof/>
                        <w:color w:val="FFFFFF"/>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D0B6F"/>
    <w:multiLevelType w:val="multilevel"/>
    <w:tmpl w:val="0658D9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96141"/>
    <w:multiLevelType w:val="hybridMultilevel"/>
    <w:tmpl w:val="58005AD0"/>
    <w:lvl w:ilvl="0" w:tplc="42542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301909"/>
    <w:multiLevelType w:val="hybridMultilevel"/>
    <w:tmpl w:val="6196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E2EFF"/>
    <w:multiLevelType w:val="hybridMultilevel"/>
    <w:tmpl w:val="615C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92E5A"/>
    <w:multiLevelType w:val="hybridMultilevel"/>
    <w:tmpl w:val="E2B010DC"/>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5BE523C7"/>
    <w:multiLevelType w:val="hybridMultilevel"/>
    <w:tmpl w:val="97CCF322"/>
    <w:lvl w:ilvl="0" w:tplc="E4DC636C">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8F4"/>
    <w:rsid w:val="00023747"/>
    <w:rsid w:val="0005783F"/>
    <w:rsid w:val="0007061F"/>
    <w:rsid w:val="00074B78"/>
    <w:rsid w:val="00075D11"/>
    <w:rsid w:val="0007757E"/>
    <w:rsid w:val="00092AB8"/>
    <w:rsid w:val="00096691"/>
    <w:rsid w:val="000974C7"/>
    <w:rsid w:val="000B0D3C"/>
    <w:rsid w:val="000B196E"/>
    <w:rsid w:val="000D0546"/>
    <w:rsid w:val="000D4ABF"/>
    <w:rsid w:val="000D7738"/>
    <w:rsid w:val="000F1A7D"/>
    <w:rsid w:val="001033CF"/>
    <w:rsid w:val="00107ED2"/>
    <w:rsid w:val="00114EDD"/>
    <w:rsid w:val="00117B1E"/>
    <w:rsid w:val="00130A6A"/>
    <w:rsid w:val="0013222C"/>
    <w:rsid w:val="00135FBD"/>
    <w:rsid w:val="00143EF6"/>
    <w:rsid w:val="00145AE4"/>
    <w:rsid w:val="001530C0"/>
    <w:rsid w:val="0018425F"/>
    <w:rsid w:val="00185D46"/>
    <w:rsid w:val="00186F1F"/>
    <w:rsid w:val="001B0CB0"/>
    <w:rsid w:val="001C043C"/>
    <w:rsid w:val="00211083"/>
    <w:rsid w:val="00252897"/>
    <w:rsid w:val="002665F8"/>
    <w:rsid w:val="00297FBF"/>
    <w:rsid w:val="002A69F1"/>
    <w:rsid w:val="002B10B2"/>
    <w:rsid w:val="002C3B2C"/>
    <w:rsid w:val="002C4805"/>
    <w:rsid w:val="002D35C0"/>
    <w:rsid w:val="002D70B1"/>
    <w:rsid w:val="002E4629"/>
    <w:rsid w:val="00320B2E"/>
    <w:rsid w:val="003228AE"/>
    <w:rsid w:val="00336A89"/>
    <w:rsid w:val="00336FDA"/>
    <w:rsid w:val="00337104"/>
    <w:rsid w:val="00343069"/>
    <w:rsid w:val="0034388D"/>
    <w:rsid w:val="00343C4C"/>
    <w:rsid w:val="00351235"/>
    <w:rsid w:val="00371273"/>
    <w:rsid w:val="00371E9E"/>
    <w:rsid w:val="00372B51"/>
    <w:rsid w:val="00373B43"/>
    <w:rsid w:val="003759DA"/>
    <w:rsid w:val="0037781F"/>
    <w:rsid w:val="00383498"/>
    <w:rsid w:val="00384638"/>
    <w:rsid w:val="00390C2E"/>
    <w:rsid w:val="00394FAD"/>
    <w:rsid w:val="003A0BFA"/>
    <w:rsid w:val="003A57B2"/>
    <w:rsid w:val="003B08B4"/>
    <w:rsid w:val="003B3DE3"/>
    <w:rsid w:val="003F33C8"/>
    <w:rsid w:val="003F4FDD"/>
    <w:rsid w:val="00417F66"/>
    <w:rsid w:val="004229C2"/>
    <w:rsid w:val="0044414F"/>
    <w:rsid w:val="00454525"/>
    <w:rsid w:val="00490685"/>
    <w:rsid w:val="004912A2"/>
    <w:rsid w:val="004C1236"/>
    <w:rsid w:val="004C14E8"/>
    <w:rsid w:val="004C3308"/>
    <w:rsid w:val="004D5B24"/>
    <w:rsid w:val="004E2C7E"/>
    <w:rsid w:val="004F4724"/>
    <w:rsid w:val="005036B9"/>
    <w:rsid w:val="00516FE1"/>
    <w:rsid w:val="00542124"/>
    <w:rsid w:val="00547817"/>
    <w:rsid w:val="00564005"/>
    <w:rsid w:val="0057151F"/>
    <w:rsid w:val="00587027"/>
    <w:rsid w:val="005A38F4"/>
    <w:rsid w:val="005A4E41"/>
    <w:rsid w:val="005A7F6E"/>
    <w:rsid w:val="005C62AD"/>
    <w:rsid w:val="005D02FA"/>
    <w:rsid w:val="005D12BB"/>
    <w:rsid w:val="005F35DC"/>
    <w:rsid w:val="005F5FEB"/>
    <w:rsid w:val="0060103A"/>
    <w:rsid w:val="0061307B"/>
    <w:rsid w:val="00622812"/>
    <w:rsid w:val="00634D46"/>
    <w:rsid w:val="0063534A"/>
    <w:rsid w:val="00646182"/>
    <w:rsid w:val="006557C4"/>
    <w:rsid w:val="006632BB"/>
    <w:rsid w:val="00671628"/>
    <w:rsid w:val="00671B0C"/>
    <w:rsid w:val="0067347B"/>
    <w:rsid w:val="00675A47"/>
    <w:rsid w:val="00684608"/>
    <w:rsid w:val="006A465E"/>
    <w:rsid w:val="006B4B62"/>
    <w:rsid w:val="006C3432"/>
    <w:rsid w:val="006E62A5"/>
    <w:rsid w:val="00712DAA"/>
    <w:rsid w:val="00717199"/>
    <w:rsid w:val="007237A2"/>
    <w:rsid w:val="00726A12"/>
    <w:rsid w:val="007341B8"/>
    <w:rsid w:val="00747F86"/>
    <w:rsid w:val="0075275E"/>
    <w:rsid w:val="00763F3F"/>
    <w:rsid w:val="0077131C"/>
    <w:rsid w:val="00794D19"/>
    <w:rsid w:val="00797B97"/>
    <w:rsid w:val="007B3D7A"/>
    <w:rsid w:val="007C5A79"/>
    <w:rsid w:val="007D5717"/>
    <w:rsid w:val="007E4E8B"/>
    <w:rsid w:val="008134EE"/>
    <w:rsid w:val="008234F8"/>
    <w:rsid w:val="00830E30"/>
    <w:rsid w:val="00843009"/>
    <w:rsid w:val="00845931"/>
    <w:rsid w:val="00860F3F"/>
    <w:rsid w:val="0089284F"/>
    <w:rsid w:val="008A1C66"/>
    <w:rsid w:val="008B21D6"/>
    <w:rsid w:val="008B54CC"/>
    <w:rsid w:val="008C16D5"/>
    <w:rsid w:val="008E00B7"/>
    <w:rsid w:val="008E2D1E"/>
    <w:rsid w:val="00905414"/>
    <w:rsid w:val="00912C4B"/>
    <w:rsid w:val="009248F9"/>
    <w:rsid w:val="00931CAA"/>
    <w:rsid w:val="009327E1"/>
    <w:rsid w:val="00940FA8"/>
    <w:rsid w:val="0094224A"/>
    <w:rsid w:val="009461A0"/>
    <w:rsid w:val="00951DDB"/>
    <w:rsid w:val="00960053"/>
    <w:rsid w:val="009A02A3"/>
    <w:rsid w:val="009B3FA2"/>
    <w:rsid w:val="009C31F5"/>
    <w:rsid w:val="009D2557"/>
    <w:rsid w:val="009D4D98"/>
    <w:rsid w:val="009D6617"/>
    <w:rsid w:val="009F0CBF"/>
    <w:rsid w:val="009F55B4"/>
    <w:rsid w:val="009F560B"/>
    <w:rsid w:val="00A20EDF"/>
    <w:rsid w:val="00A22741"/>
    <w:rsid w:val="00A30C40"/>
    <w:rsid w:val="00A37211"/>
    <w:rsid w:val="00A42B76"/>
    <w:rsid w:val="00A67297"/>
    <w:rsid w:val="00A67FA1"/>
    <w:rsid w:val="00A9410A"/>
    <w:rsid w:val="00A95C0F"/>
    <w:rsid w:val="00AB0F9C"/>
    <w:rsid w:val="00AB6EC1"/>
    <w:rsid w:val="00AF24E9"/>
    <w:rsid w:val="00B04834"/>
    <w:rsid w:val="00B6017A"/>
    <w:rsid w:val="00B62538"/>
    <w:rsid w:val="00B65E65"/>
    <w:rsid w:val="00B73CC7"/>
    <w:rsid w:val="00B84021"/>
    <w:rsid w:val="00B94377"/>
    <w:rsid w:val="00B97ECB"/>
    <w:rsid w:val="00BA2A90"/>
    <w:rsid w:val="00BB0AC1"/>
    <w:rsid w:val="00BB47D3"/>
    <w:rsid w:val="00BF2045"/>
    <w:rsid w:val="00BF70D6"/>
    <w:rsid w:val="00C011B2"/>
    <w:rsid w:val="00C0796A"/>
    <w:rsid w:val="00C07BE8"/>
    <w:rsid w:val="00C123B0"/>
    <w:rsid w:val="00C167FC"/>
    <w:rsid w:val="00C2024D"/>
    <w:rsid w:val="00C45838"/>
    <w:rsid w:val="00C74F0C"/>
    <w:rsid w:val="00C806A9"/>
    <w:rsid w:val="00CB3064"/>
    <w:rsid w:val="00CB6153"/>
    <w:rsid w:val="00CD27D2"/>
    <w:rsid w:val="00CD75F1"/>
    <w:rsid w:val="00CE092C"/>
    <w:rsid w:val="00CE6515"/>
    <w:rsid w:val="00D15812"/>
    <w:rsid w:val="00D16A35"/>
    <w:rsid w:val="00D20167"/>
    <w:rsid w:val="00D3001C"/>
    <w:rsid w:val="00D41CB5"/>
    <w:rsid w:val="00D45265"/>
    <w:rsid w:val="00D47A0F"/>
    <w:rsid w:val="00D61068"/>
    <w:rsid w:val="00D722A7"/>
    <w:rsid w:val="00D72BE3"/>
    <w:rsid w:val="00D82163"/>
    <w:rsid w:val="00D8609B"/>
    <w:rsid w:val="00D86820"/>
    <w:rsid w:val="00DB169D"/>
    <w:rsid w:val="00DC0EE4"/>
    <w:rsid w:val="00E07F12"/>
    <w:rsid w:val="00E24F24"/>
    <w:rsid w:val="00E33782"/>
    <w:rsid w:val="00E45657"/>
    <w:rsid w:val="00E9378C"/>
    <w:rsid w:val="00E9431A"/>
    <w:rsid w:val="00E94620"/>
    <w:rsid w:val="00E96E44"/>
    <w:rsid w:val="00EA1ED8"/>
    <w:rsid w:val="00EC34BC"/>
    <w:rsid w:val="00ED76B0"/>
    <w:rsid w:val="00EF3E7A"/>
    <w:rsid w:val="00F07CCC"/>
    <w:rsid w:val="00F16103"/>
    <w:rsid w:val="00F47769"/>
    <w:rsid w:val="00F6026C"/>
    <w:rsid w:val="00F77019"/>
    <w:rsid w:val="00F802EA"/>
    <w:rsid w:val="00F82B3C"/>
    <w:rsid w:val="00F833C3"/>
    <w:rsid w:val="00F955E4"/>
    <w:rsid w:val="00FB13F1"/>
    <w:rsid w:val="00FB16EC"/>
    <w:rsid w:val="00FC1096"/>
    <w:rsid w:val="00FC5CD9"/>
    <w:rsid w:val="00FD3BDB"/>
    <w:rsid w:val="00FF1553"/>
    <w:rsid w:val="00FF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0B8B29-9193-4CFD-91F2-7FF50139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8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8F4"/>
  </w:style>
  <w:style w:type="paragraph" w:styleId="Footer">
    <w:name w:val="footer"/>
    <w:basedOn w:val="Normal"/>
    <w:link w:val="FooterChar"/>
    <w:uiPriority w:val="99"/>
    <w:unhideWhenUsed/>
    <w:rsid w:val="005A3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8F4"/>
  </w:style>
  <w:style w:type="paragraph" w:styleId="FootnoteText">
    <w:name w:val="footnote text"/>
    <w:basedOn w:val="Normal"/>
    <w:link w:val="FootnoteTextChar"/>
    <w:uiPriority w:val="99"/>
    <w:unhideWhenUsed/>
    <w:rsid w:val="009248F9"/>
    <w:pPr>
      <w:spacing w:after="0" w:line="240" w:lineRule="auto"/>
    </w:pPr>
    <w:rPr>
      <w:sz w:val="20"/>
      <w:szCs w:val="20"/>
    </w:rPr>
  </w:style>
  <w:style w:type="character" w:customStyle="1" w:styleId="FootnoteTextChar">
    <w:name w:val="Footnote Text Char"/>
    <w:basedOn w:val="DefaultParagraphFont"/>
    <w:link w:val="FootnoteText"/>
    <w:uiPriority w:val="99"/>
    <w:rsid w:val="009248F9"/>
    <w:rPr>
      <w:sz w:val="20"/>
      <w:szCs w:val="20"/>
    </w:rPr>
  </w:style>
  <w:style w:type="character" w:styleId="FootnoteReference">
    <w:name w:val="footnote reference"/>
    <w:basedOn w:val="DefaultParagraphFont"/>
    <w:uiPriority w:val="99"/>
    <w:semiHidden/>
    <w:unhideWhenUsed/>
    <w:rsid w:val="009248F9"/>
    <w:rPr>
      <w:vertAlign w:val="superscript"/>
    </w:rPr>
  </w:style>
  <w:style w:type="paragraph" w:styleId="ListParagraph">
    <w:name w:val="List Paragraph"/>
    <w:basedOn w:val="Normal"/>
    <w:uiPriority w:val="34"/>
    <w:qFormat/>
    <w:rsid w:val="00A67FA1"/>
    <w:pPr>
      <w:ind w:left="720"/>
      <w:contextualSpacing/>
    </w:pPr>
  </w:style>
  <w:style w:type="paragraph" w:customStyle="1" w:styleId="Default">
    <w:name w:val="Default"/>
    <w:rsid w:val="0005783F"/>
    <w:pPr>
      <w:autoSpaceDE w:val="0"/>
      <w:autoSpaceDN w:val="0"/>
      <w:adjustRightInd w:val="0"/>
      <w:spacing w:after="0" w:line="240" w:lineRule="auto"/>
    </w:pPr>
    <w:rPr>
      <w:rFonts w:ascii="Arial" w:hAnsi="Arial" w:cs="Arial"/>
      <w:color w:val="000000"/>
      <w:sz w:val="24"/>
      <w:szCs w:val="24"/>
      <w:lang w:val="en-ZW"/>
    </w:rPr>
  </w:style>
  <w:style w:type="character" w:styleId="Hyperlink">
    <w:name w:val="Hyperlink"/>
    <w:basedOn w:val="DefaultParagraphFont"/>
    <w:uiPriority w:val="99"/>
    <w:unhideWhenUsed/>
    <w:rsid w:val="006557C4"/>
    <w:rPr>
      <w:color w:val="0000FF" w:themeColor="hyperlink"/>
      <w:u w:val="single"/>
    </w:rPr>
  </w:style>
  <w:style w:type="paragraph" w:styleId="BalloonText">
    <w:name w:val="Balloon Text"/>
    <w:basedOn w:val="Normal"/>
    <w:link w:val="BalloonTextChar"/>
    <w:uiPriority w:val="99"/>
    <w:semiHidden/>
    <w:unhideWhenUsed/>
    <w:rsid w:val="0081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4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B6C38-1EEB-41E0-A59D-CE51B78F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5029</Words>
  <Characters>28671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Sandra</cp:lastModifiedBy>
  <cp:revision>2</cp:revision>
  <cp:lastPrinted>2021-05-19T07:49:00Z</cp:lastPrinted>
  <dcterms:created xsi:type="dcterms:W3CDTF">2021-06-08T14:08:00Z</dcterms:created>
  <dcterms:modified xsi:type="dcterms:W3CDTF">2021-06-08T14:08:00Z</dcterms:modified>
</cp:coreProperties>
</file>