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839" w:rsidRDefault="00DB2839">
      <w:bookmarkStart w:id="0" w:name="_GoBack"/>
      <w:bookmarkEnd w:id="0"/>
    </w:p>
    <w:p w:rsidR="007E151E" w:rsidRPr="007E151E" w:rsidRDefault="007E151E" w:rsidP="007E151E">
      <w:pPr>
        <w:rPr>
          <w:b/>
          <w:i/>
          <w:lang w:val="en-US"/>
        </w:rPr>
      </w:pPr>
      <w:r w:rsidRPr="007E151E">
        <w:rPr>
          <w:b/>
          <w:lang w:val="en-US"/>
        </w:rPr>
        <w:t xml:space="preserve">Civil Appeal – </w:t>
      </w:r>
      <w:r w:rsidRPr="007E151E">
        <w:rPr>
          <w:b/>
          <w:i/>
          <w:lang w:val="en-US"/>
        </w:rPr>
        <w:t>Ex tempore</w:t>
      </w:r>
    </w:p>
    <w:p w:rsidR="00FF3346" w:rsidRDefault="00FF3346"/>
    <w:p w:rsidR="006C4E27" w:rsidRDefault="006C4E27"/>
    <w:p w:rsidR="00DB2839" w:rsidRPr="006C4E27" w:rsidRDefault="00DB2839"/>
    <w:p w:rsidR="00DB2839" w:rsidRPr="006C4E27" w:rsidRDefault="004A1469" w:rsidP="00DB2839">
      <w:pPr>
        <w:jc w:val="center"/>
        <w:rPr>
          <w:b/>
        </w:rPr>
      </w:pPr>
      <w:r w:rsidRPr="006C4E27">
        <w:rPr>
          <w:b/>
        </w:rPr>
        <w:t xml:space="preserve">FREDDY </w:t>
      </w:r>
      <w:r w:rsidR="00B50007">
        <w:rPr>
          <w:b/>
        </w:rPr>
        <w:t xml:space="preserve">     </w:t>
      </w:r>
      <w:r w:rsidRPr="006C4E27">
        <w:rPr>
          <w:b/>
        </w:rPr>
        <w:t>CHIMBARI</w:t>
      </w:r>
      <w:r w:rsidR="00B50007">
        <w:rPr>
          <w:b/>
        </w:rPr>
        <w:t xml:space="preserve">    </w:t>
      </w:r>
      <w:r w:rsidRPr="006C4E27">
        <w:rPr>
          <w:b/>
        </w:rPr>
        <w:t xml:space="preserve"> N.</w:t>
      </w:r>
      <w:r w:rsidR="00B50007">
        <w:rPr>
          <w:b/>
        </w:rPr>
        <w:t xml:space="preserve">     </w:t>
      </w:r>
      <w:r w:rsidRPr="006C4E27">
        <w:rPr>
          <w:b/>
        </w:rPr>
        <w:t>O.</w:t>
      </w:r>
    </w:p>
    <w:p w:rsidR="00383032" w:rsidRPr="006C4E27" w:rsidRDefault="00383032" w:rsidP="00DB2839">
      <w:pPr>
        <w:jc w:val="center"/>
        <w:rPr>
          <w:b/>
        </w:rPr>
      </w:pPr>
      <w:r w:rsidRPr="006C4E27">
        <w:rPr>
          <w:b/>
        </w:rPr>
        <w:t>v</w:t>
      </w:r>
    </w:p>
    <w:p w:rsidR="004A1469" w:rsidRPr="006C4E27" w:rsidRDefault="00B50007" w:rsidP="00B50007">
      <w:pPr>
        <w:jc w:val="center"/>
        <w:rPr>
          <w:b/>
        </w:rPr>
      </w:pPr>
      <w:r>
        <w:rPr>
          <w:b/>
        </w:rPr>
        <w:t xml:space="preserve">(1)     </w:t>
      </w:r>
      <w:r w:rsidR="004A1469" w:rsidRPr="006C4E27">
        <w:rPr>
          <w:b/>
        </w:rPr>
        <w:t>JULIANA</w:t>
      </w:r>
      <w:r>
        <w:rPr>
          <w:b/>
        </w:rPr>
        <w:t xml:space="preserve">    </w:t>
      </w:r>
      <w:r w:rsidR="004A1469" w:rsidRPr="006C4E27">
        <w:rPr>
          <w:b/>
        </w:rPr>
        <w:t xml:space="preserve"> DUBE </w:t>
      </w:r>
      <w:r>
        <w:rPr>
          <w:b/>
        </w:rPr>
        <w:t xml:space="preserve">    </w:t>
      </w:r>
      <w:r w:rsidR="004A1469" w:rsidRPr="006C4E27">
        <w:rPr>
          <w:b/>
        </w:rPr>
        <w:t xml:space="preserve">nee </w:t>
      </w:r>
      <w:r>
        <w:rPr>
          <w:b/>
        </w:rPr>
        <w:t xml:space="preserve">    </w:t>
      </w:r>
      <w:r w:rsidR="004A1469" w:rsidRPr="006C4E27">
        <w:rPr>
          <w:b/>
        </w:rPr>
        <w:t>KUNYARIMWE</w:t>
      </w:r>
      <w:r>
        <w:rPr>
          <w:b/>
        </w:rPr>
        <w:t xml:space="preserve">    (2)      </w:t>
      </w:r>
      <w:r w:rsidR="004A1469" w:rsidRPr="006C4E27">
        <w:rPr>
          <w:b/>
        </w:rPr>
        <w:t xml:space="preserve">JONATHAN </w:t>
      </w:r>
      <w:r>
        <w:rPr>
          <w:b/>
        </w:rPr>
        <w:t xml:space="preserve">    </w:t>
      </w:r>
      <w:r w:rsidR="004A1469" w:rsidRPr="006C4E27">
        <w:rPr>
          <w:b/>
        </w:rPr>
        <w:t>KUNYARIMWE</w:t>
      </w:r>
      <w:r>
        <w:rPr>
          <w:b/>
        </w:rPr>
        <w:t xml:space="preserve">     (3)     </w:t>
      </w:r>
      <w:r w:rsidR="004A1469" w:rsidRPr="006C4E27">
        <w:rPr>
          <w:b/>
        </w:rPr>
        <w:t xml:space="preserve">THE </w:t>
      </w:r>
      <w:r>
        <w:rPr>
          <w:b/>
        </w:rPr>
        <w:t xml:space="preserve">    </w:t>
      </w:r>
      <w:r w:rsidR="004A1469" w:rsidRPr="006C4E27">
        <w:rPr>
          <w:b/>
        </w:rPr>
        <w:t>MASTER</w:t>
      </w:r>
      <w:r>
        <w:rPr>
          <w:b/>
        </w:rPr>
        <w:t xml:space="preserve">     </w:t>
      </w:r>
      <w:r w:rsidR="004A1469" w:rsidRPr="006C4E27">
        <w:rPr>
          <w:b/>
        </w:rPr>
        <w:t xml:space="preserve"> OF</w:t>
      </w:r>
      <w:r>
        <w:rPr>
          <w:b/>
        </w:rPr>
        <w:t xml:space="preserve">    </w:t>
      </w:r>
      <w:r w:rsidR="004A1469" w:rsidRPr="006C4E27">
        <w:rPr>
          <w:b/>
        </w:rPr>
        <w:t xml:space="preserve"> THE </w:t>
      </w:r>
      <w:r>
        <w:rPr>
          <w:b/>
        </w:rPr>
        <w:t xml:space="preserve">    </w:t>
      </w:r>
      <w:r w:rsidR="004A1469" w:rsidRPr="006C4E27">
        <w:rPr>
          <w:b/>
        </w:rPr>
        <w:t xml:space="preserve">HIGH </w:t>
      </w:r>
      <w:r>
        <w:rPr>
          <w:b/>
        </w:rPr>
        <w:t xml:space="preserve">    </w:t>
      </w:r>
      <w:r w:rsidR="004A1469" w:rsidRPr="006C4E27">
        <w:rPr>
          <w:b/>
        </w:rPr>
        <w:t>COURT</w:t>
      </w:r>
    </w:p>
    <w:p w:rsidR="004A1469" w:rsidRPr="006C4E27" w:rsidRDefault="00B50007" w:rsidP="00B50007">
      <w:pPr>
        <w:jc w:val="center"/>
        <w:rPr>
          <w:b/>
        </w:rPr>
      </w:pPr>
      <w:r>
        <w:rPr>
          <w:b/>
        </w:rPr>
        <w:t xml:space="preserve">(4)     </w:t>
      </w:r>
      <w:r w:rsidR="004A1469" w:rsidRPr="006C4E27">
        <w:rPr>
          <w:b/>
        </w:rPr>
        <w:t>TENDAI</w:t>
      </w:r>
      <w:r>
        <w:rPr>
          <w:b/>
        </w:rPr>
        <w:t xml:space="preserve">    </w:t>
      </w:r>
      <w:r w:rsidR="004A1469" w:rsidRPr="006C4E27">
        <w:rPr>
          <w:b/>
        </w:rPr>
        <w:t xml:space="preserve"> PHINEAS</w:t>
      </w:r>
      <w:r>
        <w:rPr>
          <w:b/>
        </w:rPr>
        <w:t xml:space="preserve">    </w:t>
      </w:r>
      <w:r w:rsidR="004A1469" w:rsidRPr="006C4E27">
        <w:rPr>
          <w:b/>
        </w:rPr>
        <w:t xml:space="preserve"> NYAGWANDE</w:t>
      </w:r>
      <w:r>
        <w:rPr>
          <w:b/>
        </w:rPr>
        <w:t xml:space="preserve">     (5)      </w:t>
      </w:r>
      <w:r w:rsidR="004A1469" w:rsidRPr="006C4E27">
        <w:rPr>
          <w:b/>
        </w:rPr>
        <w:t>EDNA</w:t>
      </w:r>
      <w:r>
        <w:rPr>
          <w:b/>
        </w:rPr>
        <w:t xml:space="preserve">    </w:t>
      </w:r>
      <w:r w:rsidR="004A1469" w:rsidRPr="006C4E27">
        <w:rPr>
          <w:b/>
        </w:rPr>
        <w:t xml:space="preserve"> ZIVAI</w:t>
      </w:r>
      <w:r>
        <w:rPr>
          <w:b/>
        </w:rPr>
        <w:t xml:space="preserve">    </w:t>
      </w:r>
      <w:r w:rsidR="004A1469" w:rsidRPr="006C4E27">
        <w:rPr>
          <w:b/>
        </w:rPr>
        <w:t xml:space="preserve"> NYAGWANDE</w:t>
      </w:r>
    </w:p>
    <w:p w:rsidR="006E0951" w:rsidRDefault="006E0951" w:rsidP="006E0951">
      <w:pPr>
        <w:jc w:val="both"/>
        <w:rPr>
          <w:b/>
        </w:rPr>
      </w:pPr>
    </w:p>
    <w:p w:rsidR="006C4E27" w:rsidRPr="006C4E27" w:rsidRDefault="006C4E27" w:rsidP="006E0951">
      <w:pPr>
        <w:jc w:val="both"/>
        <w:rPr>
          <w:b/>
        </w:rPr>
      </w:pPr>
    </w:p>
    <w:p w:rsidR="00E404FC" w:rsidRPr="006C4E27" w:rsidRDefault="00E404FC" w:rsidP="006E0951">
      <w:pPr>
        <w:jc w:val="both"/>
        <w:rPr>
          <w:b/>
        </w:rPr>
      </w:pPr>
    </w:p>
    <w:p w:rsidR="00E404FC" w:rsidRPr="006C4E27" w:rsidRDefault="00E404FC" w:rsidP="006E0951">
      <w:pPr>
        <w:jc w:val="both"/>
        <w:rPr>
          <w:b/>
        </w:rPr>
      </w:pPr>
      <w:r w:rsidRPr="006C4E27">
        <w:rPr>
          <w:b/>
        </w:rPr>
        <w:t xml:space="preserve">SUPREME COURT OF </w:t>
      </w:r>
      <w:smartTag w:uri="urn:schemas-microsoft-com:office:smarttags" w:element="country-region">
        <w:smartTag w:uri="urn:schemas-microsoft-com:office:smarttags" w:element="place">
          <w:r w:rsidRPr="006C4E27">
            <w:rPr>
              <w:b/>
            </w:rPr>
            <w:t>ZIMBABWE</w:t>
          </w:r>
        </w:smartTag>
      </w:smartTag>
    </w:p>
    <w:p w:rsidR="00E404FC" w:rsidRPr="006C4E27" w:rsidRDefault="00D135F0" w:rsidP="006E0951">
      <w:pPr>
        <w:jc w:val="both"/>
        <w:rPr>
          <w:b/>
        </w:rPr>
      </w:pPr>
      <w:r w:rsidRPr="006C4E27">
        <w:rPr>
          <w:b/>
        </w:rPr>
        <w:t>PATEL JA, GUVAVA JA</w:t>
      </w:r>
      <w:r w:rsidR="00AF48D9" w:rsidRPr="006C4E27">
        <w:rPr>
          <w:b/>
        </w:rPr>
        <w:t xml:space="preserve"> &amp; </w:t>
      </w:r>
      <w:r w:rsidRPr="006C4E27">
        <w:rPr>
          <w:b/>
        </w:rPr>
        <w:t>HUNGWE JA</w:t>
      </w:r>
    </w:p>
    <w:p w:rsidR="00AF48D9" w:rsidRPr="006C4E27" w:rsidRDefault="004A1469" w:rsidP="006E0951">
      <w:pPr>
        <w:jc w:val="both"/>
      </w:pPr>
      <w:r w:rsidRPr="006C4E27">
        <w:rPr>
          <w:b/>
        </w:rPr>
        <w:t>HARARE, 22 JULY 2019</w:t>
      </w:r>
    </w:p>
    <w:p w:rsidR="008E3E30" w:rsidRDefault="008E3E30" w:rsidP="00412229">
      <w:pPr>
        <w:spacing w:line="360" w:lineRule="auto"/>
        <w:jc w:val="both"/>
      </w:pPr>
    </w:p>
    <w:p w:rsidR="00B763ED" w:rsidRPr="006C4E27" w:rsidRDefault="00B763ED" w:rsidP="00412229">
      <w:pPr>
        <w:spacing w:line="360" w:lineRule="auto"/>
        <w:jc w:val="both"/>
      </w:pPr>
    </w:p>
    <w:p w:rsidR="008E3E30" w:rsidRPr="006C4E27" w:rsidRDefault="004A1469" w:rsidP="00F32CF0">
      <w:pPr>
        <w:spacing w:line="480" w:lineRule="auto"/>
        <w:jc w:val="both"/>
      </w:pPr>
      <w:r w:rsidRPr="006C4E27">
        <w:rPr>
          <w:i/>
        </w:rPr>
        <w:t>J. Dondo</w:t>
      </w:r>
      <w:r w:rsidR="002D0DAD" w:rsidRPr="006C4E27">
        <w:t>, for the appellant</w:t>
      </w:r>
    </w:p>
    <w:p w:rsidR="002D0DAD" w:rsidRPr="006C4E27" w:rsidRDefault="004A1469" w:rsidP="00F32CF0">
      <w:pPr>
        <w:spacing w:line="480" w:lineRule="auto"/>
        <w:jc w:val="both"/>
      </w:pPr>
      <w:r w:rsidRPr="006C4E27">
        <w:t xml:space="preserve">No appearance </w:t>
      </w:r>
      <w:r w:rsidR="002D0DAD" w:rsidRPr="006C4E27">
        <w:t>for the</w:t>
      </w:r>
      <w:r w:rsidRPr="006C4E27">
        <w:t xml:space="preserve"> </w:t>
      </w:r>
      <w:r w:rsidR="00B50007">
        <w:t>first</w:t>
      </w:r>
      <w:r w:rsidRPr="006C4E27">
        <w:t xml:space="preserve">, </w:t>
      </w:r>
      <w:r w:rsidR="00B50007">
        <w:t>second</w:t>
      </w:r>
      <w:r w:rsidRPr="006C4E27">
        <w:t xml:space="preserve">, </w:t>
      </w:r>
      <w:r w:rsidR="00B50007">
        <w:t>third</w:t>
      </w:r>
      <w:r w:rsidRPr="006C4E27">
        <w:t xml:space="preserve">, </w:t>
      </w:r>
      <w:r w:rsidR="00B50007">
        <w:t xml:space="preserve">fourth </w:t>
      </w:r>
      <w:r w:rsidRPr="006C4E27">
        <w:t xml:space="preserve">and </w:t>
      </w:r>
      <w:r w:rsidR="00B50007">
        <w:t>fifth</w:t>
      </w:r>
      <w:r w:rsidRPr="006C4E27">
        <w:t xml:space="preserve"> </w:t>
      </w:r>
      <w:r w:rsidR="002D0DAD" w:rsidRPr="006C4E27">
        <w:t>respondent</w:t>
      </w:r>
      <w:r w:rsidRPr="006C4E27">
        <w:t>s</w:t>
      </w:r>
    </w:p>
    <w:p w:rsidR="00222F74" w:rsidRDefault="00222F74" w:rsidP="004A1469">
      <w:pPr>
        <w:spacing w:line="360" w:lineRule="auto"/>
        <w:jc w:val="both"/>
      </w:pPr>
    </w:p>
    <w:p w:rsidR="00FF3346" w:rsidRPr="006C4E27" w:rsidRDefault="00FF3346" w:rsidP="004A1469">
      <w:pPr>
        <w:spacing w:line="360" w:lineRule="auto"/>
        <w:jc w:val="both"/>
      </w:pPr>
    </w:p>
    <w:p w:rsidR="00CA7C3A" w:rsidRPr="006C4E27" w:rsidRDefault="0002331C" w:rsidP="00B50007">
      <w:pPr>
        <w:spacing w:line="480" w:lineRule="auto"/>
        <w:ind w:firstLine="1440"/>
        <w:jc w:val="both"/>
      </w:pPr>
      <w:r w:rsidRPr="006C4E27">
        <w:rPr>
          <w:b/>
        </w:rPr>
        <w:t xml:space="preserve">PATEL </w:t>
      </w:r>
      <w:r w:rsidR="00F7784D" w:rsidRPr="006C4E27">
        <w:rPr>
          <w:b/>
        </w:rPr>
        <w:t>JA:</w:t>
      </w:r>
      <w:r w:rsidRPr="006C4E27">
        <w:tab/>
      </w:r>
      <w:r w:rsidR="00B50007">
        <w:t xml:space="preserve"> </w:t>
      </w:r>
      <w:r w:rsidR="00CA7C3A" w:rsidRPr="006C4E27">
        <w:t xml:space="preserve">This is an appeal against the judgment of the High Court, granted on 20 December 2018, confirming a provisional order granted by that court on </w:t>
      </w:r>
      <w:r w:rsidR="00B50007">
        <w:t xml:space="preserve">     </w:t>
      </w:r>
      <w:r w:rsidR="00CA7C3A" w:rsidRPr="006C4E27">
        <w:t>24 October 2017. The effect of the judgment was to set aside the sale and transfer of the property in dispute to the fourth and fifth respondents and to enable the first and second respondents to exercise their alleged right of first refusal in respect of that property.</w:t>
      </w:r>
    </w:p>
    <w:p w:rsidR="00CA7C3A" w:rsidRPr="006C4E27" w:rsidRDefault="00CA7C3A" w:rsidP="00B50007">
      <w:pPr>
        <w:spacing w:line="480" w:lineRule="auto"/>
        <w:jc w:val="both"/>
      </w:pPr>
    </w:p>
    <w:p w:rsidR="00CA7C3A" w:rsidRPr="006C4E27" w:rsidRDefault="00CA7C3A" w:rsidP="00B50007">
      <w:pPr>
        <w:spacing w:line="480" w:lineRule="auto"/>
        <w:jc w:val="both"/>
      </w:pPr>
      <w:r w:rsidRPr="006C4E27">
        <w:tab/>
      </w:r>
      <w:r w:rsidRPr="006C4E27">
        <w:tab/>
        <w:t xml:space="preserve">The first and second respondents were duly served with notice of set-down through their erstwhile legal practitioners (Mawere Sibanda) on 22 May 2019. The other respondents were also served with notices of set-down. However, they were not actively involved in this matter. In the event, all the respondents, having been duly served with </w:t>
      </w:r>
      <w:r w:rsidRPr="006C4E27">
        <w:lastRenderedPageBreak/>
        <w:t>notices of set-down and having failed to appear at the hearing of the matter, were declared to be in default.</w:t>
      </w:r>
    </w:p>
    <w:p w:rsidR="00CA7C3A" w:rsidRPr="006C4E27" w:rsidRDefault="00CA7C3A" w:rsidP="00B50007">
      <w:pPr>
        <w:spacing w:line="480" w:lineRule="auto"/>
        <w:jc w:val="both"/>
      </w:pPr>
    </w:p>
    <w:p w:rsidR="00CA7C3A" w:rsidRPr="006C4E27" w:rsidRDefault="00CA7C3A" w:rsidP="00B50007">
      <w:pPr>
        <w:spacing w:line="480" w:lineRule="auto"/>
        <w:jc w:val="both"/>
      </w:pPr>
      <w:r w:rsidRPr="006C4E27">
        <w:tab/>
      </w:r>
      <w:r w:rsidRPr="006C4E27">
        <w:tab/>
        <w:t>After hearing submissions from counsel for the appellant, the respondents being in default, this Court unanimously allowed the appeal. The legal practitioners currently acting for the first and second respondents have requested the reasons for judgment. These are as follows.</w:t>
      </w:r>
    </w:p>
    <w:p w:rsidR="00CA7C3A" w:rsidRPr="006C4E27" w:rsidRDefault="00CA7C3A" w:rsidP="00B50007">
      <w:pPr>
        <w:spacing w:line="480" w:lineRule="auto"/>
        <w:jc w:val="both"/>
      </w:pPr>
    </w:p>
    <w:p w:rsidR="00CA7C3A" w:rsidRPr="006C4E27" w:rsidRDefault="00CA7C3A" w:rsidP="00B50007">
      <w:pPr>
        <w:spacing w:line="480" w:lineRule="auto"/>
        <w:jc w:val="both"/>
      </w:pPr>
      <w:r w:rsidRPr="006C4E27">
        <w:tab/>
      </w:r>
      <w:r w:rsidRPr="006C4E27">
        <w:tab/>
        <w:t xml:space="preserve">It is abundantly clear from the papers filed of record, </w:t>
      </w:r>
      <w:r w:rsidRPr="006C4E27">
        <w:rPr>
          <w:i/>
        </w:rPr>
        <w:t xml:space="preserve">i.e. </w:t>
      </w:r>
      <w:r w:rsidRPr="006C4E27">
        <w:t>correspondence between the parties, the agreement of sale in question and the Master’s report on the procedure followed by the appellant, that the first and second respondents were not given any right of first refusal in relation to the property in dispute. Instead, they were granted an option to purchase the property, which option they failed to exercise within the stipulated period or within the further extension allowed to purchase the property.</w:t>
      </w:r>
    </w:p>
    <w:p w:rsidR="006C4E27" w:rsidRPr="006C4E27" w:rsidRDefault="00CA7C3A" w:rsidP="00B50007">
      <w:pPr>
        <w:spacing w:line="480" w:lineRule="auto"/>
        <w:jc w:val="both"/>
      </w:pPr>
      <w:r w:rsidRPr="006C4E27">
        <w:tab/>
      </w:r>
      <w:r w:rsidRPr="006C4E27">
        <w:tab/>
      </w:r>
    </w:p>
    <w:p w:rsidR="00CA7C3A" w:rsidRDefault="006C4E27" w:rsidP="00B50007">
      <w:pPr>
        <w:spacing w:line="480" w:lineRule="auto"/>
        <w:jc w:val="both"/>
      </w:pPr>
      <w:r w:rsidRPr="006C4E27">
        <w:tab/>
      </w:r>
      <w:r w:rsidRPr="006C4E27">
        <w:tab/>
      </w:r>
      <w:r w:rsidR="00CA7C3A" w:rsidRPr="006C4E27">
        <w:t xml:space="preserve">It follows that the court </w:t>
      </w:r>
      <w:r w:rsidR="00CA7C3A" w:rsidRPr="006C4E27">
        <w:rPr>
          <w:i/>
        </w:rPr>
        <w:t>a quo</w:t>
      </w:r>
      <w:r w:rsidR="00CA7C3A" w:rsidRPr="006C4E27">
        <w:t xml:space="preserve"> erred in granting the application before it by confirming the provisional order granted on 24 October 2017. The appeal therefore succeeds on the grounds of appeal noted herein. However, inasmuch as transfer to the fourth and fifth respondents took place after it was interdicted by the provisional order, the transfer of the property, as opposed to its sale, shall remain as having been set aside. This qualification is quite properly conceded by counsel for the appellant.</w:t>
      </w:r>
    </w:p>
    <w:p w:rsidR="00A43FF7" w:rsidRPr="006C4E27" w:rsidRDefault="00A43FF7" w:rsidP="00B50007">
      <w:pPr>
        <w:spacing w:line="480" w:lineRule="auto"/>
        <w:jc w:val="both"/>
      </w:pPr>
    </w:p>
    <w:p w:rsidR="006C4E27" w:rsidRDefault="006C4E27" w:rsidP="00B50007">
      <w:pPr>
        <w:spacing w:line="480" w:lineRule="auto"/>
        <w:jc w:val="both"/>
      </w:pPr>
    </w:p>
    <w:p w:rsidR="00CA7C3A" w:rsidRPr="006C4E27" w:rsidRDefault="00CA7C3A" w:rsidP="00B50007">
      <w:pPr>
        <w:spacing w:line="480" w:lineRule="auto"/>
        <w:jc w:val="both"/>
      </w:pPr>
      <w:r w:rsidRPr="006C4E27">
        <w:lastRenderedPageBreak/>
        <w:tab/>
        <w:t>It is accordingly ordered as follows:</w:t>
      </w:r>
    </w:p>
    <w:p w:rsidR="00CA7C3A" w:rsidRPr="006C4E27" w:rsidRDefault="00CA7C3A" w:rsidP="00B50007">
      <w:pPr>
        <w:pStyle w:val="ListParagraph"/>
        <w:numPr>
          <w:ilvl w:val="0"/>
          <w:numId w:val="1"/>
        </w:numPr>
        <w:spacing w:after="0" w:line="480" w:lineRule="auto"/>
        <w:jc w:val="both"/>
        <w:rPr>
          <w:rFonts w:ascii="Times New Roman" w:hAnsi="Times New Roman" w:cs="Times New Roman"/>
          <w:sz w:val="24"/>
          <w:szCs w:val="24"/>
        </w:rPr>
      </w:pPr>
      <w:r w:rsidRPr="006C4E27">
        <w:rPr>
          <w:rFonts w:ascii="Times New Roman" w:hAnsi="Times New Roman" w:cs="Times New Roman"/>
          <w:sz w:val="24"/>
          <w:szCs w:val="24"/>
        </w:rPr>
        <w:t>The appeal be and is hereby allowed with costs.</w:t>
      </w:r>
    </w:p>
    <w:p w:rsidR="00CA7C3A" w:rsidRPr="006C4E27" w:rsidRDefault="00CA7C3A" w:rsidP="00B50007">
      <w:pPr>
        <w:pStyle w:val="ListParagraph"/>
        <w:numPr>
          <w:ilvl w:val="0"/>
          <w:numId w:val="1"/>
        </w:numPr>
        <w:spacing w:after="0" w:line="480" w:lineRule="auto"/>
        <w:jc w:val="both"/>
        <w:rPr>
          <w:rFonts w:ascii="Times New Roman" w:hAnsi="Times New Roman" w:cs="Times New Roman"/>
          <w:sz w:val="24"/>
          <w:szCs w:val="24"/>
        </w:rPr>
      </w:pPr>
      <w:r w:rsidRPr="006C4E27">
        <w:rPr>
          <w:rFonts w:ascii="Times New Roman" w:hAnsi="Times New Roman" w:cs="Times New Roman"/>
          <w:sz w:val="24"/>
          <w:szCs w:val="24"/>
        </w:rPr>
        <w:t xml:space="preserve">The judgment of the court </w:t>
      </w:r>
      <w:r w:rsidRPr="006C4E27">
        <w:rPr>
          <w:rFonts w:ascii="Times New Roman" w:hAnsi="Times New Roman" w:cs="Times New Roman"/>
          <w:i/>
          <w:sz w:val="24"/>
          <w:szCs w:val="24"/>
        </w:rPr>
        <w:t>a quo</w:t>
      </w:r>
      <w:r w:rsidRPr="006C4E27">
        <w:rPr>
          <w:rFonts w:ascii="Times New Roman" w:hAnsi="Times New Roman" w:cs="Times New Roman"/>
          <w:sz w:val="24"/>
          <w:szCs w:val="24"/>
        </w:rPr>
        <w:t xml:space="preserve"> confirming the Provisional Order granted by the High Court on the 24</w:t>
      </w:r>
      <w:r w:rsidRPr="006C4E27">
        <w:rPr>
          <w:rFonts w:ascii="Times New Roman" w:hAnsi="Times New Roman" w:cs="Times New Roman"/>
          <w:sz w:val="24"/>
          <w:szCs w:val="24"/>
          <w:vertAlign w:val="superscript"/>
        </w:rPr>
        <w:t>th</w:t>
      </w:r>
      <w:r w:rsidRPr="006C4E27">
        <w:rPr>
          <w:rFonts w:ascii="Times New Roman" w:hAnsi="Times New Roman" w:cs="Times New Roman"/>
          <w:sz w:val="24"/>
          <w:szCs w:val="24"/>
        </w:rPr>
        <w:t xml:space="preserve"> of October 2017 be and is hereby set aside and substituted with the following:</w:t>
      </w:r>
    </w:p>
    <w:p w:rsidR="006C4E27" w:rsidRPr="006C4E27" w:rsidRDefault="006C4E27" w:rsidP="00A43FF7">
      <w:pPr>
        <w:ind w:left="630" w:hanging="90"/>
        <w:jc w:val="both"/>
      </w:pPr>
      <w:r w:rsidRPr="006C4E27">
        <w:tab/>
      </w:r>
      <w:r w:rsidR="00CA7C3A" w:rsidRPr="006C4E27">
        <w:t xml:space="preserve">“(i) </w:t>
      </w:r>
      <w:r w:rsidR="00A43FF7">
        <w:tab/>
      </w:r>
      <w:r w:rsidR="00CA7C3A" w:rsidRPr="006C4E27">
        <w:t>The Provisional Order granted by the High Court on the 24</w:t>
      </w:r>
      <w:r w:rsidR="00CA7C3A" w:rsidRPr="006C4E27">
        <w:rPr>
          <w:vertAlign w:val="superscript"/>
        </w:rPr>
        <w:t>th</w:t>
      </w:r>
      <w:r w:rsidR="00CA7C3A" w:rsidRPr="006C4E27">
        <w:t xml:space="preserve"> of October </w:t>
      </w:r>
      <w:r w:rsidRPr="006C4E27">
        <w:tab/>
      </w:r>
      <w:r w:rsidR="00A43FF7">
        <w:tab/>
      </w:r>
      <w:r w:rsidR="00A43FF7">
        <w:tab/>
      </w:r>
      <w:r w:rsidR="00CA7C3A" w:rsidRPr="006C4E27">
        <w:t xml:space="preserve">2017 be and is hereby discharged and the application herein be and is </w:t>
      </w:r>
      <w:r>
        <w:t>h</w:t>
      </w:r>
      <w:r w:rsidR="00CA7C3A" w:rsidRPr="006C4E27">
        <w:t xml:space="preserve">ereby </w:t>
      </w:r>
      <w:r>
        <w:tab/>
      </w:r>
      <w:r w:rsidR="00A43FF7">
        <w:tab/>
      </w:r>
      <w:r w:rsidR="00CA7C3A" w:rsidRPr="006C4E27">
        <w:t>dismissed with costs.</w:t>
      </w:r>
    </w:p>
    <w:p w:rsidR="00CA7C3A" w:rsidRPr="006C4E27" w:rsidRDefault="006C4E27" w:rsidP="00A43FF7">
      <w:pPr>
        <w:ind w:left="360"/>
        <w:jc w:val="both"/>
      </w:pPr>
      <w:r w:rsidRPr="006C4E27">
        <w:tab/>
      </w:r>
      <w:r w:rsidR="00CA7C3A" w:rsidRPr="006C4E27">
        <w:t xml:space="preserve">(ii) </w:t>
      </w:r>
      <w:r w:rsidR="00A43FF7">
        <w:tab/>
      </w:r>
      <w:r w:rsidR="00CA7C3A" w:rsidRPr="006C4E27">
        <w:t xml:space="preserve">The transfer of the property, known as 64 Borrowdale Brooke Estate, to </w:t>
      </w:r>
      <w:r w:rsidRPr="006C4E27">
        <w:tab/>
      </w:r>
      <w:r w:rsidR="00A43FF7">
        <w:tab/>
      </w:r>
      <w:r w:rsidR="00A43FF7">
        <w:tab/>
      </w:r>
      <w:r w:rsidR="00CA7C3A" w:rsidRPr="006C4E27">
        <w:t xml:space="preserve">the third and fourth respondents is hereby set aside.” </w:t>
      </w:r>
    </w:p>
    <w:p w:rsidR="00CA7C3A" w:rsidRPr="006C4E27" w:rsidRDefault="00CA7C3A" w:rsidP="006C4E27">
      <w:pPr>
        <w:jc w:val="both"/>
      </w:pPr>
      <w:r w:rsidRPr="006C4E27">
        <w:t xml:space="preserve"> </w:t>
      </w:r>
    </w:p>
    <w:p w:rsidR="0002331C" w:rsidRPr="006C4E27" w:rsidRDefault="0002331C" w:rsidP="004A1469">
      <w:pPr>
        <w:spacing w:line="360" w:lineRule="auto"/>
        <w:jc w:val="both"/>
      </w:pPr>
    </w:p>
    <w:p w:rsidR="006C4E27" w:rsidRPr="006C4E27" w:rsidRDefault="006C4E27" w:rsidP="004A1469">
      <w:pPr>
        <w:spacing w:line="360" w:lineRule="auto"/>
        <w:jc w:val="both"/>
      </w:pPr>
    </w:p>
    <w:p w:rsidR="0050064D" w:rsidRDefault="0050064D" w:rsidP="004A1469">
      <w:pPr>
        <w:spacing w:line="360" w:lineRule="auto"/>
        <w:jc w:val="both"/>
      </w:pPr>
      <w:r w:rsidRPr="006C4E27">
        <w:tab/>
      </w:r>
      <w:r w:rsidR="006C4E27" w:rsidRPr="00B50007">
        <w:rPr>
          <w:b/>
        </w:rPr>
        <w:t>GUVAVA JA</w:t>
      </w:r>
      <w:r w:rsidR="00E91792" w:rsidRPr="00B50007">
        <w:rPr>
          <w:b/>
        </w:rPr>
        <w:t>:</w:t>
      </w:r>
      <w:r w:rsidR="00F47370" w:rsidRPr="006C4E27">
        <w:tab/>
      </w:r>
      <w:r w:rsidR="006C4E27">
        <w:tab/>
      </w:r>
      <w:r w:rsidR="00B50007">
        <w:tab/>
      </w:r>
      <w:r w:rsidR="00E91792" w:rsidRPr="006C4E27">
        <w:t>I agree.</w:t>
      </w:r>
    </w:p>
    <w:p w:rsidR="00B50007" w:rsidRPr="006C4E27" w:rsidRDefault="00B50007" w:rsidP="004A1469">
      <w:pPr>
        <w:spacing w:line="360" w:lineRule="auto"/>
        <w:jc w:val="both"/>
      </w:pPr>
    </w:p>
    <w:p w:rsidR="004A0853" w:rsidRPr="006C4E27" w:rsidRDefault="004A0853" w:rsidP="004A1469">
      <w:pPr>
        <w:spacing w:line="360" w:lineRule="auto"/>
        <w:jc w:val="both"/>
      </w:pPr>
    </w:p>
    <w:p w:rsidR="00D46F42" w:rsidRPr="006C4E27" w:rsidRDefault="00D46F42" w:rsidP="004A1469">
      <w:pPr>
        <w:spacing w:line="360" w:lineRule="auto"/>
        <w:jc w:val="both"/>
      </w:pPr>
      <w:r w:rsidRPr="006C4E27">
        <w:tab/>
      </w:r>
      <w:r w:rsidR="006C4E27" w:rsidRPr="00B50007">
        <w:rPr>
          <w:b/>
        </w:rPr>
        <w:t>HUNGWE JA</w:t>
      </w:r>
      <w:r w:rsidRPr="006C4E27">
        <w:t>:</w:t>
      </w:r>
      <w:r w:rsidR="00F47370" w:rsidRPr="006C4E27">
        <w:tab/>
      </w:r>
      <w:r w:rsidR="00B50007">
        <w:tab/>
      </w:r>
      <w:r w:rsidR="00B50007">
        <w:tab/>
      </w:r>
      <w:r w:rsidRPr="006C4E27">
        <w:t>I agree.</w:t>
      </w:r>
    </w:p>
    <w:p w:rsidR="00D46F42" w:rsidRPr="006C4E27" w:rsidRDefault="00D46F42" w:rsidP="004A1469">
      <w:pPr>
        <w:spacing w:line="360" w:lineRule="auto"/>
        <w:jc w:val="both"/>
      </w:pPr>
    </w:p>
    <w:p w:rsidR="00412229" w:rsidRPr="006C4E27" w:rsidRDefault="00412229" w:rsidP="004A1469">
      <w:pPr>
        <w:spacing w:line="360" w:lineRule="auto"/>
        <w:jc w:val="both"/>
      </w:pPr>
    </w:p>
    <w:p w:rsidR="006C4E27" w:rsidRPr="006C4E27" w:rsidRDefault="006C4E27" w:rsidP="004A1469">
      <w:pPr>
        <w:spacing w:line="360" w:lineRule="auto"/>
        <w:jc w:val="both"/>
      </w:pPr>
    </w:p>
    <w:p w:rsidR="006C4E27" w:rsidRPr="006C4E27" w:rsidRDefault="006C4E27" w:rsidP="004A1469">
      <w:pPr>
        <w:spacing w:line="360" w:lineRule="auto"/>
        <w:jc w:val="both"/>
      </w:pPr>
    </w:p>
    <w:p w:rsidR="003E0F83" w:rsidRPr="006C4E27" w:rsidRDefault="004629D6" w:rsidP="004A1469">
      <w:pPr>
        <w:spacing w:line="360" w:lineRule="auto"/>
        <w:jc w:val="both"/>
      </w:pPr>
      <w:r w:rsidRPr="006C4E27">
        <w:rPr>
          <w:i/>
        </w:rPr>
        <w:t>Dondo &amp; Partners</w:t>
      </w:r>
      <w:r w:rsidR="00F1235E" w:rsidRPr="006C4E27">
        <w:t xml:space="preserve">, appellant’s </w:t>
      </w:r>
      <w:r w:rsidR="00F7784D" w:rsidRPr="006C4E27">
        <w:t>l</w:t>
      </w:r>
      <w:r w:rsidR="00F1235E" w:rsidRPr="006C4E27">
        <w:t xml:space="preserve">egal </w:t>
      </w:r>
      <w:r w:rsidR="00F7784D" w:rsidRPr="006C4E27">
        <w:t>p</w:t>
      </w:r>
      <w:r w:rsidR="00F1235E" w:rsidRPr="006C4E27">
        <w:t>ractitioners</w:t>
      </w:r>
    </w:p>
    <w:p w:rsidR="003E0F83" w:rsidRPr="006C4E27" w:rsidRDefault="004629D6" w:rsidP="004A1469">
      <w:pPr>
        <w:spacing w:line="360" w:lineRule="auto"/>
        <w:jc w:val="both"/>
      </w:pPr>
      <w:r w:rsidRPr="006C4E27">
        <w:rPr>
          <w:i/>
        </w:rPr>
        <w:t>Mawere Sibanda</w:t>
      </w:r>
      <w:r w:rsidR="00E81D67" w:rsidRPr="006C4E27">
        <w:t xml:space="preserve">, </w:t>
      </w:r>
      <w:r w:rsidRPr="006C4E27">
        <w:t>1</w:t>
      </w:r>
      <w:r w:rsidRPr="006C4E27">
        <w:rPr>
          <w:vertAlign w:val="superscript"/>
        </w:rPr>
        <w:t>st</w:t>
      </w:r>
      <w:r w:rsidRPr="006C4E27">
        <w:t xml:space="preserve"> and 2</w:t>
      </w:r>
      <w:r w:rsidRPr="006C4E27">
        <w:rPr>
          <w:vertAlign w:val="superscript"/>
        </w:rPr>
        <w:t>nd</w:t>
      </w:r>
      <w:r w:rsidRPr="006C4E27">
        <w:t xml:space="preserve"> respondent</w:t>
      </w:r>
      <w:r w:rsidR="00E81D67" w:rsidRPr="006C4E27">
        <w:t>s</w:t>
      </w:r>
      <w:r w:rsidRPr="006C4E27">
        <w:t>’</w:t>
      </w:r>
      <w:r w:rsidR="00E81D67" w:rsidRPr="006C4E27">
        <w:t xml:space="preserve"> </w:t>
      </w:r>
      <w:r w:rsidR="00F7784D" w:rsidRPr="006C4E27">
        <w:t>l</w:t>
      </w:r>
      <w:r w:rsidR="00E81D67" w:rsidRPr="006C4E27">
        <w:t xml:space="preserve">egal </w:t>
      </w:r>
      <w:r w:rsidR="00F7784D" w:rsidRPr="006C4E27">
        <w:t>p</w:t>
      </w:r>
      <w:r w:rsidR="00E81D67" w:rsidRPr="006C4E27">
        <w:t>ractitioners</w:t>
      </w:r>
    </w:p>
    <w:p w:rsidR="004629D6" w:rsidRPr="006C4E27" w:rsidRDefault="004629D6" w:rsidP="004A1469">
      <w:pPr>
        <w:spacing w:line="360" w:lineRule="auto"/>
        <w:jc w:val="both"/>
      </w:pPr>
      <w:r w:rsidRPr="006C4E27">
        <w:rPr>
          <w:i/>
        </w:rPr>
        <w:t>Muvirimi &amp; Associates</w:t>
      </w:r>
      <w:r w:rsidRPr="006C4E27">
        <w:t>, 4</w:t>
      </w:r>
      <w:r w:rsidRPr="006C4E27">
        <w:rPr>
          <w:vertAlign w:val="superscript"/>
        </w:rPr>
        <w:t>th</w:t>
      </w:r>
      <w:r w:rsidRPr="006C4E27">
        <w:t xml:space="preserve"> and 5</w:t>
      </w:r>
      <w:r w:rsidRPr="006C4E27">
        <w:rPr>
          <w:vertAlign w:val="superscript"/>
        </w:rPr>
        <w:t>th</w:t>
      </w:r>
      <w:r w:rsidRPr="006C4E27">
        <w:t xml:space="preserve"> respondents’ legal</w:t>
      </w:r>
      <w:r w:rsidR="00D9031D">
        <w:t xml:space="preserve"> practitioners </w:t>
      </w:r>
    </w:p>
    <w:sectPr w:rsidR="004629D6" w:rsidRPr="006C4E27">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622" w:rsidRDefault="00817622">
      <w:r>
        <w:separator/>
      </w:r>
    </w:p>
  </w:endnote>
  <w:endnote w:type="continuationSeparator" w:id="0">
    <w:p w:rsidR="00817622" w:rsidRDefault="00817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622" w:rsidRDefault="00817622">
      <w:r>
        <w:separator/>
      </w:r>
    </w:p>
  </w:footnote>
  <w:footnote w:type="continuationSeparator" w:id="0">
    <w:p w:rsidR="00817622" w:rsidRDefault="008176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229" w:rsidRDefault="00412229" w:rsidP="001F6C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12229" w:rsidRDefault="00412229" w:rsidP="007777D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229" w:rsidRPr="00272765" w:rsidRDefault="00B50007" w:rsidP="00386038">
    <w:pPr>
      <w:pStyle w:val="Header"/>
      <w:jc w:val="right"/>
      <w:rPr>
        <w:rFonts w:ascii="Book Antiqua" w:hAnsi="Book Antiqua"/>
      </w:rPr>
    </w:pPr>
    <w:r w:rsidRPr="00B50007">
      <w:rPr>
        <w:rFonts w:ascii="Book Antiqua" w:hAnsi="Book Antiqua"/>
        <w:noProof/>
        <w:lang w:val="en-ZW" w:eastAsia="en-ZW"/>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007" w:rsidRDefault="00A43FF7" w:rsidP="00B50007">
                          <w:pPr>
                            <w:jc w:val="right"/>
                            <w:rPr>
                              <w:noProof/>
                            </w:rPr>
                          </w:pPr>
                          <w:r>
                            <w:rPr>
                              <w:noProof/>
                            </w:rPr>
                            <w:tab/>
                          </w:r>
                          <w:r>
                            <w:rPr>
                              <w:noProof/>
                            </w:rPr>
                            <w:tab/>
                            <w:t>Judgment No. SC 41/</w:t>
                          </w:r>
                          <w:r w:rsidR="00B50007">
                            <w:rPr>
                              <w:noProof/>
                            </w:rPr>
                            <w:t>20</w:t>
                          </w:r>
                        </w:p>
                        <w:p w:rsidR="00B50007" w:rsidRDefault="00B50007" w:rsidP="00B50007">
                          <w:pPr>
                            <w:jc w:val="right"/>
                            <w:rPr>
                              <w:noProof/>
                            </w:rPr>
                          </w:pPr>
                          <w:r>
                            <w:rPr>
                              <w:noProof/>
                            </w:rPr>
                            <w:t>Civil Appeal No. SC 06/19</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B50007" w:rsidRDefault="00A43FF7" w:rsidP="00B50007">
                    <w:pPr>
                      <w:jc w:val="right"/>
                      <w:rPr>
                        <w:noProof/>
                      </w:rPr>
                    </w:pPr>
                    <w:r>
                      <w:rPr>
                        <w:noProof/>
                      </w:rPr>
                      <w:tab/>
                    </w:r>
                    <w:r>
                      <w:rPr>
                        <w:noProof/>
                      </w:rPr>
                      <w:tab/>
                      <w:t>Judgment No. SC 41/</w:t>
                    </w:r>
                    <w:r w:rsidR="00B50007">
                      <w:rPr>
                        <w:noProof/>
                      </w:rPr>
                      <w:t>20</w:t>
                    </w:r>
                  </w:p>
                  <w:p w:rsidR="00B50007" w:rsidRDefault="00B50007" w:rsidP="00B50007">
                    <w:pPr>
                      <w:jc w:val="right"/>
                      <w:rPr>
                        <w:noProof/>
                      </w:rPr>
                    </w:pPr>
                    <w:r>
                      <w:rPr>
                        <w:noProof/>
                      </w:rPr>
                      <w:t>C</w:t>
                    </w:r>
                    <w:r>
                      <w:rPr>
                        <w:noProof/>
                      </w:rPr>
                      <w:t>ivil Appeal</w:t>
                    </w:r>
                    <w:r>
                      <w:rPr>
                        <w:noProof/>
                      </w:rPr>
                      <w:t xml:space="preserve"> No. SC 06/19</w:t>
                    </w:r>
                  </w:p>
                </w:txbxContent>
              </v:textbox>
              <w10:wrap anchorx="margin" anchory="margin"/>
            </v:shape>
          </w:pict>
        </mc:Fallback>
      </mc:AlternateContent>
    </w:r>
    <w:r w:rsidRPr="00B50007">
      <w:rPr>
        <w:rFonts w:ascii="Book Antiqua" w:hAnsi="Book Antiqua"/>
        <w:noProof/>
        <w:lang w:val="en-ZW" w:eastAsia="en-ZW"/>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B50007" w:rsidRDefault="00B50007">
                          <w:pPr>
                            <w:rPr>
                              <w:color w:val="FFFFFF" w:themeColor="background1"/>
                            </w:rPr>
                          </w:pPr>
                          <w:r>
                            <w:fldChar w:fldCharType="begin"/>
                          </w:r>
                          <w:r>
                            <w:instrText xml:space="preserve"> PAGE   \* MERGEFORMAT </w:instrText>
                          </w:r>
                          <w:r>
                            <w:fldChar w:fldCharType="separate"/>
                          </w:r>
                          <w:r w:rsidR="001715B0" w:rsidRPr="001715B0">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B50007" w:rsidRDefault="00B50007">
                    <w:pPr>
                      <w:rPr>
                        <w:color w:val="FFFFFF" w:themeColor="background1"/>
                      </w:rPr>
                    </w:pPr>
                    <w:r>
                      <w:fldChar w:fldCharType="begin"/>
                    </w:r>
                    <w:r>
                      <w:instrText xml:space="preserve"> PAGE   \* MERGEFORMAT </w:instrText>
                    </w:r>
                    <w:r>
                      <w:fldChar w:fldCharType="separate"/>
                    </w:r>
                    <w:r w:rsidR="001715B0" w:rsidRPr="001715B0">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47CF3"/>
    <w:multiLevelType w:val="hybridMultilevel"/>
    <w:tmpl w:val="3610785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74C"/>
    <w:rsid w:val="00002850"/>
    <w:rsid w:val="0002331C"/>
    <w:rsid w:val="000731C4"/>
    <w:rsid w:val="000E0A12"/>
    <w:rsid w:val="001010AF"/>
    <w:rsid w:val="00135615"/>
    <w:rsid w:val="00141378"/>
    <w:rsid w:val="001436F8"/>
    <w:rsid w:val="00145303"/>
    <w:rsid w:val="001715B0"/>
    <w:rsid w:val="001E245B"/>
    <w:rsid w:val="001F6C7E"/>
    <w:rsid w:val="00222F74"/>
    <w:rsid w:val="00250283"/>
    <w:rsid w:val="00272765"/>
    <w:rsid w:val="00273E40"/>
    <w:rsid w:val="002C737A"/>
    <w:rsid w:val="002D0DAD"/>
    <w:rsid w:val="003235C5"/>
    <w:rsid w:val="00383032"/>
    <w:rsid w:val="00386038"/>
    <w:rsid w:val="003B7E4F"/>
    <w:rsid w:val="003E0F83"/>
    <w:rsid w:val="00412229"/>
    <w:rsid w:val="00415E94"/>
    <w:rsid w:val="00416D42"/>
    <w:rsid w:val="004629D6"/>
    <w:rsid w:val="00465041"/>
    <w:rsid w:val="004A0853"/>
    <w:rsid w:val="004A1469"/>
    <w:rsid w:val="004B026E"/>
    <w:rsid w:val="004D17B7"/>
    <w:rsid w:val="004D7AD8"/>
    <w:rsid w:val="004F020F"/>
    <w:rsid w:val="0050064D"/>
    <w:rsid w:val="0052774C"/>
    <w:rsid w:val="00543448"/>
    <w:rsid w:val="005A10B0"/>
    <w:rsid w:val="005C6D91"/>
    <w:rsid w:val="005E4C64"/>
    <w:rsid w:val="00646DD2"/>
    <w:rsid w:val="00657433"/>
    <w:rsid w:val="006B7B5C"/>
    <w:rsid w:val="006C4E27"/>
    <w:rsid w:val="006C4E70"/>
    <w:rsid w:val="006D5087"/>
    <w:rsid w:val="006E0951"/>
    <w:rsid w:val="006F26A7"/>
    <w:rsid w:val="00741128"/>
    <w:rsid w:val="007620DD"/>
    <w:rsid w:val="007777DD"/>
    <w:rsid w:val="007C203F"/>
    <w:rsid w:val="007E151E"/>
    <w:rsid w:val="00815096"/>
    <w:rsid w:val="00817622"/>
    <w:rsid w:val="00837726"/>
    <w:rsid w:val="008A53DD"/>
    <w:rsid w:val="008E3E30"/>
    <w:rsid w:val="00912E63"/>
    <w:rsid w:val="00933FBE"/>
    <w:rsid w:val="009459A0"/>
    <w:rsid w:val="009570E4"/>
    <w:rsid w:val="00970C11"/>
    <w:rsid w:val="009C7FA3"/>
    <w:rsid w:val="009D728C"/>
    <w:rsid w:val="00A00250"/>
    <w:rsid w:val="00A43FF7"/>
    <w:rsid w:val="00A66A40"/>
    <w:rsid w:val="00AF48D9"/>
    <w:rsid w:val="00B15F4D"/>
    <w:rsid w:val="00B30AE0"/>
    <w:rsid w:val="00B50007"/>
    <w:rsid w:val="00B52BA6"/>
    <w:rsid w:val="00B53DC1"/>
    <w:rsid w:val="00B72E98"/>
    <w:rsid w:val="00B74196"/>
    <w:rsid w:val="00B763ED"/>
    <w:rsid w:val="00B7676F"/>
    <w:rsid w:val="00C076D2"/>
    <w:rsid w:val="00C307DE"/>
    <w:rsid w:val="00C94BDF"/>
    <w:rsid w:val="00CA7C3A"/>
    <w:rsid w:val="00D135F0"/>
    <w:rsid w:val="00D46F42"/>
    <w:rsid w:val="00D60394"/>
    <w:rsid w:val="00D7375A"/>
    <w:rsid w:val="00D9031D"/>
    <w:rsid w:val="00DB2839"/>
    <w:rsid w:val="00E01371"/>
    <w:rsid w:val="00E404FC"/>
    <w:rsid w:val="00E74FEB"/>
    <w:rsid w:val="00E81D67"/>
    <w:rsid w:val="00E829E0"/>
    <w:rsid w:val="00E91792"/>
    <w:rsid w:val="00F1235E"/>
    <w:rsid w:val="00F32CF0"/>
    <w:rsid w:val="00F36382"/>
    <w:rsid w:val="00F47370"/>
    <w:rsid w:val="00F52BC6"/>
    <w:rsid w:val="00F7784D"/>
    <w:rsid w:val="00F905A6"/>
    <w:rsid w:val="00FD6016"/>
    <w:rsid w:val="00FF334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docId w15:val="{1095E581-A975-4740-BC83-B22E28C6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141378"/>
    <w:rPr>
      <w:sz w:val="24"/>
      <w:szCs w:val="24"/>
      <w:lang w:val="en-GB" w:eastAsia="en-US"/>
    </w:rPr>
  </w:style>
  <w:style w:type="paragraph" w:styleId="ListParagraph">
    <w:name w:val="List Paragraph"/>
    <w:basedOn w:val="Normal"/>
    <w:uiPriority w:val="34"/>
    <w:qFormat/>
    <w:rsid w:val="00CA7C3A"/>
    <w:pPr>
      <w:spacing w:after="160" w:line="259" w:lineRule="auto"/>
      <w:ind w:left="720"/>
      <w:contextualSpacing/>
    </w:pPr>
    <w:rPr>
      <w:rFonts w:asciiTheme="minorHAnsi" w:eastAsiaTheme="minorHAnsi" w:hAnsiTheme="minorHAnsi" w:cstheme="minorBidi"/>
      <w:sz w:val="22"/>
      <w:szCs w:val="22"/>
      <w:lang w:val="en-ZW"/>
    </w:rPr>
  </w:style>
  <w:style w:type="paragraph" w:styleId="BalloonText">
    <w:name w:val="Balloon Text"/>
    <w:basedOn w:val="Normal"/>
    <w:link w:val="BalloonTextChar"/>
    <w:semiHidden/>
    <w:unhideWhenUsed/>
    <w:rsid w:val="00145303"/>
    <w:rPr>
      <w:rFonts w:ascii="Segoe UI" w:hAnsi="Segoe UI" w:cs="Segoe UI"/>
      <w:sz w:val="18"/>
      <w:szCs w:val="18"/>
    </w:rPr>
  </w:style>
  <w:style w:type="character" w:customStyle="1" w:styleId="BalloonTextChar">
    <w:name w:val="Balloon Text Char"/>
    <w:basedOn w:val="DefaultParagraphFont"/>
    <w:link w:val="BalloonText"/>
    <w:semiHidden/>
    <w:rsid w:val="00145303"/>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BP%20present\ZSC%202020\ZZ%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9074C-682C-402D-BAC6-38F171C89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ZZ Template</Template>
  <TotalTime>0</TotalTime>
  <Pages>3</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XXXXX</vt:lpstr>
    </vt:vector>
  </TitlesOfParts>
  <Company>rbz</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dc:title>
  <dc:creator>User</dc:creator>
  <cp:lastModifiedBy>Sandra Muengwa</cp:lastModifiedBy>
  <cp:revision>2</cp:revision>
  <cp:lastPrinted>2020-03-10T08:35:00Z</cp:lastPrinted>
  <dcterms:created xsi:type="dcterms:W3CDTF">2020-08-19T12:41:00Z</dcterms:created>
  <dcterms:modified xsi:type="dcterms:W3CDTF">2020-08-19T12:41:00Z</dcterms:modified>
</cp:coreProperties>
</file>