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60" w:rsidRPr="006D4DB4" w:rsidRDefault="00AB4160" w:rsidP="00AB4160">
      <w:pPr>
        <w:pStyle w:val="Header"/>
        <w:ind w:left="1967" w:firstLine="45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D4DB4">
        <w:rPr>
          <w:rFonts w:ascii="Times New Roman" w:hAnsi="Times New Roman" w:cs="Times New Roman"/>
        </w:rPr>
        <w:t xml:space="preserve">    </w:t>
      </w:r>
    </w:p>
    <w:p w:rsidR="005E25DE" w:rsidRPr="006D4DB4" w:rsidRDefault="001A41D8" w:rsidP="001A41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A41D8">
        <w:rPr>
          <w:rFonts w:ascii="Times New Roman" w:hAnsi="Times New Roman" w:cs="Times New Roman"/>
          <w:b/>
          <w:sz w:val="24"/>
          <w:szCs w:val="24"/>
          <w:u w:val="single"/>
        </w:rPr>
        <w:t>DISTRIBUTABLE</w:t>
      </w:r>
      <w:r>
        <w:rPr>
          <w:rFonts w:ascii="Times New Roman" w:hAnsi="Times New Roman" w:cs="Times New Roman"/>
          <w:b/>
          <w:sz w:val="24"/>
          <w:szCs w:val="24"/>
        </w:rPr>
        <w:t xml:space="preserve">    (108)</w:t>
      </w:r>
    </w:p>
    <w:p w:rsidR="005E25DE" w:rsidRPr="006D4DB4" w:rsidRDefault="005E25DE" w:rsidP="00C140A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0D51" w:rsidRPr="006D4DB4" w:rsidRDefault="004A270E" w:rsidP="001A6EBE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>COMMANDER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 ZIMBABWE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 NATIONAL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>ARMY</w:t>
      </w:r>
    </w:p>
    <w:p w:rsidR="00880D51" w:rsidRPr="006D4DB4" w:rsidRDefault="001A6EBE" w:rsidP="00C140AC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COMMANDER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ZIMBABWE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DEFENCE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>FORCES</w:t>
      </w:r>
    </w:p>
    <w:p w:rsidR="00880D51" w:rsidRPr="006D4DB4" w:rsidRDefault="001A6EBE" w:rsidP="00C140AC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MINISTER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>DEFENCE</w:t>
      </w:r>
    </w:p>
    <w:p w:rsidR="00880D51" w:rsidRPr="006D4DB4" w:rsidRDefault="003E3C4B" w:rsidP="00C140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>v</w:t>
      </w:r>
    </w:p>
    <w:p w:rsidR="00880D51" w:rsidRPr="006D4DB4" w:rsidRDefault="001A6EBE" w:rsidP="00C140AC">
      <w:pPr>
        <w:pStyle w:val="ListParagraph"/>
        <w:numPr>
          <w:ilvl w:val="0"/>
          <w:numId w:val="2"/>
        </w:numPr>
        <w:spacing w:after="0" w:line="48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>NESTER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 CHIDEMBO</w:t>
      </w:r>
      <w:r w:rsidRPr="006D4DB4">
        <w:rPr>
          <w:rFonts w:ascii="Times New Roman" w:hAnsi="Times New Roman" w:cs="Times New Roman"/>
          <w:b/>
          <w:sz w:val="24"/>
          <w:szCs w:val="24"/>
        </w:rPr>
        <w:t xml:space="preserve">     (2)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EMMANUEL </w:t>
      </w:r>
      <w:r w:rsidR="005E25DE" w:rsidRPr="006D4DB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>MASENDEKE</w:t>
      </w:r>
    </w:p>
    <w:p w:rsidR="00880D51" w:rsidRPr="006D4DB4" w:rsidRDefault="00AB4160" w:rsidP="00AB4160">
      <w:pPr>
        <w:tabs>
          <w:tab w:val="left" w:pos="5160"/>
          <w:tab w:val="left" w:pos="7215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ab/>
      </w:r>
      <w:r w:rsidRPr="006D4DB4">
        <w:rPr>
          <w:rFonts w:ascii="Times New Roman" w:hAnsi="Times New Roman" w:cs="Times New Roman"/>
          <w:b/>
          <w:sz w:val="24"/>
          <w:szCs w:val="24"/>
        </w:rPr>
        <w:tab/>
      </w:r>
    </w:p>
    <w:p w:rsidR="005E25DE" w:rsidRPr="006D4DB4" w:rsidRDefault="005E25DE" w:rsidP="00C140AC">
      <w:pPr>
        <w:tabs>
          <w:tab w:val="left" w:pos="51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7145" w:rsidRPr="006D4DB4" w:rsidRDefault="00880D51" w:rsidP="00C140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SUPREME COURT OF ZIMBABWE </w:t>
      </w:r>
    </w:p>
    <w:p w:rsidR="00880D51" w:rsidRPr="006D4DB4" w:rsidRDefault="00043400" w:rsidP="00C140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>MAKARAU JA, GUVAVA JA &amp; MAVANGIRA</w:t>
      </w:r>
      <w:r w:rsidR="00880D51" w:rsidRPr="006D4DB4">
        <w:rPr>
          <w:rFonts w:ascii="Times New Roman" w:hAnsi="Times New Roman" w:cs="Times New Roman"/>
          <w:b/>
          <w:sz w:val="24"/>
          <w:szCs w:val="24"/>
        </w:rPr>
        <w:t xml:space="preserve"> JA </w:t>
      </w:r>
    </w:p>
    <w:p w:rsidR="00880D51" w:rsidRPr="006D4DB4" w:rsidRDefault="00D615AB" w:rsidP="00C140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HARARE: </w:t>
      </w:r>
      <w:r w:rsidR="00043400" w:rsidRPr="006D4DB4">
        <w:rPr>
          <w:rFonts w:ascii="Times New Roman" w:hAnsi="Times New Roman" w:cs="Times New Roman"/>
          <w:b/>
          <w:sz w:val="24"/>
          <w:szCs w:val="24"/>
        </w:rPr>
        <w:t>JUNE 04</w:t>
      </w:r>
      <w:r w:rsidRPr="006D4DB4">
        <w:rPr>
          <w:rFonts w:ascii="Times New Roman" w:hAnsi="Times New Roman" w:cs="Times New Roman"/>
          <w:b/>
          <w:sz w:val="24"/>
          <w:szCs w:val="24"/>
        </w:rPr>
        <w:t>,</w:t>
      </w:r>
      <w:r w:rsidR="00043400" w:rsidRPr="006D4DB4">
        <w:rPr>
          <w:rFonts w:ascii="Times New Roman" w:hAnsi="Times New Roman" w:cs="Times New Roman"/>
          <w:b/>
          <w:sz w:val="24"/>
          <w:szCs w:val="24"/>
        </w:rPr>
        <w:t xml:space="preserve"> 2019</w:t>
      </w:r>
      <w:r w:rsidR="00D22226" w:rsidRPr="006D4DB4">
        <w:rPr>
          <w:rFonts w:ascii="Times New Roman" w:hAnsi="Times New Roman" w:cs="Times New Roman"/>
          <w:b/>
          <w:sz w:val="24"/>
          <w:szCs w:val="24"/>
        </w:rPr>
        <w:t xml:space="preserve"> &amp; SEPTEMBER</w:t>
      </w:r>
      <w:r w:rsidR="00C5757D" w:rsidRPr="006D4D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4DB4">
        <w:rPr>
          <w:rFonts w:ascii="Times New Roman" w:hAnsi="Times New Roman" w:cs="Times New Roman"/>
          <w:b/>
          <w:sz w:val="24"/>
          <w:szCs w:val="24"/>
        </w:rPr>
        <w:t>24</w:t>
      </w:r>
      <w:r w:rsidRPr="006D4DB4">
        <w:rPr>
          <w:rFonts w:ascii="Times New Roman" w:hAnsi="Times New Roman" w:cs="Times New Roman"/>
          <w:b/>
          <w:sz w:val="24"/>
          <w:szCs w:val="24"/>
        </w:rPr>
        <w:t>,</w:t>
      </w:r>
      <w:r w:rsidR="00C5757D" w:rsidRPr="006D4DB4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3E3C4B" w:rsidRPr="006D4DB4" w:rsidRDefault="003E3C4B" w:rsidP="00C140AC">
      <w:pPr>
        <w:pStyle w:val="NoSpacing"/>
        <w:rPr>
          <w:rFonts w:ascii="Times New Roman" w:hAnsi="Times New Roman" w:cs="Times New Roman"/>
        </w:rPr>
      </w:pPr>
    </w:p>
    <w:p w:rsidR="003E3C4B" w:rsidRPr="006D4DB4" w:rsidRDefault="003E3C4B" w:rsidP="00C140AC">
      <w:pPr>
        <w:pStyle w:val="NoSpacing"/>
        <w:rPr>
          <w:rFonts w:ascii="Times New Roman" w:hAnsi="Times New Roman" w:cs="Times New Roman"/>
        </w:rPr>
      </w:pPr>
    </w:p>
    <w:p w:rsidR="005E25DE" w:rsidRPr="006D4DB4" w:rsidRDefault="005E25DE" w:rsidP="00C140AC">
      <w:pPr>
        <w:pStyle w:val="NoSpacing"/>
        <w:rPr>
          <w:rFonts w:ascii="Times New Roman" w:hAnsi="Times New Roman" w:cs="Times New Roman"/>
        </w:rPr>
      </w:pPr>
    </w:p>
    <w:p w:rsidR="005E25DE" w:rsidRPr="006D4DB4" w:rsidRDefault="005E25DE" w:rsidP="00C140AC">
      <w:pPr>
        <w:pStyle w:val="NoSpacing"/>
        <w:rPr>
          <w:rFonts w:ascii="Times New Roman" w:hAnsi="Times New Roman" w:cs="Times New Roman"/>
        </w:rPr>
      </w:pPr>
    </w:p>
    <w:p w:rsidR="003E3C4B" w:rsidRPr="006D4DB4" w:rsidRDefault="005710FF" w:rsidP="00C140A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i/>
          <w:sz w:val="24"/>
          <w:szCs w:val="24"/>
        </w:rPr>
        <w:t xml:space="preserve">M. </w:t>
      </w:r>
      <w:r w:rsidR="00204896" w:rsidRPr="006D4DB4">
        <w:rPr>
          <w:rFonts w:ascii="Times New Roman" w:hAnsi="Times New Roman" w:cs="Times New Roman"/>
          <w:i/>
          <w:sz w:val="24"/>
          <w:szCs w:val="24"/>
        </w:rPr>
        <w:t>Muradzikwa</w:t>
      </w:r>
      <w:r w:rsidR="00880D51" w:rsidRPr="006D4DB4">
        <w:rPr>
          <w:rFonts w:ascii="Times New Roman" w:hAnsi="Times New Roman" w:cs="Times New Roman"/>
          <w:sz w:val="24"/>
          <w:szCs w:val="24"/>
        </w:rPr>
        <w:t>, for the appellant</w:t>
      </w:r>
      <w:r w:rsidR="003E3C4B" w:rsidRPr="006D4DB4">
        <w:rPr>
          <w:rFonts w:ascii="Times New Roman" w:hAnsi="Times New Roman" w:cs="Times New Roman"/>
          <w:sz w:val="24"/>
          <w:szCs w:val="24"/>
        </w:rPr>
        <w:t>s</w:t>
      </w:r>
      <w:r w:rsidR="00880D51" w:rsidRPr="006D4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D51" w:rsidRPr="006D4DB4" w:rsidRDefault="00606D96" w:rsidP="00C140AC">
      <w:pPr>
        <w:tabs>
          <w:tab w:val="left" w:pos="676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i/>
          <w:sz w:val="24"/>
          <w:szCs w:val="24"/>
        </w:rPr>
        <w:t xml:space="preserve">N. </w:t>
      </w:r>
      <w:r w:rsidR="00204896" w:rsidRPr="006D4DB4">
        <w:rPr>
          <w:rFonts w:ascii="Times New Roman" w:hAnsi="Times New Roman" w:cs="Times New Roman"/>
          <w:i/>
          <w:sz w:val="24"/>
          <w:szCs w:val="24"/>
        </w:rPr>
        <w:t>Mugiya</w:t>
      </w:r>
      <w:r w:rsidR="00880D51" w:rsidRPr="006D4DB4">
        <w:rPr>
          <w:rFonts w:ascii="Times New Roman" w:hAnsi="Times New Roman" w:cs="Times New Roman"/>
          <w:sz w:val="24"/>
          <w:szCs w:val="24"/>
        </w:rPr>
        <w:t>, for the respondent</w:t>
      </w:r>
      <w:r w:rsidR="001A6EBE" w:rsidRPr="006D4DB4">
        <w:rPr>
          <w:rFonts w:ascii="Times New Roman" w:hAnsi="Times New Roman" w:cs="Times New Roman"/>
          <w:sz w:val="24"/>
          <w:szCs w:val="24"/>
        </w:rPr>
        <w:t>s</w:t>
      </w:r>
      <w:r w:rsidR="00880D51" w:rsidRPr="006D4DB4">
        <w:rPr>
          <w:rFonts w:ascii="Times New Roman" w:hAnsi="Times New Roman" w:cs="Times New Roman"/>
          <w:sz w:val="24"/>
          <w:szCs w:val="24"/>
        </w:rPr>
        <w:t xml:space="preserve">  </w:t>
      </w:r>
      <w:r w:rsidR="003A538F" w:rsidRPr="006D4DB4">
        <w:rPr>
          <w:rFonts w:ascii="Times New Roman" w:hAnsi="Times New Roman" w:cs="Times New Roman"/>
          <w:sz w:val="24"/>
          <w:szCs w:val="24"/>
        </w:rPr>
        <w:tab/>
      </w:r>
    </w:p>
    <w:p w:rsidR="00880D51" w:rsidRPr="006D4DB4" w:rsidRDefault="00880D51" w:rsidP="00C140AC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25DE" w:rsidRPr="006D4DB4" w:rsidRDefault="005E25DE" w:rsidP="00C140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D3C" w:rsidRPr="006D4DB4" w:rsidRDefault="00007D2B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 xml:space="preserve">GUVAVA JA:  </w:t>
      </w:r>
      <w:r w:rsidR="00FB13EA" w:rsidRPr="006D4DB4">
        <w:rPr>
          <w:rFonts w:ascii="Times New Roman" w:hAnsi="Times New Roman" w:cs="Times New Roman"/>
          <w:sz w:val="24"/>
          <w:szCs w:val="24"/>
        </w:rPr>
        <w:t>This is an appeal against the judgme</w:t>
      </w:r>
      <w:r w:rsidR="00D628C2" w:rsidRPr="006D4DB4">
        <w:rPr>
          <w:rFonts w:ascii="Times New Roman" w:hAnsi="Times New Roman" w:cs="Times New Roman"/>
          <w:sz w:val="24"/>
          <w:szCs w:val="24"/>
        </w:rPr>
        <w:t>nt of the High Court sitting at</w:t>
      </w:r>
      <w:r w:rsidR="003E3C4B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FB13EA" w:rsidRPr="006D4DB4">
        <w:rPr>
          <w:rFonts w:ascii="Times New Roman" w:hAnsi="Times New Roman" w:cs="Times New Roman"/>
          <w:sz w:val="24"/>
          <w:szCs w:val="24"/>
        </w:rPr>
        <w:t>Harare</w:t>
      </w:r>
      <w:r w:rsidR="003E3C4B" w:rsidRPr="006D4DB4">
        <w:rPr>
          <w:rFonts w:ascii="Times New Roman" w:hAnsi="Times New Roman" w:cs="Times New Roman"/>
          <w:sz w:val="24"/>
          <w:szCs w:val="24"/>
        </w:rPr>
        <w:t xml:space="preserve"> under case number HC 6431/14 and judgment number HH 405/17 handed down on</w:t>
      </w:r>
      <w:r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FB13EA" w:rsidRPr="006D4DB4">
        <w:rPr>
          <w:rFonts w:ascii="Times New Roman" w:hAnsi="Times New Roman" w:cs="Times New Roman"/>
          <w:sz w:val="24"/>
          <w:szCs w:val="24"/>
        </w:rPr>
        <w:t>28 June 2017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. The respondents had filed an application for a review of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4A270E" w:rsidRPr="006D4DB4">
        <w:rPr>
          <w:rFonts w:ascii="Times New Roman" w:hAnsi="Times New Roman" w:cs="Times New Roman"/>
          <w:sz w:val="24"/>
          <w:szCs w:val="24"/>
        </w:rPr>
        <w:t xml:space="preserve"> appellant’s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 decision in proceedings which led</w:t>
      </w:r>
      <w:r w:rsidR="003E3C4B" w:rsidRPr="006D4DB4">
        <w:rPr>
          <w:rFonts w:ascii="Times New Roman" w:hAnsi="Times New Roman" w:cs="Times New Roman"/>
          <w:sz w:val="24"/>
          <w:szCs w:val="24"/>
        </w:rPr>
        <w:t xml:space="preserve"> to </w:t>
      </w:r>
      <w:r w:rsidR="00C35902" w:rsidRPr="006D4DB4">
        <w:rPr>
          <w:rFonts w:ascii="Times New Roman" w:hAnsi="Times New Roman" w:cs="Times New Roman"/>
          <w:sz w:val="24"/>
          <w:szCs w:val="24"/>
        </w:rPr>
        <w:t>the dismissal of the</w:t>
      </w:r>
      <w:r w:rsidR="005710FF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5710FF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B57145" w:rsidRPr="006D4DB4">
        <w:rPr>
          <w:rFonts w:ascii="Times New Roman" w:hAnsi="Times New Roman" w:cs="Times New Roman"/>
          <w:sz w:val="24"/>
          <w:szCs w:val="24"/>
        </w:rPr>
        <w:t>and</w:t>
      </w:r>
      <w:r w:rsidR="00C35902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3F6581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B57145" w:rsidRPr="006D4DB4">
        <w:rPr>
          <w:rFonts w:ascii="Times New Roman" w:hAnsi="Times New Roman" w:cs="Times New Roman"/>
          <w:sz w:val="24"/>
          <w:szCs w:val="24"/>
        </w:rPr>
        <w:t>s.</w:t>
      </w:r>
      <w:r w:rsidR="003F6581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The court </w:t>
      </w:r>
      <w:r w:rsidR="00B57145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D22226" w:rsidRPr="006D4DB4">
        <w:rPr>
          <w:rFonts w:ascii="Times New Roman" w:hAnsi="Times New Roman" w:cs="Times New Roman"/>
          <w:sz w:val="24"/>
          <w:szCs w:val="24"/>
        </w:rPr>
        <w:t>set aside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 the dismissal of </w:t>
      </w:r>
      <w:r w:rsidR="009227D1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0B4A5D" w:rsidRPr="006D4DB4">
        <w:rPr>
          <w:rFonts w:ascii="Times New Roman" w:hAnsi="Times New Roman" w:cs="Times New Roman"/>
          <w:sz w:val="24"/>
          <w:szCs w:val="24"/>
        </w:rPr>
        <w:t xml:space="preserve"> and</w:t>
      </w:r>
      <w:r w:rsidR="00B57145" w:rsidRPr="006D4DB4">
        <w:rPr>
          <w:rFonts w:ascii="Times New Roman" w:hAnsi="Times New Roman" w:cs="Times New Roman"/>
          <w:sz w:val="24"/>
          <w:szCs w:val="24"/>
        </w:rPr>
        <w:t xml:space="preserve"> ordered that he</w:t>
      </w:r>
      <w:r w:rsidR="003F6581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3E3C4B" w:rsidRPr="006D4DB4">
        <w:rPr>
          <w:rFonts w:ascii="Times New Roman" w:hAnsi="Times New Roman" w:cs="Times New Roman"/>
          <w:sz w:val="24"/>
          <w:szCs w:val="24"/>
        </w:rPr>
        <w:t>be</w:t>
      </w:r>
      <w:r w:rsidR="00FF410C" w:rsidRPr="006D4DB4">
        <w:rPr>
          <w:rFonts w:ascii="Times New Roman" w:hAnsi="Times New Roman" w:cs="Times New Roman"/>
          <w:sz w:val="24"/>
          <w:szCs w:val="24"/>
        </w:rPr>
        <w:t xml:space="preserve"> reinstated</w:t>
      </w:r>
      <w:r w:rsidR="003F6581" w:rsidRPr="006D4DB4">
        <w:rPr>
          <w:rFonts w:ascii="Times New Roman" w:hAnsi="Times New Roman" w:cs="Times New Roman"/>
          <w:sz w:val="24"/>
          <w:szCs w:val="24"/>
        </w:rPr>
        <w:t xml:space="preserve"> to his former position</w:t>
      </w:r>
      <w:r w:rsidR="003E3C4B" w:rsidRPr="006D4DB4">
        <w:rPr>
          <w:rFonts w:ascii="Times New Roman" w:hAnsi="Times New Roman" w:cs="Times New Roman"/>
          <w:sz w:val="24"/>
          <w:szCs w:val="24"/>
        </w:rPr>
        <w:t xml:space="preserve"> as Lieutenant </w:t>
      </w:r>
      <w:r w:rsidR="00B608FF" w:rsidRPr="006D4DB4">
        <w:rPr>
          <w:rFonts w:ascii="Times New Roman" w:hAnsi="Times New Roman" w:cs="Times New Roman"/>
          <w:sz w:val="24"/>
          <w:szCs w:val="24"/>
        </w:rPr>
        <w:t xml:space="preserve">at the </w:t>
      </w:r>
      <w:r w:rsidR="003E3C4B" w:rsidRPr="006D4DB4">
        <w:rPr>
          <w:rFonts w:ascii="Times New Roman" w:hAnsi="Times New Roman" w:cs="Times New Roman"/>
          <w:sz w:val="24"/>
          <w:szCs w:val="24"/>
        </w:rPr>
        <w:t>School of Signals</w:t>
      </w:r>
      <w:r w:rsidR="00FF410C" w:rsidRPr="006D4DB4">
        <w:rPr>
          <w:rFonts w:ascii="Times New Roman" w:hAnsi="Times New Roman" w:cs="Times New Roman"/>
          <w:sz w:val="24"/>
          <w:szCs w:val="24"/>
        </w:rPr>
        <w:t>.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93EEF" w:rsidRPr="006D4DB4" w:rsidRDefault="003A538F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0B4A5D" w:rsidRPr="006D4DB4">
        <w:rPr>
          <w:rFonts w:ascii="Times New Roman" w:hAnsi="Times New Roman" w:cs="Times New Roman"/>
          <w:sz w:val="24"/>
          <w:szCs w:val="24"/>
        </w:rPr>
        <w:t xml:space="preserve">facts of this matter maybe summarised as follows. The </w:t>
      </w:r>
      <w:r w:rsidRPr="006D4DB4">
        <w:rPr>
          <w:rFonts w:ascii="Times New Roman" w:hAnsi="Times New Roman" w:cs="Times New Roman"/>
          <w:sz w:val="24"/>
          <w:szCs w:val="24"/>
        </w:rPr>
        <w:t xml:space="preserve">respondents were employed by the </w:t>
      </w:r>
      <w:r w:rsidR="0076166C" w:rsidRPr="006D4DB4">
        <w:rPr>
          <w:rFonts w:ascii="Times New Roman" w:hAnsi="Times New Roman" w:cs="Times New Roman"/>
          <w:sz w:val="24"/>
          <w:szCs w:val="24"/>
        </w:rPr>
        <w:t>Zimbabwe National Army</w:t>
      </w:r>
      <w:r w:rsidRPr="006D4DB4">
        <w:rPr>
          <w:rFonts w:ascii="Times New Roman" w:hAnsi="Times New Roman" w:cs="Times New Roman"/>
          <w:sz w:val="24"/>
          <w:szCs w:val="24"/>
        </w:rPr>
        <w:t xml:space="preserve">.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 was initially a member serving on </w:t>
      </w:r>
      <w:r w:rsidR="00B608FF" w:rsidRPr="006D4DB4">
        <w:rPr>
          <w:rFonts w:ascii="Times New Roman" w:hAnsi="Times New Roman" w:cs="Times New Roman"/>
          <w:sz w:val="24"/>
          <w:szCs w:val="24"/>
        </w:rPr>
        <w:t xml:space="preserve">a </w:t>
      </w:r>
      <w:r w:rsidRPr="006D4DB4">
        <w:rPr>
          <w:rFonts w:ascii="Times New Roman" w:hAnsi="Times New Roman" w:cs="Times New Roman"/>
          <w:sz w:val="24"/>
          <w:szCs w:val="24"/>
        </w:rPr>
        <w:t>short ter</w:t>
      </w:r>
      <w:r w:rsidR="00C93EEF" w:rsidRPr="006D4DB4">
        <w:rPr>
          <w:rFonts w:ascii="Times New Roman" w:hAnsi="Times New Roman" w:cs="Times New Roman"/>
          <w:sz w:val="24"/>
          <w:szCs w:val="24"/>
        </w:rPr>
        <w:t>m service contract commencing f</w:t>
      </w:r>
      <w:r w:rsidRPr="006D4DB4">
        <w:rPr>
          <w:rFonts w:ascii="Times New Roman" w:hAnsi="Times New Roman" w:cs="Times New Roman"/>
          <w:sz w:val="24"/>
          <w:szCs w:val="24"/>
        </w:rPr>
        <w:t>r</w:t>
      </w:r>
      <w:r w:rsidR="00C93EEF" w:rsidRPr="006D4DB4">
        <w:rPr>
          <w:rFonts w:ascii="Times New Roman" w:hAnsi="Times New Roman" w:cs="Times New Roman"/>
          <w:sz w:val="24"/>
          <w:szCs w:val="24"/>
        </w:rPr>
        <w:t>o</w:t>
      </w:r>
      <w:r w:rsidRPr="006D4DB4">
        <w:rPr>
          <w:rFonts w:ascii="Times New Roman" w:hAnsi="Times New Roman" w:cs="Times New Roman"/>
          <w:sz w:val="24"/>
          <w:szCs w:val="24"/>
        </w:rPr>
        <w:t>m 1 March 2</w:t>
      </w:r>
      <w:r w:rsidR="004A270E" w:rsidRPr="006D4DB4">
        <w:rPr>
          <w:rFonts w:ascii="Times New Roman" w:hAnsi="Times New Roman" w:cs="Times New Roman"/>
          <w:sz w:val="24"/>
          <w:szCs w:val="24"/>
        </w:rPr>
        <w:t>010 and expiring on 28 February </w:t>
      </w:r>
      <w:r w:rsidRPr="006D4DB4">
        <w:rPr>
          <w:rFonts w:ascii="Times New Roman" w:hAnsi="Times New Roman" w:cs="Times New Roman"/>
          <w:sz w:val="24"/>
          <w:szCs w:val="24"/>
        </w:rPr>
        <w:t xml:space="preserve">2013.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respondent’s </w:t>
      </w:r>
      <w:r w:rsidR="00E4322C" w:rsidRPr="006D4DB4">
        <w:rPr>
          <w:rFonts w:ascii="Times New Roman" w:hAnsi="Times New Roman" w:cs="Times New Roman"/>
          <w:sz w:val="24"/>
          <w:szCs w:val="24"/>
        </w:rPr>
        <w:t>term</w:t>
      </w:r>
      <w:r w:rsidRPr="006D4DB4">
        <w:rPr>
          <w:rFonts w:ascii="Times New Roman" w:hAnsi="Times New Roman" w:cs="Times New Roman"/>
          <w:sz w:val="24"/>
          <w:szCs w:val="24"/>
        </w:rPr>
        <w:t xml:space="preserve"> of service </w:t>
      </w:r>
      <w:r w:rsidR="00E4322C" w:rsidRPr="006D4DB4">
        <w:rPr>
          <w:rFonts w:ascii="Times New Roman" w:hAnsi="Times New Roman" w:cs="Times New Roman"/>
          <w:sz w:val="24"/>
          <w:szCs w:val="24"/>
        </w:rPr>
        <w:t>was</w:t>
      </w:r>
      <w:r w:rsidRPr="006D4DB4">
        <w:rPr>
          <w:rFonts w:ascii="Times New Roman" w:hAnsi="Times New Roman" w:cs="Times New Roman"/>
          <w:sz w:val="24"/>
          <w:szCs w:val="24"/>
        </w:rPr>
        <w:t xml:space="preserve"> later extended to medium service </w:t>
      </w:r>
      <w:r w:rsidRPr="006D4DB4">
        <w:rPr>
          <w:rFonts w:ascii="Times New Roman" w:hAnsi="Times New Roman" w:cs="Times New Roman"/>
          <w:sz w:val="24"/>
          <w:szCs w:val="24"/>
        </w:rPr>
        <w:lastRenderedPageBreak/>
        <w:t>engagement, seven months before the completio</w:t>
      </w:r>
      <w:r w:rsidR="00D615AB" w:rsidRPr="006D4DB4">
        <w:rPr>
          <w:rFonts w:ascii="Times New Roman" w:hAnsi="Times New Roman" w:cs="Times New Roman"/>
          <w:sz w:val="24"/>
          <w:szCs w:val="24"/>
        </w:rPr>
        <w:t xml:space="preserve">n of her short term service. On </w:t>
      </w:r>
      <w:r w:rsidR="006D4DB4">
        <w:rPr>
          <w:rFonts w:ascii="Times New Roman" w:hAnsi="Times New Roman" w:cs="Times New Roman"/>
          <w:sz w:val="24"/>
          <w:szCs w:val="24"/>
        </w:rPr>
        <w:t>28 February </w:t>
      </w:r>
      <w:r w:rsidRPr="006D4DB4">
        <w:rPr>
          <w:rFonts w:ascii="Times New Roman" w:hAnsi="Times New Roman" w:cs="Times New Roman"/>
          <w:sz w:val="24"/>
          <w:szCs w:val="24"/>
        </w:rPr>
        <w:t>2011, the Army Headqu</w:t>
      </w:r>
      <w:r w:rsidR="00D22226" w:rsidRPr="006D4DB4">
        <w:rPr>
          <w:rFonts w:ascii="Times New Roman" w:hAnsi="Times New Roman" w:cs="Times New Roman"/>
          <w:sz w:val="24"/>
          <w:szCs w:val="24"/>
        </w:rPr>
        <w:t xml:space="preserve">arters published </w:t>
      </w:r>
      <w:r w:rsidRPr="006D4DB4">
        <w:rPr>
          <w:rFonts w:ascii="Times New Roman" w:hAnsi="Times New Roman" w:cs="Times New Roman"/>
          <w:sz w:val="24"/>
          <w:szCs w:val="24"/>
        </w:rPr>
        <w:t>an amendment of the conditions of service for members</w:t>
      </w:r>
      <w:r w:rsidR="00144013" w:rsidRPr="006D4DB4">
        <w:rPr>
          <w:rFonts w:ascii="Times New Roman" w:hAnsi="Times New Roman" w:cs="Times New Roman"/>
          <w:sz w:val="24"/>
          <w:szCs w:val="24"/>
        </w:rPr>
        <w:t xml:space="preserve">. 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The new </w:t>
      </w:r>
      <w:r w:rsidRPr="006D4DB4">
        <w:rPr>
          <w:rFonts w:ascii="Times New Roman" w:hAnsi="Times New Roman" w:cs="Times New Roman"/>
          <w:sz w:val="24"/>
          <w:szCs w:val="24"/>
        </w:rPr>
        <w:t>conditions stipulated that any member who married or fell pregnant during their initial engagement would not have their contract extended at the expiry of the initial engagement.</w:t>
      </w:r>
    </w:p>
    <w:p w:rsidR="003A538F" w:rsidRPr="006D4DB4" w:rsidRDefault="003A538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38F" w:rsidRPr="006D4DB4" w:rsidRDefault="003A538F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and </w:t>
      </w:r>
      <w:r w:rsidR="00C93EEF" w:rsidRPr="006D4DB4">
        <w:rPr>
          <w:rFonts w:ascii="Times New Roman" w:hAnsi="Times New Roman" w:cs="Times New Roman"/>
          <w:sz w:val="24"/>
          <w:szCs w:val="24"/>
        </w:rPr>
        <w:t xml:space="preserve">second </w:t>
      </w:r>
      <w:r w:rsidRPr="006D4DB4">
        <w:rPr>
          <w:rFonts w:ascii="Times New Roman" w:hAnsi="Times New Roman" w:cs="Times New Roman"/>
          <w:sz w:val="24"/>
          <w:szCs w:val="24"/>
        </w:rPr>
        <w:t>respondent</w:t>
      </w:r>
      <w:r w:rsidR="007D071A" w:rsidRPr="006D4DB4">
        <w:rPr>
          <w:rFonts w:ascii="Times New Roman" w:hAnsi="Times New Roman" w:cs="Times New Roman"/>
          <w:sz w:val="24"/>
          <w:szCs w:val="24"/>
        </w:rPr>
        <w:t>s</w:t>
      </w:r>
      <w:r w:rsidRPr="006D4DB4">
        <w:rPr>
          <w:rFonts w:ascii="Times New Roman" w:hAnsi="Times New Roman" w:cs="Times New Roman"/>
          <w:sz w:val="24"/>
          <w:szCs w:val="24"/>
        </w:rPr>
        <w:t xml:space="preserve"> had solemnised their marriage in terms of the Marriages Act [</w:t>
      </w:r>
      <w:r w:rsidRPr="006D4DB4">
        <w:rPr>
          <w:rFonts w:ascii="Times New Roman" w:hAnsi="Times New Roman" w:cs="Times New Roman"/>
          <w:i/>
          <w:sz w:val="24"/>
          <w:szCs w:val="24"/>
        </w:rPr>
        <w:t>Chapter 5:11</w:t>
      </w:r>
      <w:r w:rsidR="00C93EEF" w:rsidRPr="006D4DB4">
        <w:rPr>
          <w:rFonts w:ascii="Times New Roman" w:hAnsi="Times New Roman" w:cs="Times New Roman"/>
          <w:sz w:val="24"/>
          <w:szCs w:val="24"/>
        </w:rPr>
        <w:t>] on 11 </w:t>
      </w:r>
      <w:r w:rsidR="00C5757D" w:rsidRPr="006D4DB4">
        <w:rPr>
          <w:rFonts w:ascii="Times New Roman" w:hAnsi="Times New Roman" w:cs="Times New Roman"/>
          <w:sz w:val="24"/>
          <w:szCs w:val="24"/>
        </w:rPr>
        <w:t>Feb</w:t>
      </w:r>
      <w:r w:rsidR="00B608FF" w:rsidRPr="006D4DB4">
        <w:rPr>
          <w:rFonts w:ascii="Times New Roman" w:hAnsi="Times New Roman" w:cs="Times New Roman"/>
          <w:sz w:val="24"/>
          <w:szCs w:val="24"/>
        </w:rPr>
        <w:t>ruary 2011</w:t>
      </w:r>
      <w:r w:rsidR="0034217F" w:rsidRPr="006D4DB4">
        <w:rPr>
          <w:rFonts w:ascii="Times New Roman" w:hAnsi="Times New Roman" w:cs="Times New Roman"/>
          <w:sz w:val="24"/>
          <w:szCs w:val="24"/>
        </w:rPr>
        <w:t xml:space="preserve"> prior to the amendment</w:t>
      </w:r>
      <w:r w:rsidR="00B608FF" w:rsidRPr="006D4DB4">
        <w:rPr>
          <w:rFonts w:ascii="Times New Roman" w:hAnsi="Times New Roman" w:cs="Times New Roman"/>
          <w:sz w:val="24"/>
          <w:szCs w:val="24"/>
        </w:rPr>
        <w:t>. At the time when the marriage was solemnised the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respondent </w:t>
      </w:r>
      <w:r w:rsidR="00B608FF" w:rsidRPr="006D4DB4">
        <w:rPr>
          <w:rFonts w:ascii="Times New Roman" w:hAnsi="Times New Roman" w:cs="Times New Roman"/>
          <w:sz w:val="24"/>
          <w:szCs w:val="24"/>
        </w:rPr>
        <w:t xml:space="preserve">was a Lance Corporal in 4 Ordinance Coy and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respondent </w:t>
      </w:r>
      <w:r w:rsidR="00B608FF" w:rsidRPr="006D4DB4">
        <w:rPr>
          <w:rFonts w:ascii="Times New Roman" w:hAnsi="Times New Roman" w:cs="Times New Roman"/>
          <w:sz w:val="24"/>
          <w:szCs w:val="24"/>
        </w:rPr>
        <w:t xml:space="preserve">was </w:t>
      </w:r>
      <w:r w:rsidR="00C5757D" w:rsidRPr="006D4DB4">
        <w:rPr>
          <w:rFonts w:ascii="Times New Roman" w:hAnsi="Times New Roman" w:cs="Times New Roman"/>
          <w:sz w:val="24"/>
          <w:szCs w:val="24"/>
        </w:rPr>
        <w:t>a Lieut</w:t>
      </w:r>
      <w:r w:rsidR="00B608FF" w:rsidRPr="006D4DB4">
        <w:rPr>
          <w:rFonts w:ascii="Times New Roman" w:hAnsi="Times New Roman" w:cs="Times New Roman"/>
          <w:sz w:val="24"/>
          <w:szCs w:val="24"/>
        </w:rPr>
        <w:t>enant at the School of Signals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. </w:t>
      </w:r>
      <w:r w:rsidRPr="006D4DB4">
        <w:rPr>
          <w:rFonts w:ascii="Times New Roman" w:hAnsi="Times New Roman" w:cs="Times New Roman"/>
          <w:sz w:val="24"/>
          <w:szCs w:val="24"/>
        </w:rPr>
        <w:t xml:space="preserve">Around October 2012,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respondent fell pregnant </w:t>
      </w:r>
      <w:r w:rsidRPr="006D4DB4">
        <w:rPr>
          <w:rFonts w:ascii="Times New Roman" w:hAnsi="Times New Roman" w:cs="Times New Roman"/>
          <w:sz w:val="24"/>
          <w:szCs w:val="24"/>
        </w:rPr>
        <w:t xml:space="preserve">and she was dismissed </w:t>
      </w:r>
      <w:r w:rsidR="00C5757D" w:rsidRPr="006D4DB4">
        <w:rPr>
          <w:rFonts w:ascii="Times New Roman" w:hAnsi="Times New Roman" w:cs="Times New Roman"/>
          <w:sz w:val="24"/>
          <w:szCs w:val="24"/>
        </w:rPr>
        <w:t>from service in terms of s</w:t>
      </w:r>
      <w:r w:rsidRPr="006D4DB4">
        <w:rPr>
          <w:rFonts w:ascii="Times New Roman" w:hAnsi="Times New Roman" w:cs="Times New Roman"/>
          <w:sz w:val="24"/>
          <w:szCs w:val="24"/>
        </w:rPr>
        <w:t xml:space="preserve"> 16 of SI 172 of </w:t>
      </w:r>
      <w:r w:rsidR="002E5F76"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Pr="006D4DB4">
        <w:rPr>
          <w:rFonts w:ascii="Times New Roman" w:hAnsi="Times New Roman" w:cs="Times New Roman"/>
          <w:sz w:val="24"/>
          <w:szCs w:val="24"/>
        </w:rPr>
        <w:t>1989 Defence Regular Force (Non Co</w:t>
      </w:r>
      <w:r w:rsidR="00C5757D" w:rsidRPr="006D4DB4">
        <w:rPr>
          <w:rFonts w:ascii="Times New Roman" w:hAnsi="Times New Roman" w:cs="Times New Roman"/>
          <w:sz w:val="24"/>
          <w:szCs w:val="24"/>
        </w:rPr>
        <w:t>mmissioned Members Regulations)</w:t>
      </w:r>
      <w:r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2E5F76" w:rsidRPr="006D4DB4">
        <w:rPr>
          <w:rFonts w:ascii="Times New Roman" w:hAnsi="Times New Roman" w:cs="Times New Roman"/>
          <w:sz w:val="24"/>
          <w:szCs w:val="24"/>
        </w:rPr>
        <w:t xml:space="preserve">(“the Regulations”) </w:t>
      </w:r>
      <w:r w:rsidRPr="006D4DB4">
        <w:rPr>
          <w:rFonts w:ascii="Times New Roman" w:hAnsi="Times New Roman" w:cs="Times New Roman"/>
          <w:sz w:val="24"/>
          <w:szCs w:val="24"/>
        </w:rPr>
        <w:t>in March 2013.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A538F" w:rsidRPr="006D4DB4" w:rsidRDefault="00C93EEF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The second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respondent was subsequently discharged from service on </w:t>
      </w:r>
      <w:r w:rsidR="006D4DB4">
        <w:rPr>
          <w:rFonts w:ascii="Times New Roman" w:hAnsi="Times New Roman" w:cs="Times New Roman"/>
          <w:sz w:val="24"/>
          <w:szCs w:val="24"/>
        </w:rPr>
        <w:t>14 July </w:t>
      </w:r>
      <w:r w:rsidR="00C5757D" w:rsidRPr="006D4DB4">
        <w:rPr>
          <w:rFonts w:ascii="Times New Roman" w:hAnsi="Times New Roman" w:cs="Times New Roman"/>
          <w:sz w:val="24"/>
          <w:szCs w:val="24"/>
        </w:rPr>
        <w:t>2014 in terms of s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 18(1) of the Defence Act [</w:t>
      </w:r>
      <w:r w:rsidR="003A538F" w:rsidRPr="006D4DB4">
        <w:rPr>
          <w:rFonts w:ascii="Times New Roman" w:hAnsi="Times New Roman" w:cs="Times New Roman"/>
          <w:i/>
          <w:sz w:val="24"/>
          <w:szCs w:val="24"/>
        </w:rPr>
        <w:t>Chapter 11:02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] 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(“the Defence Act”) </w:t>
      </w:r>
      <w:r w:rsidR="003A538F" w:rsidRPr="006D4DB4">
        <w:rPr>
          <w:rFonts w:ascii="Times New Roman" w:hAnsi="Times New Roman" w:cs="Times New Roman"/>
          <w:sz w:val="24"/>
          <w:szCs w:val="24"/>
        </w:rPr>
        <w:t>as read with s 1 (b) of the Defence (Regular Forces) (Officers) R</w:t>
      </w:r>
      <w:r w:rsidR="00C5757D" w:rsidRPr="006D4DB4">
        <w:rPr>
          <w:rFonts w:ascii="Times New Roman" w:hAnsi="Times New Roman" w:cs="Times New Roman"/>
          <w:sz w:val="24"/>
          <w:szCs w:val="24"/>
        </w:rPr>
        <w:t>egulations, 1988</w:t>
      </w:r>
      <w:r w:rsidR="002E5F76" w:rsidRPr="006D4DB4">
        <w:rPr>
          <w:rFonts w:ascii="Times New Roman" w:hAnsi="Times New Roman" w:cs="Times New Roman"/>
          <w:sz w:val="24"/>
          <w:szCs w:val="24"/>
        </w:rPr>
        <w:t>.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5757D" w:rsidRPr="006D4DB4">
        <w:rPr>
          <w:rFonts w:ascii="Times New Roman" w:hAnsi="Times New Roman" w:cs="Times New Roman"/>
          <w:sz w:val="24"/>
          <w:szCs w:val="24"/>
        </w:rPr>
        <w:t>He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 was dismissed after a Board of suitability investigated </w:t>
      </w:r>
      <w:r w:rsidR="00E4322C" w:rsidRPr="006D4DB4">
        <w:rPr>
          <w:rFonts w:ascii="Times New Roman" w:hAnsi="Times New Roman" w:cs="Times New Roman"/>
          <w:sz w:val="24"/>
          <w:szCs w:val="24"/>
        </w:rPr>
        <w:t xml:space="preserve">and </w:t>
      </w:r>
      <w:r w:rsidRPr="006D4DB4">
        <w:rPr>
          <w:rFonts w:ascii="Times New Roman" w:hAnsi="Times New Roman" w:cs="Times New Roman"/>
          <w:sz w:val="24"/>
          <w:szCs w:val="24"/>
        </w:rPr>
        <w:t>found him guilty of making the first</w:t>
      </w:r>
      <w:r w:rsidR="00E4322C" w:rsidRPr="006D4DB4">
        <w:rPr>
          <w:rFonts w:ascii="Times New Roman" w:hAnsi="Times New Roman" w:cs="Times New Roman"/>
          <w:sz w:val="24"/>
          <w:szCs w:val="24"/>
        </w:rPr>
        <w:t xml:space="preserve"> respondent pregnant contrary to the </w:t>
      </w:r>
      <w:r w:rsidR="00144013" w:rsidRPr="006D4DB4">
        <w:rPr>
          <w:rFonts w:ascii="Times New Roman" w:hAnsi="Times New Roman" w:cs="Times New Roman"/>
          <w:sz w:val="24"/>
          <w:szCs w:val="24"/>
        </w:rPr>
        <w:t xml:space="preserve">above </w:t>
      </w:r>
      <w:r w:rsidR="00E4322C" w:rsidRPr="006D4DB4">
        <w:rPr>
          <w:rFonts w:ascii="Times New Roman" w:hAnsi="Times New Roman" w:cs="Times New Roman"/>
          <w:sz w:val="24"/>
          <w:szCs w:val="24"/>
        </w:rPr>
        <w:t>Regulations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BE75FE" w:rsidRPr="006D4DB4" w:rsidRDefault="003A538F" w:rsidP="00AE5084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Both </w:t>
      </w:r>
      <w:r w:rsidR="009227D1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and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C5757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>re</w:t>
      </w:r>
      <w:r w:rsidR="00DF6AB9" w:rsidRPr="006D4DB4">
        <w:rPr>
          <w:rFonts w:ascii="Times New Roman" w:hAnsi="Times New Roman" w:cs="Times New Roman"/>
          <w:sz w:val="24"/>
          <w:szCs w:val="24"/>
        </w:rPr>
        <w:t>spondent</w:t>
      </w:r>
      <w:r w:rsidR="005710FF" w:rsidRPr="006D4DB4">
        <w:rPr>
          <w:rFonts w:ascii="Times New Roman" w:hAnsi="Times New Roman" w:cs="Times New Roman"/>
          <w:sz w:val="24"/>
          <w:szCs w:val="24"/>
        </w:rPr>
        <w:t>s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5757D" w:rsidRPr="006D4DB4">
        <w:rPr>
          <w:rFonts w:ascii="Times New Roman" w:hAnsi="Times New Roman" w:cs="Times New Roman"/>
          <w:sz w:val="24"/>
          <w:szCs w:val="24"/>
        </w:rPr>
        <w:t>were aggrieved by the decision of the appellant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s </w:t>
      </w:r>
      <w:r w:rsidR="00C5757D" w:rsidRPr="006D4DB4">
        <w:rPr>
          <w:rFonts w:ascii="Times New Roman" w:hAnsi="Times New Roman" w:cs="Times New Roman"/>
          <w:sz w:val="24"/>
          <w:szCs w:val="24"/>
        </w:rPr>
        <w:t>and made</w:t>
      </w:r>
      <w:r w:rsidRPr="006D4DB4">
        <w:rPr>
          <w:rFonts w:ascii="Times New Roman" w:hAnsi="Times New Roman" w:cs="Times New Roman"/>
          <w:sz w:val="24"/>
          <w:szCs w:val="24"/>
        </w:rPr>
        <w:t xml:space="preserve"> an application for </w:t>
      </w:r>
      <w:r w:rsidR="00E4322C" w:rsidRPr="006D4DB4">
        <w:rPr>
          <w:rFonts w:ascii="Times New Roman" w:hAnsi="Times New Roman" w:cs="Times New Roman"/>
          <w:sz w:val="24"/>
          <w:szCs w:val="24"/>
        </w:rPr>
        <w:t>review before</w:t>
      </w:r>
      <w:r w:rsidRPr="006D4DB4">
        <w:rPr>
          <w:rFonts w:ascii="Times New Roman" w:hAnsi="Times New Roman" w:cs="Times New Roman"/>
          <w:sz w:val="24"/>
          <w:szCs w:val="24"/>
        </w:rPr>
        <w:t xml:space="preserve"> the High</w:t>
      </w:r>
      <w:r w:rsidR="002E5F76" w:rsidRPr="006D4DB4">
        <w:rPr>
          <w:rFonts w:ascii="Times New Roman" w:hAnsi="Times New Roman" w:cs="Times New Roman"/>
          <w:sz w:val="24"/>
          <w:szCs w:val="24"/>
        </w:rPr>
        <w:t xml:space="preserve"> Court</w:t>
      </w:r>
      <w:r w:rsidRPr="006D4DB4">
        <w:rPr>
          <w:rFonts w:ascii="Times New Roman" w:hAnsi="Times New Roman" w:cs="Times New Roman"/>
          <w:sz w:val="24"/>
          <w:szCs w:val="24"/>
        </w:rPr>
        <w:t xml:space="preserve">. </w:t>
      </w:r>
      <w:r w:rsidR="00144013" w:rsidRPr="006D4DB4">
        <w:rPr>
          <w:rFonts w:ascii="Times New Roman" w:hAnsi="Times New Roman" w:cs="Times New Roman"/>
          <w:sz w:val="24"/>
          <w:szCs w:val="24"/>
        </w:rPr>
        <w:t xml:space="preserve">They were of the view that when the amendment was introduced it did not apply to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144013" w:rsidRPr="006D4DB4">
        <w:rPr>
          <w:rFonts w:ascii="Times New Roman" w:hAnsi="Times New Roman" w:cs="Times New Roman"/>
          <w:sz w:val="24"/>
          <w:szCs w:val="24"/>
        </w:rPr>
        <w:t xml:space="preserve"> respondent as they submitted that she was no longer</w:t>
      </w:r>
      <w:r w:rsidR="003153D2" w:rsidRPr="006D4DB4">
        <w:rPr>
          <w:rFonts w:ascii="Times New Roman" w:hAnsi="Times New Roman" w:cs="Times New Roman"/>
          <w:sz w:val="24"/>
          <w:szCs w:val="24"/>
        </w:rPr>
        <w:t xml:space="preserve"> employed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in the initial engagement. At the commencement of the hearing t</w:t>
      </w:r>
      <w:r w:rsidR="00DF6AB9" w:rsidRPr="006D4DB4">
        <w:rPr>
          <w:rFonts w:ascii="Times New Roman" w:hAnsi="Times New Roman" w:cs="Times New Roman"/>
          <w:sz w:val="24"/>
          <w:szCs w:val="24"/>
        </w:rPr>
        <w:t>he appellants</w:t>
      </w:r>
      <w:r w:rsidR="0034217F" w:rsidRPr="006D4DB4">
        <w:rPr>
          <w:rFonts w:ascii="Times New Roman" w:hAnsi="Times New Roman" w:cs="Times New Roman"/>
          <w:sz w:val="24"/>
          <w:szCs w:val="24"/>
        </w:rPr>
        <w:t xml:space="preserve"> raised two points </w:t>
      </w:r>
      <w:r w:rsidR="0034217F" w:rsidRPr="006D4DB4">
        <w:rPr>
          <w:rFonts w:ascii="Times New Roman" w:hAnsi="Times New Roman" w:cs="Times New Roman"/>
          <w:i/>
          <w:sz w:val="24"/>
          <w:szCs w:val="24"/>
        </w:rPr>
        <w:t>in limine</w:t>
      </w:r>
      <w:r w:rsidR="0034217F" w:rsidRPr="006D4DB4">
        <w:rPr>
          <w:rFonts w:ascii="Times New Roman" w:hAnsi="Times New Roman" w:cs="Times New Roman"/>
          <w:sz w:val="24"/>
          <w:szCs w:val="24"/>
        </w:rPr>
        <w:t>.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34217F" w:rsidRPr="006D4DB4">
        <w:rPr>
          <w:rFonts w:ascii="Times New Roman" w:hAnsi="Times New Roman" w:cs="Times New Roman"/>
          <w:sz w:val="24"/>
          <w:szCs w:val="24"/>
        </w:rPr>
        <w:t xml:space="preserve">It was </w:t>
      </w:r>
      <w:r w:rsidR="00DF6AB9" w:rsidRPr="006D4DB4">
        <w:rPr>
          <w:rFonts w:ascii="Times New Roman" w:hAnsi="Times New Roman" w:cs="Times New Roman"/>
          <w:sz w:val="24"/>
          <w:szCs w:val="24"/>
        </w:rPr>
        <w:t>submitted</w:t>
      </w:r>
      <w:r w:rsidR="003153D2" w:rsidRPr="006D4DB4">
        <w:rPr>
          <w:rFonts w:ascii="Times New Roman" w:hAnsi="Times New Roman" w:cs="Times New Roman"/>
          <w:sz w:val="24"/>
          <w:szCs w:val="24"/>
        </w:rPr>
        <w:t xml:space="preserve"> in respect of the first </w:t>
      </w:r>
      <w:r w:rsidR="003153D2" w:rsidRPr="006D4DB4">
        <w:rPr>
          <w:rFonts w:ascii="Times New Roman" w:hAnsi="Times New Roman" w:cs="Times New Roman"/>
          <w:sz w:val="24"/>
          <w:szCs w:val="24"/>
        </w:rPr>
        <w:lastRenderedPageBreak/>
        <w:t>point,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tha</w:t>
      </w:r>
      <w:r w:rsidR="0034217F" w:rsidRPr="006D4DB4">
        <w:rPr>
          <w:rFonts w:ascii="Times New Roman" w:hAnsi="Times New Roman" w:cs="Times New Roman"/>
          <w:sz w:val="24"/>
          <w:szCs w:val="24"/>
        </w:rPr>
        <w:t xml:space="preserve">t the application for review in respect of 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respondent wa</w:t>
      </w:r>
      <w:r w:rsidR="0034217F" w:rsidRPr="006D4DB4">
        <w:rPr>
          <w:rFonts w:ascii="Times New Roman" w:hAnsi="Times New Roman" w:cs="Times New Roman"/>
          <w:sz w:val="24"/>
          <w:szCs w:val="24"/>
        </w:rPr>
        <w:t>s not properly before the court as it had been filed out of time.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It was apparent that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respondent having been dismissed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in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March 2013</w:t>
      </w:r>
      <w:r w:rsidR="0034217F" w:rsidRPr="006D4DB4">
        <w:rPr>
          <w:rFonts w:ascii="Times New Roman" w:hAnsi="Times New Roman" w:cs="Times New Roman"/>
          <w:sz w:val="24"/>
          <w:szCs w:val="24"/>
        </w:rPr>
        <w:t xml:space="preserve"> and the application filed on 6 March 2018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, the application was 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indeed 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out of time. </w:t>
      </w:r>
      <w:r w:rsidR="0034217F" w:rsidRPr="006D4DB4">
        <w:rPr>
          <w:rFonts w:ascii="Times New Roman" w:hAnsi="Times New Roman" w:cs="Times New Roman"/>
          <w:sz w:val="24"/>
          <w:szCs w:val="24"/>
        </w:rPr>
        <w:t>Accordingly, i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n respect to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 respondent the court found that she was improperly before the court as her application for review was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filed outside the eight</w:t>
      </w:r>
      <w:r w:rsidR="004A270E" w:rsidRPr="006D4DB4">
        <w:rPr>
          <w:rFonts w:ascii="Times New Roman" w:hAnsi="Times New Roman" w:cs="Times New Roman"/>
          <w:sz w:val="24"/>
          <w:szCs w:val="24"/>
        </w:rPr>
        <w:t>h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week period in contravention of Order 33 r 259 of the High Court Rules, 1979. </w:t>
      </w:r>
      <w:r w:rsidR="003153D2" w:rsidRPr="006D4DB4">
        <w:rPr>
          <w:rFonts w:ascii="Times New Roman" w:hAnsi="Times New Roman" w:cs="Times New Roman"/>
          <w:sz w:val="24"/>
          <w:szCs w:val="24"/>
        </w:rPr>
        <w:t>N</w:t>
      </w:r>
      <w:r w:rsidR="00DF6AB9" w:rsidRPr="006D4DB4">
        <w:rPr>
          <w:rFonts w:ascii="Times New Roman" w:hAnsi="Times New Roman" w:cs="Times New Roman"/>
          <w:sz w:val="24"/>
          <w:szCs w:val="24"/>
        </w:rPr>
        <w:t>o application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for condonation had been made</w:t>
      </w:r>
      <w:r w:rsidR="00444595">
        <w:rPr>
          <w:rFonts w:ascii="Times New Roman" w:hAnsi="Times New Roman" w:cs="Times New Roman"/>
          <w:sz w:val="24"/>
          <w:szCs w:val="24"/>
        </w:rPr>
        <w:t xml:space="preserve"> by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t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3153D2" w:rsidRPr="006D4DB4">
        <w:rPr>
          <w:rFonts w:ascii="Times New Roman" w:hAnsi="Times New Roman" w:cs="Times New Roman"/>
          <w:sz w:val="24"/>
          <w:szCs w:val="24"/>
        </w:rPr>
        <w:t xml:space="preserve"> respondent. The first respondent therefore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whilst accepting that she was out of time, indic</w:t>
      </w:r>
      <w:r w:rsidR="007A44FE" w:rsidRPr="006D4DB4">
        <w:rPr>
          <w:rFonts w:ascii="Times New Roman" w:hAnsi="Times New Roman" w:cs="Times New Roman"/>
          <w:sz w:val="24"/>
          <w:szCs w:val="24"/>
        </w:rPr>
        <w:t>a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ted 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that this issue was only raised at the </w:t>
      </w:r>
      <w:r w:rsidR="007A44FE" w:rsidRPr="006D4DB4">
        <w:rPr>
          <w:rFonts w:ascii="Times New Roman" w:hAnsi="Times New Roman" w:cs="Times New Roman"/>
          <w:sz w:val="24"/>
          <w:szCs w:val="24"/>
        </w:rPr>
        <w:t>hearing and she was thus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prejudiced. 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4A270E" w:rsidRPr="006D4DB4">
        <w:rPr>
          <w:rFonts w:ascii="Times New Roman" w:hAnsi="Times New Roman" w:cs="Times New Roman"/>
          <w:sz w:val="24"/>
          <w:szCs w:val="24"/>
        </w:rPr>
        <w:t>’</w:t>
      </w:r>
      <w:r w:rsidR="00D35373" w:rsidRPr="006D4DB4">
        <w:rPr>
          <w:rFonts w:ascii="Times New Roman" w:hAnsi="Times New Roman" w:cs="Times New Roman"/>
          <w:sz w:val="24"/>
          <w:szCs w:val="24"/>
        </w:rPr>
        <w:t>s counsel thus applied for leave to file an application for condonation of failure to comply with the rules</w:t>
      </w:r>
      <w:r w:rsidR="00DF6AB9" w:rsidRPr="006D4DB4">
        <w:rPr>
          <w:rFonts w:ascii="Times New Roman" w:hAnsi="Times New Roman" w:cs="Times New Roman"/>
          <w:sz w:val="24"/>
          <w:szCs w:val="24"/>
        </w:rPr>
        <w:t xml:space="preserve"> and a postponement of the matter</w:t>
      </w:r>
      <w:r w:rsidR="00D35373" w:rsidRPr="006D4DB4">
        <w:rPr>
          <w:rFonts w:ascii="Times New Roman" w:hAnsi="Times New Roman" w:cs="Times New Roman"/>
          <w:sz w:val="24"/>
          <w:szCs w:val="24"/>
        </w:rPr>
        <w:t>. The application</w:t>
      </w:r>
      <w:r w:rsidR="00427747" w:rsidRPr="006D4DB4">
        <w:rPr>
          <w:rFonts w:ascii="Times New Roman" w:hAnsi="Times New Roman" w:cs="Times New Roman"/>
          <w:sz w:val="24"/>
          <w:szCs w:val="24"/>
        </w:rPr>
        <w:t xml:space="preserve"> to allow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427747" w:rsidRPr="006D4DB4">
        <w:rPr>
          <w:rFonts w:ascii="Times New Roman" w:hAnsi="Times New Roman" w:cs="Times New Roman"/>
          <w:sz w:val="24"/>
          <w:szCs w:val="24"/>
        </w:rPr>
        <w:t xml:space="preserve"> respondent to apply for condonation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was</w:t>
      </w:r>
      <w:r w:rsidR="00427747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D35373" w:rsidRPr="006D4DB4">
        <w:rPr>
          <w:rFonts w:ascii="Times New Roman" w:hAnsi="Times New Roman" w:cs="Times New Roman"/>
          <w:sz w:val="24"/>
          <w:szCs w:val="24"/>
        </w:rPr>
        <w:t>granted</w:t>
      </w:r>
      <w:r w:rsidR="00427747" w:rsidRPr="006D4DB4">
        <w:rPr>
          <w:rFonts w:ascii="Times New Roman" w:hAnsi="Times New Roman" w:cs="Times New Roman"/>
          <w:sz w:val="24"/>
          <w:szCs w:val="24"/>
        </w:rPr>
        <w:t xml:space="preserve"> by consent of the parties.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The court </w:t>
      </w:r>
      <w:r w:rsidR="00D35373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thereafter directed that the applications of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and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respondent be separated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. </w:t>
      </w:r>
      <w:r w:rsidR="00BE75FE" w:rsidRPr="006D4DB4">
        <w:rPr>
          <w:rFonts w:ascii="Times New Roman" w:hAnsi="Times New Roman" w:cs="Times New Roman"/>
          <w:sz w:val="24"/>
          <w:szCs w:val="24"/>
        </w:rPr>
        <w:t>This in my view is where the c</w:t>
      </w:r>
      <w:r w:rsidR="003153D2" w:rsidRPr="006D4DB4">
        <w:rPr>
          <w:rFonts w:ascii="Times New Roman" w:hAnsi="Times New Roman" w:cs="Times New Roman"/>
          <w:sz w:val="24"/>
          <w:szCs w:val="24"/>
        </w:rPr>
        <w:t xml:space="preserve">ourt made the first </w:t>
      </w:r>
      <w:r w:rsidR="00BE75FE" w:rsidRPr="006D4DB4">
        <w:rPr>
          <w:rFonts w:ascii="Times New Roman" w:hAnsi="Times New Roman" w:cs="Times New Roman"/>
          <w:sz w:val="24"/>
          <w:szCs w:val="24"/>
        </w:rPr>
        <w:t>error.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0317D" w:rsidRPr="006D4DB4" w:rsidRDefault="007A44FE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Pr="006D4DB4">
        <w:rPr>
          <w:rFonts w:ascii="Times New Roman" w:hAnsi="Times New Roman" w:cs="Times New Roman"/>
          <w:sz w:val="24"/>
          <w:szCs w:val="24"/>
        </w:rPr>
        <w:t xml:space="preserve"> postponed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respondent’s application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and proceeded to deal with </w:t>
      </w:r>
      <w:r w:rsidRPr="006D4DB4">
        <w:rPr>
          <w:rFonts w:ascii="Times New Roman" w:hAnsi="Times New Roman" w:cs="Times New Roman"/>
          <w:sz w:val="24"/>
          <w:szCs w:val="24"/>
        </w:rPr>
        <w:t xml:space="preserve">that of 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Pr="006D4DB4">
        <w:rPr>
          <w:rFonts w:ascii="Times New Roman" w:hAnsi="Times New Roman" w:cs="Times New Roman"/>
          <w:sz w:val="24"/>
          <w:szCs w:val="24"/>
        </w:rPr>
        <w:t>.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0317D" w:rsidRPr="006D4DB4" w:rsidRDefault="0000317D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With regards to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 t</w:t>
      </w:r>
      <w:r w:rsidR="003153D2" w:rsidRPr="006D4DB4">
        <w:rPr>
          <w:rFonts w:ascii="Times New Roman" w:hAnsi="Times New Roman" w:cs="Times New Roman"/>
          <w:sz w:val="24"/>
          <w:szCs w:val="24"/>
        </w:rPr>
        <w:t>he appellants submitted as</w:t>
      </w:r>
      <w:r w:rsidR="005710FF" w:rsidRPr="006D4DB4">
        <w:rPr>
          <w:rFonts w:ascii="Times New Roman" w:hAnsi="Times New Roman" w:cs="Times New Roman"/>
          <w:sz w:val="24"/>
          <w:szCs w:val="24"/>
        </w:rPr>
        <w:t xml:space="preserve"> their</w:t>
      </w:r>
      <w:r w:rsidR="003153D2" w:rsidRPr="006D4DB4">
        <w:rPr>
          <w:rFonts w:ascii="Times New Roman" w:hAnsi="Times New Roman" w:cs="Times New Roman"/>
          <w:sz w:val="24"/>
          <w:szCs w:val="24"/>
        </w:rPr>
        <w:t xml:space="preserve"> second</w:t>
      </w:r>
      <w:r w:rsidR="005710FF" w:rsidRPr="006D4DB4">
        <w:rPr>
          <w:rFonts w:ascii="Times New Roman" w:hAnsi="Times New Roman" w:cs="Times New Roman"/>
          <w:sz w:val="24"/>
          <w:szCs w:val="24"/>
        </w:rPr>
        <w:t xml:space="preserve"> point</w:t>
      </w:r>
      <w:r w:rsidR="00873626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873626" w:rsidRPr="006D4DB4">
        <w:rPr>
          <w:rFonts w:ascii="Times New Roman" w:hAnsi="Times New Roman" w:cs="Times New Roman"/>
          <w:i/>
          <w:sz w:val="24"/>
          <w:szCs w:val="24"/>
        </w:rPr>
        <w:t>in limine</w:t>
      </w:r>
      <w:r w:rsidR="00C93EEF" w:rsidRPr="006D4DB4">
        <w:rPr>
          <w:rFonts w:ascii="Times New Roman" w:hAnsi="Times New Roman" w:cs="Times New Roman"/>
          <w:sz w:val="24"/>
          <w:szCs w:val="24"/>
        </w:rPr>
        <w:t xml:space="preserve"> that </w:t>
      </w:r>
      <w:r w:rsidR="00C67EA9">
        <w:rPr>
          <w:rFonts w:ascii="Times New Roman" w:hAnsi="Times New Roman" w:cs="Times New Roman"/>
          <w:sz w:val="24"/>
          <w:szCs w:val="24"/>
        </w:rPr>
        <w:t>he</w:t>
      </w:r>
      <w:r w:rsidR="00873626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Pr="006D4DB4">
        <w:rPr>
          <w:rFonts w:ascii="Times New Roman" w:hAnsi="Times New Roman" w:cs="Times New Roman"/>
          <w:sz w:val="24"/>
          <w:szCs w:val="24"/>
        </w:rPr>
        <w:t xml:space="preserve"> was not properly before the court as he </w:t>
      </w:r>
      <w:r w:rsidR="00873626" w:rsidRPr="006D4DB4">
        <w:rPr>
          <w:rFonts w:ascii="Times New Roman" w:hAnsi="Times New Roman" w:cs="Times New Roman"/>
          <w:sz w:val="24"/>
          <w:szCs w:val="24"/>
        </w:rPr>
        <w:t xml:space="preserve">had not exhausted the internal remedies </w:t>
      </w:r>
      <w:r w:rsidRPr="006D4DB4">
        <w:rPr>
          <w:rFonts w:ascii="Times New Roman" w:hAnsi="Times New Roman" w:cs="Times New Roman"/>
          <w:sz w:val="24"/>
          <w:szCs w:val="24"/>
        </w:rPr>
        <w:t>in terms of the Defence Act</w:t>
      </w:r>
      <w:r w:rsidR="003153D2" w:rsidRPr="006D4DB4">
        <w:rPr>
          <w:rFonts w:ascii="Times New Roman" w:hAnsi="Times New Roman" w:cs="Times New Roman"/>
          <w:sz w:val="24"/>
          <w:szCs w:val="24"/>
        </w:rPr>
        <w:t>. It was submitted that in terms of the Defence Act</w:t>
      </w:r>
      <w:r w:rsidR="00873626" w:rsidRPr="006D4DB4">
        <w:rPr>
          <w:rFonts w:ascii="Times New Roman" w:hAnsi="Times New Roman" w:cs="Times New Roman"/>
          <w:sz w:val="24"/>
          <w:szCs w:val="24"/>
        </w:rPr>
        <w:t xml:space="preserve"> matters of suitability of Defence Force members should be appealed </w:t>
      </w:r>
      <w:r w:rsidR="004A270E" w:rsidRPr="006D4DB4">
        <w:rPr>
          <w:rFonts w:ascii="Times New Roman" w:hAnsi="Times New Roman" w:cs="Times New Roman"/>
          <w:sz w:val="24"/>
          <w:szCs w:val="24"/>
        </w:rPr>
        <w:t xml:space="preserve">to </w:t>
      </w:r>
      <w:r w:rsidR="00873626" w:rsidRPr="006D4DB4">
        <w:rPr>
          <w:rFonts w:ascii="Times New Roman" w:hAnsi="Times New Roman" w:cs="Times New Roman"/>
          <w:sz w:val="24"/>
          <w:szCs w:val="24"/>
        </w:rPr>
        <w:t>or reviewed by the Defence Forces Service Commission and that the decision of the Commission is final.</w:t>
      </w:r>
      <w:r w:rsidR="008440E1" w:rsidRPr="006D4DB4">
        <w:rPr>
          <w:rFonts w:ascii="Times New Roman" w:hAnsi="Times New Roman" w:cs="Times New Roman"/>
          <w:sz w:val="24"/>
          <w:szCs w:val="24"/>
        </w:rPr>
        <w:t xml:space="preserve"> It was therefore submitted that as the second respondent had not exhausted the domestic remedies he was non suited.</w:t>
      </w:r>
      <w:r w:rsidR="00873626" w:rsidRPr="006D4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A538F" w:rsidRPr="006D4DB4" w:rsidRDefault="00873626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lastRenderedPageBreak/>
        <w:t>The court</w:t>
      </w:r>
      <w:r w:rsidR="0000317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00317D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FA004A" w:rsidRPr="006D4DB4">
        <w:rPr>
          <w:rFonts w:ascii="Times New Roman" w:hAnsi="Times New Roman" w:cs="Times New Roman"/>
          <w:sz w:val="24"/>
          <w:szCs w:val="24"/>
        </w:rPr>
        <w:t>was not persuaded by this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 argument and 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dismissed the point </w:t>
      </w:r>
      <w:r w:rsidR="00D35373" w:rsidRPr="006D4DB4">
        <w:rPr>
          <w:rFonts w:ascii="Times New Roman" w:hAnsi="Times New Roman" w:cs="Times New Roman"/>
          <w:i/>
          <w:sz w:val="24"/>
          <w:szCs w:val="24"/>
        </w:rPr>
        <w:t>in limine</w:t>
      </w:r>
      <w:r w:rsidR="00AC7BE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D35373" w:rsidRPr="006D4DB4">
        <w:rPr>
          <w:rFonts w:ascii="Times New Roman" w:hAnsi="Times New Roman" w:cs="Times New Roman"/>
          <w:sz w:val="24"/>
          <w:szCs w:val="24"/>
        </w:rPr>
        <w:t xml:space="preserve">and proceeded to deal with the case on the merits. </w:t>
      </w:r>
      <w:r w:rsidR="00252F25" w:rsidRPr="006D4DB4">
        <w:rPr>
          <w:rFonts w:ascii="Times New Roman" w:hAnsi="Times New Roman" w:cs="Times New Roman"/>
          <w:sz w:val="24"/>
          <w:szCs w:val="24"/>
        </w:rPr>
        <w:t>On the merits of the matter, t</w:t>
      </w:r>
      <w:r w:rsidR="00B608FF" w:rsidRPr="006D4DB4">
        <w:rPr>
          <w:rFonts w:ascii="Times New Roman" w:hAnsi="Times New Roman" w:cs="Times New Roman"/>
          <w:sz w:val="24"/>
          <w:szCs w:val="24"/>
        </w:rPr>
        <w:t>he application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 was based</w:t>
      </w:r>
      <w:r w:rsidR="0084120D" w:rsidRPr="006D4DB4">
        <w:rPr>
          <w:rFonts w:ascii="Times New Roman" w:hAnsi="Times New Roman" w:cs="Times New Roman"/>
          <w:sz w:val="24"/>
          <w:szCs w:val="24"/>
        </w:rPr>
        <w:t xml:space="preserve"> on the allegation that the </w:t>
      </w:r>
      <w:r w:rsidR="003A538F" w:rsidRPr="006D4DB4">
        <w:rPr>
          <w:rFonts w:ascii="Times New Roman" w:hAnsi="Times New Roman" w:cs="Times New Roman"/>
          <w:sz w:val="24"/>
          <w:szCs w:val="24"/>
        </w:rPr>
        <w:t>responde</w:t>
      </w:r>
      <w:r w:rsidR="00FD18E9" w:rsidRPr="006D4DB4">
        <w:rPr>
          <w:rFonts w:ascii="Times New Roman" w:hAnsi="Times New Roman" w:cs="Times New Roman"/>
          <w:sz w:val="24"/>
          <w:szCs w:val="24"/>
        </w:rPr>
        <w:t>nt had not been given notice of his discharge</w:t>
      </w:r>
      <w:r w:rsidR="003A538F" w:rsidRPr="006D4DB4">
        <w:rPr>
          <w:rFonts w:ascii="Times New Roman" w:hAnsi="Times New Roman" w:cs="Times New Roman"/>
          <w:sz w:val="24"/>
          <w:szCs w:val="24"/>
        </w:rPr>
        <w:t>, had not been given reasons for the d</w:t>
      </w:r>
      <w:r w:rsidR="007A44FE" w:rsidRPr="006D4DB4">
        <w:rPr>
          <w:rFonts w:ascii="Times New Roman" w:hAnsi="Times New Roman" w:cs="Times New Roman"/>
          <w:sz w:val="24"/>
          <w:szCs w:val="24"/>
        </w:rPr>
        <w:t>ischarge,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 had not been given an opportunity to make repr</w:t>
      </w:r>
      <w:r w:rsidR="0084120D" w:rsidRPr="006D4DB4">
        <w:rPr>
          <w:rFonts w:ascii="Times New Roman" w:hAnsi="Times New Roman" w:cs="Times New Roman"/>
          <w:sz w:val="24"/>
          <w:szCs w:val="24"/>
        </w:rPr>
        <w:t>esentations to defend himself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 and finally was convicted on a law that was applied retrospectively</w:t>
      </w:r>
      <w:r w:rsidR="00FA004A" w:rsidRPr="006D4DB4">
        <w:rPr>
          <w:rFonts w:ascii="Times New Roman" w:hAnsi="Times New Roman" w:cs="Times New Roman"/>
          <w:sz w:val="24"/>
          <w:szCs w:val="24"/>
        </w:rPr>
        <w:t xml:space="preserve"> to the first respondent as it was not in operation when they got married</w:t>
      </w:r>
      <w:r w:rsidR="0084120D" w:rsidRPr="006D4DB4">
        <w:rPr>
          <w:rFonts w:ascii="Times New Roman" w:hAnsi="Times New Roman" w:cs="Times New Roman"/>
          <w:sz w:val="24"/>
          <w:szCs w:val="24"/>
        </w:rPr>
        <w:t>.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D18E9" w:rsidRPr="006D4DB4" w:rsidRDefault="00FD18E9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427747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7A44FE" w:rsidRPr="006D4DB4">
        <w:rPr>
          <w:rFonts w:ascii="Times New Roman" w:hAnsi="Times New Roman" w:cs="Times New Roman"/>
          <w:sz w:val="24"/>
          <w:szCs w:val="24"/>
        </w:rPr>
        <w:t>respondent</w:t>
      </w:r>
      <w:r w:rsidR="00FA004A" w:rsidRPr="006D4DB4">
        <w:rPr>
          <w:rFonts w:ascii="Times New Roman" w:hAnsi="Times New Roman" w:cs="Times New Roman"/>
          <w:sz w:val="24"/>
          <w:szCs w:val="24"/>
        </w:rPr>
        <w:t xml:space="preserve"> averred that as</w:t>
      </w:r>
      <w:r w:rsidR="0084120D" w:rsidRPr="006D4DB4">
        <w:rPr>
          <w:rFonts w:ascii="Times New Roman" w:hAnsi="Times New Roman" w:cs="Times New Roman"/>
          <w:sz w:val="24"/>
          <w:szCs w:val="24"/>
        </w:rPr>
        <w:t xml:space="preserve"> the alteration of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respondent’s terms of service from short service to medium service</w:t>
      </w:r>
      <w:r w:rsidR="00FA004A" w:rsidRPr="006D4DB4">
        <w:rPr>
          <w:rFonts w:ascii="Times New Roman" w:hAnsi="Times New Roman" w:cs="Times New Roman"/>
          <w:sz w:val="24"/>
          <w:szCs w:val="24"/>
        </w:rPr>
        <w:t xml:space="preserve"> had been granted</w:t>
      </w:r>
      <w:r w:rsidRPr="006D4DB4">
        <w:rPr>
          <w:rFonts w:ascii="Times New Roman" w:hAnsi="Times New Roman" w:cs="Times New Roman"/>
          <w:sz w:val="24"/>
          <w:szCs w:val="24"/>
        </w:rPr>
        <w:t>, she was no longer serving her initial engagement and could not therefore be bound by the conditions imposed on members serving their initial engagement.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 He also submitted that the amendment which made it an offence for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 and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 respondent to get married and for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7A44FE" w:rsidRPr="006D4DB4">
        <w:rPr>
          <w:rFonts w:ascii="Times New Roman" w:hAnsi="Times New Roman" w:cs="Times New Roman"/>
          <w:sz w:val="24"/>
          <w:szCs w:val="24"/>
        </w:rPr>
        <w:t xml:space="preserve"> respondent to fall pregnant only</w:t>
      </w:r>
      <w:r w:rsidR="008D4656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7A44FE" w:rsidRPr="006D4DB4">
        <w:rPr>
          <w:rFonts w:ascii="Times New Roman" w:hAnsi="Times New Roman" w:cs="Times New Roman"/>
          <w:sz w:val="24"/>
          <w:szCs w:val="24"/>
        </w:rPr>
        <w:t>came into</w:t>
      </w:r>
      <w:r w:rsidR="008D4656" w:rsidRPr="006D4DB4">
        <w:rPr>
          <w:rFonts w:ascii="Times New Roman" w:hAnsi="Times New Roman" w:cs="Times New Roman"/>
          <w:sz w:val="24"/>
          <w:szCs w:val="24"/>
        </w:rPr>
        <w:t xml:space="preserve"> operation after they were already married and should therefore not have applied to them.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F4807" w:rsidRPr="006D4DB4" w:rsidRDefault="00AC7BE9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T</w:t>
      </w:r>
      <w:r w:rsidR="003A538F" w:rsidRPr="006D4DB4">
        <w:rPr>
          <w:rFonts w:ascii="Times New Roman" w:hAnsi="Times New Roman" w:cs="Times New Roman"/>
          <w:sz w:val="24"/>
          <w:szCs w:val="24"/>
        </w:rPr>
        <w:t>he appellants opposed the a</w:t>
      </w:r>
      <w:r w:rsidR="008D4656" w:rsidRPr="006D4DB4">
        <w:rPr>
          <w:rFonts w:ascii="Times New Roman" w:hAnsi="Times New Roman" w:cs="Times New Roman"/>
          <w:sz w:val="24"/>
          <w:szCs w:val="24"/>
        </w:rPr>
        <w:t xml:space="preserve">pplication on the basis 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that the extension of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FA004A" w:rsidRPr="006D4DB4">
        <w:rPr>
          <w:rFonts w:ascii="Times New Roman" w:hAnsi="Times New Roman" w:cs="Times New Roman"/>
          <w:sz w:val="24"/>
          <w:szCs w:val="24"/>
        </w:rPr>
        <w:t>respondent’s term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 of service from short term service to medium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 term service had been an error</w:t>
      </w:r>
      <w:r w:rsidR="00FA004A" w:rsidRPr="006D4DB4">
        <w:rPr>
          <w:rFonts w:ascii="Times New Roman" w:hAnsi="Times New Roman" w:cs="Times New Roman"/>
          <w:sz w:val="24"/>
          <w:szCs w:val="24"/>
        </w:rPr>
        <w:t xml:space="preserve"> and that she was</w:t>
      </w:r>
      <w:r w:rsidR="003A538F" w:rsidRPr="006D4DB4">
        <w:rPr>
          <w:rFonts w:ascii="Times New Roman" w:hAnsi="Times New Roman" w:cs="Times New Roman"/>
          <w:sz w:val="24"/>
          <w:szCs w:val="24"/>
        </w:rPr>
        <w:t xml:space="preserve"> still in her initial engagement</w:t>
      </w:r>
      <w:r w:rsidR="008D4656" w:rsidRPr="006D4DB4">
        <w:rPr>
          <w:rFonts w:ascii="Times New Roman" w:hAnsi="Times New Roman" w:cs="Times New Roman"/>
          <w:sz w:val="24"/>
          <w:szCs w:val="24"/>
        </w:rPr>
        <w:t xml:space="preserve"> when she married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8D4656" w:rsidRPr="006D4DB4">
        <w:rPr>
          <w:rFonts w:ascii="Times New Roman" w:hAnsi="Times New Roman" w:cs="Times New Roman"/>
          <w:sz w:val="24"/>
          <w:szCs w:val="24"/>
        </w:rPr>
        <w:t xml:space="preserve"> respondent and fell pregnant</w:t>
      </w:r>
      <w:r w:rsidR="003A538F" w:rsidRPr="006D4DB4">
        <w:rPr>
          <w:rFonts w:ascii="Times New Roman" w:hAnsi="Times New Roman" w:cs="Times New Roman"/>
          <w:sz w:val="24"/>
          <w:szCs w:val="24"/>
        </w:rPr>
        <w:t>.</w:t>
      </w:r>
      <w:r w:rsidR="008D4656" w:rsidRPr="006D4DB4">
        <w:rPr>
          <w:rFonts w:ascii="Times New Roman" w:hAnsi="Times New Roman" w:cs="Times New Roman"/>
          <w:sz w:val="24"/>
          <w:szCs w:val="24"/>
        </w:rPr>
        <w:t xml:space="preserve"> The amendment thus applied to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FA004A" w:rsidRPr="006D4DB4">
        <w:rPr>
          <w:rFonts w:ascii="Times New Roman" w:hAnsi="Times New Roman" w:cs="Times New Roman"/>
          <w:sz w:val="24"/>
          <w:szCs w:val="24"/>
        </w:rPr>
        <w:t xml:space="preserve"> respondent and by extension to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FA004A" w:rsidRPr="006D4DB4">
        <w:rPr>
          <w:rFonts w:ascii="Times New Roman" w:hAnsi="Times New Roman" w:cs="Times New Roman"/>
          <w:sz w:val="24"/>
          <w:szCs w:val="24"/>
        </w:rPr>
        <w:t xml:space="preserve"> respondent. The appellants’ also argued that the amendment had not been applied retrospectively. 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A538F" w:rsidRPr="006D4DB4" w:rsidRDefault="003A538F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FA004A" w:rsidRPr="006D4DB4">
        <w:rPr>
          <w:rFonts w:ascii="Times New Roman" w:hAnsi="Times New Roman" w:cs="Times New Roman"/>
          <w:sz w:val="24"/>
          <w:szCs w:val="24"/>
        </w:rPr>
        <w:t>analysed the Defence Act and the Regulations and found</w:t>
      </w:r>
      <w:r w:rsidRPr="006D4DB4">
        <w:rPr>
          <w:rFonts w:ascii="Times New Roman" w:hAnsi="Times New Roman" w:cs="Times New Roman"/>
          <w:sz w:val="24"/>
          <w:szCs w:val="24"/>
        </w:rPr>
        <w:t xml:space="preserve"> that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 xml:space="preserve">respondent ceased to be a member serving her initial engagement on the date that she </w:t>
      </w:r>
      <w:r w:rsidRPr="006D4DB4">
        <w:rPr>
          <w:rFonts w:ascii="Times New Roman" w:hAnsi="Times New Roman" w:cs="Times New Roman"/>
          <w:sz w:val="24"/>
          <w:szCs w:val="24"/>
        </w:rPr>
        <w:lastRenderedPageBreak/>
        <w:t xml:space="preserve">was authorised to alter her class of engagement.  In arriving at this conclusion, 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="00FD18E9" w:rsidRPr="006D4DB4">
        <w:rPr>
          <w:rFonts w:ascii="Times New Roman" w:hAnsi="Times New Roman" w:cs="Times New Roman"/>
          <w:sz w:val="24"/>
          <w:szCs w:val="24"/>
        </w:rPr>
        <w:t>had regard to s</w:t>
      </w:r>
      <w:r w:rsidRPr="006D4DB4">
        <w:rPr>
          <w:rFonts w:ascii="Times New Roman" w:hAnsi="Times New Roman" w:cs="Times New Roman"/>
          <w:sz w:val="24"/>
          <w:szCs w:val="24"/>
        </w:rPr>
        <w:t xml:space="preserve"> 8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 xml:space="preserve">(2) of </w:t>
      </w:r>
      <w:r w:rsidR="00FD18E9" w:rsidRPr="006D4DB4">
        <w:rPr>
          <w:rFonts w:ascii="Times New Roman" w:hAnsi="Times New Roman" w:cs="Times New Roman"/>
          <w:sz w:val="24"/>
          <w:szCs w:val="24"/>
        </w:rPr>
        <w:t xml:space="preserve">the Regulations </w:t>
      </w:r>
      <w:r w:rsidRPr="006D4DB4">
        <w:rPr>
          <w:rFonts w:ascii="Times New Roman" w:hAnsi="Times New Roman" w:cs="Times New Roman"/>
          <w:sz w:val="24"/>
          <w:szCs w:val="24"/>
        </w:rPr>
        <w:t>which provides as follows:</w:t>
      </w:r>
    </w:p>
    <w:p w:rsidR="003A538F" w:rsidRPr="006D4DB4" w:rsidRDefault="003A538F" w:rsidP="00007D2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“Where a member’s class of engagement has been changed in terms of sub section (1), the member concerned shall be deemed to have been engaged on the longer period </w:t>
      </w:r>
      <w:r w:rsidR="002E5F76" w:rsidRPr="006D4DB4">
        <w:rPr>
          <w:rFonts w:ascii="Times New Roman" w:hAnsi="Times New Roman" w:cs="Times New Roman"/>
          <w:sz w:val="24"/>
          <w:szCs w:val="24"/>
        </w:rPr>
        <w:t xml:space="preserve">of </w:t>
      </w:r>
      <w:r w:rsidRPr="006D4DB4">
        <w:rPr>
          <w:rFonts w:ascii="Times New Roman" w:hAnsi="Times New Roman" w:cs="Times New Roman"/>
          <w:sz w:val="24"/>
          <w:szCs w:val="24"/>
        </w:rPr>
        <w:t xml:space="preserve">engagement from the date of his attestation” </w:t>
      </w:r>
    </w:p>
    <w:p w:rsidR="00C93EEF" w:rsidRPr="006D4DB4" w:rsidRDefault="00C93EEF" w:rsidP="00C140A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93EEF" w:rsidRPr="006D4DB4" w:rsidRDefault="00C93EEF" w:rsidP="00C140A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93EEF" w:rsidRPr="006D4DB4" w:rsidRDefault="00C93EEF" w:rsidP="00C140A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52F25" w:rsidRPr="006D4DB4" w:rsidRDefault="003A538F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court held that the discharge of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 and consequently that of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7C59E7" w:rsidRPr="006D4DB4">
        <w:rPr>
          <w:rFonts w:ascii="Times New Roman" w:hAnsi="Times New Roman" w:cs="Times New Roman"/>
          <w:sz w:val="24"/>
          <w:szCs w:val="24"/>
        </w:rPr>
        <w:t xml:space="preserve"> respondent was irregular as</w:t>
      </w:r>
      <w:r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0F464E">
        <w:rPr>
          <w:rFonts w:ascii="Times New Roman" w:hAnsi="Times New Roman" w:cs="Times New Roman"/>
          <w:sz w:val="24"/>
          <w:szCs w:val="24"/>
        </w:rPr>
        <w:t xml:space="preserve">the </w:t>
      </w:r>
      <w:r w:rsidR="00C93EEF" w:rsidRPr="006D4DB4">
        <w:rPr>
          <w:rFonts w:ascii="Times New Roman" w:hAnsi="Times New Roman" w:cs="Times New Roman"/>
          <w:sz w:val="24"/>
          <w:szCs w:val="24"/>
        </w:rPr>
        <w:t>first</w:t>
      </w:r>
      <w:r w:rsidR="00873626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>respondent was no longer bound by the conditions of those serving in their initial engagement.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Th</w:t>
      </w:r>
      <w:r w:rsidR="007C0D5A" w:rsidRPr="006D4DB4">
        <w:rPr>
          <w:rFonts w:ascii="Times New Roman" w:hAnsi="Times New Roman" w:cs="Times New Roman"/>
          <w:sz w:val="24"/>
          <w:szCs w:val="24"/>
        </w:rPr>
        <w:t xml:space="preserve">e court </w:t>
      </w:r>
      <w:r w:rsidR="007C59E7" w:rsidRPr="000F464E">
        <w:rPr>
          <w:rFonts w:ascii="Times New Roman" w:hAnsi="Times New Roman" w:cs="Times New Roman"/>
          <w:i/>
          <w:sz w:val="24"/>
          <w:szCs w:val="24"/>
        </w:rPr>
        <w:t>a quo</w:t>
      </w:r>
      <w:r w:rsidR="007C59E7" w:rsidRPr="006D4DB4">
        <w:rPr>
          <w:rFonts w:ascii="Times New Roman" w:hAnsi="Times New Roman" w:cs="Times New Roman"/>
          <w:sz w:val="24"/>
          <w:szCs w:val="24"/>
        </w:rPr>
        <w:t xml:space="preserve"> further </w:t>
      </w:r>
      <w:r w:rsidR="007C0D5A" w:rsidRPr="006D4DB4">
        <w:rPr>
          <w:rFonts w:ascii="Times New Roman" w:hAnsi="Times New Roman" w:cs="Times New Roman"/>
          <w:sz w:val="24"/>
          <w:szCs w:val="24"/>
        </w:rPr>
        <w:t xml:space="preserve">found that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7C0D5A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had satisfied the grounds of review and ordered that the proceedings tha</w:t>
      </w:r>
      <w:r w:rsidR="007C59E7" w:rsidRPr="006D4DB4">
        <w:rPr>
          <w:rFonts w:ascii="Times New Roman" w:hAnsi="Times New Roman" w:cs="Times New Roman"/>
          <w:sz w:val="24"/>
          <w:szCs w:val="24"/>
        </w:rPr>
        <w:t>t led to the cancellation of his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c</w:t>
      </w:r>
      <w:r w:rsidR="007C59E7" w:rsidRPr="006D4DB4">
        <w:rPr>
          <w:rFonts w:ascii="Times New Roman" w:hAnsi="Times New Roman" w:cs="Times New Roman"/>
          <w:sz w:val="24"/>
          <w:szCs w:val="24"/>
        </w:rPr>
        <w:t>ommission and</w:t>
      </w:r>
      <w:r w:rsidR="007C0D5A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7C59E7" w:rsidRPr="006D4DB4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7C0D5A" w:rsidRPr="006D4DB4">
        <w:rPr>
          <w:rFonts w:ascii="Times New Roman" w:hAnsi="Times New Roman" w:cs="Times New Roman"/>
          <w:sz w:val="24"/>
          <w:szCs w:val="24"/>
        </w:rPr>
        <w:t>discharge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C59E7" w:rsidRPr="006D4DB4">
        <w:rPr>
          <w:rFonts w:ascii="Times New Roman" w:hAnsi="Times New Roman" w:cs="Times New Roman"/>
          <w:sz w:val="24"/>
          <w:szCs w:val="24"/>
        </w:rPr>
        <w:t>first appellant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be set aside. It further ordered that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respondent be reinstated to his</w:t>
      </w:r>
      <w:r w:rsidR="007C0D5A" w:rsidRPr="006D4DB4">
        <w:rPr>
          <w:rFonts w:ascii="Times New Roman" w:hAnsi="Times New Roman" w:cs="Times New Roman"/>
          <w:sz w:val="24"/>
          <w:szCs w:val="24"/>
        </w:rPr>
        <w:t xml:space="preserve"> former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position and awarded costs in favour of the </w:t>
      </w:r>
      <w:r w:rsidR="00C93EEF" w:rsidRPr="006D4DB4">
        <w:rPr>
          <w:rFonts w:ascii="Times New Roman" w:hAnsi="Times New Roman" w:cs="Times New Roman"/>
          <w:sz w:val="24"/>
          <w:szCs w:val="24"/>
        </w:rPr>
        <w:t>second</w:t>
      </w:r>
      <w:r w:rsidR="00252F25" w:rsidRPr="006D4DB4">
        <w:rPr>
          <w:rFonts w:ascii="Times New Roman" w:hAnsi="Times New Roman" w:cs="Times New Roman"/>
          <w:sz w:val="24"/>
          <w:szCs w:val="24"/>
        </w:rPr>
        <w:t xml:space="preserve"> respondent.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This</w:t>
      </w:r>
      <w:r w:rsidR="007C59E7" w:rsidRPr="006D4DB4">
        <w:rPr>
          <w:rFonts w:ascii="Times New Roman" w:hAnsi="Times New Roman" w:cs="Times New Roman"/>
          <w:sz w:val="24"/>
          <w:szCs w:val="24"/>
        </w:rPr>
        <w:t>, in my view,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is where the court </w:t>
      </w:r>
      <w:r w:rsidR="00BE75FE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BE75FE" w:rsidRPr="006D4DB4">
        <w:rPr>
          <w:rFonts w:ascii="Times New Roman" w:hAnsi="Times New Roman" w:cs="Times New Roman"/>
          <w:sz w:val="24"/>
          <w:szCs w:val="24"/>
        </w:rPr>
        <w:t xml:space="preserve"> made the second fundamental error.</w:t>
      </w:r>
    </w:p>
    <w:p w:rsidR="00AE5084" w:rsidRPr="006D4DB4" w:rsidRDefault="00AE5084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E23C66" w:rsidRPr="006D4DB4" w:rsidRDefault="00252F25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Aggrieved by the decision of 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>a quo,</w:t>
      </w:r>
      <w:r w:rsidRPr="006D4DB4">
        <w:rPr>
          <w:rFonts w:ascii="Times New Roman" w:hAnsi="Times New Roman" w:cs="Times New Roman"/>
          <w:sz w:val="24"/>
          <w:szCs w:val="24"/>
        </w:rPr>
        <w:t xml:space="preserve"> the appellants noted</w:t>
      </w:r>
      <w:r w:rsidR="00E23C66" w:rsidRPr="006D4DB4">
        <w:rPr>
          <w:rFonts w:ascii="Times New Roman" w:hAnsi="Times New Roman" w:cs="Times New Roman"/>
          <w:sz w:val="24"/>
          <w:szCs w:val="24"/>
        </w:rPr>
        <w:t xml:space="preserve"> an appeal to this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Court.</w:t>
      </w:r>
    </w:p>
    <w:p w:rsidR="00C93EEF" w:rsidRPr="006D4DB4" w:rsidRDefault="00C93EEF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F1AED" w:rsidRPr="006D4DB4" w:rsidRDefault="00BE75FE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It seems to me that the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issue</w:t>
      </w:r>
      <w:r w:rsidRPr="006D4DB4">
        <w:rPr>
          <w:rFonts w:ascii="Times New Roman" w:hAnsi="Times New Roman" w:cs="Times New Roman"/>
          <w:sz w:val="24"/>
          <w:szCs w:val="24"/>
        </w:rPr>
        <w:t xml:space="preserve"> that arises in this case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is whether the court </w:t>
      </w:r>
      <w:r w:rsidR="00B0667E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was correct in proceeding to determine the application </w:t>
      </w:r>
      <w:r w:rsidRPr="006D4DB4">
        <w:rPr>
          <w:rFonts w:ascii="Times New Roman" w:hAnsi="Times New Roman" w:cs="Times New Roman"/>
          <w:sz w:val="24"/>
          <w:szCs w:val="24"/>
        </w:rPr>
        <w:t xml:space="preserve">for review </w:t>
      </w:r>
      <w:r w:rsidR="000F464E">
        <w:rPr>
          <w:rFonts w:ascii="Times New Roman" w:hAnsi="Times New Roman" w:cs="Times New Roman"/>
          <w:sz w:val="24"/>
          <w:szCs w:val="24"/>
        </w:rPr>
        <w:t>in favour of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second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respondent in the absence of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7C59E7" w:rsidRPr="006D4DB4">
        <w:rPr>
          <w:rFonts w:ascii="Times New Roman" w:hAnsi="Times New Roman" w:cs="Times New Roman"/>
          <w:sz w:val="24"/>
          <w:szCs w:val="24"/>
        </w:rPr>
        <w:t xml:space="preserve"> respondent. F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rom the facts of the matter the case of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second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F1AED" w:rsidRPr="006D4DB4">
        <w:rPr>
          <w:rFonts w:ascii="Times New Roman" w:hAnsi="Times New Roman" w:cs="Times New Roman"/>
          <w:sz w:val="24"/>
          <w:szCs w:val="24"/>
        </w:rPr>
        <w:t>respondent is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intrinsically linked to that of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B0667E" w:rsidRPr="006D4DB4">
        <w:rPr>
          <w:rFonts w:ascii="Times New Roman" w:hAnsi="Times New Roman" w:cs="Times New Roman"/>
          <w:sz w:val="24"/>
          <w:szCs w:val="24"/>
        </w:rPr>
        <w:t xml:space="preserve"> respondent. 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One could not determine the issues relating to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second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respondent without determining the issues of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respondent. </w:t>
      </w:r>
      <w:r w:rsidR="007C59E7" w:rsidRPr="006D4DB4">
        <w:rPr>
          <w:rFonts w:ascii="Times New Roman" w:hAnsi="Times New Roman" w:cs="Times New Roman"/>
          <w:sz w:val="24"/>
          <w:szCs w:val="24"/>
        </w:rPr>
        <w:t>However, as the application by the first respondent had been separated from that of the second respondent her evidence was thus no longer before the court.</w:t>
      </w:r>
    </w:p>
    <w:p w:rsidR="00C140AC" w:rsidRPr="006D4DB4" w:rsidRDefault="00C140AC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140AC" w:rsidRDefault="007C59E7" w:rsidP="00D615A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he court </w:t>
      </w:r>
      <w:r w:rsidR="00CF1AED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 xml:space="preserve">thus </w:t>
      </w:r>
      <w:r w:rsidR="00CF1AED" w:rsidRPr="006D4DB4">
        <w:rPr>
          <w:rFonts w:ascii="Times New Roman" w:hAnsi="Times New Roman" w:cs="Times New Roman"/>
          <w:sz w:val="24"/>
          <w:szCs w:val="24"/>
        </w:rPr>
        <w:t>clearly erred and m</w:t>
      </w:r>
      <w:r w:rsidRPr="006D4DB4">
        <w:rPr>
          <w:rFonts w:ascii="Times New Roman" w:hAnsi="Times New Roman" w:cs="Times New Roman"/>
          <w:sz w:val="24"/>
          <w:szCs w:val="24"/>
        </w:rPr>
        <w:t>isdirected itself when it separated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the review applications of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and </w:t>
      </w:r>
      <w:r w:rsidR="00C140AC" w:rsidRPr="006D4DB4">
        <w:rPr>
          <w:rFonts w:ascii="Times New Roman" w:hAnsi="Times New Roman" w:cs="Times New Roman"/>
          <w:sz w:val="24"/>
          <w:szCs w:val="24"/>
        </w:rPr>
        <w:t>second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respondents. </w:t>
      </w:r>
    </w:p>
    <w:p w:rsidR="006D4DB4" w:rsidRPr="006D4DB4" w:rsidRDefault="006D4DB4" w:rsidP="00D615A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E23C66" w:rsidRPr="006D4DB4" w:rsidRDefault="000F464E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court </w:t>
      </w:r>
      <w:r w:rsidR="00267F49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600D7D" w:rsidRPr="006D4DB4">
        <w:rPr>
          <w:rFonts w:ascii="Times New Roman" w:hAnsi="Times New Roman" w:cs="Times New Roman"/>
          <w:i/>
          <w:sz w:val="24"/>
          <w:szCs w:val="24"/>
        </w:rPr>
        <w:t>,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made findings of irregularity in</w:t>
      </w:r>
      <w:r w:rsidR="00600D7D" w:rsidRPr="006D4DB4">
        <w:rPr>
          <w:rFonts w:ascii="Times New Roman" w:hAnsi="Times New Roman" w:cs="Times New Roman"/>
          <w:sz w:val="24"/>
          <w:szCs w:val="24"/>
        </w:rPr>
        <w:t xml:space="preserve"> relation to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the case of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respondent in circumstances where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CF1AED" w:rsidRPr="006D4DB4">
        <w:rPr>
          <w:rFonts w:ascii="Times New Roman" w:hAnsi="Times New Roman" w:cs="Times New Roman"/>
          <w:sz w:val="24"/>
          <w:szCs w:val="24"/>
        </w:rPr>
        <w:t xml:space="preserve"> respondent was not before the court</w:t>
      </w:r>
      <w:r w:rsidR="00600D7D" w:rsidRPr="006D4DB4">
        <w:rPr>
          <w:rFonts w:ascii="Times New Roman" w:hAnsi="Times New Roman" w:cs="Times New Roman"/>
          <w:sz w:val="24"/>
          <w:szCs w:val="24"/>
        </w:rPr>
        <w:t>.</w:t>
      </w:r>
      <w:r w:rsidR="00267F49" w:rsidRPr="006D4DB4">
        <w:rPr>
          <w:rFonts w:ascii="Times New Roman" w:hAnsi="Times New Roman" w:cs="Times New Roman"/>
          <w:sz w:val="24"/>
          <w:szCs w:val="24"/>
        </w:rPr>
        <w:t xml:space="preserve"> I have no doubt that the court </w:t>
      </w:r>
      <w:r w:rsidR="00267F49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600D7D" w:rsidRPr="006D4DB4">
        <w:rPr>
          <w:rFonts w:ascii="Times New Roman" w:hAnsi="Times New Roman" w:cs="Times New Roman"/>
          <w:sz w:val="24"/>
          <w:szCs w:val="24"/>
        </w:rPr>
        <w:t xml:space="preserve"> misdirected itself in this respect.</w:t>
      </w:r>
    </w:p>
    <w:p w:rsidR="00C140AC" w:rsidRPr="006D4DB4" w:rsidRDefault="00C140AC" w:rsidP="00C140AC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F4807" w:rsidRPr="006D4DB4" w:rsidRDefault="00267F49" w:rsidP="00007D2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T</w:t>
      </w:r>
      <w:r w:rsidR="008333A9" w:rsidRPr="006D4DB4">
        <w:rPr>
          <w:rFonts w:ascii="Times New Roman" w:hAnsi="Times New Roman" w:cs="Times New Roman"/>
          <w:sz w:val="24"/>
          <w:szCs w:val="24"/>
        </w:rPr>
        <w:t xml:space="preserve">he court </w:t>
      </w:r>
      <w:r w:rsidR="008333A9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8333A9" w:rsidRPr="006D4DB4">
        <w:rPr>
          <w:rFonts w:ascii="Times New Roman" w:hAnsi="Times New Roman" w:cs="Times New Roman"/>
          <w:sz w:val="24"/>
          <w:szCs w:val="24"/>
        </w:rPr>
        <w:t xml:space="preserve"> in making </w:t>
      </w:r>
      <w:r w:rsidR="004F4807" w:rsidRPr="006D4DB4">
        <w:rPr>
          <w:rFonts w:ascii="Times New Roman" w:hAnsi="Times New Roman" w:cs="Times New Roman"/>
          <w:sz w:val="24"/>
          <w:szCs w:val="24"/>
        </w:rPr>
        <w:t>its determination</w:t>
      </w:r>
      <w:r w:rsidRPr="006D4DB4">
        <w:rPr>
          <w:rFonts w:ascii="Times New Roman" w:hAnsi="Times New Roman" w:cs="Times New Roman"/>
          <w:sz w:val="24"/>
          <w:szCs w:val="24"/>
        </w:rPr>
        <w:t xml:space="preserve"> made the following finding.</w:t>
      </w:r>
    </w:p>
    <w:p w:rsidR="004F4807" w:rsidRPr="006D4DB4" w:rsidRDefault="004F4807" w:rsidP="00007D2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“On the 20</w:t>
      </w:r>
      <w:r w:rsidRPr="006D4D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D4DB4">
        <w:rPr>
          <w:rFonts w:ascii="Times New Roman" w:hAnsi="Times New Roman" w:cs="Times New Roman"/>
          <w:sz w:val="24"/>
          <w:szCs w:val="24"/>
        </w:rPr>
        <w:t xml:space="preserve"> of July 2012 the 1</w:t>
      </w:r>
      <w:r w:rsidRPr="006D4D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D4DB4">
        <w:rPr>
          <w:rFonts w:ascii="Times New Roman" w:hAnsi="Times New Roman" w:cs="Times New Roman"/>
          <w:sz w:val="24"/>
          <w:szCs w:val="24"/>
        </w:rPr>
        <w:t xml:space="preserve"> respondent had been granted authority to ‘alter their class of engagement from short service engagement to medium service in terms of s 8 of S</w:t>
      </w:r>
      <w:r w:rsidR="004A270E" w:rsidRPr="006D4DB4">
        <w:rPr>
          <w:rFonts w:ascii="Times New Roman" w:hAnsi="Times New Roman" w:cs="Times New Roman"/>
          <w:sz w:val="24"/>
          <w:szCs w:val="24"/>
        </w:rPr>
        <w:t>I</w:t>
      </w:r>
      <w:r w:rsidRPr="006D4DB4">
        <w:rPr>
          <w:rFonts w:ascii="Times New Roman" w:hAnsi="Times New Roman" w:cs="Times New Roman"/>
          <w:sz w:val="24"/>
          <w:szCs w:val="24"/>
        </w:rPr>
        <w:t xml:space="preserve"> 172 of 1989.’ At that time the first applica</w:t>
      </w:r>
      <w:r w:rsidR="00092DE0" w:rsidRPr="006D4DB4">
        <w:rPr>
          <w:rFonts w:ascii="Times New Roman" w:hAnsi="Times New Roman" w:cs="Times New Roman"/>
          <w:sz w:val="24"/>
          <w:szCs w:val="24"/>
        </w:rPr>
        <w:t>nt had not fallen pregnant. She</w:t>
      </w:r>
      <w:r w:rsidRPr="006D4DB4">
        <w:rPr>
          <w:rFonts w:ascii="Times New Roman" w:hAnsi="Times New Roman" w:cs="Times New Roman"/>
          <w:sz w:val="24"/>
          <w:szCs w:val="24"/>
        </w:rPr>
        <w:t xml:space="preserve"> only fell pregnant between September and October 2012. It is this pregnancy which resulted in her being dismissed from the ZNA and consequently the second respondent being charged with </w:t>
      </w:r>
      <w:r w:rsidR="00727726" w:rsidRPr="006D4DB4">
        <w:rPr>
          <w:rFonts w:ascii="Times New Roman" w:hAnsi="Times New Roman" w:cs="Times New Roman"/>
          <w:sz w:val="24"/>
          <w:szCs w:val="24"/>
        </w:rPr>
        <w:t>impregnating</w:t>
      </w:r>
      <w:r w:rsidRPr="006D4DB4">
        <w:rPr>
          <w:rFonts w:ascii="Times New Roman" w:hAnsi="Times New Roman" w:cs="Times New Roman"/>
          <w:sz w:val="24"/>
          <w:szCs w:val="24"/>
        </w:rPr>
        <w:t xml:space="preserve"> her (a member who was st</w:t>
      </w:r>
      <w:r w:rsidR="00727726" w:rsidRPr="006D4DB4">
        <w:rPr>
          <w:rFonts w:ascii="Times New Roman" w:hAnsi="Times New Roman" w:cs="Times New Roman"/>
          <w:sz w:val="24"/>
          <w:szCs w:val="24"/>
        </w:rPr>
        <w:t>i</w:t>
      </w:r>
      <w:r w:rsidRPr="006D4DB4">
        <w:rPr>
          <w:rFonts w:ascii="Times New Roman" w:hAnsi="Times New Roman" w:cs="Times New Roman"/>
          <w:sz w:val="24"/>
          <w:szCs w:val="24"/>
        </w:rPr>
        <w:t>ll serving her initial engagement.)</w:t>
      </w:r>
      <w:r w:rsidR="00267F49" w:rsidRPr="006D4DB4">
        <w:rPr>
          <w:rFonts w:ascii="Times New Roman" w:hAnsi="Times New Roman" w:cs="Times New Roman"/>
          <w:sz w:val="24"/>
          <w:szCs w:val="24"/>
        </w:rPr>
        <w:t>……</w:t>
      </w:r>
      <w:r w:rsidR="00D615AB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267F49" w:rsidRPr="006D4DB4">
        <w:rPr>
          <w:rFonts w:ascii="Times New Roman" w:hAnsi="Times New Roman" w:cs="Times New Roman"/>
          <w:sz w:val="24"/>
          <w:szCs w:val="24"/>
        </w:rPr>
        <w:t xml:space="preserve">For the avoidance of doubt it was improper </w:t>
      </w:r>
      <w:r w:rsidR="00F04AED" w:rsidRPr="006D4DB4">
        <w:rPr>
          <w:rFonts w:ascii="Times New Roman" w:hAnsi="Times New Roman" w:cs="Times New Roman"/>
          <w:sz w:val="24"/>
          <w:szCs w:val="24"/>
        </w:rPr>
        <w:t>to charge the second applicant’s</w:t>
      </w:r>
      <w:r w:rsidR="00267F49" w:rsidRPr="006D4DB4">
        <w:rPr>
          <w:rFonts w:ascii="Times New Roman" w:hAnsi="Times New Roman" w:cs="Times New Roman"/>
          <w:sz w:val="24"/>
          <w:szCs w:val="24"/>
        </w:rPr>
        <w:t xml:space="preserve"> wife </w:t>
      </w:r>
      <w:r w:rsidR="00F04AED" w:rsidRPr="006D4DB4">
        <w:rPr>
          <w:rFonts w:ascii="Times New Roman" w:hAnsi="Times New Roman" w:cs="Times New Roman"/>
          <w:sz w:val="24"/>
          <w:szCs w:val="24"/>
        </w:rPr>
        <w:t>and consequently the second app</w:t>
      </w:r>
      <w:r w:rsidR="00930443" w:rsidRPr="006D4DB4">
        <w:rPr>
          <w:rFonts w:ascii="Times New Roman" w:hAnsi="Times New Roman" w:cs="Times New Roman"/>
          <w:sz w:val="24"/>
          <w:szCs w:val="24"/>
        </w:rPr>
        <w:t>licant for her falling pregnant</w:t>
      </w:r>
      <w:r w:rsidR="00727726" w:rsidRPr="006D4DB4">
        <w:rPr>
          <w:rFonts w:ascii="Times New Roman" w:hAnsi="Times New Roman" w:cs="Times New Roman"/>
          <w:sz w:val="24"/>
          <w:szCs w:val="24"/>
        </w:rPr>
        <w:t>”</w:t>
      </w:r>
    </w:p>
    <w:p w:rsidR="00C140AC" w:rsidRPr="006D4DB4" w:rsidRDefault="00C140AC" w:rsidP="00C140AC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140AC" w:rsidRPr="006D4DB4" w:rsidRDefault="00C140AC" w:rsidP="00C140AC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F6F25" w:rsidRPr="006D4DB4" w:rsidRDefault="009D6EAC" w:rsidP="00007D2B">
      <w:pPr>
        <w:spacing w:before="240"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From t</w:t>
      </w:r>
      <w:r w:rsidR="00727726" w:rsidRPr="006D4DB4">
        <w:rPr>
          <w:rFonts w:ascii="Times New Roman" w:hAnsi="Times New Roman" w:cs="Times New Roman"/>
          <w:sz w:val="24"/>
          <w:szCs w:val="24"/>
        </w:rPr>
        <w:t xml:space="preserve">he </w:t>
      </w:r>
      <w:r w:rsidRPr="006D4DB4">
        <w:rPr>
          <w:rFonts w:ascii="Times New Roman" w:hAnsi="Times New Roman" w:cs="Times New Roman"/>
          <w:sz w:val="24"/>
          <w:szCs w:val="24"/>
        </w:rPr>
        <w:t xml:space="preserve">above it is apparent that the </w:t>
      </w:r>
      <w:r w:rsidR="00727726" w:rsidRPr="006D4DB4">
        <w:rPr>
          <w:rFonts w:ascii="Times New Roman" w:hAnsi="Times New Roman" w:cs="Times New Roman"/>
          <w:sz w:val="24"/>
          <w:szCs w:val="24"/>
        </w:rPr>
        <w:t xml:space="preserve">court </w:t>
      </w:r>
      <w:r w:rsidR="00727726"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727726" w:rsidRPr="006D4DB4">
        <w:rPr>
          <w:rFonts w:ascii="Times New Roman" w:hAnsi="Times New Roman" w:cs="Times New Roman"/>
          <w:sz w:val="24"/>
          <w:szCs w:val="24"/>
        </w:rPr>
        <w:t xml:space="preserve"> in arriving at its decisio</w:t>
      </w:r>
      <w:r w:rsidR="00960620" w:rsidRPr="006D4DB4">
        <w:rPr>
          <w:rFonts w:ascii="Times New Roman" w:hAnsi="Times New Roman" w:cs="Times New Roman"/>
          <w:sz w:val="24"/>
          <w:szCs w:val="24"/>
        </w:rPr>
        <w:t>n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made factual findings in respect to the </w:t>
      </w:r>
      <w:r w:rsidR="00C140AC" w:rsidRPr="006D4DB4">
        <w:rPr>
          <w:rFonts w:ascii="Times New Roman" w:hAnsi="Times New Roman" w:cs="Times New Roman"/>
          <w:sz w:val="24"/>
          <w:szCs w:val="24"/>
        </w:rPr>
        <w:t xml:space="preserve">first </w:t>
      </w:r>
      <w:r w:rsidR="00600D7D" w:rsidRPr="006D4DB4">
        <w:rPr>
          <w:rFonts w:ascii="Times New Roman" w:hAnsi="Times New Roman" w:cs="Times New Roman"/>
          <w:sz w:val="24"/>
          <w:szCs w:val="24"/>
        </w:rPr>
        <w:t>respondent.</w:t>
      </w:r>
      <w:r w:rsidRPr="006D4DB4">
        <w:rPr>
          <w:rFonts w:ascii="Times New Roman" w:hAnsi="Times New Roman" w:cs="Times New Roman"/>
          <w:sz w:val="24"/>
          <w:szCs w:val="24"/>
        </w:rPr>
        <w:t xml:space="preserve"> The court found that the restriction on falling pregnant was only imposed</w:t>
      </w:r>
      <w:r w:rsidR="00600D7D" w:rsidRPr="006D4DB4">
        <w:rPr>
          <w:rFonts w:ascii="Times New Roman" w:hAnsi="Times New Roman" w:cs="Times New Roman"/>
          <w:sz w:val="24"/>
          <w:szCs w:val="24"/>
        </w:rPr>
        <w:t xml:space="preserve"> on</w:t>
      </w:r>
      <w:r w:rsidRPr="006D4DB4">
        <w:rPr>
          <w:rFonts w:ascii="Times New Roman" w:hAnsi="Times New Roman" w:cs="Times New Roman"/>
          <w:sz w:val="24"/>
          <w:szCs w:val="24"/>
        </w:rPr>
        <w:t xml:space="preserve"> members who were still serving their initial engagements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. It thereafter assessed the evidence and found that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600D7D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was no longer serving her initial engagement.</w:t>
      </w:r>
      <w:r w:rsidR="00600D7D" w:rsidRPr="006D4DB4">
        <w:rPr>
          <w:rFonts w:ascii="Times New Roman" w:hAnsi="Times New Roman" w:cs="Times New Roman"/>
          <w:sz w:val="24"/>
          <w:szCs w:val="24"/>
        </w:rPr>
        <w:t xml:space="preserve"> The court could not come to this conclusion 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as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AB4160" w:rsidRPr="006D4DB4">
        <w:rPr>
          <w:rFonts w:ascii="Times New Roman" w:hAnsi="Times New Roman" w:cs="Times New Roman"/>
          <w:sz w:val="24"/>
          <w:szCs w:val="24"/>
        </w:rPr>
        <w:t>’</w:t>
      </w:r>
      <w:r w:rsidR="00600D7D" w:rsidRPr="006D4DB4">
        <w:rPr>
          <w:rFonts w:ascii="Times New Roman" w:hAnsi="Times New Roman" w:cs="Times New Roman"/>
          <w:sz w:val="24"/>
          <w:szCs w:val="24"/>
        </w:rPr>
        <w:t>s evidence was no longer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before the court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. It was imperative 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from the facts of this case </w:t>
      </w:r>
      <w:r w:rsidR="00B71FC9" w:rsidRPr="006D4DB4">
        <w:rPr>
          <w:rFonts w:ascii="Times New Roman" w:hAnsi="Times New Roman" w:cs="Times New Roman"/>
          <w:sz w:val="24"/>
          <w:szCs w:val="24"/>
        </w:rPr>
        <w:t>for the court to have h</w:t>
      </w:r>
      <w:r w:rsidR="00327D8B" w:rsidRPr="006D4DB4">
        <w:rPr>
          <w:rFonts w:ascii="Times New Roman" w:hAnsi="Times New Roman" w:cs="Times New Roman"/>
          <w:sz w:val="24"/>
          <w:szCs w:val="24"/>
        </w:rPr>
        <w:t xml:space="preserve">eard both applications together as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second</w:t>
      </w:r>
      <w:r w:rsidR="00327D8B" w:rsidRPr="006D4DB4">
        <w:rPr>
          <w:rFonts w:ascii="Times New Roman" w:hAnsi="Times New Roman" w:cs="Times New Roman"/>
          <w:sz w:val="24"/>
          <w:szCs w:val="24"/>
        </w:rPr>
        <w:t xml:space="preserve"> respon</w:t>
      </w:r>
      <w:r w:rsidRPr="006D4DB4">
        <w:rPr>
          <w:rFonts w:ascii="Times New Roman" w:hAnsi="Times New Roman" w:cs="Times New Roman"/>
          <w:sz w:val="24"/>
          <w:szCs w:val="24"/>
        </w:rPr>
        <w:t>d</w:t>
      </w:r>
      <w:r w:rsidR="00327D8B" w:rsidRPr="006D4DB4">
        <w:rPr>
          <w:rFonts w:ascii="Times New Roman" w:hAnsi="Times New Roman" w:cs="Times New Roman"/>
          <w:sz w:val="24"/>
          <w:szCs w:val="24"/>
        </w:rPr>
        <w:t>ent</w:t>
      </w:r>
      <w:r w:rsidR="00C140AC" w:rsidRPr="006D4DB4">
        <w:rPr>
          <w:rFonts w:ascii="Times New Roman" w:hAnsi="Times New Roman" w:cs="Times New Roman"/>
          <w:sz w:val="24"/>
          <w:szCs w:val="24"/>
        </w:rPr>
        <w:t>’</w:t>
      </w:r>
      <w:r w:rsidR="00327D8B" w:rsidRPr="006D4DB4">
        <w:rPr>
          <w:rFonts w:ascii="Times New Roman" w:hAnsi="Times New Roman" w:cs="Times New Roman"/>
          <w:sz w:val="24"/>
          <w:szCs w:val="24"/>
        </w:rPr>
        <w:t>s act of misconduct arose</w:t>
      </w:r>
      <w:r w:rsidR="00DF6F25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327D8B" w:rsidRPr="006D4DB4">
        <w:rPr>
          <w:rFonts w:ascii="Times New Roman" w:hAnsi="Times New Roman" w:cs="Times New Roman"/>
          <w:sz w:val="24"/>
          <w:szCs w:val="24"/>
        </w:rPr>
        <w:t xml:space="preserve">from the finding of guilt of the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327D8B" w:rsidRPr="006D4DB4">
        <w:rPr>
          <w:rFonts w:ascii="Times New Roman" w:hAnsi="Times New Roman" w:cs="Times New Roman"/>
          <w:sz w:val="24"/>
          <w:szCs w:val="24"/>
        </w:rPr>
        <w:t xml:space="preserve"> respondent.</w:t>
      </w:r>
    </w:p>
    <w:p w:rsidR="00C140AC" w:rsidRPr="006D4DB4" w:rsidRDefault="00C140AC" w:rsidP="00C140AC">
      <w:pPr>
        <w:spacing w:before="240"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6D4DB4" w:rsidRDefault="00600D7D" w:rsidP="00007D2B">
      <w:pPr>
        <w:spacing w:before="240"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T</w:t>
      </w:r>
      <w:r w:rsidR="00B71FC9" w:rsidRPr="006D4DB4">
        <w:rPr>
          <w:rFonts w:ascii="Times New Roman" w:hAnsi="Times New Roman" w:cs="Times New Roman"/>
          <w:sz w:val="24"/>
          <w:szCs w:val="24"/>
        </w:rPr>
        <w:t>he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court </w:t>
      </w:r>
      <w:r w:rsidR="00D14979" w:rsidRPr="006D4DB4">
        <w:rPr>
          <w:rFonts w:ascii="Times New Roman" w:hAnsi="Times New Roman" w:cs="Times New Roman"/>
          <w:i/>
          <w:sz w:val="24"/>
          <w:szCs w:val="24"/>
        </w:rPr>
        <w:t>a</w:t>
      </w:r>
      <w:r w:rsidR="007F4DAD" w:rsidRPr="006D4D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4979" w:rsidRPr="006D4DB4">
        <w:rPr>
          <w:rFonts w:ascii="Times New Roman" w:hAnsi="Times New Roman" w:cs="Times New Roman"/>
          <w:i/>
          <w:sz w:val="24"/>
          <w:szCs w:val="24"/>
        </w:rPr>
        <w:t>quo</w:t>
      </w:r>
      <w:r w:rsidRPr="006D4DB4">
        <w:rPr>
          <w:rFonts w:ascii="Times New Roman" w:hAnsi="Times New Roman" w:cs="Times New Roman"/>
          <w:sz w:val="24"/>
          <w:szCs w:val="24"/>
        </w:rPr>
        <w:t xml:space="preserve"> having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found that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C140AC" w:rsidRPr="006D4DB4">
        <w:rPr>
          <w:rFonts w:ascii="Times New Roman" w:hAnsi="Times New Roman" w:cs="Times New Roman"/>
          <w:sz w:val="24"/>
          <w:szCs w:val="24"/>
        </w:rPr>
        <w:t>first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respondent was not properly be</w:t>
      </w:r>
      <w:r w:rsidRPr="006D4DB4">
        <w:rPr>
          <w:rFonts w:ascii="Times New Roman" w:hAnsi="Times New Roman" w:cs="Times New Roman"/>
          <w:sz w:val="24"/>
          <w:szCs w:val="24"/>
        </w:rPr>
        <w:t>fore</w:t>
      </w:r>
      <w:r w:rsidR="00DF6F25" w:rsidRPr="006D4DB4">
        <w:rPr>
          <w:rFonts w:ascii="Times New Roman" w:hAnsi="Times New Roman" w:cs="Times New Roman"/>
          <w:sz w:val="24"/>
          <w:szCs w:val="24"/>
        </w:rPr>
        <w:t xml:space="preserve"> it</w:t>
      </w:r>
      <w:r w:rsidRPr="006D4DB4">
        <w:rPr>
          <w:rFonts w:ascii="Times New Roman" w:hAnsi="Times New Roman" w:cs="Times New Roman"/>
          <w:sz w:val="24"/>
          <w:szCs w:val="24"/>
        </w:rPr>
        <w:t xml:space="preserve"> ought to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have postponed both matters and awaited the application for condonation to be </w:t>
      </w:r>
      <w:r w:rsidR="00B71FC9" w:rsidRPr="006D4DB4">
        <w:rPr>
          <w:rFonts w:ascii="Times New Roman" w:hAnsi="Times New Roman" w:cs="Times New Roman"/>
          <w:sz w:val="24"/>
          <w:szCs w:val="24"/>
        </w:rPr>
        <w:lastRenderedPageBreak/>
        <w:t>determined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first</w:t>
      </w:r>
      <w:r w:rsidR="00DF6F25" w:rsidRPr="006D4DB4">
        <w:rPr>
          <w:rFonts w:ascii="Times New Roman" w:hAnsi="Times New Roman" w:cs="Times New Roman"/>
          <w:sz w:val="24"/>
          <w:szCs w:val="24"/>
        </w:rPr>
        <w:t xml:space="preserve"> before proceeding to deal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with</w:t>
      </w:r>
      <w:r w:rsidR="009D6EAC" w:rsidRPr="006D4DB4">
        <w:rPr>
          <w:rFonts w:ascii="Times New Roman" w:hAnsi="Times New Roman" w:cs="Times New Roman"/>
          <w:sz w:val="24"/>
          <w:szCs w:val="24"/>
        </w:rPr>
        <w:t xml:space="preserve"> the review application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9D6EAC" w:rsidRPr="006D4DB4">
        <w:rPr>
          <w:rFonts w:ascii="Times New Roman" w:hAnsi="Times New Roman" w:cs="Times New Roman"/>
          <w:sz w:val="24"/>
          <w:szCs w:val="24"/>
        </w:rPr>
        <w:t xml:space="preserve">by 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the </w:t>
      </w:r>
      <w:r w:rsidR="00C140AC" w:rsidRPr="006D4DB4">
        <w:rPr>
          <w:rFonts w:ascii="Times New Roman" w:hAnsi="Times New Roman" w:cs="Times New Roman"/>
          <w:sz w:val="24"/>
          <w:szCs w:val="24"/>
        </w:rPr>
        <w:t>second</w:t>
      </w:r>
      <w:r w:rsidR="00B71FC9" w:rsidRPr="006D4DB4">
        <w:rPr>
          <w:rFonts w:ascii="Times New Roman" w:hAnsi="Times New Roman" w:cs="Times New Roman"/>
          <w:sz w:val="24"/>
          <w:szCs w:val="24"/>
        </w:rPr>
        <w:t xml:space="preserve"> respondent.</w:t>
      </w:r>
    </w:p>
    <w:p w:rsidR="00AE5084" w:rsidRPr="006D4DB4" w:rsidRDefault="00AE5084" w:rsidP="00AE5084">
      <w:pPr>
        <w:spacing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DF6F25" w:rsidRPr="006D4DB4" w:rsidRDefault="007B6353" w:rsidP="00007D2B">
      <w:pPr>
        <w:spacing w:before="24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It is trite that where</w:t>
      </w:r>
      <w:r w:rsidR="007F4DAD" w:rsidRPr="006D4DB4">
        <w:rPr>
          <w:rFonts w:ascii="Times New Roman" w:hAnsi="Times New Roman" w:cs="Times New Roman"/>
          <w:sz w:val="24"/>
          <w:szCs w:val="24"/>
        </w:rPr>
        <w:t xml:space="preserve"> such </w:t>
      </w:r>
      <w:r w:rsidR="00D14979" w:rsidRPr="006D4DB4">
        <w:rPr>
          <w:rFonts w:ascii="Times New Roman" w:hAnsi="Times New Roman" w:cs="Times New Roman"/>
          <w:sz w:val="24"/>
          <w:szCs w:val="24"/>
        </w:rPr>
        <w:t>irregularities occur</w:t>
      </w:r>
      <w:r w:rsidR="00DF6F25" w:rsidRPr="006D4DB4">
        <w:rPr>
          <w:rFonts w:ascii="Times New Roman" w:hAnsi="Times New Roman" w:cs="Times New Roman"/>
          <w:sz w:val="24"/>
          <w:szCs w:val="24"/>
        </w:rPr>
        <w:t xml:space="preserve"> this</w:t>
      </w:r>
      <w:r w:rsidR="00C140AC" w:rsidRPr="006D4DB4">
        <w:rPr>
          <w:rFonts w:ascii="Times New Roman" w:hAnsi="Times New Roman" w:cs="Times New Roman"/>
          <w:sz w:val="24"/>
          <w:szCs w:val="24"/>
        </w:rPr>
        <w:t xml:space="preserve"> C</w:t>
      </w:r>
      <w:r w:rsidRPr="006D4DB4">
        <w:rPr>
          <w:rFonts w:ascii="Times New Roman" w:hAnsi="Times New Roman" w:cs="Times New Roman"/>
          <w:sz w:val="24"/>
          <w:szCs w:val="24"/>
        </w:rPr>
        <w:t xml:space="preserve">ourt may </w:t>
      </w:r>
      <w:r w:rsidR="006578F2" w:rsidRPr="006D4DB4">
        <w:rPr>
          <w:rFonts w:ascii="Times New Roman" w:hAnsi="Times New Roman" w:cs="Times New Roman"/>
          <w:i/>
          <w:sz w:val="24"/>
          <w:szCs w:val="24"/>
        </w:rPr>
        <w:t>meru moto</w:t>
      </w:r>
      <w:r w:rsidR="006578F2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>invoke its</w:t>
      </w:r>
      <w:r w:rsidR="00DF6F25" w:rsidRPr="006D4DB4">
        <w:rPr>
          <w:rFonts w:ascii="Times New Roman" w:hAnsi="Times New Roman" w:cs="Times New Roman"/>
          <w:sz w:val="24"/>
          <w:szCs w:val="24"/>
        </w:rPr>
        <w:t xml:space="preserve"> review</w:t>
      </w:r>
      <w:r w:rsidRPr="006D4DB4">
        <w:rPr>
          <w:rFonts w:ascii="Times New Roman" w:hAnsi="Times New Roman" w:cs="Times New Roman"/>
          <w:sz w:val="24"/>
          <w:szCs w:val="24"/>
        </w:rPr>
        <w:t xml:space="preserve"> powers in terms of s</w:t>
      </w:r>
      <w:r w:rsidR="00C140AC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sz w:val="24"/>
          <w:szCs w:val="24"/>
        </w:rPr>
        <w:t xml:space="preserve">25 of the Supreme Court Act </w:t>
      </w:r>
      <w:r w:rsidR="007F4DAD" w:rsidRPr="006D4DB4">
        <w:rPr>
          <w:rFonts w:ascii="Times New Roman" w:hAnsi="Times New Roman" w:cs="Times New Roman"/>
          <w:sz w:val="24"/>
          <w:szCs w:val="24"/>
        </w:rPr>
        <w:t>[</w:t>
      </w:r>
      <w:r w:rsidR="007F4DAD" w:rsidRPr="006D4DB4">
        <w:rPr>
          <w:rFonts w:ascii="Times New Roman" w:hAnsi="Times New Roman" w:cs="Times New Roman"/>
          <w:i/>
          <w:sz w:val="24"/>
          <w:szCs w:val="24"/>
        </w:rPr>
        <w:t>Chapter 7:13</w:t>
      </w:r>
      <w:r w:rsidR="00DF6F25" w:rsidRPr="006D4DB4">
        <w:rPr>
          <w:rFonts w:ascii="Times New Roman" w:hAnsi="Times New Roman" w:cs="Times New Roman"/>
          <w:sz w:val="24"/>
          <w:szCs w:val="24"/>
        </w:rPr>
        <w:t xml:space="preserve">] </w:t>
      </w:r>
      <w:r w:rsidRPr="006D4DB4">
        <w:rPr>
          <w:rFonts w:ascii="Times New Roman" w:hAnsi="Times New Roman" w:cs="Times New Roman"/>
          <w:sz w:val="24"/>
          <w:szCs w:val="24"/>
        </w:rPr>
        <w:t xml:space="preserve">and set aside the decision of 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6578F2" w:rsidRPr="006D4D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78F2" w:rsidRPr="006D4DB4">
        <w:rPr>
          <w:rFonts w:ascii="Times New Roman" w:hAnsi="Times New Roman" w:cs="Times New Roman"/>
          <w:sz w:val="24"/>
          <w:szCs w:val="24"/>
        </w:rPr>
        <w:t>as the grounds of appeal did not raise the above issues</w:t>
      </w:r>
      <w:r w:rsidRPr="006D4DB4">
        <w:rPr>
          <w:rFonts w:ascii="Times New Roman" w:hAnsi="Times New Roman" w:cs="Times New Roman"/>
          <w:sz w:val="24"/>
          <w:szCs w:val="24"/>
        </w:rPr>
        <w:t>.</w:t>
      </w:r>
      <w:r w:rsidR="00600D7D" w:rsidRPr="006D4DB4">
        <w:rPr>
          <w:rFonts w:ascii="Times New Roman" w:hAnsi="Times New Roman" w:cs="Times New Roman"/>
          <w:sz w:val="24"/>
          <w:szCs w:val="24"/>
        </w:rPr>
        <w:t xml:space="preserve"> In my view the irregularities highlighted abov</w:t>
      </w:r>
      <w:r w:rsidR="006578F2" w:rsidRPr="006D4DB4">
        <w:rPr>
          <w:rFonts w:ascii="Times New Roman" w:hAnsi="Times New Roman" w:cs="Times New Roman"/>
          <w:sz w:val="24"/>
          <w:szCs w:val="24"/>
        </w:rPr>
        <w:t xml:space="preserve">e fall under this category. </w:t>
      </w:r>
    </w:p>
    <w:p w:rsidR="00C140AC" w:rsidRPr="006D4DB4" w:rsidRDefault="00C140AC" w:rsidP="00C140AC">
      <w:pPr>
        <w:spacing w:before="240"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140AC" w:rsidRPr="006D4DB4" w:rsidRDefault="00DF6F25" w:rsidP="00007D2B">
      <w:pPr>
        <w:spacing w:before="240"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With regards to costs, it is my view that</w:t>
      </w:r>
      <w:r w:rsidR="007B6353" w:rsidRPr="006D4DB4">
        <w:rPr>
          <w:rFonts w:ascii="Times New Roman" w:hAnsi="Times New Roman" w:cs="Times New Roman"/>
          <w:sz w:val="24"/>
          <w:szCs w:val="24"/>
        </w:rPr>
        <w:t xml:space="preserve"> </w:t>
      </w:r>
      <w:r w:rsidR="00930443" w:rsidRPr="006D4DB4">
        <w:rPr>
          <w:rFonts w:ascii="Times New Roman" w:hAnsi="Times New Roman" w:cs="Times New Roman"/>
          <w:sz w:val="24"/>
          <w:szCs w:val="24"/>
        </w:rPr>
        <w:t>as the appellants</w:t>
      </w:r>
      <w:r w:rsidR="00444595">
        <w:rPr>
          <w:rFonts w:ascii="Times New Roman" w:hAnsi="Times New Roman" w:cs="Times New Roman"/>
          <w:sz w:val="24"/>
          <w:szCs w:val="24"/>
        </w:rPr>
        <w:t xml:space="preserve"> had not raised this</w:t>
      </w:r>
      <w:r w:rsidRPr="006D4DB4">
        <w:rPr>
          <w:rFonts w:ascii="Times New Roman" w:hAnsi="Times New Roman" w:cs="Times New Roman"/>
          <w:sz w:val="24"/>
          <w:szCs w:val="24"/>
        </w:rPr>
        <w:t xml:space="preserve"> issue and it was only raised by the court, no award of costs should be made</w:t>
      </w:r>
      <w:r w:rsidR="006578F2" w:rsidRPr="006D4DB4">
        <w:rPr>
          <w:rFonts w:ascii="Times New Roman" w:hAnsi="Times New Roman" w:cs="Times New Roman"/>
          <w:sz w:val="24"/>
          <w:szCs w:val="24"/>
        </w:rPr>
        <w:t xml:space="preserve"> in their favour</w:t>
      </w:r>
      <w:r w:rsidRPr="006D4DB4">
        <w:rPr>
          <w:rFonts w:ascii="Times New Roman" w:hAnsi="Times New Roman" w:cs="Times New Roman"/>
          <w:sz w:val="24"/>
          <w:szCs w:val="24"/>
        </w:rPr>
        <w:t>.</w:t>
      </w:r>
    </w:p>
    <w:p w:rsidR="007B6353" w:rsidRPr="006D4DB4" w:rsidRDefault="00DF6F25" w:rsidP="00C140AC">
      <w:pPr>
        <w:spacing w:before="240"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6353" w:rsidRPr="006D4DB4" w:rsidRDefault="007B6353" w:rsidP="00007D2B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Accordingly</w:t>
      </w:r>
      <w:r w:rsidR="00D14979" w:rsidRPr="006D4DB4">
        <w:rPr>
          <w:rFonts w:ascii="Times New Roman" w:hAnsi="Times New Roman" w:cs="Times New Roman"/>
          <w:sz w:val="24"/>
          <w:szCs w:val="24"/>
        </w:rPr>
        <w:t>,</w:t>
      </w:r>
      <w:r w:rsidRPr="006D4DB4">
        <w:rPr>
          <w:rFonts w:ascii="Times New Roman" w:hAnsi="Times New Roman" w:cs="Times New Roman"/>
          <w:sz w:val="24"/>
          <w:szCs w:val="24"/>
        </w:rPr>
        <w:t xml:space="preserve"> I make the following order:</w:t>
      </w:r>
    </w:p>
    <w:p w:rsidR="007B6353" w:rsidRPr="006D4DB4" w:rsidRDefault="007B6353" w:rsidP="00AE5084">
      <w:pPr>
        <w:pStyle w:val="ListParagraph"/>
        <w:numPr>
          <w:ilvl w:val="0"/>
          <w:numId w:val="4"/>
        </w:numPr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>The appeal succeeds with no order as to costs.</w:t>
      </w:r>
    </w:p>
    <w:p w:rsidR="007B6353" w:rsidRPr="006D4DB4" w:rsidRDefault="007B6353" w:rsidP="00007D2B">
      <w:pPr>
        <w:pStyle w:val="ListParagraph"/>
        <w:numPr>
          <w:ilvl w:val="0"/>
          <w:numId w:val="4"/>
        </w:numPr>
        <w:tabs>
          <w:tab w:val="left" w:pos="1530"/>
        </w:tabs>
        <w:spacing w:before="240" w:after="0"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="00D14979" w:rsidRPr="006D4DB4">
        <w:rPr>
          <w:rFonts w:ascii="Times New Roman" w:hAnsi="Times New Roman" w:cs="Times New Roman"/>
          <w:sz w:val="24"/>
          <w:szCs w:val="24"/>
        </w:rPr>
        <w:t xml:space="preserve"> be and </w:t>
      </w:r>
      <w:r w:rsidRPr="006D4DB4">
        <w:rPr>
          <w:rFonts w:ascii="Times New Roman" w:hAnsi="Times New Roman" w:cs="Times New Roman"/>
          <w:sz w:val="24"/>
          <w:szCs w:val="24"/>
        </w:rPr>
        <w:t>is hereby set aside.</w:t>
      </w:r>
    </w:p>
    <w:p w:rsidR="00327D8B" w:rsidRPr="006D4DB4" w:rsidRDefault="007B6353" w:rsidP="00C140AC">
      <w:pPr>
        <w:pStyle w:val="ListParagraph"/>
        <w:numPr>
          <w:ilvl w:val="0"/>
          <w:numId w:val="4"/>
        </w:numPr>
        <w:spacing w:before="240" w:after="0"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sz w:val="24"/>
          <w:szCs w:val="24"/>
        </w:rPr>
        <w:t xml:space="preserve">The matter is remitted to the court </w:t>
      </w:r>
      <w:r w:rsidRPr="006D4DB4">
        <w:rPr>
          <w:rFonts w:ascii="Times New Roman" w:hAnsi="Times New Roman" w:cs="Times New Roman"/>
          <w:i/>
          <w:sz w:val="24"/>
          <w:szCs w:val="24"/>
        </w:rPr>
        <w:t>a quo</w:t>
      </w:r>
      <w:r w:rsidRPr="006D4DB4">
        <w:rPr>
          <w:rFonts w:ascii="Times New Roman" w:hAnsi="Times New Roman" w:cs="Times New Roman"/>
          <w:sz w:val="24"/>
          <w:szCs w:val="24"/>
        </w:rPr>
        <w:t xml:space="preserve"> for a hearing </w:t>
      </w:r>
      <w:r w:rsidRPr="006D4DB4">
        <w:rPr>
          <w:rFonts w:ascii="Times New Roman" w:hAnsi="Times New Roman" w:cs="Times New Roman"/>
          <w:i/>
          <w:sz w:val="24"/>
          <w:szCs w:val="24"/>
        </w:rPr>
        <w:t>de</w:t>
      </w:r>
      <w:r w:rsidR="00D14979" w:rsidRPr="006D4D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4DB4">
        <w:rPr>
          <w:rFonts w:ascii="Times New Roman" w:hAnsi="Times New Roman" w:cs="Times New Roman"/>
          <w:i/>
          <w:sz w:val="24"/>
          <w:szCs w:val="24"/>
        </w:rPr>
        <w:t>novo</w:t>
      </w:r>
      <w:r w:rsidR="00D14979" w:rsidRPr="006D4DB4">
        <w:rPr>
          <w:rFonts w:ascii="Times New Roman" w:hAnsi="Times New Roman" w:cs="Times New Roman"/>
          <w:sz w:val="24"/>
          <w:szCs w:val="24"/>
        </w:rPr>
        <w:t>,</w:t>
      </w:r>
      <w:r w:rsidRPr="006D4DB4">
        <w:rPr>
          <w:rFonts w:ascii="Times New Roman" w:hAnsi="Times New Roman" w:cs="Times New Roman"/>
          <w:sz w:val="24"/>
          <w:szCs w:val="24"/>
        </w:rPr>
        <w:t xml:space="preserve"> before a different Judge. </w:t>
      </w:r>
    </w:p>
    <w:p w:rsidR="006578F2" w:rsidRPr="006D4DB4" w:rsidRDefault="006578F2" w:rsidP="00007D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78E" w:rsidRPr="006D4DB4" w:rsidRDefault="000139FF" w:rsidP="00C140A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>MAKARAU JA</w:t>
      </w:r>
      <w:r w:rsidR="0007478E" w:rsidRPr="006D4DB4">
        <w:rPr>
          <w:rFonts w:ascii="Times New Roman" w:hAnsi="Times New Roman" w:cs="Times New Roman"/>
          <w:b/>
          <w:sz w:val="24"/>
          <w:szCs w:val="24"/>
        </w:rPr>
        <w:t>:</w:t>
      </w:r>
      <w:r w:rsidR="0007478E" w:rsidRPr="006D4DB4">
        <w:rPr>
          <w:rFonts w:ascii="Times New Roman" w:hAnsi="Times New Roman" w:cs="Times New Roman"/>
          <w:sz w:val="24"/>
          <w:szCs w:val="24"/>
        </w:rPr>
        <w:t xml:space="preserve">     </w:t>
      </w:r>
      <w:r w:rsidR="006D4DB4">
        <w:rPr>
          <w:rFonts w:ascii="Times New Roman" w:hAnsi="Times New Roman" w:cs="Times New Roman"/>
          <w:sz w:val="24"/>
          <w:szCs w:val="24"/>
        </w:rPr>
        <w:tab/>
      </w:r>
      <w:r w:rsidR="00960620" w:rsidRPr="006D4DB4">
        <w:rPr>
          <w:rFonts w:ascii="Times New Roman" w:hAnsi="Times New Roman" w:cs="Times New Roman"/>
          <w:sz w:val="24"/>
          <w:szCs w:val="24"/>
        </w:rPr>
        <w:tab/>
      </w:r>
      <w:r w:rsidR="0007478E" w:rsidRPr="006D4DB4">
        <w:rPr>
          <w:rFonts w:ascii="Times New Roman" w:hAnsi="Times New Roman" w:cs="Times New Roman"/>
          <w:sz w:val="24"/>
          <w:szCs w:val="24"/>
        </w:rPr>
        <w:t xml:space="preserve">I agree   </w:t>
      </w:r>
    </w:p>
    <w:p w:rsidR="00007D2B" w:rsidRPr="006D4DB4" w:rsidRDefault="00007D2B" w:rsidP="00C140A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139FF" w:rsidRPr="006D4DB4" w:rsidRDefault="000139FF" w:rsidP="00C140A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b/>
          <w:sz w:val="24"/>
          <w:szCs w:val="24"/>
        </w:rPr>
        <w:t>MAVANGIRA JA</w:t>
      </w:r>
      <w:r w:rsidR="0007478E" w:rsidRPr="006D4DB4">
        <w:rPr>
          <w:rFonts w:ascii="Times New Roman" w:hAnsi="Times New Roman" w:cs="Times New Roman"/>
          <w:b/>
          <w:sz w:val="24"/>
          <w:szCs w:val="24"/>
        </w:rPr>
        <w:t>:</w:t>
      </w:r>
      <w:r w:rsidRPr="006D4DB4">
        <w:rPr>
          <w:rFonts w:ascii="Times New Roman" w:hAnsi="Times New Roman" w:cs="Times New Roman"/>
          <w:sz w:val="24"/>
          <w:szCs w:val="24"/>
        </w:rPr>
        <w:t xml:space="preserve">    </w:t>
      </w:r>
      <w:r w:rsidR="00960620" w:rsidRPr="006D4DB4">
        <w:rPr>
          <w:rFonts w:ascii="Times New Roman" w:hAnsi="Times New Roman" w:cs="Times New Roman"/>
          <w:sz w:val="24"/>
          <w:szCs w:val="24"/>
        </w:rPr>
        <w:tab/>
      </w:r>
      <w:r w:rsidRPr="006D4DB4">
        <w:rPr>
          <w:rFonts w:ascii="Times New Roman" w:hAnsi="Times New Roman" w:cs="Times New Roman"/>
          <w:sz w:val="24"/>
          <w:szCs w:val="24"/>
        </w:rPr>
        <w:t xml:space="preserve">I agree  </w:t>
      </w:r>
    </w:p>
    <w:p w:rsidR="00606D96" w:rsidRPr="006D4DB4" w:rsidRDefault="00606D96" w:rsidP="00C140AC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7478E" w:rsidRPr="006D4DB4" w:rsidRDefault="000139FF" w:rsidP="00C140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i/>
          <w:sz w:val="24"/>
          <w:szCs w:val="24"/>
        </w:rPr>
        <w:t>Civil Division of the Attorney General’s Office</w:t>
      </w:r>
      <w:r w:rsidR="00606D96" w:rsidRPr="006D4DB4">
        <w:rPr>
          <w:rFonts w:ascii="Times New Roman" w:hAnsi="Times New Roman" w:cs="Times New Roman"/>
          <w:sz w:val="24"/>
          <w:szCs w:val="24"/>
        </w:rPr>
        <w:t>, appellant</w:t>
      </w:r>
      <w:r w:rsidR="0007478E" w:rsidRPr="006D4DB4">
        <w:rPr>
          <w:rFonts w:ascii="Times New Roman" w:hAnsi="Times New Roman" w:cs="Times New Roman"/>
          <w:sz w:val="24"/>
          <w:szCs w:val="24"/>
        </w:rPr>
        <w:t>s</w:t>
      </w:r>
      <w:r w:rsidR="00606D96" w:rsidRPr="006D4DB4">
        <w:rPr>
          <w:rFonts w:ascii="Times New Roman" w:hAnsi="Times New Roman" w:cs="Times New Roman"/>
          <w:sz w:val="24"/>
          <w:szCs w:val="24"/>
        </w:rPr>
        <w:t>’</w:t>
      </w:r>
      <w:r w:rsidR="0007478E" w:rsidRPr="006D4DB4">
        <w:rPr>
          <w:rFonts w:ascii="Times New Roman" w:hAnsi="Times New Roman" w:cs="Times New Roman"/>
          <w:sz w:val="24"/>
          <w:szCs w:val="24"/>
        </w:rPr>
        <w:t xml:space="preserve"> legal practitioners </w:t>
      </w:r>
    </w:p>
    <w:p w:rsidR="00C140AC" w:rsidRPr="006D4DB4" w:rsidRDefault="00C140AC" w:rsidP="00C140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EA" w:rsidRPr="006D4DB4" w:rsidRDefault="00606D96" w:rsidP="00C140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B4">
        <w:rPr>
          <w:rFonts w:ascii="Times New Roman" w:hAnsi="Times New Roman" w:cs="Times New Roman"/>
          <w:i/>
          <w:sz w:val="24"/>
          <w:szCs w:val="24"/>
        </w:rPr>
        <w:t>Mugiya and Macharaga Law Chambers</w:t>
      </w:r>
      <w:r w:rsidR="0007478E" w:rsidRPr="006D4DB4">
        <w:rPr>
          <w:rFonts w:ascii="Times New Roman" w:hAnsi="Times New Roman" w:cs="Times New Roman"/>
          <w:sz w:val="24"/>
          <w:szCs w:val="24"/>
        </w:rPr>
        <w:t>, res</w:t>
      </w:r>
      <w:r w:rsidRPr="006D4DB4">
        <w:rPr>
          <w:rFonts w:ascii="Times New Roman" w:hAnsi="Times New Roman" w:cs="Times New Roman"/>
          <w:sz w:val="24"/>
          <w:szCs w:val="24"/>
        </w:rPr>
        <w:t>pondent</w:t>
      </w:r>
      <w:r w:rsidR="0007478E" w:rsidRPr="006D4DB4">
        <w:rPr>
          <w:rFonts w:ascii="Times New Roman" w:hAnsi="Times New Roman" w:cs="Times New Roman"/>
          <w:sz w:val="24"/>
          <w:szCs w:val="24"/>
        </w:rPr>
        <w:t>s</w:t>
      </w:r>
      <w:r w:rsidRPr="006D4DB4">
        <w:rPr>
          <w:rFonts w:ascii="Times New Roman" w:hAnsi="Times New Roman" w:cs="Times New Roman"/>
          <w:sz w:val="24"/>
          <w:szCs w:val="24"/>
        </w:rPr>
        <w:t>’</w:t>
      </w:r>
      <w:r w:rsidR="0007478E" w:rsidRPr="006D4DB4">
        <w:rPr>
          <w:rFonts w:ascii="Times New Roman" w:hAnsi="Times New Roman" w:cs="Times New Roman"/>
          <w:sz w:val="24"/>
          <w:szCs w:val="24"/>
        </w:rPr>
        <w:t xml:space="preserve"> legal practitioners</w:t>
      </w:r>
    </w:p>
    <w:sectPr w:rsidR="00FB13EA" w:rsidRPr="006D4DB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27D" w:rsidRDefault="002C327D" w:rsidP="00C4645D">
      <w:pPr>
        <w:spacing w:after="0" w:line="240" w:lineRule="auto"/>
      </w:pPr>
      <w:r>
        <w:separator/>
      </w:r>
    </w:p>
  </w:endnote>
  <w:endnote w:type="continuationSeparator" w:id="0">
    <w:p w:rsidR="002C327D" w:rsidRDefault="002C327D" w:rsidP="00C4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952" w:rsidRDefault="00AF7952">
    <w:pPr>
      <w:pStyle w:val="Footer"/>
      <w:jc w:val="center"/>
    </w:pPr>
  </w:p>
  <w:p w:rsidR="00AF7952" w:rsidRDefault="00AF7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27D" w:rsidRDefault="002C327D" w:rsidP="00C4645D">
      <w:pPr>
        <w:spacing w:after="0" w:line="240" w:lineRule="auto"/>
      </w:pPr>
      <w:r>
        <w:separator/>
      </w:r>
    </w:p>
  </w:footnote>
  <w:footnote w:type="continuationSeparator" w:id="0">
    <w:p w:rsidR="002C327D" w:rsidRDefault="002C327D" w:rsidP="00C4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160" w:rsidRDefault="00AB4160">
    <w:pPr>
      <w:pStyle w:val="Header"/>
    </w:pPr>
    <w:r>
      <w:rPr>
        <w:noProof/>
        <w:lang w:eastAsia="en-ZW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4160" w:rsidRPr="00C93AE5" w:rsidRDefault="00AB4160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</w:pPr>
                          <w:r w:rsidRPr="00C93AE5"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  <w:t xml:space="preserve">Judgment No. SC </w:t>
                          </w:r>
                          <w:r w:rsidR="001A41D8"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  <w:t>117/</w:t>
                          </w:r>
                          <w:r w:rsidRPr="00C93AE5"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  <w:t>20</w:t>
                          </w:r>
                        </w:p>
                        <w:p w:rsidR="00AB4160" w:rsidRPr="00AB4160" w:rsidRDefault="00AB4160">
                          <w:pPr>
                            <w:spacing w:after="0" w:line="240" w:lineRule="auto"/>
                            <w:jc w:val="right"/>
                            <w:rPr>
                              <w:rFonts w:ascii="Courier New" w:hAnsi="Courier New" w:cs="Courier New"/>
                              <w:b/>
                              <w:noProof/>
                            </w:rPr>
                          </w:pPr>
                          <w:r w:rsidRPr="00C93AE5"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  <w:t>Civil Appeal No. SC 195/18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B4160" w:rsidRPr="00C93AE5" w:rsidRDefault="00AB4160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</w:rPr>
                    </w:pPr>
                    <w:r w:rsidRPr="00C93AE5">
                      <w:rPr>
                        <w:rFonts w:ascii="Times New Roman" w:hAnsi="Times New Roman" w:cs="Times New Roman"/>
                        <w:b/>
                        <w:noProof/>
                      </w:rPr>
                      <w:t xml:space="preserve">Judgment No. SC </w:t>
                    </w:r>
                    <w:r w:rsidR="001A41D8">
                      <w:rPr>
                        <w:rFonts w:ascii="Times New Roman" w:hAnsi="Times New Roman" w:cs="Times New Roman"/>
                        <w:b/>
                        <w:noProof/>
                      </w:rPr>
                      <w:t>117/</w:t>
                    </w:r>
                    <w:r w:rsidRPr="00C93AE5">
                      <w:rPr>
                        <w:rFonts w:ascii="Times New Roman" w:hAnsi="Times New Roman" w:cs="Times New Roman"/>
                        <w:b/>
                        <w:noProof/>
                      </w:rPr>
                      <w:t>20</w:t>
                    </w:r>
                  </w:p>
                  <w:p w:rsidR="00AB4160" w:rsidRPr="00AB4160" w:rsidRDefault="00AB4160">
                    <w:pPr>
                      <w:spacing w:after="0" w:line="240" w:lineRule="auto"/>
                      <w:jc w:val="right"/>
                      <w:rPr>
                        <w:rFonts w:ascii="Courier New" w:hAnsi="Courier New" w:cs="Courier New"/>
                        <w:b/>
                        <w:noProof/>
                      </w:rPr>
                    </w:pPr>
                    <w:r w:rsidRPr="00C93AE5">
                      <w:rPr>
                        <w:rFonts w:ascii="Times New Roman" w:hAnsi="Times New Roman" w:cs="Times New Roman"/>
                        <w:b/>
                        <w:noProof/>
                      </w:rPr>
                      <w:t>Civil Appeal No. SC 195/18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ZW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B4160" w:rsidRDefault="00AB416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10441" w:rsidRPr="0051044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6336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:rsidR="00AB4160" w:rsidRDefault="00AB416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10441" w:rsidRPr="0051044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8AC"/>
    <w:multiLevelType w:val="hybridMultilevel"/>
    <w:tmpl w:val="DBE0DFC0"/>
    <w:lvl w:ilvl="0" w:tplc="BF140A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10489"/>
    <w:multiLevelType w:val="hybridMultilevel"/>
    <w:tmpl w:val="2E78F98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7CA4"/>
    <w:multiLevelType w:val="hybridMultilevel"/>
    <w:tmpl w:val="538C8AF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01B02"/>
    <w:multiLevelType w:val="hybridMultilevel"/>
    <w:tmpl w:val="4B685EE8"/>
    <w:lvl w:ilvl="0" w:tplc="BF140A26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498" w:hanging="360"/>
      </w:pPr>
    </w:lvl>
    <w:lvl w:ilvl="2" w:tplc="3009001B" w:tentative="1">
      <w:start w:val="1"/>
      <w:numFmt w:val="lowerRoman"/>
      <w:lvlText w:val="%3."/>
      <w:lvlJc w:val="right"/>
      <w:pPr>
        <w:ind w:left="3218" w:hanging="180"/>
      </w:pPr>
    </w:lvl>
    <w:lvl w:ilvl="3" w:tplc="3009000F" w:tentative="1">
      <w:start w:val="1"/>
      <w:numFmt w:val="decimal"/>
      <w:lvlText w:val="%4."/>
      <w:lvlJc w:val="left"/>
      <w:pPr>
        <w:ind w:left="3938" w:hanging="360"/>
      </w:pPr>
    </w:lvl>
    <w:lvl w:ilvl="4" w:tplc="30090019" w:tentative="1">
      <w:start w:val="1"/>
      <w:numFmt w:val="lowerLetter"/>
      <w:lvlText w:val="%5."/>
      <w:lvlJc w:val="left"/>
      <w:pPr>
        <w:ind w:left="4658" w:hanging="360"/>
      </w:pPr>
    </w:lvl>
    <w:lvl w:ilvl="5" w:tplc="3009001B" w:tentative="1">
      <w:start w:val="1"/>
      <w:numFmt w:val="lowerRoman"/>
      <w:lvlText w:val="%6."/>
      <w:lvlJc w:val="right"/>
      <w:pPr>
        <w:ind w:left="5378" w:hanging="180"/>
      </w:pPr>
    </w:lvl>
    <w:lvl w:ilvl="6" w:tplc="3009000F" w:tentative="1">
      <w:start w:val="1"/>
      <w:numFmt w:val="decimal"/>
      <w:lvlText w:val="%7."/>
      <w:lvlJc w:val="left"/>
      <w:pPr>
        <w:ind w:left="6098" w:hanging="360"/>
      </w:pPr>
    </w:lvl>
    <w:lvl w:ilvl="7" w:tplc="30090019" w:tentative="1">
      <w:start w:val="1"/>
      <w:numFmt w:val="lowerLetter"/>
      <w:lvlText w:val="%8."/>
      <w:lvlJc w:val="left"/>
      <w:pPr>
        <w:ind w:left="6818" w:hanging="360"/>
      </w:pPr>
    </w:lvl>
    <w:lvl w:ilvl="8" w:tplc="3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1A"/>
    <w:rsid w:val="0000317D"/>
    <w:rsid w:val="00004AB6"/>
    <w:rsid w:val="00007D2B"/>
    <w:rsid w:val="000139FF"/>
    <w:rsid w:val="00043400"/>
    <w:rsid w:val="00053D8F"/>
    <w:rsid w:val="00057A4B"/>
    <w:rsid w:val="0007478E"/>
    <w:rsid w:val="000759D8"/>
    <w:rsid w:val="0008115D"/>
    <w:rsid w:val="00092DE0"/>
    <w:rsid w:val="000A42D9"/>
    <w:rsid w:val="000B1656"/>
    <w:rsid w:val="000B4A5D"/>
    <w:rsid w:val="000E666F"/>
    <w:rsid w:val="000F464E"/>
    <w:rsid w:val="00121591"/>
    <w:rsid w:val="00122150"/>
    <w:rsid w:val="001300E3"/>
    <w:rsid w:val="00144013"/>
    <w:rsid w:val="0016559A"/>
    <w:rsid w:val="001815CB"/>
    <w:rsid w:val="0018365B"/>
    <w:rsid w:val="00187304"/>
    <w:rsid w:val="001A41D8"/>
    <w:rsid w:val="001A4E22"/>
    <w:rsid w:val="001A6EBE"/>
    <w:rsid w:val="001B02DF"/>
    <w:rsid w:val="001B10EC"/>
    <w:rsid w:val="001B2FB6"/>
    <w:rsid w:val="001B4421"/>
    <w:rsid w:val="001C16B1"/>
    <w:rsid w:val="001C5CD7"/>
    <w:rsid w:val="001D2FEC"/>
    <w:rsid w:val="001E4566"/>
    <w:rsid w:val="001F4DCD"/>
    <w:rsid w:val="001F70D5"/>
    <w:rsid w:val="00204896"/>
    <w:rsid w:val="002357B4"/>
    <w:rsid w:val="00237CA1"/>
    <w:rsid w:val="00252F25"/>
    <w:rsid w:val="00253BDD"/>
    <w:rsid w:val="00266518"/>
    <w:rsid w:val="00267F49"/>
    <w:rsid w:val="00274DA6"/>
    <w:rsid w:val="00276F8F"/>
    <w:rsid w:val="00295047"/>
    <w:rsid w:val="002A3B2E"/>
    <w:rsid w:val="002C327D"/>
    <w:rsid w:val="002E5F76"/>
    <w:rsid w:val="002F5D1D"/>
    <w:rsid w:val="00310B8E"/>
    <w:rsid w:val="00311CE8"/>
    <w:rsid w:val="003153D2"/>
    <w:rsid w:val="00327D8B"/>
    <w:rsid w:val="00327FF1"/>
    <w:rsid w:val="00337D3C"/>
    <w:rsid w:val="0034217F"/>
    <w:rsid w:val="00352037"/>
    <w:rsid w:val="0037637B"/>
    <w:rsid w:val="003767CA"/>
    <w:rsid w:val="00385C88"/>
    <w:rsid w:val="00395D1D"/>
    <w:rsid w:val="003A357F"/>
    <w:rsid w:val="003A538F"/>
    <w:rsid w:val="003B45C2"/>
    <w:rsid w:val="003C15C0"/>
    <w:rsid w:val="003D45BC"/>
    <w:rsid w:val="003E3C4B"/>
    <w:rsid w:val="003E3DB4"/>
    <w:rsid w:val="003E4D4B"/>
    <w:rsid w:val="003E5A3A"/>
    <w:rsid w:val="003E7A46"/>
    <w:rsid w:val="003F6581"/>
    <w:rsid w:val="003F70A1"/>
    <w:rsid w:val="003F74D4"/>
    <w:rsid w:val="004044EF"/>
    <w:rsid w:val="00415E5F"/>
    <w:rsid w:val="00415EF2"/>
    <w:rsid w:val="00426C88"/>
    <w:rsid w:val="00427747"/>
    <w:rsid w:val="00430F3E"/>
    <w:rsid w:val="00432233"/>
    <w:rsid w:val="004332D8"/>
    <w:rsid w:val="00444595"/>
    <w:rsid w:val="00493D62"/>
    <w:rsid w:val="004A270E"/>
    <w:rsid w:val="004D2CBF"/>
    <w:rsid w:val="004D6E36"/>
    <w:rsid w:val="004E7357"/>
    <w:rsid w:val="004F4807"/>
    <w:rsid w:val="00503278"/>
    <w:rsid w:val="00510441"/>
    <w:rsid w:val="00514F84"/>
    <w:rsid w:val="00546B6A"/>
    <w:rsid w:val="005628C0"/>
    <w:rsid w:val="00563547"/>
    <w:rsid w:val="005710FF"/>
    <w:rsid w:val="00584A28"/>
    <w:rsid w:val="005B27F1"/>
    <w:rsid w:val="005B2D2B"/>
    <w:rsid w:val="005E25DE"/>
    <w:rsid w:val="00600D7D"/>
    <w:rsid w:val="0060634E"/>
    <w:rsid w:val="00606D96"/>
    <w:rsid w:val="00617CCE"/>
    <w:rsid w:val="006222F3"/>
    <w:rsid w:val="00627756"/>
    <w:rsid w:val="0063519E"/>
    <w:rsid w:val="00645750"/>
    <w:rsid w:val="00645F4A"/>
    <w:rsid w:val="006578F2"/>
    <w:rsid w:val="00662EC9"/>
    <w:rsid w:val="00684751"/>
    <w:rsid w:val="006D1A96"/>
    <w:rsid w:val="006D4DB4"/>
    <w:rsid w:val="006F29CC"/>
    <w:rsid w:val="00703BEF"/>
    <w:rsid w:val="007139B5"/>
    <w:rsid w:val="00714EB2"/>
    <w:rsid w:val="00727726"/>
    <w:rsid w:val="007345EC"/>
    <w:rsid w:val="0075477D"/>
    <w:rsid w:val="00760DEC"/>
    <w:rsid w:val="0076166C"/>
    <w:rsid w:val="00762337"/>
    <w:rsid w:val="007854FC"/>
    <w:rsid w:val="007A44FE"/>
    <w:rsid w:val="007B6353"/>
    <w:rsid w:val="007B7DF8"/>
    <w:rsid w:val="007C0D5A"/>
    <w:rsid w:val="007C339D"/>
    <w:rsid w:val="007C59E7"/>
    <w:rsid w:val="007D071A"/>
    <w:rsid w:val="007E6EDA"/>
    <w:rsid w:val="007F4DAD"/>
    <w:rsid w:val="007F52EF"/>
    <w:rsid w:val="00803764"/>
    <w:rsid w:val="00830AA2"/>
    <w:rsid w:val="008333A9"/>
    <w:rsid w:val="00840365"/>
    <w:rsid w:val="008410F4"/>
    <w:rsid w:val="0084120D"/>
    <w:rsid w:val="00843CFD"/>
    <w:rsid w:val="008440E1"/>
    <w:rsid w:val="0084548C"/>
    <w:rsid w:val="00847796"/>
    <w:rsid w:val="00854F80"/>
    <w:rsid w:val="0086101A"/>
    <w:rsid w:val="00861FD6"/>
    <w:rsid w:val="00873626"/>
    <w:rsid w:val="00874E10"/>
    <w:rsid w:val="00880D51"/>
    <w:rsid w:val="008A4F53"/>
    <w:rsid w:val="008D4656"/>
    <w:rsid w:val="008D4A8F"/>
    <w:rsid w:val="00916400"/>
    <w:rsid w:val="009227D1"/>
    <w:rsid w:val="00926051"/>
    <w:rsid w:val="00930443"/>
    <w:rsid w:val="009376D0"/>
    <w:rsid w:val="00946DE9"/>
    <w:rsid w:val="009538F1"/>
    <w:rsid w:val="00960620"/>
    <w:rsid w:val="00994B20"/>
    <w:rsid w:val="00997D24"/>
    <w:rsid w:val="009A232D"/>
    <w:rsid w:val="009A6947"/>
    <w:rsid w:val="009B5B47"/>
    <w:rsid w:val="009B7393"/>
    <w:rsid w:val="009D6EAC"/>
    <w:rsid w:val="00A233DF"/>
    <w:rsid w:val="00A33730"/>
    <w:rsid w:val="00A418CB"/>
    <w:rsid w:val="00A563A7"/>
    <w:rsid w:val="00A6075F"/>
    <w:rsid w:val="00AA017D"/>
    <w:rsid w:val="00AB4160"/>
    <w:rsid w:val="00AC3DD9"/>
    <w:rsid w:val="00AC7BE9"/>
    <w:rsid w:val="00AE5084"/>
    <w:rsid w:val="00AF0D05"/>
    <w:rsid w:val="00AF7952"/>
    <w:rsid w:val="00B0667E"/>
    <w:rsid w:val="00B101AB"/>
    <w:rsid w:val="00B163D7"/>
    <w:rsid w:val="00B2646B"/>
    <w:rsid w:val="00B57145"/>
    <w:rsid w:val="00B608FF"/>
    <w:rsid w:val="00B60ADC"/>
    <w:rsid w:val="00B625C8"/>
    <w:rsid w:val="00B630EF"/>
    <w:rsid w:val="00B71FC9"/>
    <w:rsid w:val="00B830EB"/>
    <w:rsid w:val="00B878E4"/>
    <w:rsid w:val="00B91089"/>
    <w:rsid w:val="00B94F99"/>
    <w:rsid w:val="00BC0793"/>
    <w:rsid w:val="00BC7C13"/>
    <w:rsid w:val="00BE75FE"/>
    <w:rsid w:val="00BF098F"/>
    <w:rsid w:val="00BF09C3"/>
    <w:rsid w:val="00BF0F34"/>
    <w:rsid w:val="00C140AC"/>
    <w:rsid w:val="00C1411A"/>
    <w:rsid w:val="00C22D6B"/>
    <w:rsid w:val="00C31B1F"/>
    <w:rsid w:val="00C34692"/>
    <w:rsid w:val="00C35902"/>
    <w:rsid w:val="00C41B1D"/>
    <w:rsid w:val="00C4645D"/>
    <w:rsid w:val="00C567A8"/>
    <w:rsid w:val="00C5757D"/>
    <w:rsid w:val="00C67EA9"/>
    <w:rsid w:val="00C76935"/>
    <w:rsid w:val="00C93AE5"/>
    <w:rsid w:val="00C93EEF"/>
    <w:rsid w:val="00CB1D39"/>
    <w:rsid w:val="00CD7AD1"/>
    <w:rsid w:val="00CF1AED"/>
    <w:rsid w:val="00D060D3"/>
    <w:rsid w:val="00D13CD7"/>
    <w:rsid w:val="00D14979"/>
    <w:rsid w:val="00D16026"/>
    <w:rsid w:val="00D22226"/>
    <w:rsid w:val="00D35373"/>
    <w:rsid w:val="00D4039C"/>
    <w:rsid w:val="00D43A34"/>
    <w:rsid w:val="00D45E94"/>
    <w:rsid w:val="00D615AB"/>
    <w:rsid w:val="00D628C2"/>
    <w:rsid w:val="00D874AE"/>
    <w:rsid w:val="00DA38F5"/>
    <w:rsid w:val="00DA581E"/>
    <w:rsid w:val="00DC422E"/>
    <w:rsid w:val="00DC6ADF"/>
    <w:rsid w:val="00DD0D88"/>
    <w:rsid w:val="00DE5081"/>
    <w:rsid w:val="00DF6AB9"/>
    <w:rsid w:val="00DF6F25"/>
    <w:rsid w:val="00E02033"/>
    <w:rsid w:val="00E17DED"/>
    <w:rsid w:val="00E23C66"/>
    <w:rsid w:val="00E341CB"/>
    <w:rsid w:val="00E4322C"/>
    <w:rsid w:val="00E52821"/>
    <w:rsid w:val="00E5391D"/>
    <w:rsid w:val="00E9008E"/>
    <w:rsid w:val="00E903D1"/>
    <w:rsid w:val="00EA666A"/>
    <w:rsid w:val="00EC3E7B"/>
    <w:rsid w:val="00ED4EB2"/>
    <w:rsid w:val="00EF5798"/>
    <w:rsid w:val="00EF5977"/>
    <w:rsid w:val="00F04AED"/>
    <w:rsid w:val="00F238C4"/>
    <w:rsid w:val="00F4265F"/>
    <w:rsid w:val="00F468BF"/>
    <w:rsid w:val="00F51257"/>
    <w:rsid w:val="00F94EC0"/>
    <w:rsid w:val="00F9655D"/>
    <w:rsid w:val="00FA004A"/>
    <w:rsid w:val="00FB13EA"/>
    <w:rsid w:val="00FC5310"/>
    <w:rsid w:val="00FC719A"/>
    <w:rsid w:val="00FD18E9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ED218C-D332-42C0-99E3-FAE07E61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5D"/>
  </w:style>
  <w:style w:type="paragraph" w:styleId="Footer">
    <w:name w:val="footer"/>
    <w:basedOn w:val="Normal"/>
    <w:link w:val="FooterChar"/>
    <w:uiPriority w:val="99"/>
    <w:unhideWhenUsed/>
    <w:rsid w:val="00C46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5D"/>
  </w:style>
  <w:style w:type="paragraph" w:styleId="NoSpacing">
    <w:name w:val="No Spacing"/>
    <w:uiPriority w:val="1"/>
    <w:qFormat/>
    <w:rsid w:val="003E3C4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7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72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B41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DFCA9-3ED5-4BB1-9CC8-F2932F07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makelo</dc:creator>
  <cp:lastModifiedBy>User1</cp:lastModifiedBy>
  <cp:revision>2</cp:revision>
  <cp:lastPrinted>2020-08-31T10:26:00Z</cp:lastPrinted>
  <dcterms:created xsi:type="dcterms:W3CDTF">2021-01-06T14:35:00Z</dcterms:created>
  <dcterms:modified xsi:type="dcterms:W3CDTF">2021-01-06T14:35:00Z</dcterms:modified>
</cp:coreProperties>
</file>