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6C2F6" w14:textId="5CE8CA70" w:rsidR="00241A1E" w:rsidRDefault="005F559C" w:rsidP="005F559C">
      <w:pPr>
        <w:rPr>
          <w:rFonts w:ascii="Times New Roman" w:hAnsi="Times New Roman" w:cs="Times New Roman"/>
          <w:sz w:val="24"/>
          <w:szCs w:val="24"/>
        </w:rPr>
      </w:pPr>
      <w:r w:rsidRPr="005F559C">
        <w:rPr>
          <w:rFonts w:ascii="Times New Roman" w:hAnsi="Times New Roman" w:cs="Times New Roman"/>
          <w:b/>
          <w:sz w:val="24"/>
          <w:szCs w:val="24"/>
          <w:u w:val="single"/>
        </w:rPr>
        <w:t>REPORTABLE</w:t>
      </w:r>
      <w:r>
        <w:rPr>
          <w:rFonts w:ascii="Times New Roman" w:hAnsi="Times New Roman" w:cs="Times New Roman"/>
          <w:sz w:val="24"/>
          <w:szCs w:val="24"/>
        </w:rPr>
        <w:tab/>
      </w:r>
      <w:r w:rsidRPr="005F559C">
        <w:rPr>
          <w:rFonts w:ascii="Times New Roman" w:hAnsi="Times New Roman" w:cs="Times New Roman"/>
          <w:b/>
          <w:sz w:val="24"/>
          <w:szCs w:val="24"/>
        </w:rPr>
        <w:t>(</w:t>
      </w:r>
      <w:r w:rsidR="00B30862">
        <w:rPr>
          <w:rFonts w:ascii="Times New Roman" w:hAnsi="Times New Roman" w:cs="Times New Roman"/>
          <w:b/>
          <w:sz w:val="24"/>
          <w:szCs w:val="24"/>
        </w:rPr>
        <w:t>24</w:t>
      </w:r>
      <w:r w:rsidRPr="005F559C">
        <w:rPr>
          <w:rFonts w:ascii="Times New Roman" w:hAnsi="Times New Roman" w:cs="Times New Roman"/>
          <w:b/>
          <w:sz w:val="24"/>
          <w:szCs w:val="24"/>
        </w:rPr>
        <w:t>)</w:t>
      </w:r>
      <w:r w:rsidR="00241A1E">
        <w:rPr>
          <w:rFonts w:ascii="Times New Roman" w:hAnsi="Times New Roman" w:cs="Times New Roman"/>
          <w:sz w:val="24"/>
          <w:szCs w:val="24"/>
        </w:rPr>
        <w:tab/>
      </w:r>
      <w:r w:rsidR="00241A1E">
        <w:rPr>
          <w:rFonts w:ascii="Times New Roman" w:hAnsi="Times New Roman" w:cs="Times New Roman"/>
          <w:sz w:val="24"/>
          <w:szCs w:val="24"/>
        </w:rPr>
        <w:tab/>
      </w:r>
      <w:r w:rsidR="00241A1E">
        <w:rPr>
          <w:rFonts w:ascii="Times New Roman" w:hAnsi="Times New Roman" w:cs="Times New Roman"/>
          <w:sz w:val="24"/>
          <w:szCs w:val="24"/>
        </w:rPr>
        <w:tab/>
      </w:r>
      <w:r w:rsidR="00241A1E">
        <w:rPr>
          <w:rFonts w:ascii="Times New Roman" w:hAnsi="Times New Roman" w:cs="Times New Roman"/>
          <w:sz w:val="24"/>
          <w:szCs w:val="24"/>
        </w:rPr>
        <w:tab/>
      </w:r>
      <w:r w:rsidR="00241A1E">
        <w:rPr>
          <w:rFonts w:ascii="Times New Roman" w:hAnsi="Times New Roman" w:cs="Times New Roman"/>
          <w:sz w:val="24"/>
          <w:szCs w:val="24"/>
        </w:rPr>
        <w:tab/>
      </w:r>
    </w:p>
    <w:p w14:paraId="33662504" w14:textId="77777777" w:rsidR="005F559C" w:rsidRDefault="005F559C" w:rsidP="00805E9F">
      <w:pPr>
        <w:jc w:val="both"/>
        <w:rPr>
          <w:rFonts w:ascii="Times New Roman" w:hAnsi="Times New Roman" w:cs="Times New Roman"/>
          <w:sz w:val="24"/>
          <w:szCs w:val="24"/>
        </w:rPr>
      </w:pPr>
    </w:p>
    <w:p w14:paraId="49CB0E5F" w14:textId="77777777" w:rsidR="005F559C" w:rsidRDefault="005F559C" w:rsidP="00805E9F">
      <w:pPr>
        <w:jc w:val="both"/>
        <w:rPr>
          <w:rFonts w:ascii="Times New Roman" w:hAnsi="Times New Roman" w:cs="Times New Roman"/>
          <w:sz w:val="24"/>
          <w:szCs w:val="24"/>
        </w:rPr>
      </w:pPr>
    </w:p>
    <w:p w14:paraId="3FA21961" w14:textId="69268769" w:rsidR="00241A1E" w:rsidRPr="005F559C" w:rsidRDefault="00241A1E" w:rsidP="005F559C">
      <w:pPr>
        <w:spacing w:after="0"/>
        <w:jc w:val="center"/>
        <w:rPr>
          <w:rFonts w:ascii="Times New Roman" w:hAnsi="Times New Roman" w:cs="Times New Roman"/>
          <w:b/>
          <w:sz w:val="24"/>
          <w:szCs w:val="24"/>
        </w:rPr>
      </w:pPr>
      <w:r w:rsidRPr="005F559C">
        <w:rPr>
          <w:rFonts w:ascii="Times New Roman" w:hAnsi="Times New Roman" w:cs="Times New Roman"/>
          <w:b/>
          <w:sz w:val="24"/>
          <w:szCs w:val="24"/>
        </w:rPr>
        <w:t>DENALLARE</w:t>
      </w:r>
      <w:r w:rsidR="005F559C" w:rsidRPr="005F559C">
        <w:rPr>
          <w:rFonts w:ascii="Times New Roman" w:hAnsi="Times New Roman" w:cs="Times New Roman"/>
          <w:b/>
          <w:sz w:val="24"/>
          <w:szCs w:val="24"/>
        </w:rPr>
        <w:t xml:space="preserve">     TECHNOLOGIES    PRIVATE     </w:t>
      </w:r>
      <w:r w:rsidRPr="005F559C">
        <w:rPr>
          <w:rFonts w:ascii="Times New Roman" w:hAnsi="Times New Roman" w:cs="Times New Roman"/>
          <w:b/>
          <w:sz w:val="24"/>
          <w:szCs w:val="24"/>
        </w:rPr>
        <w:t>L</w:t>
      </w:r>
      <w:r w:rsidR="005F559C" w:rsidRPr="005F559C">
        <w:rPr>
          <w:rFonts w:ascii="Times New Roman" w:hAnsi="Times New Roman" w:cs="Times New Roman"/>
          <w:b/>
          <w:sz w:val="24"/>
          <w:szCs w:val="24"/>
        </w:rPr>
        <w:t>IMITED</w:t>
      </w:r>
    </w:p>
    <w:p w14:paraId="48B4790D" w14:textId="6DD42740" w:rsidR="00241A1E" w:rsidRPr="00527A7C" w:rsidRDefault="005F559C" w:rsidP="005F559C">
      <w:pPr>
        <w:spacing w:after="0"/>
        <w:jc w:val="center"/>
        <w:rPr>
          <w:rFonts w:ascii="Times New Roman" w:hAnsi="Times New Roman" w:cs="Times New Roman"/>
          <w:b/>
          <w:sz w:val="24"/>
          <w:szCs w:val="24"/>
        </w:rPr>
      </w:pPr>
      <w:proofErr w:type="gramStart"/>
      <w:r w:rsidRPr="00527A7C">
        <w:rPr>
          <w:rFonts w:ascii="Times New Roman" w:hAnsi="Times New Roman" w:cs="Times New Roman"/>
          <w:b/>
          <w:sz w:val="24"/>
          <w:szCs w:val="24"/>
        </w:rPr>
        <w:t>v</w:t>
      </w:r>
      <w:proofErr w:type="gramEnd"/>
    </w:p>
    <w:p w14:paraId="52DF46A0" w14:textId="400CA528" w:rsidR="00241A1E" w:rsidRPr="005F559C" w:rsidRDefault="005F559C" w:rsidP="005F559C">
      <w:pPr>
        <w:pStyle w:val="ListParagraph"/>
        <w:numPr>
          <w:ilvl w:val="0"/>
          <w:numId w:val="6"/>
        </w:numPr>
        <w:spacing w:after="0"/>
        <w:jc w:val="center"/>
        <w:rPr>
          <w:rFonts w:ascii="Times New Roman" w:hAnsi="Times New Roman" w:cs="Times New Roman"/>
          <w:b/>
          <w:sz w:val="24"/>
          <w:szCs w:val="24"/>
        </w:rPr>
      </w:pPr>
      <w:r>
        <w:rPr>
          <w:rFonts w:ascii="Times New Roman" w:hAnsi="Times New Roman" w:cs="Times New Roman"/>
          <w:sz w:val="24"/>
          <w:szCs w:val="24"/>
        </w:rPr>
        <w:t xml:space="preserve">    </w:t>
      </w:r>
      <w:r w:rsidR="00241A1E" w:rsidRPr="005F559C">
        <w:rPr>
          <w:rFonts w:ascii="Times New Roman" w:hAnsi="Times New Roman" w:cs="Times New Roman"/>
          <w:b/>
          <w:sz w:val="24"/>
          <w:szCs w:val="24"/>
        </w:rPr>
        <w:t xml:space="preserve">PROCUREMENT </w:t>
      </w:r>
      <w:r w:rsidRPr="005F559C">
        <w:rPr>
          <w:rFonts w:ascii="Times New Roman" w:hAnsi="Times New Roman" w:cs="Times New Roman"/>
          <w:b/>
          <w:sz w:val="24"/>
          <w:szCs w:val="24"/>
        </w:rPr>
        <w:t xml:space="preserve">    </w:t>
      </w:r>
      <w:r w:rsidR="00241A1E" w:rsidRPr="005F559C">
        <w:rPr>
          <w:rFonts w:ascii="Times New Roman" w:hAnsi="Times New Roman" w:cs="Times New Roman"/>
          <w:b/>
          <w:sz w:val="24"/>
          <w:szCs w:val="24"/>
        </w:rPr>
        <w:t xml:space="preserve">REGULATION </w:t>
      </w:r>
      <w:r w:rsidRPr="005F559C">
        <w:rPr>
          <w:rFonts w:ascii="Times New Roman" w:hAnsi="Times New Roman" w:cs="Times New Roman"/>
          <w:b/>
          <w:sz w:val="24"/>
          <w:szCs w:val="24"/>
        </w:rPr>
        <w:t xml:space="preserve">    </w:t>
      </w:r>
      <w:r w:rsidR="00241A1E" w:rsidRPr="005F559C">
        <w:rPr>
          <w:rFonts w:ascii="Times New Roman" w:hAnsi="Times New Roman" w:cs="Times New Roman"/>
          <w:b/>
          <w:sz w:val="24"/>
          <w:szCs w:val="24"/>
        </w:rPr>
        <w:t xml:space="preserve">AUTHORITY </w:t>
      </w:r>
      <w:r w:rsidRPr="005F559C">
        <w:rPr>
          <w:rFonts w:ascii="Times New Roman" w:hAnsi="Times New Roman" w:cs="Times New Roman"/>
          <w:b/>
          <w:sz w:val="24"/>
          <w:szCs w:val="24"/>
        </w:rPr>
        <w:t xml:space="preserve">    </w:t>
      </w:r>
      <w:r w:rsidR="00241A1E" w:rsidRPr="005F559C">
        <w:rPr>
          <w:rFonts w:ascii="Times New Roman" w:hAnsi="Times New Roman" w:cs="Times New Roman"/>
          <w:b/>
          <w:sz w:val="24"/>
          <w:szCs w:val="24"/>
        </w:rPr>
        <w:t xml:space="preserve">OF </w:t>
      </w:r>
      <w:r w:rsidRPr="005F559C">
        <w:rPr>
          <w:rFonts w:ascii="Times New Roman" w:hAnsi="Times New Roman" w:cs="Times New Roman"/>
          <w:b/>
          <w:sz w:val="24"/>
          <w:szCs w:val="24"/>
        </w:rPr>
        <w:t xml:space="preserve">    </w:t>
      </w:r>
      <w:r w:rsidR="00241A1E" w:rsidRPr="005F559C">
        <w:rPr>
          <w:rFonts w:ascii="Times New Roman" w:hAnsi="Times New Roman" w:cs="Times New Roman"/>
          <w:b/>
          <w:sz w:val="24"/>
          <w:szCs w:val="24"/>
        </w:rPr>
        <w:t>ZIMBABWE</w:t>
      </w:r>
      <w:r>
        <w:rPr>
          <w:rFonts w:ascii="Times New Roman" w:hAnsi="Times New Roman" w:cs="Times New Roman"/>
          <w:b/>
          <w:sz w:val="24"/>
          <w:szCs w:val="24"/>
        </w:rPr>
        <w:t xml:space="preserve">     (2)     </w:t>
      </w:r>
      <w:r w:rsidR="00241A1E" w:rsidRPr="005F559C">
        <w:rPr>
          <w:rFonts w:ascii="Times New Roman" w:hAnsi="Times New Roman" w:cs="Times New Roman"/>
          <w:b/>
          <w:sz w:val="24"/>
          <w:szCs w:val="24"/>
        </w:rPr>
        <w:t xml:space="preserve">ZIMBABWE </w:t>
      </w:r>
      <w:r w:rsidRPr="005F559C">
        <w:rPr>
          <w:rFonts w:ascii="Times New Roman" w:hAnsi="Times New Roman" w:cs="Times New Roman"/>
          <w:b/>
          <w:sz w:val="24"/>
          <w:szCs w:val="24"/>
        </w:rPr>
        <w:t xml:space="preserve">    </w:t>
      </w:r>
      <w:r w:rsidR="00241A1E" w:rsidRPr="005F559C">
        <w:rPr>
          <w:rFonts w:ascii="Times New Roman" w:hAnsi="Times New Roman" w:cs="Times New Roman"/>
          <w:b/>
          <w:sz w:val="24"/>
          <w:szCs w:val="24"/>
        </w:rPr>
        <w:t xml:space="preserve">ELECTRICITY </w:t>
      </w:r>
      <w:r w:rsidRPr="005F559C">
        <w:rPr>
          <w:rFonts w:ascii="Times New Roman" w:hAnsi="Times New Roman" w:cs="Times New Roman"/>
          <w:b/>
          <w:sz w:val="24"/>
          <w:szCs w:val="24"/>
        </w:rPr>
        <w:t xml:space="preserve">    </w:t>
      </w:r>
      <w:r w:rsidR="00241A1E" w:rsidRPr="005F559C">
        <w:rPr>
          <w:rFonts w:ascii="Times New Roman" w:hAnsi="Times New Roman" w:cs="Times New Roman"/>
          <w:b/>
          <w:sz w:val="24"/>
          <w:szCs w:val="24"/>
        </w:rPr>
        <w:t xml:space="preserve">TRANSMISSION </w:t>
      </w:r>
      <w:r w:rsidRPr="005F559C">
        <w:rPr>
          <w:rFonts w:ascii="Times New Roman" w:hAnsi="Times New Roman" w:cs="Times New Roman"/>
          <w:b/>
          <w:sz w:val="24"/>
          <w:szCs w:val="24"/>
        </w:rPr>
        <w:t xml:space="preserve">    </w:t>
      </w:r>
      <w:r w:rsidR="00241A1E" w:rsidRPr="005F559C">
        <w:rPr>
          <w:rFonts w:ascii="Times New Roman" w:hAnsi="Times New Roman" w:cs="Times New Roman"/>
          <w:b/>
          <w:sz w:val="24"/>
          <w:szCs w:val="24"/>
        </w:rPr>
        <w:t xml:space="preserve">AND </w:t>
      </w:r>
      <w:r w:rsidRPr="005F559C">
        <w:rPr>
          <w:rFonts w:ascii="Times New Roman" w:hAnsi="Times New Roman" w:cs="Times New Roman"/>
          <w:b/>
          <w:sz w:val="24"/>
          <w:szCs w:val="24"/>
        </w:rPr>
        <w:t xml:space="preserve">    </w:t>
      </w:r>
      <w:r w:rsidR="00241A1E" w:rsidRPr="005F559C">
        <w:rPr>
          <w:rFonts w:ascii="Times New Roman" w:hAnsi="Times New Roman" w:cs="Times New Roman"/>
          <w:b/>
          <w:sz w:val="24"/>
          <w:szCs w:val="24"/>
        </w:rPr>
        <w:t>DEVELOPMENT COMPANY</w:t>
      </w:r>
    </w:p>
    <w:p w14:paraId="1EBBCC18" w14:textId="77777777" w:rsidR="005F559C" w:rsidRDefault="005F559C" w:rsidP="00805E9F">
      <w:pPr>
        <w:jc w:val="both"/>
        <w:rPr>
          <w:rFonts w:ascii="Times New Roman" w:hAnsi="Times New Roman" w:cs="Times New Roman"/>
          <w:sz w:val="24"/>
          <w:szCs w:val="24"/>
        </w:rPr>
      </w:pPr>
    </w:p>
    <w:p w14:paraId="2591723D" w14:textId="77777777" w:rsidR="005F559C" w:rsidRDefault="005F559C" w:rsidP="00805E9F">
      <w:pPr>
        <w:jc w:val="both"/>
        <w:rPr>
          <w:rFonts w:ascii="Times New Roman" w:hAnsi="Times New Roman" w:cs="Times New Roman"/>
          <w:sz w:val="24"/>
          <w:szCs w:val="24"/>
        </w:rPr>
      </w:pPr>
    </w:p>
    <w:p w14:paraId="1367354F" w14:textId="77777777" w:rsidR="00241A1E" w:rsidRPr="005F559C" w:rsidRDefault="00241A1E" w:rsidP="005F559C">
      <w:pPr>
        <w:spacing w:after="0"/>
        <w:jc w:val="both"/>
        <w:rPr>
          <w:rFonts w:ascii="Times New Roman" w:hAnsi="Times New Roman" w:cs="Times New Roman"/>
          <w:b/>
          <w:sz w:val="24"/>
          <w:szCs w:val="24"/>
        </w:rPr>
      </w:pPr>
      <w:r w:rsidRPr="005F559C">
        <w:rPr>
          <w:rFonts w:ascii="Times New Roman" w:hAnsi="Times New Roman" w:cs="Times New Roman"/>
          <w:b/>
          <w:sz w:val="24"/>
          <w:szCs w:val="24"/>
        </w:rPr>
        <w:t>SUPREME COURT OF ZIMBABWE</w:t>
      </w:r>
    </w:p>
    <w:p w14:paraId="4F6D1B91" w14:textId="6ABCE33B" w:rsidR="00241A1E" w:rsidRDefault="00241A1E" w:rsidP="00527A7C">
      <w:pPr>
        <w:spacing w:after="0"/>
        <w:jc w:val="both"/>
        <w:rPr>
          <w:rFonts w:ascii="Times New Roman" w:hAnsi="Times New Roman" w:cs="Times New Roman"/>
          <w:b/>
          <w:sz w:val="24"/>
          <w:szCs w:val="24"/>
        </w:rPr>
      </w:pPr>
      <w:r w:rsidRPr="005F559C">
        <w:rPr>
          <w:rFonts w:ascii="Times New Roman" w:hAnsi="Times New Roman" w:cs="Times New Roman"/>
          <w:b/>
          <w:sz w:val="24"/>
          <w:szCs w:val="24"/>
        </w:rPr>
        <w:t>HAR</w:t>
      </w:r>
      <w:r w:rsidR="001D324F" w:rsidRPr="005F559C">
        <w:rPr>
          <w:rFonts w:ascii="Times New Roman" w:hAnsi="Times New Roman" w:cs="Times New Roman"/>
          <w:b/>
          <w:sz w:val="24"/>
          <w:szCs w:val="24"/>
        </w:rPr>
        <w:t>ARE</w:t>
      </w:r>
      <w:r w:rsidR="00B30862">
        <w:rPr>
          <w:rFonts w:ascii="Times New Roman" w:hAnsi="Times New Roman" w:cs="Times New Roman"/>
          <w:b/>
          <w:sz w:val="24"/>
          <w:szCs w:val="24"/>
        </w:rPr>
        <w:t>: 19 OCTOBER 2023</w:t>
      </w:r>
      <w:r w:rsidR="00773789">
        <w:rPr>
          <w:rFonts w:ascii="Times New Roman" w:hAnsi="Times New Roman" w:cs="Times New Roman"/>
          <w:b/>
          <w:sz w:val="24"/>
          <w:szCs w:val="24"/>
        </w:rPr>
        <w:t xml:space="preserve"> &amp; 6 MARCH 2024</w:t>
      </w:r>
    </w:p>
    <w:p w14:paraId="7C8CF89A" w14:textId="77777777" w:rsidR="00527A7C" w:rsidRDefault="00527A7C" w:rsidP="00805E9F">
      <w:pPr>
        <w:jc w:val="both"/>
        <w:rPr>
          <w:rFonts w:ascii="Times New Roman" w:hAnsi="Times New Roman" w:cs="Times New Roman"/>
          <w:sz w:val="24"/>
          <w:szCs w:val="24"/>
        </w:rPr>
      </w:pPr>
    </w:p>
    <w:p w14:paraId="472A2421" w14:textId="77777777" w:rsidR="00527A7C" w:rsidRDefault="00527A7C" w:rsidP="00805E9F">
      <w:pPr>
        <w:jc w:val="both"/>
        <w:rPr>
          <w:rFonts w:ascii="Times New Roman" w:hAnsi="Times New Roman" w:cs="Times New Roman"/>
          <w:sz w:val="24"/>
          <w:szCs w:val="24"/>
        </w:rPr>
      </w:pPr>
    </w:p>
    <w:p w14:paraId="27C778A6" w14:textId="163FA7DE" w:rsidR="00241A1E" w:rsidRPr="00241A1E" w:rsidRDefault="00241A1E" w:rsidP="00527A7C">
      <w:pPr>
        <w:spacing w:line="480" w:lineRule="auto"/>
        <w:jc w:val="both"/>
        <w:rPr>
          <w:rFonts w:ascii="Times New Roman" w:hAnsi="Times New Roman" w:cs="Times New Roman"/>
          <w:sz w:val="24"/>
          <w:szCs w:val="24"/>
        </w:rPr>
      </w:pPr>
      <w:r w:rsidRPr="00241A1E">
        <w:rPr>
          <w:rFonts w:ascii="Times New Roman" w:hAnsi="Times New Roman" w:cs="Times New Roman"/>
          <w:i/>
          <w:sz w:val="24"/>
          <w:szCs w:val="24"/>
        </w:rPr>
        <w:t>A</w:t>
      </w:r>
      <w:r w:rsidR="00527A7C">
        <w:rPr>
          <w:rFonts w:ascii="Times New Roman" w:hAnsi="Times New Roman" w:cs="Times New Roman"/>
          <w:i/>
          <w:sz w:val="24"/>
          <w:szCs w:val="24"/>
        </w:rPr>
        <w:t>.</w:t>
      </w:r>
      <w:r w:rsidRPr="00241A1E">
        <w:rPr>
          <w:rFonts w:ascii="Times New Roman" w:hAnsi="Times New Roman" w:cs="Times New Roman"/>
          <w:i/>
          <w:sz w:val="24"/>
          <w:szCs w:val="24"/>
        </w:rPr>
        <w:t xml:space="preserve">S </w:t>
      </w:r>
      <w:proofErr w:type="spellStart"/>
      <w:r w:rsidRPr="00241A1E">
        <w:rPr>
          <w:rFonts w:ascii="Times New Roman" w:hAnsi="Times New Roman" w:cs="Times New Roman"/>
          <w:i/>
          <w:sz w:val="24"/>
          <w:szCs w:val="24"/>
        </w:rPr>
        <w:t>Ndlovu</w:t>
      </w:r>
      <w:proofErr w:type="spellEnd"/>
      <w:r w:rsidRPr="00241A1E">
        <w:rPr>
          <w:rFonts w:ascii="Times New Roman" w:hAnsi="Times New Roman" w:cs="Times New Roman"/>
          <w:i/>
          <w:sz w:val="24"/>
          <w:szCs w:val="24"/>
        </w:rPr>
        <w:t xml:space="preserve"> </w:t>
      </w:r>
      <w:r w:rsidRPr="00527A7C">
        <w:rPr>
          <w:rFonts w:ascii="Times New Roman" w:hAnsi="Times New Roman" w:cs="Times New Roman"/>
          <w:i/>
          <w:sz w:val="24"/>
          <w:szCs w:val="24"/>
        </w:rPr>
        <w:t xml:space="preserve">and </w:t>
      </w:r>
      <w:r w:rsidRPr="00241A1E">
        <w:rPr>
          <w:rFonts w:ascii="Times New Roman" w:hAnsi="Times New Roman" w:cs="Times New Roman"/>
          <w:i/>
          <w:sz w:val="24"/>
          <w:szCs w:val="24"/>
        </w:rPr>
        <w:t>G</w:t>
      </w:r>
      <w:r w:rsidR="009C77F1">
        <w:rPr>
          <w:rFonts w:ascii="Times New Roman" w:hAnsi="Times New Roman" w:cs="Times New Roman"/>
          <w:i/>
          <w:sz w:val="24"/>
          <w:szCs w:val="24"/>
        </w:rPr>
        <w:t>.</w:t>
      </w:r>
      <w:r w:rsidRPr="00241A1E">
        <w:rPr>
          <w:rFonts w:ascii="Times New Roman" w:hAnsi="Times New Roman" w:cs="Times New Roman"/>
          <w:i/>
          <w:sz w:val="24"/>
          <w:szCs w:val="24"/>
        </w:rPr>
        <w:t xml:space="preserve"> </w:t>
      </w:r>
      <w:proofErr w:type="spellStart"/>
      <w:r w:rsidRPr="00241A1E">
        <w:rPr>
          <w:rFonts w:ascii="Times New Roman" w:hAnsi="Times New Roman" w:cs="Times New Roman"/>
          <w:i/>
          <w:sz w:val="24"/>
          <w:szCs w:val="24"/>
        </w:rPr>
        <w:t>Ndlovu</w:t>
      </w:r>
      <w:proofErr w:type="spellEnd"/>
      <w:r w:rsidR="00527A7C">
        <w:rPr>
          <w:rFonts w:ascii="Times New Roman" w:hAnsi="Times New Roman" w:cs="Times New Roman"/>
          <w:i/>
          <w:sz w:val="24"/>
          <w:szCs w:val="24"/>
        </w:rPr>
        <w:t>,</w:t>
      </w:r>
      <w:r w:rsidRPr="00241A1E">
        <w:rPr>
          <w:rFonts w:ascii="Times New Roman" w:hAnsi="Times New Roman" w:cs="Times New Roman"/>
          <w:sz w:val="24"/>
          <w:szCs w:val="24"/>
        </w:rPr>
        <w:t xml:space="preserve"> for the applicant</w:t>
      </w:r>
    </w:p>
    <w:p w14:paraId="2A6C3A8B" w14:textId="23179D22" w:rsidR="00241A1E" w:rsidRPr="00241A1E" w:rsidRDefault="00241A1E" w:rsidP="00527A7C">
      <w:pPr>
        <w:spacing w:line="480" w:lineRule="auto"/>
        <w:jc w:val="both"/>
        <w:rPr>
          <w:rFonts w:ascii="Times New Roman" w:hAnsi="Times New Roman" w:cs="Times New Roman"/>
          <w:sz w:val="24"/>
          <w:szCs w:val="24"/>
        </w:rPr>
      </w:pPr>
      <w:r w:rsidRPr="00241A1E">
        <w:rPr>
          <w:rFonts w:ascii="Times New Roman" w:hAnsi="Times New Roman" w:cs="Times New Roman"/>
          <w:i/>
          <w:sz w:val="24"/>
          <w:szCs w:val="24"/>
        </w:rPr>
        <w:t>G</w:t>
      </w:r>
      <w:r w:rsidR="009C77F1">
        <w:rPr>
          <w:rFonts w:ascii="Times New Roman" w:hAnsi="Times New Roman" w:cs="Times New Roman"/>
          <w:i/>
          <w:sz w:val="24"/>
          <w:szCs w:val="24"/>
        </w:rPr>
        <w:t>.</w:t>
      </w:r>
      <w:r w:rsidRPr="00241A1E">
        <w:rPr>
          <w:rFonts w:ascii="Times New Roman" w:hAnsi="Times New Roman" w:cs="Times New Roman"/>
          <w:i/>
          <w:sz w:val="24"/>
          <w:szCs w:val="24"/>
        </w:rPr>
        <w:t xml:space="preserve"> Sithole</w:t>
      </w:r>
      <w:r w:rsidR="00527A7C">
        <w:rPr>
          <w:rFonts w:ascii="Times New Roman" w:hAnsi="Times New Roman" w:cs="Times New Roman"/>
          <w:i/>
          <w:sz w:val="24"/>
          <w:szCs w:val="24"/>
        </w:rPr>
        <w:t>,</w:t>
      </w:r>
      <w:r w:rsidRPr="00241A1E">
        <w:rPr>
          <w:rFonts w:ascii="Times New Roman" w:hAnsi="Times New Roman" w:cs="Times New Roman"/>
          <w:sz w:val="24"/>
          <w:szCs w:val="24"/>
        </w:rPr>
        <w:t xml:space="preserve"> for the first respondent</w:t>
      </w:r>
    </w:p>
    <w:p w14:paraId="150EAFDB" w14:textId="56720791" w:rsidR="00241A1E" w:rsidRDefault="00241A1E" w:rsidP="00527A7C">
      <w:pPr>
        <w:spacing w:line="480" w:lineRule="auto"/>
        <w:jc w:val="both"/>
        <w:rPr>
          <w:rFonts w:ascii="Times New Roman" w:hAnsi="Times New Roman" w:cs="Times New Roman"/>
          <w:sz w:val="24"/>
          <w:szCs w:val="24"/>
        </w:rPr>
      </w:pPr>
      <w:r w:rsidRPr="00241A1E">
        <w:rPr>
          <w:rFonts w:ascii="Times New Roman" w:hAnsi="Times New Roman" w:cs="Times New Roman"/>
          <w:i/>
          <w:sz w:val="24"/>
          <w:szCs w:val="24"/>
        </w:rPr>
        <w:t>N</w:t>
      </w:r>
      <w:r w:rsidR="00527A7C">
        <w:rPr>
          <w:rFonts w:ascii="Times New Roman" w:hAnsi="Times New Roman" w:cs="Times New Roman"/>
          <w:i/>
          <w:sz w:val="24"/>
          <w:szCs w:val="24"/>
        </w:rPr>
        <w:t>.</w:t>
      </w:r>
      <w:r w:rsidRPr="00241A1E">
        <w:rPr>
          <w:rFonts w:ascii="Times New Roman" w:hAnsi="Times New Roman" w:cs="Times New Roman"/>
          <w:i/>
          <w:sz w:val="24"/>
          <w:szCs w:val="24"/>
        </w:rPr>
        <w:t xml:space="preserve">B </w:t>
      </w:r>
      <w:proofErr w:type="spellStart"/>
      <w:r w:rsidRPr="00241A1E">
        <w:rPr>
          <w:rFonts w:ascii="Times New Roman" w:hAnsi="Times New Roman" w:cs="Times New Roman"/>
          <w:i/>
          <w:sz w:val="24"/>
          <w:szCs w:val="24"/>
        </w:rPr>
        <w:t>Munyuru</w:t>
      </w:r>
      <w:proofErr w:type="spellEnd"/>
      <w:r w:rsidR="00527A7C">
        <w:rPr>
          <w:rFonts w:ascii="Times New Roman" w:hAnsi="Times New Roman" w:cs="Times New Roman"/>
          <w:i/>
          <w:sz w:val="24"/>
          <w:szCs w:val="24"/>
        </w:rPr>
        <w:t>,</w:t>
      </w:r>
      <w:r w:rsidRPr="00241A1E">
        <w:rPr>
          <w:rFonts w:ascii="Times New Roman" w:hAnsi="Times New Roman" w:cs="Times New Roman"/>
          <w:sz w:val="24"/>
          <w:szCs w:val="24"/>
        </w:rPr>
        <w:t xml:space="preserve"> for the second respondent</w:t>
      </w:r>
      <w:bookmarkStart w:id="0" w:name="_GoBack"/>
      <w:bookmarkEnd w:id="0"/>
    </w:p>
    <w:p w14:paraId="6F992AC0" w14:textId="77777777" w:rsidR="00527A7C" w:rsidRDefault="00527A7C" w:rsidP="00527A7C">
      <w:pPr>
        <w:spacing w:line="480" w:lineRule="auto"/>
        <w:jc w:val="both"/>
        <w:rPr>
          <w:rFonts w:ascii="Times New Roman" w:hAnsi="Times New Roman" w:cs="Times New Roman"/>
          <w:sz w:val="24"/>
          <w:szCs w:val="24"/>
        </w:rPr>
      </w:pPr>
    </w:p>
    <w:p w14:paraId="620A0939" w14:textId="759CB5F9" w:rsidR="00527A7C" w:rsidRPr="00527A7C" w:rsidRDefault="00527A7C" w:rsidP="00527A7C">
      <w:pPr>
        <w:spacing w:line="480" w:lineRule="auto"/>
        <w:jc w:val="both"/>
        <w:rPr>
          <w:rFonts w:ascii="Times New Roman" w:hAnsi="Times New Roman" w:cs="Times New Roman"/>
          <w:b/>
          <w:sz w:val="24"/>
          <w:szCs w:val="24"/>
          <w:u w:val="single"/>
        </w:rPr>
      </w:pPr>
      <w:r w:rsidRPr="00527A7C">
        <w:rPr>
          <w:rFonts w:ascii="Times New Roman" w:hAnsi="Times New Roman" w:cs="Times New Roman"/>
          <w:b/>
          <w:sz w:val="24"/>
          <w:szCs w:val="24"/>
          <w:u w:val="single"/>
        </w:rPr>
        <w:t>IN CHAMBER</w:t>
      </w:r>
      <w:r w:rsidR="0069766A">
        <w:rPr>
          <w:rFonts w:ascii="Times New Roman" w:hAnsi="Times New Roman" w:cs="Times New Roman"/>
          <w:b/>
          <w:sz w:val="24"/>
          <w:szCs w:val="24"/>
          <w:u w:val="single"/>
        </w:rPr>
        <w:t>S</w:t>
      </w:r>
      <w:r w:rsidRPr="00527A7C">
        <w:rPr>
          <w:rFonts w:ascii="Times New Roman" w:hAnsi="Times New Roman" w:cs="Times New Roman"/>
          <w:b/>
          <w:sz w:val="24"/>
          <w:szCs w:val="24"/>
          <w:u w:val="single"/>
        </w:rPr>
        <w:t xml:space="preserve"> </w:t>
      </w:r>
    </w:p>
    <w:p w14:paraId="4933FBB0" w14:textId="77777777" w:rsidR="00593355" w:rsidRDefault="00593355" w:rsidP="00805E9F">
      <w:pPr>
        <w:jc w:val="both"/>
        <w:rPr>
          <w:rFonts w:ascii="Times New Roman" w:hAnsi="Times New Roman" w:cs="Times New Roman"/>
          <w:sz w:val="24"/>
          <w:szCs w:val="24"/>
        </w:rPr>
      </w:pPr>
    </w:p>
    <w:p w14:paraId="04AE6205" w14:textId="77777777" w:rsidR="00B74A89" w:rsidRPr="00527A7C" w:rsidRDefault="00241A1E" w:rsidP="00B74A89">
      <w:pPr>
        <w:jc w:val="both"/>
        <w:rPr>
          <w:rFonts w:ascii="Times New Roman" w:hAnsi="Times New Roman" w:cs="Times New Roman"/>
          <w:b/>
          <w:sz w:val="24"/>
          <w:szCs w:val="24"/>
        </w:rPr>
      </w:pPr>
      <w:r w:rsidRPr="00527A7C">
        <w:rPr>
          <w:rFonts w:ascii="Times New Roman" w:hAnsi="Times New Roman" w:cs="Times New Roman"/>
          <w:b/>
          <w:sz w:val="24"/>
          <w:szCs w:val="24"/>
        </w:rPr>
        <w:t>KUDYA JA:</w:t>
      </w:r>
      <w:r w:rsidR="00474DC4" w:rsidRPr="00527A7C">
        <w:rPr>
          <w:rFonts w:ascii="Times New Roman" w:hAnsi="Times New Roman" w:cs="Times New Roman"/>
          <w:b/>
          <w:sz w:val="24"/>
          <w:szCs w:val="24"/>
        </w:rPr>
        <w:t xml:space="preserve"> </w:t>
      </w:r>
    </w:p>
    <w:p w14:paraId="60B90CB0" w14:textId="6DA64A5E" w:rsidR="00B74A89" w:rsidRDefault="00474DC4" w:rsidP="0077126D">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The applicant seeks condonation and extension of time within which to file an appeal in terms of r 43 of the Supreme Court Rules, 2018. The respondents contest the application. </w:t>
      </w:r>
    </w:p>
    <w:p w14:paraId="2368D1C7" w14:textId="77777777" w:rsidR="00527A7C" w:rsidRDefault="00527A7C" w:rsidP="00527A7C">
      <w:pPr>
        <w:spacing w:after="0" w:line="480" w:lineRule="auto"/>
        <w:jc w:val="both"/>
        <w:rPr>
          <w:rFonts w:ascii="Times New Roman" w:hAnsi="Times New Roman" w:cs="Times New Roman"/>
          <w:sz w:val="24"/>
          <w:szCs w:val="24"/>
        </w:rPr>
      </w:pPr>
    </w:p>
    <w:p w14:paraId="5C8FA0B2" w14:textId="6A378A37" w:rsidR="00B74A89" w:rsidRDefault="00463F03" w:rsidP="0077126D">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The applicant is a company duly registered in Zimbabwe. </w:t>
      </w:r>
      <w:r w:rsidR="00C92D6F">
        <w:rPr>
          <w:rFonts w:ascii="Times New Roman" w:hAnsi="Times New Roman" w:cs="Times New Roman"/>
          <w:sz w:val="24"/>
          <w:szCs w:val="24"/>
        </w:rPr>
        <w:t>It is a vendor for the design, configuration and commissioning of pre-payment</w:t>
      </w:r>
      <w:r w:rsidR="00437BF3">
        <w:rPr>
          <w:rFonts w:ascii="Times New Roman" w:hAnsi="Times New Roman" w:cs="Times New Roman"/>
          <w:sz w:val="24"/>
          <w:szCs w:val="24"/>
        </w:rPr>
        <w:t xml:space="preserve"> metering technology</w:t>
      </w:r>
      <w:r w:rsidR="00FA476F">
        <w:rPr>
          <w:rFonts w:ascii="Times New Roman" w:hAnsi="Times New Roman" w:cs="Times New Roman"/>
          <w:sz w:val="24"/>
          <w:szCs w:val="24"/>
        </w:rPr>
        <w:t xml:space="preserve"> (PMT)</w:t>
      </w:r>
      <w:r w:rsidR="00C92D6F">
        <w:rPr>
          <w:rFonts w:ascii="Times New Roman" w:hAnsi="Times New Roman" w:cs="Times New Roman"/>
          <w:sz w:val="24"/>
          <w:szCs w:val="24"/>
        </w:rPr>
        <w:t xml:space="preserve"> used in the buying and s</w:t>
      </w:r>
      <w:r w:rsidR="00042C3A">
        <w:rPr>
          <w:rFonts w:ascii="Times New Roman" w:hAnsi="Times New Roman" w:cs="Times New Roman"/>
          <w:sz w:val="24"/>
          <w:szCs w:val="24"/>
        </w:rPr>
        <w:t>elling of electricity tokens in</w:t>
      </w:r>
      <w:r w:rsidR="00C757E5">
        <w:rPr>
          <w:rFonts w:ascii="Times New Roman" w:hAnsi="Times New Roman" w:cs="Times New Roman"/>
          <w:sz w:val="24"/>
          <w:szCs w:val="24"/>
        </w:rPr>
        <w:t xml:space="preserve"> </w:t>
      </w:r>
      <w:r w:rsidR="00C92D6F">
        <w:rPr>
          <w:rFonts w:ascii="Times New Roman" w:hAnsi="Times New Roman" w:cs="Times New Roman"/>
          <w:sz w:val="24"/>
          <w:szCs w:val="24"/>
        </w:rPr>
        <w:t>13 Southern African countries. The</w:t>
      </w:r>
      <w:r>
        <w:rPr>
          <w:rFonts w:ascii="Times New Roman" w:hAnsi="Times New Roman" w:cs="Times New Roman"/>
          <w:sz w:val="24"/>
          <w:szCs w:val="24"/>
        </w:rPr>
        <w:t xml:space="preserve"> first </w:t>
      </w:r>
      <w:r>
        <w:rPr>
          <w:rFonts w:ascii="Times New Roman" w:hAnsi="Times New Roman" w:cs="Times New Roman"/>
          <w:sz w:val="24"/>
          <w:szCs w:val="24"/>
        </w:rPr>
        <w:lastRenderedPageBreak/>
        <w:t xml:space="preserve">respondent </w:t>
      </w:r>
      <w:r w:rsidR="00437BF3">
        <w:rPr>
          <w:rFonts w:ascii="Times New Roman" w:hAnsi="Times New Roman" w:cs="Times New Roman"/>
          <w:sz w:val="24"/>
          <w:szCs w:val="24"/>
        </w:rPr>
        <w:t xml:space="preserve">is </w:t>
      </w:r>
      <w:r>
        <w:rPr>
          <w:rFonts w:ascii="Times New Roman" w:hAnsi="Times New Roman" w:cs="Times New Roman"/>
          <w:sz w:val="24"/>
          <w:szCs w:val="24"/>
        </w:rPr>
        <w:t xml:space="preserve">a </w:t>
      </w:r>
      <w:r w:rsidR="00C757E5">
        <w:rPr>
          <w:rFonts w:ascii="Times New Roman" w:hAnsi="Times New Roman" w:cs="Times New Roman"/>
          <w:sz w:val="24"/>
          <w:szCs w:val="24"/>
        </w:rPr>
        <w:t>body corporate established in terms of</w:t>
      </w:r>
      <w:r>
        <w:rPr>
          <w:rFonts w:ascii="Times New Roman" w:hAnsi="Times New Roman" w:cs="Times New Roman"/>
          <w:sz w:val="24"/>
          <w:szCs w:val="24"/>
        </w:rPr>
        <w:t xml:space="preserve"> s 5 of the Public Procurement and Disposal of Public Assets Act </w:t>
      </w:r>
      <w:r w:rsidRPr="00463F03">
        <w:rPr>
          <w:rFonts w:ascii="Times New Roman" w:hAnsi="Times New Roman" w:cs="Times New Roman"/>
          <w:i/>
          <w:iCs/>
          <w:sz w:val="24"/>
          <w:szCs w:val="24"/>
        </w:rPr>
        <w:t>[Chapter 22:23]</w:t>
      </w:r>
      <w:r w:rsidR="003814D9">
        <w:rPr>
          <w:rFonts w:ascii="Times New Roman" w:hAnsi="Times New Roman" w:cs="Times New Roman"/>
          <w:sz w:val="24"/>
          <w:szCs w:val="24"/>
        </w:rPr>
        <w:t xml:space="preserve"> (the Act)</w:t>
      </w:r>
      <w:r w:rsidRPr="00463F03">
        <w:rPr>
          <w:rFonts w:ascii="Times New Roman" w:hAnsi="Times New Roman" w:cs="Times New Roman"/>
          <w:i/>
          <w:iCs/>
          <w:sz w:val="24"/>
          <w:szCs w:val="24"/>
        </w:rPr>
        <w:t>.</w:t>
      </w:r>
      <w:r>
        <w:rPr>
          <w:rFonts w:ascii="Times New Roman" w:hAnsi="Times New Roman" w:cs="Times New Roman"/>
          <w:sz w:val="24"/>
          <w:szCs w:val="24"/>
        </w:rPr>
        <w:t xml:space="preserve"> </w:t>
      </w:r>
      <w:r w:rsidR="003814D9">
        <w:rPr>
          <w:rFonts w:ascii="Times New Roman" w:hAnsi="Times New Roman" w:cs="Times New Roman"/>
          <w:sz w:val="24"/>
          <w:szCs w:val="24"/>
        </w:rPr>
        <w:t>It is mandate</w:t>
      </w:r>
      <w:r w:rsidR="00042C3A">
        <w:rPr>
          <w:rFonts w:ascii="Times New Roman" w:hAnsi="Times New Roman" w:cs="Times New Roman"/>
          <w:sz w:val="24"/>
          <w:szCs w:val="24"/>
        </w:rPr>
        <w:t>d</w:t>
      </w:r>
      <w:r w:rsidR="003814D9">
        <w:rPr>
          <w:rFonts w:ascii="Times New Roman" w:hAnsi="Times New Roman" w:cs="Times New Roman"/>
          <w:sz w:val="24"/>
          <w:szCs w:val="24"/>
        </w:rPr>
        <w:t xml:space="preserve"> by s 54</w:t>
      </w:r>
      <w:r w:rsidR="00C757E5">
        <w:rPr>
          <w:rFonts w:ascii="Times New Roman" w:hAnsi="Times New Roman" w:cs="Times New Roman"/>
          <w:sz w:val="24"/>
          <w:szCs w:val="24"/>
        </w:rPr>
        <w:t xml:space="preserve"> </w:t>
      </w:r>
      <w:r w:rsidR="003814D9">
        <w:rPr>
          <w:rFonts w:ascii="Times New Roman" w:hAnsi="Times New Roman" w:cs="Times New Roman"/>
          <w:sz w:val="24"/>
          <w:szCs w:val="24"/>
        </w:rPr>
        <w:t>(10) (c) as read with s 96 of the Act to</w:t>
      </w:r>
      <w:r w:rsidR="00437BF3">
        <w:rPr>
          <w:rFonts w:ascii="Times New Roman" w:hAnsi="Times New Roman" w:cs="Times New Roman"/>
          <w:sz w:val="24"/>
          <w:szCs w:val="24"/>
        </w:rPr>
        <w:t>,</w:t>
      </w:r>
      <w:r w:rsidR="003814D9">
        <w:rPr>
          <w:rFonts w:ascii="Times New Roman" w:hAnsi="Times New Roman" w:cs="Times New Roman"/>
          <w:sz w:val="24"/>
          <w:szCs w:val="24"/>
        </w:rPr>
        <w:t xml:space="preserve"> </w:t>
      </w:r>
      <w:r w:rsidR="003814D9" w:rsidRPr="00437BF3">
        <w:rPr>
          <w:rFonts w:ascii="Times New Roman" w:hAnsi="Times New Roman" w:cs="Times New Roman"/>
          <w:i/>
          <w:iCs/>
          <w:sz w:val="24"/>
          <w:szCs w:val="24"/>
        </w:rPr>
        <w:t>inter alia</w:t>
      </w:r>
      <w:r w:rsidR="00F84B13">
        <w:rPr>
          <w:rFonts w:ascii="Times New Roman" w:hAnsi="Times New Roman" w:cs="Times New Roman"/>
          <w:i/>
          <w:iCs/>
          <w:sz w:val="24"/>
          <w:szCs w:val="24"/>
        </w:rPr>
        <w:t>,</w:t>
      </w:r>
      <w:r w:rsidR="003814D9">
        <w:rPr>
          <w:rFonts w:ascii="Times New Roman" w:hAnsi="Times New Roman" w:cs="Times New Roman"/>
          <w:sz w:val="24"/>
          <w:szCs w:val="24"/>
        </w:rPr>
        <w:t xml:space="preserve"> investigate anomalies that may arise in public procurement in Zimbabwe. </w:t>
      </w:r>
      <w:r>
        <w:rPr>
          <w:rFonts w:ascii="Times New Roman" w:hAnsi="Times New Roman" w:cs="Times New Roman"/>
          <w:sz w:val="24"/>
          <w:szCs w:val="24"/>
        </w:rPr>
        <w:t>The second respondent is a company duly registered in terms of the laws of Zimbabwe</w:t>
      </w:r>
      <w:r w:rsidR="00F84B13">
        <w:rPr>
          <w:rFonts w:ascii="Times New Roman" w:hAnsi="Times New Roman" w:cs="Times New Roman"/>
          <w:sz w:val="24"/>
          <w:szCs w:val="24"/>
        </w:rPr>
        <w:t xml:space="preserve">.  It has the statutory </w:t>
      </w:r>
      <w:r w:rsidR="003814D9">
        <w:rPr>
          <w:rFonts w:ascii="Times New Roman" w:hAnsi="Times New Roman" w:cs="Times New Roman"/>
          <w:sz w:val="24"/>
          <w:szCs w:val="24"/>
        </w:rPr>
        <w:t>responsibility of developing and distributing electricity in Zimbabwe.</w:t>
      </w:r>
    </w:p>
    <w:p w14:paraId="7F82323D" w14:textId="77777777" w:rsidR="00527A7C" w:rsidRDefault="00527A7C" w:rsidP="00527A7C">
      <w:pPr>
        <w:spacing w:after="0" w:line="480" w:lineRule="auto"/>
        <w:ind w:left="720" w:hanging="720"/>
        <w:jc w:val="both"/>
        <w:rPr>
          <w:rFonts w:ascii="Times New Roman" w:hAnsi="Times New Roman" w:cs="Times New Roman"/>
          <w:sz w:val="24"/>
          <w:szCs w:val="24"/>
        </w:rPr>
      </w:pPr>
    </w:p>
    <w:p w14:paraId="30EE73D2" w14:textId="1B545EE3" w:rsidR="00B74A89" w:rsidRDefault="00C92D6F" w:rsidP="0077126D">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FA720E">
        <w:rPr>
          <w:rFonts w:ascii="Times New Roman" w:hAnsi="Times New Roman" w:cs="Times New Roman"/>
          <w:sz w:val="24"/>
          <w:szCs w:val="24"/>
        </w:rPr>
        <w:t xml:space="preserve">The applicant won a public tender </w:t>
      </w:r>
      <w:r w:rsidR="00507A3B">
        <w:rPr>
          <w:rFonts w:ascii="Times New Roman" w:hAnsi="Times New Roman" w:cs="Times New Roman"/>
          <w:sz w:val="24"/>
          <w:szCs w:val="24"/>
        </w:rPr>
        <w:t xml:space="preserve">to configure and install </w:t>
      </w:r>
      <w:r w:rsidR="00FA476F">
        <w:rPr>
          <w:rFonts w:ascii="Times New Roman" w:hAnsi="Times New Roman" w:cs="Times New Roman"/>
          <w:sz w:val="24"/>
          <w:szCs w:val="24"/>
        </w:rPr>
        <w:t xml:space="preserve">PMT </w:t>
      </w:r>
      <w:r w:rsidR="00507A3B">
        <w:rPr>
          <w:rFonts w:ascii="Times New Roman" w:hAnsi="Times New Roman" w:cs="Times New Roman"/>
          <w:sz w:val="24"/>
          <w:szCs w:val="24"/>
        </w:rPr>
        <w:t xml:space="preserve">software </w:t>
      </w:r>
      <w:r w:rsidR="00FA720E">
        <w:rPr>
          <w:rFonts w:ascii="Times New Roman" w:hAnsi="Times New Roman" w:cs="Times New Roman"/>
          <w:sz w:val="24"/>
          <w:szCs w:val="24"/>
        </w:rPr>
        <w:t xml:space="preserve">used by the </w:t>
      </w:r>
      <w:r w:rsidR="00042C3A">
        <w:rPr>
          <w:rFonts w:ascii="Times New Roman" w:hAnsi="Times New Roman" w:cs="Times New Roman"/>
          <w:sz w:val="24"/>
          <w:szCs w:val="24"/>
        </w:rPr>
        <w:t>second respondent. Thereafter the two concluded a contract under whi</w:t>
      </w:r>
      <w:r w:rsidR="001F2227">
        <w:rPr>
          <w:rFonts w:ascii="Times New Roman" w:hAnsi="Times New Roman" w:cs="Times New Roman"/>
          <w:sz w:val="24"/>
          <w:szCs w:val="24"/>
        </w:rPr>
        <w:t xml:space="preserve">ch the software was commissioned in April 2013 and upgraded in April 2022. </w:t>
      </w:r>
      <w:r w:rsidR="00FA720E">
        <w:rPr>
          <w:rFonts w:ascii="Times New Roman" w:hAnsi="Times New Roman" w:cs="Times New Roman"/>
          <w:sz w:val="24"/>
          <w:szCs w:val="24"/>
        </w:rPr>
        <w:t xml:space="preserve">The </w:t>
      </w:r>
      <w:r w:rsidR="001F2227">
        <w:rPr>
          <w:rFonts w:ascii="Times New Roman" w:hAnsi="Times New Roman" w:cs="Times New Roman"/>
          <w:sz w:val="24"/>
          <w:szCs w:val="24"/>
        </w:rPr>
        <w:t>cont</w:t>
      </w:r>
      <w:r w:rsidR="00FA476F">
        <w:rPr>
          <w:rFonts w:ascii="Times New Roman" w:hAnsi="Times New Roman" w:cs="Times New Roman"/>
          <w:sz w:val="24"/>
          <w:szCs w:val="24"/>
        </w:rPr>
        <w:t>r</w:t>
      </w:r>
      <w:r w:rsidR="001F2227">
        <w:rPr>
          <w:rFonts w:ascii="Times New Roman" w:hAnsi="Times New Roman" w:cs="Times New Roman"/>
          <w:sz w:val="24"/>
          <w:szCs w:val="24"/>
        </w:rPr>
        <w:t xml:space="preserve">act was </w:t>
      </w:r>
      <w:r w:rsidR="00C757E5">
        <w:rPr>
          <w:rFonts w:ascii="Times New Roman" w:hAnsi="Times New Roman" w:cs="Times New Roman"/>
          <w:sz w:val="24"/>
          <w:szCs w:val="24"/>
        </w:rPr>
        <w:t xml:space="preserve">set </w:t>
      </w:r>
      <w:r w:rsidR="001F2227">
        <w:rPr>
          <w:rFonts w:ascii="Times New Roman" w:hAnsi="Times New Roman" w:cs="Times New Roman"/>
          <w:sz w:val="24"/>
          <w:szCs w:val="24"/>
        </w:rPr>
        <w:t xml:space="preserve">to expire on 31 May 2023. </w:t>
      </w:r>
    </w:p>
    <w:p w14:paraId="165EAC9C" w14:textId="77777777" w:rsidR="0077126D" w:rsidRDefault="0077126D" w:rsidP="0077126D">
      <w:pPr>
        <w:spacing w:after="0" w:line="480" w:lineRule="auto"/>
        <w:ind w:left="720" w:hanging="720"/>
        <w:jc w:val="both"/>
        <w:rPr>
          <w:rFonts w:ascii="Times New Roman" w:hAnsi="Times New Roman" w:cs="Times New Roman"/>
          <w:sz w:val="24"/>
          <w:szCs w:val="24"/>
        </w:rPr>
      </w:pPr>
    </w:p>
    <w:p w14:paraId="7C9CBDB8" w14:textId="69DD9A0A" w:rsidR="00B74A89" w:rsidRDefault="00FA720E" w:rsidP="0077126D">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062C17">
        <w:rPr>
          <w:rFonts w:ascii="Times New Roman" w:hAnsi="Times New Roman" w:cs="Times New Roman"/>
          <w:sz w:val="24"/>
          <w:szCs w:val="24"/>
        </w:rPr>
        <w:t>In October 2021 t</w:t>
      </w:r>
      <w:r>
        <w:rPr>
          <w:rFonts w:ascii="Times New Roman" w:hAnsi="Times New Roman" w:cs="Times New Roman"/>
          <w:sz w:val="24"/>
          <w:szCs w:val="24"/>
        </w:rPr>
        <w:t>he</w:t>
      </w:r>
      <w:r w:rsidR="00062C17">
        <w:rPr>
          <w:rFonts w:ascii="Times New Roman" w:hAnsi="Times New Roman" w:cs="Times New Roman"/>
          <w:sz w:val="24"/>
          <w:szCs w:val="24"/>
        </w:rPr>
        <w:t xml:space="preserve"> first</w:t>
      </w:r>
      <w:r>
        <w:rPr>
          <w:rFonts w:ascii="Times New Roman" w:hAnsi="Times New Roman" w:cs="Times New Roman"/>
          <w:sz w:val="24"/>
          <w:szCs w:val="24"/>
        </w:rPr>
        <w:t xml:space="preserve"> respondent</w:t>
      </w:r>
      <w:r w:rsidR="002A3EF1">
        <w:rPr>
          <w:rFonts w:ascii="Times New Roman" w:hAnsi="Times New Roman" w:cs="Times New Roman"/>
          <w:sz w:val="24"/>
          <w:szCs w:val="24"/>
        </w:rPr>
        <w:t xml:space="preserve">, as a procuring entity, </w:t>
      </w:r>
      <w:r>
        <w:rPr>
          <w:rFonts w:ascii="Times New Roman" w:hAnsi="Times New Roman" w:cs="Times New Roman"/>
          <w:sz w:val="24"/>
          <w:szCs w:val="24"/>
        </w:rPr>
        <w:t>floated tender number ZETDC</w:t>
      </w:r>
      <w:r w:rsidR="00A844FA">
        <w:rPr>
          <w:rFonts w:ascii="Times New Roman" w:hAnsi="Times New Roman" w:cs="Times New Roman"/>
          <w:sz w:val="24"/>
          <w:szCs w:val="24"/>
        </w:rPr>
        <w:t xml:space="preserve">/INTER/07/2021 for </w:t>
      </w:r>
      <w:r w:rsidR="00550C2C">
        <w:rPr>
          <w:rFonts w:ascii="Times New Roman" w:hAnsi="Times New Roman" w:cs="Times New Roman"/>
          <w:sz w:val="24"/>
          <w:szCs w:val="24"/>
        </w:rPr>
        <w:t xml:space="preserve">the delivery and supply of </w:t>
      </w:r>
      <w:r w:rsidR="00A844FA">
        <w:rPr>
          <w:rFonts w:ascii="Times New Roman" w:hAnsi="Times New Roman" w:cs="Times New Roman"/>
          <w:sz w:val="24"/>
          <w:szCs w:val="24"/>
        </w:rPr>
        <w:t xml:space="preserve">new </w:t>
      </w:r>
      <w:r w:rsidR="00D426FC">
        <w:rPr>
          <w:rFonts w:ascii="Times New Roman" w:hAnsi="Times New Roman" w:cs="Times New Roman"/>
          <w:sz w:val="24"/>
          <w:szCs w:val="24"/>
        </w:rPr>
        <w:t>PMT</w:t>
      </w:r>
      <w:r w:rsidR="00A844FA">
        <w:rPr>
          <w:rFonts w:ascii="Times New Roman" w:hAnsi="Times New Roman" w:cs="Times New Roman"/>
          <w:sz w:val="24"/>
          <w:szCs w:val="24"/>
        </w:rPr>
        <w:t xml:space="preserve"> </w:t>
      </w:r>
      <w:r w:rsidR="00100A49">
        <w:rPr>
          <w:rFonts w:ascii="Times New Roman" w:hAnsi="Times New Roman" w:cs="Times New Roman"/>
          <w:sz w:val="24"/>
          <w:szCs w:val="24"/>
        </w:rPr>
        <w:t xml:space="preserve">software </w:t>
      </w:r>
      <w:r w:rsidR="00A844FA">
        <w:rPr>
          <w:rFonts w:ascii="Times New Roman" w:hAnsi="Times New Roman" w:cs="Times New Roman"/>
          <w:sz w:val="24"/>
          <w:szCs w:val="24"/>
        </w:rPr>
        <w:t xml:space="preserve">to replace the applicant’s </w:t>
      </w:r>
      <w:r w:rsidR="00D426FC">
        <w:rPr>
          <w:rFonts w:ascii="Times New Roman" w:hAnsi="Times New Roman" w:cs="Times New Roman"/>
          <w:sz w:val="24"/>
          <w:szCs w:val="24"/>
        </w:rPr>
        <w:t>software. It did so for three reasons. The first wa</w:t>
      </w:r>
      <w:r w:rsidR="00100A49">
        <w:rPr>
          <w:rFonts w:ascii="Times New Roman" w:hAnsi="Times New Roman" w:cs="Times New Roman"/>
          <w:sz w:val="24"/>
          <w:szCs w:val="24"/>
        </w:rPr>
        <w:t xml:space="preserve">s that the 2013 system only </w:t>
      </w:r>
      <w:r w:rsidR="00D426FC">
        <w:rPr>
          <w:rFonts w:ascii="Times New Roman" w:hAnsi="Times New Roman" w:cs="Times New Roman"/>
          <w:sz w:val="24"/>
          <w:szCs w:val="24"/>
        </w:rPr>
        <w:t>had a life span of 18 mon</w:t>
      </w:r>
      <w:r w:rsidR="00C757E5">
        <w:rPr>
          <w:rFonts w:ascii="Times New Roman" w:hAnsi="Times New Roman" w:cs="Times New Roman"/>
          <w:sz w:val="24"/>
          <w:szCs w:val="24"/>
        </w:rPr>
        <w:t>ths left. The second was that the applicant’s software</w:t>
      </w:r>
      <w:r w:rsidR="00D426FC">
        <w:rPr>
          <w:rFonts w:ascii="Times New Roman" w:hAnsi="Times New Roman" w:cs="Times New Roman"/>
          <w:sz w:val="24"/>
          <w:szCs w:val="24"/>
        </w:rPr>
        <w:t xml:space="preserve"> was outdated </w:t>
      </w:r>
      <w:r w:rsidR="00206554">
        <w:rPr>
          <w:rFonts w:ascii="Times New Roman" w:hAnsi="Times New Roman" w:cs="Times New Roman"/>
          <w:sz w:val="24"/>
          <w:szCs w:val="24"/>
        </w:rPr>
        <w:t xml:space="preserve">and </w:t>
      </w:r>
      <w:r w:rsidR="00DB6AFD">
        <w:rPr>
          <w:rFonts w:ascii="Times New Roman" w:hAnsi="Times New Roman" w:cs="Times New Roman"/>
          <w:sz w:val="24"/>
          <w:szCs w:val="24"/>
        </w:rPr>
        <w:t>too restrictive in that</w:t>
      </w:r>
      <w:r w:rsidR="00100A49">
        <w:rPr>
          <w:rFonts w:ascii="Times New Roman" w:hAnsi="Times New Roman" w:cs="Times New Roman"/>
          <w:sz w:val="24"/>
          <w:szCs w:val="24"/>
        </w:rPr>
        <w:t xml:space="preserve"> it</w:t>
      </w:r>
      <w:r w:rsidR="00DB6AFD">
        <w:rPr>
          <w:rFonts w:ascii="Times New Roman" w:hAnsi="Times New Roman" w:cs="Times New Roman"/>
          <w:sz w:val="24"/>
          <w:szCs w:val="24"/>
        </w:rPr>
        <w:t xml:space="preserve"> </w:t>
      </w:r>
      <w:r w:rsidR="00206554">
        <w:rPr>
          <w:rFonts w:ascii="Times New Roman" w:hAnsi="Times New Roman" w:cs="Times New Roman"/>
          <w:sz w:val="24"/>
          <w:szCs w:val="24"/>
        </w:rPr>
        <w:t>did not cater for the use of multi-currencies. The final one was</w:t>
      </w:r>
      <w:r w:rsidR="00DB6AFD">
        <w:rPr>
          <w:rFonts w:ascii="Times New Roman" w:hAnsi="Times New Roman" w:cs="Times New Roman"/>
          <w:sz w:val="24"/>
          <w:szCs w:val="24"/>
        </w:rPr>
        <w:t xml:space="preserve"> that</w:t>
      </w:r>
      <w:r w:rsidR="00206554">
        <w:rPr>
          <w:rFonts w:ascii="Times New Roman" w:hAnsi="Times New Roman" w:cs="Times New Roman"/>
          <w:sz w:val="24"/>
          <w:szCs w:val="24"/>
        </w:rPr>
        <w:t xml:space="preserve"> it </w:t>
      </w:r>
      <w:r w:rsidR="00D426FC">
        <w:rPr>
          <w:rFonts w:ascii="Times New Roman" w:hAnsi="Times New Roman" w:cs="Times New Roman"/>
          <w:sz w:val="24"/>
          <w:szCs w:val="24"/>
        </w:rPr>
        <w:t xml:space="preserve">had become too expensive to </w:t>
      </w:r>
      <w:r w:rsidR="00DB6AFD">
        <w:rPr>
          <w:rFonts w:ascii="Times New Roman" w:hAnsi="Times New Roman" w:cs="Times New Roman"/>
          <w:sz w:val="24"/>
          <w:szCs w:val="24"/>
        </w:rPr>
        <w:t>operate and maintain</w:t>
      </w:r>
      <w:r w:rsidR="00C32F45">
        <w:rPr>
          <w:rFonts w:ascii="Times New Roman" w:hAnsi="Times New Roman" w:cs="Times New Roman"/>
          <w:sz w:val="24"/>
          <w:szCs w:val="24"/>
        </w:rPr>
        <w:t xml:space="preserve"> the system</w:t>
      </w:r>
      <w:r w:rsidR="00D426FC">
        <w:rPr>
          <w:rFonts w:ascii="Times New Roman" w:hAnsi="Times New Roman" w:cs="Times New Roman"/>
          <w:sz w:val="24"/>
          <w:szCs w:val="24"/>
        </w:rPr>
        <w:t xml:space="preserve">. </w:t>
      </w:r>
    </w:p>
    <w:p w14:paraId="7506C3F8" w14:textId="77777777" w:rsidR="0077126D" w:rsidRDefault="0077126D" w:rsidP="0077126D">
      <w:pPr>
        <w:spacing w:after="0" w:line="480" w:lineRule="auto"/>
        <w:ind w:left="720" w:hanging="720"/>
        <w:jc w:val="both"/>
        <w:rPr>
          <w:rFonts w:ascii="Times New Roman" w:hAnsi="Times New Roman" w:cs="Times New Roman"/>
          <w:sz w:val="24"/>
          <w:szCs w:val="24"/>
        </w:rPr>
      </w:pPr>
    </w:p>
    <w:p w14:paraId="0EE4395F" w14:textId="45164C17" w:rsidR="00B74A89" w:rsidRDefault="00D426FC" w:rsidP="0077126D">
      <w:p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sidR="00EA799C">
        <w:rPr>
          <w:rFonts w:ascii="Times New Roman" w:hAnsi="Times New Roman" w:cs="Times New Roman"/>
          <w:sz w:val="24"/>
          <w:szCs w:val="24"/>
        </w:rPr>
        <w:t>The applicant did</w:t>
      </w:r>
      <w:r w:rsidR="00DE6761">
        <w:rPr>
          <w:rFonts w:ascii="Times New Roman" w:hAnsi="Times New Roman" w:cs="Times New Roman"/>
          <w:sz w:val="24"/>
          <w:szCs w:val="24"/>
        </w:rPr>
        <w:t xml:space="preserve"> not participate in the tender. Its director</w:t>
      </w:r>
      <w:r>
        <w:rPr>
          <w:rFonts w:ascii="Times New Roman" w:hAnsi="Times New Roman" w:cs="Times New Roman"/>
          <w:sz w:val="24"/>
          <w:szCs w:val="24"/>
        </w:rPr>
        <w:t xml:space="preserve"> and</w:t>
      </w:r>
      <w:r w:rsidR="00DE6761">
        <w:rPr>
          <w:rFonts w:ascii="Times New Roman" w:hAnsi="Times New Roman" w:cs="Times New Roman"/>
          <w:sz w:val="24"/>
          <w:szCs w:val="24"/>
        </w:rPr>
        <w:t xml:space="preserve"> deponent to its</w:t>
      </w:r>
      <w:r w:rsidR="00483015">
        <w:rPr>
          <w:rFonts w:ascii="Times New Roman" w:hAnsi="Times New Roman" w:cs="Times New Roman"/>
          <w:sz w:val="24"/>
          <w:szCs w:val="24"/>
        </w:rPr>
        <w:t xml:space="preserve"> founding affidavit, Nick </w:t>
      </w:r>
      <w:proofErr w:type="spellStart"/>
      <w:r w:rsidR="00483015">
        <w:rPr>
          <w:rFonts w:ascii="Times New Roman" w:hAnsi="Times New Roman" w:cs="Times New Roman"/>
          <w:sz w:val="24"/>
          <w:szCs w:val="24"/>
        </w:rPr>
        <w:t>Bakaris</w:t>
      </w:r>
      <w:proofErr w:type="spellEnd"/>
      <w:r w:rsidR="00F6325D">
        <w:rPr>
          <w:rFonts w:ascii="Times New Roman" w:hAnsi="Times New Roman" w:cs="Times New Roman"/>
          <w:sz w:val="24"/>
          <w:szCs w:val="24"/>
        </w:rPr>
        <w:t xml:space="preserve"> (</w:t>
      </w:r>
      <w:proofErr w:type="spellStart"/>
      <w:r w:rsidR="00F6325D">
        <w:rPr>
          <w:rFonts w:ascii="Times New Roman" w:hAnsi="Times New Roman" w:cs="Times New Roman"/>
          <w:sz w:val="24"/>
          <w:szCs w:val="24"/>
        </w:rPr>
        <w:t>Bakaris</w:t>
      </w:r>
      <w:proofErr w:type="spellEnd"/>
      <w:r w:rsidR="00F6325D">
        <w:rPr>
          <w:rFonts w:ascii="Times New Roman" w:hAnsi="Times New Roman" w:cs="Times New Roman"/>
          <w:sz w:val="24"/>
          <w:szCs w:val="24"/>
        </w:rPr>
        <w:t>)</w:t>
      </w:r>
      <w:r w:rsidR="00483015">
        <w:rPr>
          <w:rFonts w:ascii="Times New Roman" w:hAnsi="Times New Roman" w:cs="Times New Roman"/>
          <w:sz w:val="24"/>
          <w:szCs w:val="24"/>
        </w:rPr>
        <w:t xml:space="preserve">, </w:t>
      </w:r>
      <w:r w:rsidR="00BB632D">
        <w:rPr>
          <w:rFonts w:ascii="Times New Roman" w:hAnsi="Times New Roman" w:cs="Times New Roman"/>
          <w:sz w:val="24"/>
          <w:szCs w:val="24"/>
        </w:rPr>
        <w:t>however, represented</w:t>
      </w:r>
      <w:r w:rsidR="00EA799C">
        <w:rPr>
          <w:rFonts w:ascii="Times New Roman" w:hAnsi="Times New Roman" w:cs="Times New Roman"/>
          <w:sz w:val="24"/>
          <w:szCs w:val="24"/>
        </w:rPr>
        <w:t xml:space="preserve"> one of the losing bidders, Electricity Management Services Ltd (EMS), in the tender process. </w:t>
      </w:r>
      <w:r w:rsidR="002A7F81">
        <w:rPr>
          <w:rFonts w:ascii="Times New Roman" w:hAnsi="Times New Roman" w:cs="Times New Roman"/>
          <w:sz w:val="24"/>
          <w:szCs w:val="24"/>
        </w:rPr>
        <w:t xml:space="preserve"> </w:t>
      </w:r>
      <w:r w:rsidR="00FA720E">
        <w:rPr>
          <w:rFonts w:ascii="Times New Roman" w:hAnsi="Times New Roman" w:cs="Times New Roman"/>
          <w:sz w:val="24"/>
          <w:szCs w:val="24"/>
        </w:rPr>
        <w:t xml:space="preserve"> </w:t>
      </w:r>
      <w:r w:rsidR="00BB632D">
        <w:rPr>
          <w:rFonts w:ascii="Times New Roman" w:hAnsi="Times New Roman" w:cs="Times New Roman"/>
          <w:sz w:val="24"/>
          <w:szCs w:val="24"/>
        </w:rPr>
        <w:t>The tender was won</w:t>
      </w:r>
      <w:r w:rsidR="00C757E5">
        <w:rPr>
          <w:rFonts w:ascii="Times New Roman" w:hAnsi="Times New Roman" w:cs="Times New Roman"/>
          <w:sz w:val="24"/>
          <w:szCs w:val="24"/>
        </w:rPr>
        <w:t xml:space="preserve"> by</w:t>
      </w:r>
      <w:r w:rsidR="00BB632D">
        <w:rPr>
          <w:rFonts w:ascii="Times New Roman" w:hAnsi="Times New Roman" w:cs="Times New Roman"/>
          <w:sz w:val="24"/>
          <w:szCs w:val="24"/>
        </w:rPr>
        <w:t xml:space="preserve"> and awarded to </w:t>
      </w:r>
      <w:proofErr w:type="spellStart"/>
      <w:r w:rsidR="00BB632D" w:rsidRPr="0077126D">
        <w:rPr>
          <w:rFonts w:ascii="Times New Roman" w:hAnsi="Times New Roman" w:cs="Times New Roman"/>
          <w:sz w:val="24"/>
          <w:szCs w:val="24"/>
        </w:rPr>
        <w:t>Inhemeter</w:t>
      </w:r>
      <w:proofErr w:type="spellEnd"/>
      <w:r w:rsidR="00BB632D" w:rsidRPr="0077126D">
        <w:rPr>
          <w:rFonts w:ascii="Times New Roman" w:hAnsi="Times New Roman" w:cs="Times New Roman"/>
          <w:sz w:val="24"/>
          <w:szCs w:val="24"/>
        </w:rPr>
        <w:t xml:space="preserve"> Co. Ltd</w:t>
      </w:r>
      <w:r w:rsidR="00BB632D">
        <w:rPr>
          <w:rFonts w:ascii="Times New Roman" w:hAnsi="Times New Roman" w:cs="Times New Roman"/>
          <w:sz w:val="24"/>
          <w:szCs w:val="24"/>
        </w:rPr>
        <w:t>.</w:t>
      </w:r>
    </w:p>
    <w:p w14:paraId="28D839CD" w14:textId="70D45C90" w:rsidR="00B74A89" w:rsidRDefault="00033AAA" w:rsidP="0077126D">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w:t>
      </w:r>
      <w:r w:rsidR="00483015">
        <w:rPr>
          <w:rFonts w:ascii="Times New Roman" w:hAnsi="Times New Roman" w:cs="Times New Roman"/>
          <w:sz w:val="24"/>
          <w:szCs w:val="24"/>
        </w:rPr>
        <w:t>6</w:t>
      </w:r>
      <w:r>
        <w:rPr>
          <w:rFonts w:ascii="Times New Roman" w:hAnsi="Times New Roman" w:cs="Times New Roman"/>
          <w:sz w:val="24"/>
          <w:szCs w:val="24"/>
        </w:rPr>
        <w:t xml:space="preserve">] </w:t>
      </w:r>
      <w:r>
        <w:rPr>
          <w:rFonts w:ascii="Times New Roman" w:hAnsi="Times New Roman" w:cs="Times New Roman"/>
          <w:sz w:val="24"/>
          <w:szCs w:val="24"/>
        </w:rPr>
        <w:tab/>
        <w:t xml:space="preserve">Aggrieved by the loss, EMS </w:t>
      </w:r>
      <w:r w:rsidR="00483015">
        <w:rPr>
          <w:rFonts w:ascii="Times New Roman" w:hAnsi="Times New Roman" w:cs="Times New Roman"/>
          <w:sz w:val="24"/>
          <w:szCs w:val="24"/>
        </w:rPr>
        <w:t xml:space="preserve">(with </w:t>
      </w:r>
      <w:proofErr w:type="spellStart"/>
      <w:r w:rsidR="00483015">
        <w:rPr>
          <w:rFonts w:ascii="Times New Roman" w:hAnsi="Times New Roman" w:cs="Times New Roman"/>
          <w:sz w:val="24"/>
          <w:szCs w:val="24"/>
        </w:rPr>
        <w:t>Bakaris</w:t>
      </w:r>
      <w:proofErr w:type="spellEnd"/>
      <w:r w:rsidR="00483015">
        <w:rPr>
          <w:rFonts w:ascii="Times New Roman" w:hAnsi="Times New Roman" w:cs="Times New Roman"/>
          <w:sz w:val="24"/>
          <w:szCs w:val="24"/>
        </w:rPr>
        <w:t xml:space="preserve"> as its deponent</w:t>
      </w:r>
      <w:r w:rsidR="00C32F45">
        <w:rPr>
          <w:rFonts w:ascii="Times New Roman" w:hAnsi="Times New Roman" w:cs="Times New Roman"/>
          <w:sz w:val="24"/>
          <w:szCs w:val="24"/>
        </w:rPr>
        <w:t xml:space="preserve"> to the founding affidavit</w:t>
      </w:r>
      <w:r w:rsidR="00483015">
        <w:rPr>
          <w:rFonts w:ascii="Times New Roman" w:hAnsi="Times New Roman" w:cs="Times New Roman"/>
          <w:sz w:val="24"/>
          <w:szCs w:val="24"/>
        </w:rPr>
        <w:t xml:space="preserve">) </w:t>
      </w:r>
      <w:r>
        <w:rPr>
          <w:rFonts w:ascii="Times New Roman" w:hAnsi="Times New Roman" w:cs="Times New Roman"/>
          <w:sz w:val="24"/>
          <w:szCs w:val="24"/>
        </w:rPr>
        <w:t xml:space="preserve">filed two applications, </w:t>
      </w:r>
      <w:r w:rsidR="00C757E5">
        <w:rPr>
          <w:rFonts w:ascii="Times New Roman" w:hAnsi="Times New Roman" w:cs="Times New Roman"/>
          <w:sz w:val="24"/>
          <w:szCs w:val="24"/>
        </w:rPr>
        <w:t>case n</w:t>
      </w:r>
      <w:r w:rsidR="00972AEB">
        <w:rPr>
          <w:rFonts w:ascii="Times New Roman" w:hAnsi="Times New Roman" w:cs="Times New Roman"/>
          <w:sz w:val="24"/>
          <w:szCs w:val="24"/>
        </w:rPr>
        <w:t xml:space="preserve">umbers </w:t>
      </w:r>
      <w:r>
        <w:rPr>
          <w:rFonts w:ascii="Times New Roman" w:hAnsi="Times New Roman" w:cs="Times New Roman"/>
          <w:sz w:val="24"/>
          <w:szCs w:val="24"/>
        </w:rPr>
        <w:t>HC 2389/22 and HC 2404/22, in the High Court challenging the award of the tender to the winner. The applicant</w:t>
      </w:r>
      <w:r w:rsidR="00F6325D">
        <w:rPr>
          <w:rFonts w:ascii="Times New Roman" w:hAnsi="Times New Roman" w:cs="Times New Roman"/>
          <w:sz w:val="24"/>
          <w:szCs w:val="24"/>
        </w:rPr>
        <w:t xml:space="preserve">, represented by </w:t>
      </w:r>
      <w:proofErr w:type="spellStart"/>
      <w:r w:rsidR="00F6325D">
        <w:rPr>
          <w:rFonts w:ascii="Times New Roman" w:hAnsi="Times New Roman" w:cs="Times New Roman"/>
          <w:sz w:val="24"/>
          <w:szCs w:val="24"/>
        </w:rPr>
        <w:t>Bakaris</w:t>
      </w:r>
      <w:proofErr w:type="spellEnd"/>
      <w:r w:rsidR="00F6325D">
        <w:rPr>
          <w:rFonts w:ascii="Times New Roman" w:hAnsi="Times New Roman" w:cs="Times New Roman"/>
          <w:sz w:val="24"/>
          <w:szCs w:val="24"/>
        </w:rPr>
        <w:t>,</w:t>
      </w:r>
      <w:r>
        <w:rPr>
          <w:rFonts w:ascii="Times New Roman" w:hAnsi="Times New Roman" w:cs="Times New Roman"/>
          <w:sz w:val="24"/>
          <w:szCs w:val="24"/>
        </w:rPr>
        <w:t xml:space="preserve"> also sought to stop the award of the tender to the winner in a</w:t>
      </w:r>
      <w:r w:rsidR="00EE28DC">
        <w:rPr>
          <w:rFonts w:ascii="Times New Roman" w:hAnsi="Times New Roman" w:cs="Times New Roman"/>
          <w:sz w:val="24"/>
          <w:szCs w:val="24"/>
        </w:rPr>
        <w:t xml:space="preserve"> court application in case number </w:t>
      </w:r>
      <w:r w:rsidR="00F6325D">
        <w:rPr>
          <w:rFonts w:ascii="Times New Roman" w:hAnsi="Times New Roman" w:cs="Times New Roman"/>
          <w:sz w:val="24"/>
          <w:szCs w:val="24"/>
        </w:rPr>
        <w:t xml:space="preserve">HC </w:t>
      </w:r>
      <w:r w:rsidR="00EE28DC">
        <w:rPr>
          <w:rFonts w:ascii="Times New Roman" w:hAnsi="Times New Roman" w:cs="Times New Roman"/>
          <w:sz w:val="24"/>
          <w:szCs w:val="24"/>
        </w:rPr>
        <w:t>8954/2</w:t>
      </w:r>
      <w:r w:rsidR="0025571C">
        <w:rPr>
          <w:rFonts w:ascii="Times New Roman" w:hAnsi="Times New Roman" w:cs="Times New Roman"/>
          <w:sz w:val="24"/>
          <w:szCs w:val="24"/>
        </w:rPr>
        <w:t xml:space="preserve">2, </w:t>
      </w:r>
      <w:r w:rsidR="003D6547">
        <w:rPr>
          <w:rFonts w:ascii="Times New Roman" w:hAnsi="Times New Roman" w:cs="Times New Roman"/>
          <w:sz w:val="24"/>
          <w:szCs w:val="24"/>
        </w:rPr>
        <w:t>the adverse result of which birthed</w:t>
      </w:r>
      <w:r w:rsidR="0025571C">
        <w:rPr>
          <w:rFonts w:ascii="Times New Roman" w:hAnsi="Times New Roman" w:cs="Times New Roman"/>
          <w:sz w:val="24"/>
          <w:szCs w:val="24"/>
        </w:rPr>
        <w:t xml:space="preserve"> the</w:t>
      </w:r>
      <w:r w:rsidR="003D6547">
        <w:rPr>
          <w:rFonts w:ascii="Times New Roman" w:hAnsi="Times New Roman" w:cs="Times New Roman"/>
          <w:sz w:val="24"/>
          <w:szCs w:val="24"/>
        </w:rPr>
        <w:t xml:space="preserve"> present application. I</w:t>
      </w:r>
      <w:r w:rsidR="0025571C">
        <w:rPr>
          <w:rFonts w:ascii="Times New Roman" w:hAnsi="Times New Roman" w:cs="Times New Roman"/>
          <w:sz w:val="24"/>
          <w:szCs w:val="24"/>
        </w:rPr>
        <w:t xml:space="preserve">n a further bid to stop the consummation of the contract between the second respondent and </w:t>
      </w:r>
      <w:proofErr w:type="spellStart"/>
      <w:r w:rsidR="0025571C">
        <w:rPr>
          <w:rFonts w:ascii="Times New Roman" w:hAnsi="Times New Roman" w:cs="Times New Roman"/>
          <w:sz w:val="24"/>
          <w:szCs w:val="24"/>
        </w:rPr>
        <w:t>Inhemeter</w:t>
      </w:r>
      <w:proofErr w:type="spellEnd"/>
      <w:r w:rsidR="0025571C">
        <w:rPr>
          <w:rFonts w:ascii="Times New Roman" w:hAnsi="Times New Roman" w:cs="Times New Roman"/>
          <w:sz w:val="24"/>
          <w:szCs w:val="24"/>
        </w:rPr>
        <w:t>, the applicant</w:t>
      </w:r>
      <w:r w:rsidR="003D6547">
        <w:rPr>
          <w:rFonts w:ascii="Times New Roman" w:hAnsi="Times New Roman" w:cs="Times New Roman"/>
          <w:sz w:val="24"/>
          <w:szCs w:val="24"/>
        </w:rPr>
        <w:t xml:space="preserve"> also filed</w:t>
      </w:r>
      <w:r w:rsidR="00EE28DC">
        <w:rPr>
          <w:rFonts w:ascii="Times New Roman" w:hAnsi="Times New Roman" w:cs="Times New Roman"/>
          <w:sz w:val="24"/>
          <w:szCs w:val="24"/>
        </w:rPr>
        <w:t xml:space="preserve"> an</w:t>
      </w:r>
      <w:r>
        <w:rPr>
          <w:rFonts w:ascii="Times New Roman" w:hAnsi="Times New Roman" w:cs="Times New Roman"/>
          <w:sz w:val="24"/>
          <w:szCs w:val="24"/>
        </w:rPr>
        <w:t xml:space="preserve"> urgent chamber application</w:t>
      </w:r>
      <w:r w:rsidR="002746EC">
        <w:rPr>
          <w:rFonts w:ascii="Times New Roman" w:hAnsi="Times New Roman" w:cs="Times New Roman"/>
          <w:sz w:val="24"/>
          <w:szCs w:val="24"/>
        </w:rPr>
        <w:t xml:space="preserve"> in case number</w:t>
      </w:r>
      <w:r>
        <w:rPr>
          <w:rFonts w:ascii="Times New Roman" w:hAnsi="Times New Roman" w:cs="Times New Roman"/>
          <w:sz w:val="24"/>
          <w:szCs w:val="24"/>
        </w:rPr>
        <w:t xml:space="preserve"> HC 2937/23</w:t>
      </w:r>
      <w:r w:rsidR="003D6547">
        <w:rPr>
          <w:rFonts w:ascii="Times New Roman" w:hAnsi="Times New Roman" w:cs="Times New Roman"/>
          <w:sz w:val="24"/>
          <w:szCs w:val="24"/>
        </w:rPr>
        <w:t>, which it</w:t>
      </w:r>
      <w:r w:rsidR="0025571C">
        <w:rPr>
          <w:rFonts w:ascii="Times New Roman" w:hAnsi="Times New Roman" w:cs="Times New Roman"/>
          <w:sz w:val="24"/>
          <w:szCs w:val="24"/>
        </w:rPr>
        <w:t xml:space="preserve"> subsequently </w:t>
      </w:r>
      <w:r w:rsidR="003D6547">
        <w:rPr>
          <w:rFonts w:ascii="Times New Roman" w:hAnsi="Times New Roman" w:cs="Times New Roman"/>
          <w:sz w:val="24"/>
          <w:szCs w:val="24"/>
        </w:rPr>
        <w:t>withdrew.</w:t>
      </w:r>
    </w:p>
    <w:p w14:paraId="519920BF" w14:textId="77777777" w:rsidR="0077126D" w:rsidRDefault="0077126D" w:rsidP="0077126D">
      <w:pPr>
        <w:spacing w:after="0" w:line="480" w:lineRule="auto"/>
        <w:ind w:left="720" w:hanging="720"/>
        <w:jc w:val="both"/>
        <w:rPr>
          <w:rFonts w:ascii="Times New Roman" w:hAnsi="Times New Roman" w:cs="Times New Roman"/>
          <w:sz w:val="24"/>
          <w:szCs w:val="24"/>
        </w:rPr>
      </w:pPr>
    </w:p>
    <w:p w14:paraId="4DDAF3FF" w14:textId="70CFED13" w:rsidR="00B74A89" w:rsidRDefault="009B7BD4" w:rsidP="0077126D">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2D1283">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sidR="00FD2E07">
        <w:rPr>
          <w:rFonts w:ascii="Times New Roman" w:hAnsi="Times New Roman" w:cs="Times New Roman"/>
          <w:sz w:val="24"/>
          <w:szCs w:val="24"/>
        </w:rPr>
        <w:t xml:space="preserve">By letter dated 18 March 2022, the </w:t>
      </w:r>
      <w:r w:rsidR="002D1283">
        <w:rPr>
          <w:rFonts w:ascii="Times New Roman" w:hAnsi="Times New Roman" w:cs="Times New Roman"/>
          <w:sz w:val="24"/>
          <w:szCs w:val="24"/>
        </w:rPr>
        <w:t xml:space="preserve">applicant, </w:t>
      </w:r>
      <w:r w:rsidR="00C757E5">
        <w:rPr>
          <w:rFonts w:ascii="Times New Roman" w:hAnsi="Times New Roman" w:cs="Times New Roman"/>
          <w:sz w:val="24"/>
          <w:szCs w:val="24"/>
        </w:rPr>
        <w:t xml:space="preserve">acting </w:t>
      </w:r>
      <w:r w:rsidR="002D1283">
        <w:rPr>
          <w:rFonts w:ascii="Times New Roman" w:hAnsi="Times New Roman" w:cs="Times New Roman"/>
          <w:sz w:val="24"/>
          <w:szCs w:val="24"/>
        </w:rPr>
        <w:t>as an</w:t>
      </w:r>
      <w:r w:rsidR="00FF2AA4">
        <w:rPr>
          <w:rFonts w:ascii="Times New Roman" w:hAnsi="Times New Roman" w:cs="Times New Roman"/>
          <w:sz w:val="24"/>
          <w:szCs w:val="24"/>
        </w:rPr>
        <w:t xml:space="preserve"> agent of EMS</w:t>
      </w:r>
      <w:r w:rsidR="002D1283">
        <w:rPr>
          <w:rFonts w:ascii="Times New Roman" w:hAnsi="Times New Roman" w:cs="Times New Roman"/>
          <w:sz w:val="24"/>
          <w:szCs w:val="24"/>
        </w:rPr>
        <w:t>,</w:t>
      </w:r>
      <w:r w:rsidR="00FF2AA4">
        <w:rPr>
          <w:rFonts w:ascii="Times New Roman" w:hAnsi="Times New Roman" w:cs="Times New Roman"/>
          <w:sz w:val="24"/>
          <w:szCs w:val="24"/>
        </w:rPr>
        <w:t xml:space="preserve"> </w:t>
      </w:r>
      <w:r w:rsidR="00FD2E07">
        <w:rPr>
          <w:rFonts w:ascii="Times New Roman" w:hAnsi="Times New Roman" w:cs="Times New Roman"/>
          <w:sz w:val="24"/>
          <w:szCs w:val="24"/>
        </w:rPr>
        <w:t>invoked the provisions of s 54 (10)</w:t>
      </w:r>
      <w:r w:rsidR="003204FB">
        <w:rPr>
          <w:rFonts w:ascii="Times New Roman" w:hAnsi="Times New Roman" w:cs="Times New Roman"/>
          <w:sz w:val="24"/>
          <w:szCs w:val="24"/>
        </w:rPr>
        <w:t xml:space="preserve"> (c) as read with s 96 of the Act and </w:t>
      </w:r>
      <w:r w:rsidR="00FD2E07">
        <w:rPr>
          <w:rFonts w:ascii="Times New Roman" w:hAnsi="Times New Roman" w:cs="Times New Roman"/>
          <w:sz w:val="24"/>
          <w:szCs w:val="24"/>
        </w:rPr>
        <w:t xml:space="preserve">requested the first respondent to investigate the </w:t>
      </w:r>
      <w:r w:rsidR="003204FB">
        <w:rPr>
          <w:rFonts w:ascii="Times New Roman" w:hAnsi="Times New Roman" w:cs="Times New Roman"/>
          <w:sz w:val="24"/>
          <w:szCs w:val="24"/>
        </w:rPr>
        <w:t xml:space="preserve">conduct of the second respondent in initiating the tender in question. The first </w:t>
      </w:r>
      <w:r w:rsidR="00A07BB6">
        <w:rPr>
          <w:rFonts w:ascii="Times New Roman" w:hAnsi="Times New Roman" w:cs="Times New Roman"/>
          <w:sz w:val="24"/>
          <w:szCs w:val="24"/>
        </w:rPr>
        <w:t xml:space="preserve">respondent commenced the investigation by writing to the second respondent. </w:t>
      </w:r>
      <w:r w:rsidR="003204FB">
        <w:rPr>
          <w:rFonts w:ascii="Times New Roman" w:hAnsi="Times New Roman" w:cs="Times New Roman"/>
          <w:sz w:val="24"/>
          <w:szCs w:val="24"/>
        </w:rPr>
        <w:t>It</w:t>
      </w:r>
      <w:r w:rsidR="006670BE">
        <w:rPr>
          <w:rFonts w:ascii="Times New Roman" w:hAnsi="Times New Roman" w:cs="Times New Roman"/>
          <w:sz w:val="24"/>
          <w:szCs w:val="24"/>
        </w:rPr>
        <w:t>,</w:t>
      </w:r>
      <w:r w:rsidR="003204FB">
        <w:rPr>
          <w:rFonts w:ascii="Times New Roman" w:hAnsi="Times New Roman" w:cs="Times New Roman"/>
          <w:sz w:val="24"/>
          <w:szCs w:val="24"/>
        </w:rPr>
        <w:t xml:space="preserve"> </w:t>
      </w:r>
      <w:r w:rsidR="006670BE">
        <w:rPr>
          <w:rFonts w:ascii="Times New Roman" w:hAnsi="Times New Roman" w:cs="Times New Roman"/>
          <w:sz w:val="24"/>
          <w:szCs w:val="24"/>
        </w:rPr>
        <w:t>howeve</w:t>
      </w:r>
      <w:r w:rsidR="003204FB">
        <w:rPr>
          <w:rFonts w:ascii="Times New Roman" w:hAnsi="Times New Roman" w:cs="Times New Roman"/>
          <w:sz w:val="24"/>
          <w:szCs w:val="24"/>
        </w:rPr>
        <w:t>r</w:t>
      </w:r>
      <w:r w:rsidR="006670BE">
        <w:rPr>
          <w:rFonts w:ascii="Times New Roman" w:hAnsi="Times New Roman" w:cs="Times New Roman"/>
          <w:sz w:val="24"/>
          <w:szCs w:val="24"/>
        </w:rPr>
        <w:t>,</w:t>
      </w:r>
      <w:r w:rsidR="003204FB">
        <w:rPr>
          <w:rFonts w:ascii="Times New Roman" w:hAnsi="Times New Roman" w:cs="Times New Roman"/>
          <w:sz w:val="24"/>
          <w:szCs w:val="24"/>
        </w:rPr>
        <w:t xml:space="preserve"> abandoned the investigation after receiving the second respondent’s response</w:t>
      </w:r>
      <w:r w:rsidR="002D1283">
        <w:rPr>
          <w:rFonts w:ascii="Times New Roman" w:hAnsi="Times New Roman" w:cs="Times New Roman"/>
          <w:sz w:val="24"/>
          <w:szCs w:val="24"/>
        </w:rPr>
        <w:t>.</w:t>
      </w:r>
      <w:r w:rsidR="003204FB">
        <w:rPr>
          <w:rFonts w:ascii="Times New Roman" w:hAnsi="Times New Roman" w:cs="Times New Roman"/>
          <w:sz w:val="24"/>
          <w:szCs w:val="24"/>
        </w:rPr>
        <w:t xml:space="preserve"> </w:t>
      </w:r>
      <w:r w:rsidR="00A423C6">
        <w:rPr>
          <w:rFonts w:ascii="Times New Roman" w:hAnsi="Times New Roman" w:cs="Times New Roman"/>
          <w:sz w:val="24"/>
          <w:szCs w:val="24"/>
        </w:rPr>
        <w:t xml:space="preserve">It concluded that going to tender was </w:t>
      </w:r>
      <w:r w:rsidR="00A07BB6">
        <w:rPr>
          <w:rFonts w:ascii="Times New Roman" w:hAnsi="Times New Roman" w:cs="Times New Roman"/>
          <w:sz w:val="24"/>
          <w:szCs w:val="24"/>
        </w:rPr>
        <w:t xml:space="preserve">both </w:t>
      </w:r>
      <w:r w:rsidR="00A423C6">
        <w:rPr>
          <w:rFonts w:ascii="Times New Roman" w:hAnsi="Times New Roman" w:cs="Times New Roman"/>
          <w:sz w:val="24"/>
          <w:szCs w:val="24"/>
        </w:rPr>
        <w:t>a</w:t>
      </w:r>
      <w:r w:rsidR="00DE6761">
        <w:rPr>
          <w:rFonts w:ascii="Times New Roman" w:hAnsi="Times New Roman" w:cs="Times New Roman"/>
          <w:sz w:val="24"/>
          <w:szCs w:val="24"/>
        </w:rPr>
        <w:t xml:space="preserve"> policy and</w:t>
      </w:r>
      <w:r w:rsidR="00A423C6">
        <w:rPr>
          <w:rFonts w:ascii="Times New Roman" w:hAnsi="Times New Roman" w:cs="Times New Roman"/>
          <w:sz w:val="24"/>
          <w:szCs w:val="24"/>
        </w:rPr>
        <w:t xml:space="preserve"> technical decision best left to the procuring entity.</w:t>
      </w:r>
    </w:p>
    <w:p w14:paraId="22ADADEB" w14:textId="77777777" w:rsidR="0077126D" w:rsidRDefault="0077126D" w:rsidP="0077126D">
      <w:pPr>
        <w:spacing w:after="0" w:line="480" w:lineRule="auto"/>
        <w:ind w:left="720" w:hanging="720"/>
        <w:jc w:val="both"/>
        <w:rPr>
          <w:rFonts w:ascii="Times New Roman" w:hAnsi="Times New Roman" w:cs="Times New Roman"/>
          <w:sz w:val="24"/>
          <w:szCs w:val="24"/>
        </w:rPr>
      </w:pPr>
    </w:p>
    <w:p w14:paraId="2FC67EA6" w14:textId="37BDA031" w:rsidR="00B74A89" w:rsidRDefault="003204FB" w:rsidP="0077126D">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2D1283">
        <w:rPr>
          <w:rFonts w:ascii="Times New Roman" w:hAnsi="Times New Roman" w:cs="Times New Roman"/>
          <w:sz w:val="24"/>
          <w:szCs w:val="24"/>
        </w:rPr>
        <w:t>8]</w:t>
      </w:r>
      <w:r>
        <w:rPr>
          <w:rFonts w:ascii="Times New Roman" w:hAnsi="Times New Roman" w:cs="Times New Roman"/>
          <w:sz w:val="24"/>
          <w:szCs w:val="24"/>
        </w:rPr>
        <w:tab/>
        <w:t>Irked by the conduct of the first respondent, the applicant filed case number</w:t>
      </w:r>
      <w:r w:rsidR="005303AF">
        <w:rPr>
          <w:rFonts w:ascii="Times New Roman" w:hAnsi="Times New Roman" w:cs="Times New Roman"/>
          <w:sz w:val="24"/>
          <w:szCs w:val="24"/>
        </w:rPr>
        <w:t xml:space="preserve"> HC 8954/22,</w:t>
      </w:r>
      <w:r>
        <w:rPr>
          <w:rFonts w:ascii="Times New Roman" w:hAnsi="Times New Roman" w:cs="Times New Roman"/>
          <w:sz w:val="24"/>
          <w:szCs w:val="24"/>
        </w:rPr>
        <w:t xml:space="preserve"> in the court </w:t>
      </w:r>
      <w:r w:rsidRPr="003204FB">
        <w:rPr>
          <w:rFonts w:ascii="Times New Roman" w:hAnsi="Times New Roman" w:cs="Times New Roman"/>
          <w:i/>
          <w:iCs/>
          <w:sz w:val="24"/>
          <w:szCs w:val="24"/>
        </w:rPr>
        <w:t>a quo</w:t>
      </w:r>
      <w:r>
        <w:rPr>
          <w:rFonts w:ascii="Times New Roman" w:hAnsi="Times New Roman" w:cs="Times New Roman"/>
          <w:sz w:val="24"/>
          <w:szCs w:val="24"/>
        </w:rPr>
        <w:t>.</w:t>
      </w:r>
      <w:r w:rsidR="000F75A1">
        <w:rPr>
          <w:rFonts w:ascii="Times New Roman" w:hAnsi="Times New Roman" w:cs="Times New Roman"/>
          <w:sz w:val="24"/>
          <w:szCs w:val="24"/>
        </w:rPr>
        <w:t xml:space="preserve"> It approached the court </w:t>
      </w:r>
      <w:r w:rsidR="000F75A1" w:rsidRPr="002D1283">
        <w:rPr>
          <w:rFonts w:ascii="Times New Roman" w:hAnsi="Times New Roman" w:cs="Times New Roman"/>
          <w:i/>
          <w:iCs/>
          <w:sz w:val="24"/>
          <w:szCs w:val="24"/>
        </w:rPr>
        <w:t>a quo</w:t>
      </w:r>
      <w:r w:rsidR="00A84BC2">
        <w:rPr>
          <w:rFonts w:ascii="Times New Roman" w:hAnsi="Times New Roman" w:cs="Times New Roman"/>
          <w:sz w:val="24"/>
          <w:szCs w:val="24"/>
        </w:rPr>
        <w:t xml:space="preserve"> </w:t>
      </w:r>
      <w:r w:rsidR="00C757E5">
        <w:rPr>
          <w:rFonts w:ascii="Times New Roman" w:hAnsi="Times New Roman" w:cs="Times New Roman"/>
          <w:sz w:val="24"/>
          <w:szCs w:val="24"/>
        </w:rPr>
        <w:t xml:space="preserve">ostensibly </w:t>
      </w:r>
      <w:r w:rsidR="00A84BC2">
        <w:rPr>
          <w:rFonts w:ascii="Times New Roman" w:hAnsi="Times New Roman" w:cs="Times New Roman"/>
          <w:sz w:val="24"/>
          <w:szCs w:val="24"/>
        </w:rPr>
        <w:t>as a whistleblower for</w:t>
      </w:r>
      <w:r w:rsidR="00A406F1">
        <w:rPr>
          <w:rFonts w:ascii="Times New Roman" w:hAnsi="Times New Roman" w:cs="Times New Roman"/>
          <w:sz w:val="24"/>
          <w:szCs w:val="24"/>
        </w:rPr>
        <w:t xml:space="preserve"> </w:t>
      </w:r>
      <w:r w:rsidR="000F75A1">
        <w:rPr>
          <w:rFonts w:ascii="Times New Roman" w:hAnsi="Times New Roman" w:cs="Times New Roman"/>
          <w:sz w:val="24"/>
          <w:szCs w:val="24"/>
        </w:rPr>
        <w:t xml:space="preserve">a </w:t>
      </w:r>
      <w:r w:rsidR="00A406F1" w:rsidRPr="0006272D">
        <w:rPr>
          <w:rFonts w:ascii="Times New Roman" w:hAnsi="Times New Roman" w:cs="Times New Roman"/>
          <w:i/>
          <w:iCs/>
          <w:sz w:val="24"/>
          <w:szCs w:val="24"/>
        </w:rPr>
        <w:t>mandamus</w:t>
      </w:r>
      <w:r w:rsidR="009B7BD4">
        <w:rPr>
          <w:rFonts w:ascii="Times New Roman" w:hAnsi="Times New Roman" w:cs="Times New Roman"/>
          <w:sz w:val="24"/>
          <w:szCs w:val="24"/>
        </w:rPr>
        <w:t xml:space="preserve"> </w:t>
      </w:r>
      <w:r w:rsidR="00A84BC2">
        <w:rPr>
          <w:rFonts w:ascii="Times New Roman" w:hAnsi="Times New Roman" w:cs="Times New Roman"/>
          <w:sz w:val="24"/>
          <w:szCs w:val="24"/>
        </w:rPr>
        <w:t>to compel</w:t>
      </w:r>
      <w:r w:rsidR="009B7BD4">
        <w:rPr>
          <w:rFonts w:ascii="Times New Roman" w:hAnsi="Times New Roman" w:cs="Times New Roman"/>
          <w:sz w:val="24"/>
          <w:szCs w:val="24"/>
        </w:rPr>
        <w:t xml:space="preserve"> the first respondent to investigate the </w:t>
      </w:r>
      <w:r w:rsidR="00A84BC2">
        <w:rPr>
          <w:rFonts w:ascii="Times New Roman" w:hAnsi="Times New Roman" w:cs="Times New Roman"/>
          <w:sz w:val="24"/>
          <w:szCs w:val="24"/>
        </w:rPr>
        <w:t xml:space="preserve">second respondent for </w:t>
      </w:r>
      <w:r w:rsidR="002D1283">
        <w:rPr>
          <w:rFonts w:ascii="Times New Roman" w:hAnsi="Times New Roman" w:cs="Times New Roman"/>
          <w:sz w:val="24"/>
          <w:szCs w:val="24"/>
        </w:rPr>
        <w:t xml:space="preserve">what it purported to be </w:t>
      </w:r>
      <w:r w:rsidR="00A84BC2">
        <w:rPr>
          <w:rFonts w:ascii="Times New Roman" w:hAnsi="Times New Roman" w:cs="Times New Roman"/>
          <w:sz w:val="24"/>
          <w:szCs w:val="24"/>
        </w:rPr>
        <w:t xml:space="preserve">a </w:t>
      </w:r>
      <w:r w:rsidR="00DE6761">
        <w:rPr>
          <w:rFonts w:ascii="Times New Roman" w:hAnsi="Times New Roman" w:cs="Times New Roman"/>
          <w:sz w:val="24"/>
          <w:szCs w:val="24"/>
        </w:rPr>
        <w:t xml:space="preserve">corrupt </w:t>
      </w:r>
      <w:r w:rsidR="00A84BC2">
        <w:rPr>
          <w:rFonts w:ascii="Times New Roman" w:hAnsi="Times New Roman" w:cs="Times New Roman"/>
          <w:sz w:val="24"/>
          <w:szCs w:val="24"/>
        </w:rPr>
        <w:t>double procurement</w:t>
      </w:r>
      <w:r w:rsidR="001E0720">
        <w:rPr>
          <w:rFonts w:ascii="Times New Roman" w:hAnsi="Times New Roman" w:cs="Times New Roman"/>
          <w:sz w:val="24"/>
          <w:szCs w:val="24"/>
        </w:rPr>
        <w:t>. It also sought</w:t>
      </w:r>
      <w:r w:rsidR="00A84BC2">
        <w:rPr>
          <w:rFonts w:ascii="Times New Roman" w:hAnsi="Times New Roman" w:cs="Times New Roman"/>
          <w:sz w:val="24"/>
          <w:szCs w:val="24"/>
        </w:rPr>
        <w:t xml:space="preserve"> </w:t>
      </w:r>
      <w:r w:rsidR="00A07BB6">
        <w:rPr>
          <w:rFonts w:ascii="Times New Roman" w:hAnsi="Times New Roman" w:cs="Times New Roman"/>
          <w:sz w:val="24"/>
          <w:szCs w:val="24"/>
        </w:rPr>
        <w:t>for the</w:t>
      </w:r>
      <w:r w:rsidR="009B7BD4">
        <w:rPr>
          <w:rFonts w:ascii="Times New Roman" w:hAnsi="Times New Roman" w:cs="Times New Roman"/>
          <w:sz w:val="24"/>
          <w:szCs w:val="24"/>
        </w:rPr>
        <w:t xml:space="preserve"> stay of any resultant acts emanating</w:t>
      </w:r>
      <w:r w:rsidR="005E6571">
        <w:rPr>
          <w:rFonts w:ascii="Times New Roman" w:hAnsi="Times New Roman" w:cs="Times New Roman"/>
          <w:sz w:val="24"/>
          <w:szCs w:val="24"/>
        </w:rPr>
        <w:t xml:space="preserve"> from the tendering process, pending</w:t>
      </w:r>
      <w:r w:rsidR="001E0720">
        <w:rPr>
          <w:rFonts w:ascii="Times New Roman" w:hAnsi="Times New Roman" w:cs="Times New Roman"/>
          <w:sz w:val="24"/>
          <w:szCs w:val="24"/>
        </w:rPr>
        <w:t xml:space="preserve"> the investigation</w:t>
      </w:r>
      <w:r w:rsidR="005E6571">
        <w:rPr>
          <w:rFonts w:ascii="Times New Roman" w:hAnsi="Times New Roman" w:cs="Times New Roman"/>
          <w:sz w:val="24"/>
          <w:szCs w:val="24"/>
        </w:rPr>
        <w:t>,</w:t>
      </w:r>
      <w:r w:rsidR="001E0720">
        <w:rPr>
          <w:rFonts w:ascii="Times New Roman" w:hAnsi="Times New Roman" w:cs="Times New Roman"/>
          <w:sz w:val="24"/>
          <w:szCs w:val="24"/>
        </w:rPr>
        <w:t xml:space="preserve"> and</w:t>
      </w:r>
      <w:r w:rsidR="00A406F1">
        <w:rPr>
          <w:rFonts w:ascii="Times New Roman" w:hAnsi="Times New Roman" w:cs="Times New Roman"/>
          <w:sz w:val="24"/>
          <w:szCs w:val="24"/>
        </w:rPr>
        <w:t xml:space="preserve"> costs of suit</w:t>
      </w:r>
      <w:r w:rsidR="009B7BD4">
        <w:rPr>
          <w:rFonts w:ascii="Times New Roman" w:hAnsi="Times New Roman" w:cs="Times New Roman"/>
          <w:sz w:val="24"/>
          <w:szCs w:val="24"/>
        </w:rPr>
        <w:t>.</w:t>
      </w:r>
      <w:r w:rsidR="005303AF">
        <w:rPr>
          <w:rFonts w:ascii="Times New Roman" w:hAnsi="Times New Roman" w:cs="Times New Roman"/>
          <w:sz w:val="24"/>
          <w:szCs w:val="24"/>
        </w:rPr>
        <w:t xml:space="preserve"> It</w:t>
      </w:r>
      <w:r w:rsidR="001E0720">
        <w:rPr>
          <w:rFonts w:ascii="Times New Roman" w:hAnsi="Times New Roman" w:cs="Times New Roman"/>
          <w:sz w:val="24"/>
          <w:szCs w:val="24"/>
        </w:rPr>
        <w:t xml:space="preserve"> was ostensibly</w:t>
      </w:r>
      <w:r w:rsidR="00A84BC2">
        <w:rPr>
          <w:rFonts w:ascii="Times New Roman" w:hAnsi="Times New Roman" w:cs="Times New Roman"/>
          <w:sz w:val="24"/>
          <w:szCs w:val="24"/>
        </w:rPr>
        <w:t xml:space="preserve"> motivated by a civic duty to</w:t>
      </w:r>
      <w:r w:rsidR="00FD7900">
        <w:rPr>
          <w:rFonts w:ascii="Times New Roman" w:hAnsi="Times New Roman" w:cs="Times New Roman"/>
          <w:sz w:val="24"/>
          <w:szCs w:val="24"/>
        </w:rPr>
        <w:t xml:space="preserve"> prevent</w:t>
      </w:r>
      <w:r w:rsidR="00A84BC2">
        <w:rPr>
          <w:rFonts w:ascii="Times New Roman" w:hAnsi="Times New Roman" w:cs="Times New Roman"/>
          <w:sz w:val="24"/>
          <w:szCs w:val="24"/>
        </w:rPr>
        <w:t xml:space="preserve"> the second respondent from engaging in </w:t>
      </w:r>
      <w:r w:rsidR="002D1283">
        <w:rPr>
          <w:rFonts w:ascii="Times New Roman" w:hAnsi="Times New Roman" w:cs="Times New Roman"/>
          <w:sz w:val="24"/>
          <w:szCs w:val="24"/>
        </w:rPr>
        <w:t>“</w:t>
      </w:r>
      <w:r w:rsidR="00A84BC2">
        <w:rPr>
          <w:rFonts w:ascii="Times New Roman" w:hAnsi="Times New Roman" w:cs="Times New Roman"/>
          <w:sz w:val="24"/>
          <w:szCs w:val="24"/>
        </w:rPr>
        <w:t>corruption</w:t>
      </w:r>
      <w:r w:rsidR="002D1283">
        <w:rPr>
          <w:rFonts w:ascii="Times New Roman" w:hAnsi="Times New Roman" w:cs="Times New Roman"/>
          <w:sz w:val="24"/>
          <w:szCs w:val="24"/>
        </w:rPr>
        <w:t>”</w:t>
      </w:r>
      <w:r w:rsidR="005E6571">
        <w:rPr>
          <w:rFonts w:ascii="Times New Roman" w:hAnsi="Times New Roman" w:cs="Times New Roman"/>
          <w:sz w:val="24"/>
          <w:szCs w:val="24"/>
        </w:rPr>
        <w:t xml:space="preserve">. </w:t>
      </w:r>
      <w:r w:rsidR="005E6571">
        <w:rPr>
          <w:rFonts w:ascii="Times New Roman" w:hAnsi="Times New Roman" w:cs="Times New Roman"/>
          <w:sz w:val="24"/>
          <w:szCs w:val="24"/>
        </w:rPr>
        <w:lastRenderedPageBreak/>
        <w:t>It</w:t>
      </w:r>
      <w:r w:rsidR="001B7660">
        <w:rPr>
          <w:rFonts w:ascii="Times New Roman" w:hAnsi="Times New Roman" w:cs="Times New Roman"/>
          <w:sz w:val="24"/>
          <w:szCs w:val="24"/>
        </w:rPr>
        <w:t xml:space="preserve"> alleged </w:t>
      </w:r>
      <w:r w:rsidR="005E6571">
        <w:rPr>
          <w:rFonts w:ascii="Times New Roman" w:hAnsi="Times New Roman" w:cs="Times New Roman"/>
          <w:sz w:val="24"/>
          <w:szCs w:val="24"/>
        </w:rPr>
        <w:t xml:space="preserve">that the purported </w:t>
      </w:r>
      <w:r w:rsidR="001B7660">
        <w:rPr>
          <w:rFonts w:ascii="Times New Roman" w:hAnsi="Times New Roman" w:cs="Times New Roman"/>
          <w:sz w:val="24"/>
          <w:szCs w:val="24"/>
        </w:rPr>
        <w:t xml:space="preserve">corruption arose from the floating of a </w:t>
      </w:r>
      <w:r w:rsidR="00E5527B">
        <w:rPr>
          <w:rFonts w:ascii="Times New Roman" w:hAnsi="Times New Roman" w:cs="Times New Roman"/>
          <w:sz w:val="24"/>
          <w:szCs w:val="24"/>
        </w:rPr>
        <w:t xml:space="preserve">costly </w:t>
      </w:r>
      <w:r w:rsidR="001B7660">
        <w:rPr>
          <w:rFonts w:ascii="Times New Roman" w:hAnsi="Times New Roman" w:cs="Times New Roman"/>
          <w:sz w:val="24"/>
          <w:szCs w:val="24"/>
        </w:rPr>
        <w:t>new</w:t>
      </w:r>
      <w:r w:rsidR="002D1283">
        <w:rPr>
          <w:rFonts w:ascii="Times New Roman" w:hAnsi="Times New Roman" w:cs="Times New Roman"/>
          <w:sz w:val="24"/>
          <w:szCs w:val="24"/>
        </w:rPr>
        <w:t xml:space="preserve"> PMT tender</w:t>
      </w:r>
      <w:r w:rsidR="001B7660">
        <w:rPr>
          <w:rFonts w:ascii="Times New Roman" w:hAnsi="Times New Roman" w:cs="Times New Roman"/>
          <w:sz w:val="24"/>
          <w:szCs w:val="24"/>
        </w:rPr>
        <w:t xml:space="preserve"> in the face of the applicant’s </w:t>
      </w:r>
      <w:r w:rsidR="00EF36EC">
        <w:rPr>
          <w:rFonts w:ascii="Times New Roman" w:hAnsi="Times New Roman" w:cs="Times New Roman"/>
          <w:sz w:val="24"/>
          <w:szCs w:val="24"/>
        </w:rPr>
        <w:t xml:space="preserve">own </w:t>
      </w:r>
      <w:r w:rsidR="001B7660">
        <w:rPr>
          <w:rFonts w:ascii="Times New Roman" w:hAnsi="Times New Roman" w:cs="Times New Roman"/>
          <w:sz w:val="24"/>
          <w:szCs w:val="24"/>
        </w:rPr>
        <w:t>extant and proficient s</w:t>
      </w:r>
      <w:r w:rsidR="00C757E5">
        <w:rPr>
          <w:rFonts w:ascii="Times New Roman" w:hAnsi="Times New Roman" w:cs="Times New Roman"/>
          <w:sz w:val="24"/>
          <w:szCs w:val="24"/>
        </w:rPr>
        <w:t>ystem</w:t>
      </w:r>
      <w:r w:rsidR="001B7660">
        <w:rPr>
          <w:rFonts w:ascii="Times New Roman" w:hAnsi="Times New Roman" w:cs="Times New Roman"/>
          <w:sz w:val="24"/>
          <w:szCs w:val="24"/>
        </w:rPr>
        <w:t xml:space="preserve">. </w:t>
      </w:r>
    </w:p>
    <w:p w14:paraId="1899BAD8" w14:textId="77777777" w:rsidR="0077126D" w:rsidRDefault="0077126D" w:rsidP="0077126D">
      <w:pPr>
        <w:spacing w:after="0" w:line="480" w:lineRule="auto"/>
        <w:ind w:left="720" w:hanging="660"/>
        <w:jc w:val="both"/>
        <w:rPr>
          <w:rFonts w:ascii="Times New Roman" w:hAnsi="Times New Roman" w:cs="Times New Roman"/>
          <w:sz w:val="24"/>
          <w:szCs w:val="24"/>
        </w:rPr>
      </w:pPr>
    </w:p>
    <w:p w14:paraId="3DDEDCA0" w14:textId="0CB78A6E" w:rsidR="0055771A" w:rsidRPr="003763BC" w:rsidRDefault="00A406F1" w:rsidP="007939F3">
      <w:pPr>
        <w:spacing w:after="0" w:line="480" w:lineRule="auto"/>
        <w:ind w:left="567" w:hanging="567"/>
        <w:jc w:val="both"/>
        <w:rPr>
          <w:rFonts w:ascii="Times New Roman" w:hAnsi="Times New Roman" w:cs="Times New Roman"/>
          <w:bCs/>
          <w:sz w:val="24"/>
          <w:szCs w:val="24"/>
        </w:rPr>
      </w:pPr>
      <w:r>
        <w:rPr>
          <w:rFonts w:ascii="Times New Roman" w:hAnsi="Times New Roman" w:cs="Times New Roman"/>
          <w:sz w:val="24"/>
          <w:szCs w:val="24"/>
        </w:rPr>
        <w:t>[</w:t>
      </w:r>
      <w:r w:rsidR="003A1921">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ab/>
        <w:t xml:space="preserve">At the hearing of the application </w:t>
      </w:r>
      <w:r w:rsidRPr="00DA4E12">
        <w:rPr>
          <w:rFonts w:ascii="Times New Roman" w:hAnsi="Times New Roman" w:cs="Times New Roman"/>
          <w:i/>
          <w:iCs/>
          <w:sz w:val="24"/>
          <w:szCs w:val="24"/>
        </w:rPr>
        <w:t>a quo</w:t>
      </w:r>
      <w:r>
        <w:rPr>
          <w:rFonts w:ascii="Times New Roman" w:hAnsi="Times New Roman" w:cs="Times New Roman"/>
          <w:sz w:val="24"/>
          <w:szCs w:val="24"/>
        </w:rPr>
        <w:t>, the respondent</w:t>
      </w:r>
      <w:r w:rsidR="00DA4E12">
        <w:rPr>
          <w:rFonts w:ascii="Times New Roman" w:hAnsi="Times New Roman" w:cs="Times New Roman"/>
          <w:sz w:val="24"/>
          <w:szCs w:val="24"/>
        </w:rPr>
        <w:t>s</w:t>
      </w:r>
      <w:r>
        <w:rPr>
          <w:rFonts w:ascii="Times New Roman" w:hAnsi="Times New Roman" w:cs="Times New Roman"/>
          <w:sz w:val="24"/>
          <w:szCs w:val="24"/>
        </w:rPr>
        <w:t xml:space="preserve"> raised</w:t>
      </w:r>
      <w:r w:rsidR="00DA4E12">
        <w:rPr>
          <w:rFonts w:ascii="Times New Roman" w:hAnsi="Times New Roman" w:cs="Times New Roman"/>
          <w:sz w:val="24"/>
          <w:szCs w:val="24"/>
        </w:rPr>
        <w:t xml:space="preserve">, between them, </w:t>
      </w:r>
      <w:r w:rsidR="00B74A89">
        <w:rPr>
          <w:rFonts w:ascii="Times New Roman" w:hAnsi="Times New Roman" w:cs="Times New Roman"/>
          <w:sz w:val="24"/>
          <w:szCs w:val="24"/>
        </w:rPr>
        <w:t>four</w:t>
      </w:r>
      <w:r w:rsidR="00DA4E12">
        <w:rPr>
          <w:rFonts w:ascii="Times New Roman" w:hAnsi="Times New Roman" w:cs="Times New Roman"/>
          <w:sz w:val="24"/>
          <w:szCs w:val="24"/>
        </w:rPr>
        <w:t xml:space="preserve"> </w:t>
      </w:r>
      <w:r w:rsidR="00B20463">
        <w:rPr>
          <w:rFonts w:ascii="Times New Roman" w:hAnsi="Times New Roman" w:cs="Times New Roman"/>
          <w:sz w:val="24"/>
          <w:szCs w:val="24"/>
        </w:rPr>
        <w:t>preliminary points</w:t>
      </w:r>
      <w:r w:rsidR="00DA4E12">
        <w:rPr>
          <w:rFonts w:ascii="Times New Roman" w:hAnsi="Times New Roman" w:cs="Times New Roman"/>
          <w:sz w:val="24"/>
          <w:szCs w:val="24"/>
        </w:rPr>
        <w:t xml:space="preserve">. The first </w:t>
      </w:r>
      <w:r w:rsidR="00430294">
        <w:rPr>
          <w:rFonts w:ascii="Times New Roman" w:hAnsi="Times New Roman" w:cs="Times New Roman"/>
          <w:sz w:val="24"/>
          <w:szCs w:val="24"/>
        </w:rPr>
        <w:t>was that the applicant</w:t>
      </w:r>
      <w:r w:rsidR="00A503E9">
        <w:rPr>
          <w:rFonts w:ascii="Times New Roman" w:hAnsi="Times New Roman" w:cs="Times New Roman"/>
          <w:sz w:val="24"/>
          <w:szCs w:val="24"/>
        </w:rPr>
        <w:t xml:space="preserve"> lacked the </w:t>
      </w:r>
      <w:r w:rsidR="00A503E9" w:rsidRPr="00DA4E12">
        <w:rPr>
          <w:rFonts w:ascii="Times New Roman" w:hAnsi="Times New Roman" w:cs="Times New Roman"/>
          <w:i/>
          <w:iCs/>
          <w:sz w:val="24"/>
          <w:szCs w:val="24"/>
        </w:rPr>
        <w:t>locus standi</w:t>
      </w:r>
      <w:r w:rsidR="00430294">
        <w:rPr>
          <w:rFonts w:ascii="Times New Roman" w:hAnsi="Times New Roman" w:cs="Times New Roman"/>
          <w:sz w:val="24"/>
          <w:szCs w:val="24"/>
        </w:rPr>
        <w:t xml:space="preserve"> to institute the </w:t>
      </w:r>
      <w:r w:rsidR="00430294" w:rsidRPr="0006272D">
        <w:rPr>
          <w:rFonts w:ascii="Times New Roman" w:hAnsi="Times New Roman" w:cs="Times New Roman"/>
          <w:i/>
          <w:iCs/>
          <w:sz w:val="24"/>
          <w:szCs w:val="24"/>
        </w:rPr>
        <w:t xml:space="preserve">mandamus </w:t>
      </w:r>
      <w:r w:rsidR="00430294">
        <w:rPr>
          <w:rFonts w:ascii="Times New Roman" w:hAnsi="Times New Roman" w:cs="Times New Roman"/>
          <w:sz w:val="24"/>
          <w:szCs w:val="24"/>
        </w:rPr>
        <w:t>proceedings</w:t>
      </w:r>
      <w:r w:rsidR="00972AEB">
        <w:rPr>
          <w:rFonts w:ascii="Times New Roman" w:hAnsi="Times New Roman" w:cs="Times New Roman"/>
          <w:sz w:val="24"/>
          <w:szCs w:val="24"/>
        </w:rPr>
        <w:t xml:space="preserve"> because, during the tender proceedings, it acted as an agent of EMS. In addition, </w:t>
      </w:r>
      <w:r w:rsidR="00C12E7E">
        <w:rPr>
          <w:rFonts w:ascii="Times New Roman" w:hAnsi="Times New Roman" w:cs="Times New Roman"/>
          <w:sz w:val="24"/>
          <w:szCs w:val="24"/>
        </w:rPr>
        <w:t>that as t</w:t>
      </w:r>
      <w:r w:rsidR="00972AEB">
        <w:rPr>
          <w:rFonts w:ascii="Times New Roman" w:hAnsi="Times New Roman" w:cs="Times New Roman"/>
          <w:sz w:val="24"/>
          <w:szCs w:val="24"/>
        </w:rPr>
        <w:t xml:space="preserve">he challenges to the tender proceedings by its principal were pending in case numbers HC </w:t>
      </w:r>
      <w:r w:rsidR="00C12E7E">
        <w:rPr>
          <w:rFonts w:ascii="Times New Roman" w:hAnsi="Times New Roman" w:cs="Times New Roman"/>
          <w:sz w:val="24"/>
          <w:szCs w:val="24"/>
        </w:rPr>
        <w:t xml:space="preserve">2389/22 and HC 2404/2, the </w:t>
      </w:r>
      <w:r w:rsidR="00C12E7E" w:rsidRPr="0006272D">
        <w:rPr>
          <w:rFonts w:ascii="Times New Roman" w:hAnsi="Times New Roman" w:cs="Times New Roman"/>
          <w:i/>
          <w:iCs/>
          <w:sz w:val="24"/>
          <w:szCs w:val="24"/>
        </w:rPr>
        <w:t>mandamus</w:t>
      </w:r>
      <w:r w:rsidR="00C12E7E">
        <w:rPr>
          <w:rFonts w:ascii="Times New Roman" w:hAnsi="Times New Roman" w:cs="Times New Roman"/>
          <w:sz w:val="24"/>
          <w:szCs w:val="24"/>
        </w:rPr>
        <w:t xml:space="preserve"> application was either </w:t>
      </w:r>
      <w:proofErr w:type="spellStart"/>
      <w:r w:rsidR="00C12E7E" w:rsidRPr="00C12E7E">
        <w:rPr>
          <w:rFonts w:ascii="Times New Roman" w:hAnsi="Times New Roman" w:cs="Times New Roman"/>
          <w:i/>
          <w:sz w:val="24"/>
          <w:szCs w:val="24"/>
        </w:rPr>
        <w:t>lis</w:t>
      </w:r>
      <w:proofErr w:type="spellEnd"/>
      <w:r w:rsidR="00C12E7E" w:rsidRPr="00C12E7E">
        <w:rPr>
          <w:rFonts w:ascii="Times New Roman" w:hAnsi="Times New Roman" w:cs="Times New Roman"/>
          <w:i/>
          <w:sz w:val="24"/>
          <w:szCs w:val="24"/>
        </w:rPr>
        <w:t xml:space="preserve"> </w:t>
      </w:r>
      <w:proofErr w:type="spellStart"/>
      <w:r w:rsidR="00C12E7E" w:rsidRPr="00C12E7E">
        <w:rPr>
          <w:rFonts w:ascii="Times New Roman" w:hAnsi="Times New Roman" w:cs="Times New Roman"/>
          <w:i/>
          <w:sz w:val="24"/>
          <w:szCs w:val="24"/>
        </w:rPr>
        <w:t>pendens</w:t>
      </w:r>
      <w:proofErr w:type="spellEnd"/>
      <w:r w:rsidR="00C12E7E">
        <w:rPr>
          <w:rFonts w:ascii="Times New Roman" w:hAnsi="Times New Roman" w:cs="Times New Roman"/>
          <w:sz w:val="24"/>
          <w:szCs w:val="24"/>
        </w:rPr>
        <w:t xml:space="preserve"> or </w:t>
      </w:r>
      <w:r w:rsidR="00C12E7E" w:rsidRPr="00C12E7E">
        <w:rPr>
          <w:rFonts w:ascii="Times New Roman" w:hAnsi="Times New Roman" w:cs="Times New Roman"/>
          <w:i/>
          <w:sz w:val="24"/>
          <w:szCs w:val="24"/>
        </w:rPr>
        <w:t xml:space="preserve">sub </w:t>
      </w:r>
      <w:proofErr w:type="spellStart"/>
      <w:r w:rsidR="00C12E7E" w:rsidRPr="00C12E7E">
        <w:rPr>
          <w:rFonts w:ascii="Times New Roman" w:hAnsi="Times New Roman" w:cs="Times New Roman"/>
          <w:i/>
          <w:sz w:val="24"/>
          <w:szCs w:val="24"/>
        </w:rPr>
        <w:t>judice</w:t>
      </w:r>
      <w:proofErr w:type="spellEnd"/>
      <w:r w:rsidR="00C12E7E">
        <w:rPr>
          <w:rFonts w:ascii="Times New Roman" w:hAnsi="Times New Roman" w:cs="Times New Roman"/>
          <w:sz w:val="24"/>
          <w:szCs w:val="24"/>
        </w:rPr>
        <w:t>.</w:t>
      </w:r>
      <w:r w:rsidR="00B20463">
        <w:rPr>
          <w:rFonts w:ascii="Times New Roman" w:hAnsi="Times New Roman" w:cs="Times New Roman"/>
          <w:sz w:val="24"/>
          <w:szCs w:val="24"/>
        </w:rPr>
        <w:t xml:space="preserve"> </w:t>
      </w:r>
      <w:r w:rsidR="00430294">
        <w:rPr>
          <w:rFonts w:ascii="Times New Roman" w:hAnsi="Times New Roman" w:cs="Times New Roman"/>
          <w:sz w:val="24"/>
          <w:szCs w:val="24"/>
        </w:rPr>
        <w:t xml:space="preserve">The second was that it </w:t>
      </w:r>
      <w:r w:rsidR="00B20463">
        <w:rPr>
          <w:rFonts w:ascii="Times New Roman" w:hAnsi="Times New Roman" w:cs="Times New Roman"/>
          <w:sz w:val="24"/>
          <w:szCs w:val="24"/>
        </w:rPr>
        <w:t xml:space="preserve">did not have a cause of action </w:t>
      </w:r>
      <w:r w:rsidR="00430294">
        <w:rPr>
          <w:rFonts w:ascii="Times New Roman" w:hAnsi="Times New Roman" w:cs="Times New Roman"/>
          <w:sz w:val="24"/>
          <w:szCs w:val="24"/>
        </w:rPr>
        <w:t xml:space="preserve">to seek a </w:t>
      </w:r>
      <w:r w:rsidR="00430294" w:rsidRPr="0006272D">
        <w:rPr>
          <w:rFonts w:ascii="Times New Roman" w:hAnsi="Times New Roman" w:cs="Times New Roman"/>
          <w:i/>
          <w:iCs/>
          <w:sz w:val="24"/>
          <w:szCs w:val="24"/>
        </w:rPr>
        <w:t>mandamus</w:t>
      </w:r>
      <w:r w:rsidR="00DA4E12" w:rsidRPr="0006272D">
        <w:rPr>
          <w:rFonts w:ascii="Times New Roman" w:hAnsi="Times New Roman" w:cs="Times New Roman"/>
          <w:i/>
          <w:iCs/>
          <w:sz w:val="24"/>
          <w:szCs w:val="24"/>
        </w:rPr>
        <w:t>.</w:t>
      </w:r>
      <w:r w:rsidR="009572ED">
        <w:rPr>
          <w:rFonts w:ascii="Times New Roman" w:hAnsi="Times New Roman" w:cs="Times New Roman"/>
          <w:sz w:val="24"/>
          <w:szCs w:val="24"/>
        </w:rPr>
        <w:t xml:space="preserve"> The third was that it had not exhausted</w:t>
      </w:r>
      <w:r w:rsidR="002F1661">
        <w:rPr>
          <w:rFonts w:ascii="Times New Roman" w:hAnsi="Times New Roman" w:cs="Times New Roman"/>
          <w:sz w:val="24"/>
          <w:szCs w:val="24"/>
        </w:rPr>
        <w:t xml:space="preserve"> the domestic remedies prescribed in </w:t>
      </w:r>
      <w:r w:rsidR="00EF36EC">
        <w:rPr>
          <w:rFonts w:ascii="Times New Roman" w:hAnsi="Times New Roman" w:cs="Times New Roman"/>
          <w:sz w:val="24"/>
          <w:szCs w:val="24"/>
        </w:rPr>
        <w:t xml:space="preserve">the Act before adverting to </w:t>
      </w:r>
      <w:r w:rsidR="00C32F45">
        <w:rPr>
          <w:rFonts w:ascii="Times New Roman" w:hAnsi="Times New Roman" w:cs="Times New Roman"/>
          <w:sz w:val="24"/>
          <w:szCs w:val="24"/>
        </w:rPr>
        <w:t xml:space="preserve">the </w:t>
      </w:r>
      <w:r w:rsidR="00EF36EC">
        <w:rPr>
          <w:rFonts w:ascii="Times New Roman" w:hAnsi="Times New Roman" w:cs="Times New Roman"/>
          <w:sz w:val="24"/>
          <w:szCs w:val="24"/>
        </w:rPr>
        <w:t>A</w:t>
      </w:r>
      <w:r w:rsidR="00430294">
        <w:rPr>
          <w:rFonts w:ascii="Times New Roman" w:hAnsi="Times New Roman" w:cs="Times New Roman"/>
          <w:sz w:val="24"/>
          <w:szCs w:val="24"/>
        </w:rPr>
        <w:t xml:space="preserve">dministrative </w:t>
      </w:r>
      <w:r w:rsidR="00EF36EC">
        <w:rPr>
          <w:rFonts w:ascii="Times New Roman" w:hAnsi="Times New Roman" w:cs="Times New Roman"/>
          <w:sz w:val="24"/>
          <w:szCs w:val="24"/>
        </w:rPr>
        <w:t>J</w:t>
      </w:r>
      <w:r w:rsidR="00430294">
        <w:rPr>
          <w:rFonts w:ascii="Times New Roman" w:hAnsi="Times New Roman" w:cs="Times New Roman"/>
          <w:sz w:val="24"/>
          <w:szCs w:val="24"/>
        </w:rPr>
        <w:t xml:space="preserve">ustice Act </w:t>
      </w:r>
      <w:r w:rsidR="00430294" w:rsidRPr="00430294">
        <w:rPr>
          <w:rFonts w:ascii="Times New Roman" w:hAnsi="Times New Roman" w:cs="Times New Roman"/>
          <w:i/>
          <w:sz w:val="24"/>
          <w:szCs w:val="24"/>
        </w:rPr>
        <w:t>[C</w:t>
      </w:r>
      <w:r w:rsidR="00C757E5">
        <w:rPr>
          <w:rFonts w:ascii="Times New Roman" w:hAnsi="Times New Roman" w:cs="Times New Roman"/>
          <w:i/>
          <w:sz w:val="24"/>
          <w:szCs w:val="24"/>
        </w:rPr>
        <w:t>hapter 10:28</w:t>
      </w:r>
      <w:r w:rsidR="00430294" w:rsidRPr="00430294">
        <w:rPr>
          <w:rFonts w:ascii="Times New Roman" w:hAnsi="Times New Roman" w:cs="Times New Roman"/>
          <w:i/>
          <w:sz w:val="24"/>
          <w:szCs w:val="24"/>
        </w:rPr>
        <w:t>]</w:t>
      </w:r>
      <w:r w:rsidR="00430294">
        <w:rPr>
          <w:rFonts w:ascii="Times New Roman" w:hAnsi="Times New Roman" w:cs="Times New Roman"/>
          <w:sz w:val="24"/>
          <w:szCs w:val="24"/>
        </w:rPr>
        <w:t xml:space="preserve"> (AJA)</w:t>
      </w:r>
      <w:r w:rsidR="00972AEB">
        <w:rPr>
          <w:rFonts w:ascii="Times New Roman" w:hAnsi="Times New Roman" w:cs="Times New Roman"/>
          <w:sz w:val="24"/>
          <w:szCs w:val="24"/>
        </w:rPr>
        <w:t>. T</w:t>
      </w:r>
      <w:r w:rsidR="00DA4E12">
        <w:rPr>
          <w:rFonts w:ascii="Times New Roman" w:hAnsi="Times New Roman" w:cs="Times New Roman"/>
          <w:sz w:val="24"/>
          <w:szCs w:val="24"/>
        </w:rPr>
        <w:t>he</w:t>
      </w:r>
      <w:r w:rsidR="002F1661">
        <w:rPr>
          <w:rFonts w:ascii="Times New Roman" w:hAnsi="Times New Roman" w:cs="Times New Roman"/>
          <w:sz w:val="24"/>
          <w:szCs w:val="24"/>
        </w:rPr>
        <w:t xml:space="preserve"> final one</w:t>
      </w:r>
      <w:r w:rsidR="00DA4E12">
        <w:rPr>
          <w:rFonts w:ascii="Times New Roman" w:hAnsi="Times New Roman" w:cs="Times New Roman"/>
          <w:sz w:val="24"/>
          <w:szCs w:val="24"/>
        </w:rPr>
        <w:t xml:space="preserve"> was that, as the tender had been concluded and implemented, the relief sought was incompetent</w:t>
      </w:r>
      <w:r w:rsidR="00972AEB">
        <w:rPr>
          <w:rFonts w:ascii="Times New Roman" w:hAnsi="Times New Roman" w:cs="Times New Roman"/>
          <w:sz w:val="24"/>
          <w:szCs w:val="24"/>
        </w:rPr>
        <w:t xml:space="preserve"> and the matter was moot</w:t>
      </w:r>
      <w:r w:rsidR="00DA4E12">
        <w:rPr>
          <w:rFonts w:ascii="Times New Roman" w:hAnsi="Times New Roman" w:cs="Times New Roman"/>
          <w:sz w:val="24"/>
          <w:szCs w:val="24"/>
        </w:rPr>
        <w:t>.</w:t>
      </w:r>
      <w:r w:rsidR="00155108">
        <w:rPr>
          <w:rFonts w:ascii="Times New Roman" w:hAnsi="Times New Roman" w:cs="Times New Roman"/>
          <w:sz w:val="24"/>
          <w:szCs w:val="24"/>
        </w:rPr>
        <w:t xml:space="preserve"> </w:t>
      </w:r>
      <w:r w:rsidR="00DA4E12">
        <w:rPr>
          <w:rFonts w:ascii="Times New Roman" w:hAnsi="Times New Roman" w:cs="Times New Roman"/>
          <w:sz w:val="24"/>
          <w:szCs w:val="24"/>
        </w:rPr>
        <w:t>T</w:t>
      </w:r>
      <w:r w:rsidR="00155108">
        <w:rPr>
          <w:rFonts w:ascii="Times New Roman" w:hAnsi="Times New Roman" w:cs="Times New Roman"/>
          <w:sz w:val="24"/>
          <w:szCs w:val="24"/>
        </w:rPr>
        <w:t xml:space="preserve">he court </w:t>
      </w:r>
      <w:r w:rsidR="00155108" w:rsidRPr="00DA4E12">
        <w:rPr>
          <w:rFonts w:ascii="Times New Roman" w:hAnsi="Times New Roman" w:cs="Times New Roman"/>
          <w:i/>
          <w:iCs/>
          <w:sz w:val="24"/>
          <w:szCs w:val="24"/>
        </w:rPr>
        <w:t>a quo</w:t>
      </w:r>
      <w:r w:rsidR="00155108">
        <w:rPr>
          <w:rFonts w:ascii="Times New Roman" w:hAnsi="Times New Roman" w:cs="Times New Roman"/>
          <w:sz w:val="24"/>
          <w:szCs w:val="24"/>
        </w:rPr>
        <w:t xml:space="preserve"> found the preliminary issue on </w:t>
      </w:r>
      <w:r w:rsidR="00155108" w:rsidRPr="00DA4E12">
        <w:rPr>
          <w:rFonts w:ascii="Times New Roman" w:hAnsi="Times New Roman" w:cs="Times New Roman"/>
          <w:i/>
          <w:iCs/>
          <w:sz w:val="24"/>
          <w:szCs w:val="24"/>
        </w:rPr>
        <w:t>locus standi</w:t>
      </w:r>
      <w:r w:rsidR="00155108">
        <w:rPr>
          <w:rFonts w:ascii="Times New Roman" w:hAnsi="Times New Roman" w:cs="Times New Roman"/>
          <w:sz w:val="24"/>
          <w:szCs w:val="24"/>
        </w:rPr>
        <w:t xml:space="preserve"> dispositive of the matter. It held that as the applicant, by its own admission, was not a bidder, it lacked the legal standing to challenge the tender proceedings under the Act</w:t>
      </w:r>
      <w:r w:rsidR="003A1921">
        <w:rPr>
          <w:rFonts w:ascii="Times New Roman" w:hAnsi="Times New Roman" w:cs="Times New Roman"/>
          <w:sz w:val="24"/>
          <w:szCs w:val="24"/>
        </w:rPr>
        <w:t xml:space="preserve">, </w:t>
      </w:r>
      <w:r w:rsidR="003A1921" w:rsidRPr="003763BC">
        <w:rPr>
          <w:rFonts w:ascii="Times New Roman" w:hAnsi="Times New Roman" w:cs="Times New Roman"/>
          <w:bCs/>
          <w:sz w:val="24"/>
          <w:szCs w:val="24"/>
        </w:rPr>
        <w:t xml:space="preserve">the </w:t>
      </w:r>
      <w:r w:rsidR="00430294">
        <w:rPr>
          <w:rFonts w:ascii="Times New Roman" w:hAnsi="Times New Roman" w:cs="Times New Roman"/>
          <w:bCs/>
          <w:sz w:val="24"/>
          <w:szCs w:val="24"/>
        </w:rPr>
        <w:t xml:space="preserve">AJA and the </w:t>
      </w:r>
      <w:r w:rsidR="00AD2360">
        <w:rPr>
          <w:rFonts w:ascii="Times New Roman" w:hAnsi="Times New Roman" w:cs="Times New Roman"/>
          <w:bCs/>
          <w:sz w:val="24"/>
          <w:szCs w:val="24"/>
        </w:rPr>
        <w:t xml:space="preserve">2013 </w:t>
      </w:r>
      <w:r w:rsidR="00430294">
        <w:rPr>
          <w:rFonts w:ascii="Times New Roman" w:hAnsi="Times New Roman" w:cs="Times New Roman"/>
          <w:bCs/>
          <w:sz w:val="24"/>
          <w:szCs w:val="24"/>
        </w:rPr>
        <w:t>Constitution</w:t>
      </w:r>
      <w:r w:rsidR="003A1921" w:rsidRPr="003763BC">
        <w:rPr>
          <w:rFonts w:ascii="Times New Roman" w:hAnsi="Times New Roman" w:cs="Times New Roman"/>
          <w:bCs/>
          <w:sz w:val="24"/>
          <w:szCs w:val="24"/>
        </w:rPr>
        <w:t>.</w:t>
      </w:r>
      <w:r w:rsidR="004630F5" w:rsidRPr="003763BC">
        <w:rPr>
          <w:rFonts w:ascii="Times New Roman" w:hAnsi="Times New Roman" w:cs="Times New Roman"/>
          <w:bCs/>
          <w:sz w:val="24"/>
          <w:szCs w:val="24"/>
        </w:rPr>
        <w:t xml:space="preserve"> </w:t>
      </w:r>
      <w:r w:rsidR="0055771A" w:rsidRPr="003763BC">
        <w:rPr>
          <w:rFonts w:ascii="Times New Roman" w:hAnsi="Times New Roman" w:cs="Times New Roman"/>
          <w:bCs/>
          <w:sz w:val="24"/>
          <w:szCs w:val="24"/>
        </w:rPr>
        <w:t>At p 9 of its judgment</w:t>
      </w:r>
      <w:r w:rsidR="00EF36EC" w:rsidRPr="003763BC">
        <w:rPr>
          <w:rFonts w:ascii="Times New Roman" w:hAnsi="Times New Roman" w:cs="Times New Roman"/>
          <w:bCs/>
          <w:sz w:val="24"/>
          <w:szCs w:val="24"/>
        </w:rPr>
        <w:t xml:space="preserve"> the court </w:t>
      </w:r>
      <w:r w:rsidR="00EF36EC" w:rsidRPr="003763BC">
        <w:rPr>
          <w:rFonts w:ascii="Times New Roman" w:hAnsi="Times New Roman" w:cs="Times New Roman"/>
          <w:bCs/>
          <w:i/>
          <w:sz w:val="24"/>
          <w:szCs w:val="24"/>
        </w:rPr>
        <w:t>a quo</w:t>
      </w:r>
      <w:r w:rsidR="00EF36EC" w:rsidRPr="003763BC">
        <w:rPr>
          <w:rFonts w:ascii="Times New Roman" w:hAnsi="Times New Roman" w:cs="Times New Roman"/>
          <w:bCs/>
          <w:sz w:val="24"/>
          <w:szCs w:val="24"/>
        </w:rPr>
        <w:t xml:space="preserve"> reasoned that</w:t>
      </w:r>
      <w:r w:rsidR="0055771A" w:rsidRPr="003763BC">
        <w:rPr>
          <w:rFonts w:ascii="Times New Roman" w:hAnsi="Times New Roman" w:cs="Times New Roman"/>
          <w:bCs/>
          <w:sz w:val="24"/>
          <w:szCs w:val="24"/>
        </w:rPr>
        <w:t>:</w:t>
      </w:r>
    </w:p>
    <w:p w14:paraId="59D4690D" w14:textId="5DC6E80C" w:rsidR="0055771A" w:rsidRPr="003763BC" w:rsidRDefault="0055771A" w:rsidP="00474D08">
      <w:pPr>
        <w:spacing w:after="0" w:line="240" w:lineRule="auto"/>
        <w:ind w:left="1134"/>
        <w:jc w:val="both"/>
        <w:rPr>
          <w:rFonts w:ascii="Times New Roman" w:hAnsi="Times New Roman" w:cs="Times New Roman"/>
          <w:bCs/>
          <w:sz w:val="24"/>
          <w:szCs w:val="24"/>
        </w:rPr>
      </w:pPr>
      <w:r w:rsidRPr="003763BC">
        <w:rPr>
          <w:rFonts w:ascii="Times New Roman" w:hAnsi="Times New Roman" w:cs="Times New Roman"/>
          <w:bCs/>
          <w:sz w:val="24"/>
          <w:szCs w:val="24"/>
        </w:rPr>
        <w:t>“In my view, the applicant cannot claim that its rights to administrative justice were violated. It did not participate in the tender process in its own name. The applicant cannot hide behind the AJA when in fact it is fronting the interests of EMS. It is trying to string together allegations against the tender process. I agree with the re</w:t>
      </w:r>
      <w:r w:rsidR="00EF36EC" w:rsidRPr="003763BC">
        <w:rPr>
          <w:rFonts w:ascii="Times New Roman" w:hAnsi="Times New Roman" w:cs="Times New Roman"/>
          <w:bCs/>
          <w:sz w:val="24"/>
          <w:szCs w:val="24"/>
        </w:rPr>
        <w:t xml:space="preserve">spondents </w:t>
      </w:r>
      <w:r w:rsidRPr="003763BC">
        <w:rPr>
          <w:rFonts w:ascii="Times New Roman" w:hAnsi="Times New Roman" w:cs="Times New Roman"/>
          <w:bCs/>
          <w:sz w:val="24"/>
          <w:szCs w:val="24"/>
        </w:rPr>
        <w:t>that this matter is a disguised challenge to the procu</w:t>
      </w:r>
      <w:r w:rsidR="00EF36EC" w:rsidRPr="003763BC">
        <w:rPr>
          <w:rFonts w:ascii="Times New Roman" w:hAnsi="Times New Roman" w:cs="Times New Roman"/>
          <w:bCs/>
          <w:sz w:val="24"/>
          <w:szCs w:val="24"/>
        </w:rPr>
        <w:t xml:space="preserve">rement proceedings in question. </w:t>
      </w:r>
      <w:r w:rsidRPr="003763BC">
        <w:rPr>
          <w:rFonts w:ascii="Times New Roman" w:hAnsi="Times New Roman" w:cs="Times New Roman"/>
          <w:bCs/>
          <w:sz w:val="24"/>
          <w:szCs w:val="24"/>
        </w:rPr>
        <w:t>This is borne by the applicant approaching the court under s 4 (2) of the AJA. The relief provided for in that section is tantamount to asking the court to give an order impacting on the tender</w:t>
      </w:r>
      <w:r w:rsidR="00B325E1" w:rsidRPr="003763BC">
        <w:rPr>
          <w:rFonts w:ascii="Times New Roman" w:hAnsi="Times New Roman" w:cs="Times New Roman"/>
          <w:bCs/>
          <w:sz w:val="24"/>
          <w:szCs w:val="24"/>
        </w:rPr>
        <w:t xml:space="preserve"> </w:t>
      </w:r>
      <w:r w:rsidRPr="003763BC">
        <w:rPr>
          <w:rFonts w:ascii="Times New Roman" w:hAnsi="Times New Roman" w:cs="Times New Roman"/>
          <w:bCs/>
          <w:sz w:val="24"/>
          <w:szCs w:val="24"/>
        </w:rPr>
        <w:t>proceedings</w:t>
      </w:r>
      <w:r w:rsidR="00B325E1" w:rsidRPr="003763BC">
        <w:rPr>
          <w:rFonts w:ascii="Times New Roman" w:hAnsi="Times New Roman" w:cs="Times New Roman"/>
          <w:bCs/>
          <w:sz w:val="24"/>
          <w:szCs w:val="24"/>
        </w:rPr>
        <w:t xml:space="preserve"> and</w:t>
      </w:r>
      <w:r w:rsidRPr="003763BC">
        <w:rPr>
          <w:rFonts w:ascii="Times New Roman" w:hAnsi="Times New Roman" w:cs="Times New Roman"/>
          <w:bCs/>
          <w:sz w:val="24"/>
          <w:szCs w:val="24"/>
        </w:rPr>
        <w:t xml:space="preserve"> processes</w:t>
      </w:r>
      <w:r w:rsidR="00B325E1" w:rsidRPr="003763BC">
        <w:rPr>
          <w:rFonts w:ascii="Times New Roman" w:hAnsi="Times New Roman" w:cs="Times New Roman"/>
          <w:bCs/>
          <w:sz w:val="24"/>
          <w:szCs w:val="24"/>
        </w:rPr>
        <w:t>.</w:t>
      </w:r>
      <w:r w:rsidR="00EF36EC" w:rsidRPr="003763BC">
        <w:rPr>
          <w:rFonts w:ascii="Times New Roman" w:hAnsi="Times New Roman" w:cs="Times New Roman"/>
          <w:bCs/>
          <w:sz w:val="24"/>
          <w:szCs w:val="24"/>
        </w:rPr>
        <w:t xml:space="preserve"> Applicant cannot claim to be </w:t>
      </w:r>
      <w:r w:rsidR="00AE587B" w:rsidRPr="003763BC">
        <w:rPr>
          <w:rFonts w:ascii="Times New Roman" w:hAnsi="Times New Roman" w:cs="Times New Roman"/>
          <w:bCs/>
          <w:sz w:val="24"/>
          <w:szCs w:val="24"/>
        </w:rPr>
        <w:t xml:space="preserve">acting under the guise of a concerned citizen. It is speaking on behalf of EMS.” </w:t>
      </w:r>
    </w:p>
    <w:p w14:paraId="5905F182" w14:textId="77777777" w:rsidR="0077126D" w:rsidRDefault="0077126D" w:rsidP="00474D08">
      <w:pPr>
        <w:spacing w:after="0" w:line="480" w:lineRule="auto"/>
        <w:ind w:left="720"/>
        <w:jc w:val="both"/>
        <w:rPr>
          <w:rFonts w:ascii="Times New Roman" w:hAnsi="Times New Roman" w:cs="Times New Roman"/>
          <w:bCs/>
          <w:sz w:val="24"/>
          <w:szCs w:val="24"/>
        </w:rPr>
      </w:pPr>
    </w:p>
    <w:p w14:paraId="2594FE0F" w14:textId="3EC942ED" w:rsidR="004E0DA6" w:rsidRPr="003763BC" w:rsidRDefault="00EF36EC" w:rsidP="0077126D">
      <w:pPr>
        <w:spacing w:after="0" w:line="480" w:lineRule="auto"/>
        <w:ind w:left="567"/>
        <w:jc w:val="both"/>
        <w:rPr>
          <w:rFonts w:ascii="Times New Roman" w:hAnsi="Times New Roman" w:cs="Times New Roman"/>
          <w:bCs/>
          <w:sz w:val="24"/>
          <w:szCs w:val="24"/>
        </w:rPr>
      </w:pPr>
      <w:r w:rsidRPr="003763BC">
        <w:rPr>
          <w:rFonts w:ascii="Times New Roman" w:hAnsi="Times New Roman" w:cs="Times New Roman"/>
          <w:bCs/>
          <w:sz w:val="24"/>
          <w:szCs w:val="24"/>
        </w:rPr>
        <w:t>It therefore held that</w:t>
      </w:r>
      <w:r w:rsidR="00AD2360">
        <w:rPr>
          <w:rFonts w:ascii="Times New Roman" w:hAnsi="Times New Roman" w:cs="Times New Roman"/>
          <w:bCs/>
          <w:sz w:val="24"/>
          <w:szCs w:val="24"/>
        </w:rPr>
        <w:t>,</w:t>
      </w:r>
      <w:r w:rsidRPr="003763BC">
        <w:rPr>
          <w:rFonts w:ascii="Times New Roman" w:hAnsi="Times New Roman" w:cs="Times New Roman"/>
          <w:bCs/>
          <w:sz w:val="24"/>
          <w:szCs w:val="24"/>
        </w:rPr>
        <w:t xml:space="preserve"> as the applicant</w:t>
      </w:r>
      <w:r w:rsidR="004E0DA6" w:rsidRPr="003763BC">
        <w:rPr>
          <w:rFonts w:ascii="Times New Roman" w:hAnsi="Times New Roman" w:cs="Times New Roman"/>
          <w:bCs/>
          <w:sz w:val="24"/>
          <w:szCs w:val="24"/>
        </w:rPr>
        <w:t xml:space="preserve"> was not a bi</w:t>
      </w:r>
      <w:r w:rsidRPr="003763BC">
        <w:rPr>
          <w:rFonts w:ascii="Times New Roman" w:hAnsi="Times New Roman" w:cs="Times New Roman"/>
          <w:bCs/>
          <w:sz w:val="24"/>
          <w:szCs w:val="24"/>
        </w:rPr>
        <w:t>d</w:t>
      </w:r>
      <w:r w:rsidR="004E0DA6" w:rsidRPr="003763BC">
        <w:rPr>
          <w:rFonts w:ascii="Times New Roman" w:hAnsi="Times New Roman" w:cs="Times New Roman"/>
          <w:bCs/>
          <w:sz w:val="24"/>
          <w:szCs w:val="24"/>
        </w:rPr>
        <w:t>der but an agent of a bidder</w:t>
      </w:r>
      <w:r w:rsidR="00AD2360">
        <w:rPr>
          <w:rFonts w:ascii="Times New Roman" w:hAnsi="Times New Roman" w:cs="Times New Roman"/>
          <w:bCs/>
          <w:sz w:val="24"/>
          <w:szCs w:val="24"/>
        </w:rPr>
        <w:t>,</w:t>
      </w:r>
      <w:r w:rsidR="00250F4C" w:rsidRPr="003763BC">
        <w:rPr>
          <w:rFonts w:ascii="Times New Roman" w:hAnsi="Times New Roman" w:cs="Times New Roman"/>
          <w:bCs/>
          <w:sz w:val="24"/>
          <w:szCs w:val="24"/>
        </w:rPr>
        <w:t xml:space="preserve"> none of</w:t>
      </w:r>
      <w:r w:rsidR="0077126D">
        <w:rPr>
          <w:rFonts w:ascii="Times New Roman" w:hAnsi="Times New Roman" w:cs="Times New Roman"/>
          <w:bCs/>
          <w:sz w:val="24"/>
          <w:szCs w:val="24"/>
        </w:rPr>
        <w:t xml:space="preserve"> its </w:t>
      </w:r>
      <w:r w:rsidRPr="003763BC">
        <w:rPr>
          <w:rFonts w:ascii="Times New Roman" w:hAnsi="Times New Roman" w:cs="Times New Roman"/>
          <w:bCs/>
          <w:sz w:val="24"/>
          <w:szCs w:val="24"/>
        </w:rPr>
        <w:t xml:space="preserve">rights </w:t>
      </w:r>
      <w:r w:rsidR="00F51B5F" w:rsidRPr="003763BC">
        <w:rPr>
          <w:rFonts w:ascii="Times New Roman" w:hAnsi="Times New Roman" w:cs="Times New Roman"/>
          <w:bCs/>
          <w:sz w:val="24"/>
          <w:szCs w:val="24"/>
        </w:rPr>
        <w:t xml:space="preserve">had been breached. Hence the finding that it </w:t>
      </w:r>
      <w:r w:rsidR="00250F4C" w:rsidRPr="003763BC">
        <w:rPr>
          <w:rFonts w:ascii="Times New Roman" w:hAnsi="Times New Roman" w:cs="Times New Roman"/>
          <w:bCs/>
          <w:sz w:val="24"/>
          <w:szCs w:val="24"/>
        </w:rPr>
        <w:t xml:space="preserve">did not have </w:t>
      </w:r>
      <w:r w:rsidR="00F51B5F" w:rsidRPr="003763BC">
        <w:rPr>
          <w:rFonts w:ascii="Times New Roman" w:hAnsi="Times New Roman" w:cs="Times New Roman"/>
          <w:bCs/>
          <w:sz w:val="24"/>
          <w:szCs w:val="24"/>
        </w:rPr>
        <w:t xml:space="preserve">the </w:t>
      </w:r>
      <w:r w:rsidR="00250F4C" w:rsidRPr="003763BC">
        <w:rPr>
          <w:rFonts w:ascii="Times New Roman" w:hAnsi="Times New Roman" w:cs="Times New Roman"/>
          <w:bCs/>
          <w:i/>
          <w:sz w:val="24"/>
          <w:szCs w:val="24"/>
        </w:rPr>
        <w:t>locus standi</w:t>
      </w:r>
      <w:r w:rsidR="00F51B5F" w:rsidRPr="003763BC">
        <w:rPr>
          <w:rFonts w:ascii="Times New Roman" w:hAnsi="Times New Roman" w:cs="Times New Roman"/>
          <w:bCs/>
          <w:sz w:val="24"/>
          <w:szCs w:val="24"/>
        </w:rPr>
        <w:t xml:space="preserve"> to challenge </w:t>
      </w:r>
      <w:r w:rsidR="00F51B5F" w:rsidRPr="003763BC">
        <w:rPr>
          <w:rFonts w:ascii="Times New Roman" w:hAnsi="Times New Roman" w:cs="Times New Roman"/>
          <w:bCs/>
          <w:sz w:val="24"/>
          <w:szCs w:val="24"/>
        </w:rPr>
        <w:lastRenderedPageBreak/>
        <w:t xml:space="preserve">the tender </w:t>
      </w:r>
      <w:r w:rsidR="00250F4C" w:rsidRPr="003763BC">
        <w:rPr>
          <w:rFonts w:ascii="Times New Roman" w:hAnsi="Times New Roman" w:cs="Times New Roman"/>
          <w:bCs/>
          <w:sz w:val="24"/>
          <w:szCs w:val="24"/>
        </w:rPr>
        <w:t xml:space="preserve">proceedings. </w:t>
      </w:r>
      <w:r w:rsidR="000A3F80">
        <w:rPr>
          <w:rFonts w:ascii="Times New Roman" w:hAnsi="Times New Roman" w:cs="Times New Roman"/>
          <w:bCs/>
          <w:sz w:val="24"/>
          <w:szCs w:val="24"/>
        </w:rPr>
        <w:t xml:space="preserve">The court </w:t>
      </w:r>
      <w:r w:rsidR="000A3F80" w:rsidRPr="000A3F80">
        <w:rPr>
          <w:rFonts w:ascii="Times New Roman" w:hAnsi="Times New Roman" w:cs="Times New Roman"/>
          <w:bCs/>
          <w:i/>
          <w:sz w:val="24"/>
          <w:szCs w:val="24"/>
        </w:rPr>
        <w:t>a quo</w:t>
      </w:r>
      <w:r w:rsidR="000A3F80">
        <w:rPr>
          <w:rFonts w:ascii="Times New Roman" w:hAnsi="Times New Roman" w:cs="Times New Roman"/>
          <w:bCs/>
          <w:sz w:val="24"/>
          <w:szCs w:val="24"/>
        </w:rPr>
        <w:t xml:space="preserve"> did not therefore determine the other preliminary points raised by the respondents.</w:t>
      </w:r>
    </w:p>
    <w:p w14:paraId="7951C80A" w14:textId="44CF0DE2" w:rsidR="0055771A" w:rsidRPr="003763BC" w:rsidRDefault="0055771A" w:rsidP="0077126D">
      <w:pPr>
        <w:spacing w:after="0" w:line="480" w:lineRule="auto"/>
        <w:jc w:val="both"/>
        <w:rPr>
          <w:rFonts w:ascii="Times New Roman" w:hAnsi="Times New Roman" w:cs="Times New Roman"/>
          <w:bCs/>
          <w:sz w:val="24"/>
          <w:szCs w:val="24"/>
        </w:rPr>
      </w:pPr>
    </w:p>
    <w:p w14:paraId="1B4F401F" w14:textId="2EED0E0B" w:rsidR="008B63A2" w:rsidRDefault="008B63A2" w:rsidP="00761905">
      <w:pPr>
        <w:spacing w:after="0" w:line="480" w:lineRule="auto"/>
        <w:ind w:left="567" w:hanging="567"/>
        <w:jc w:val="both"/>
        <w:rPr>
          <w:rFonts w:ascii="Times New Roman" w:hAnsi="Times New Roman" w:cs="Times New Roman"/>
          <w:sz w:val="24"/>
          <w:szCs w:val="24"/>
        </w:rPr>
      </w:pPr>
      <w:r w:rsidRPr="008B63A2">
        <w:rPr>
          <w:rFonts w:ascii="Times New Roman" w:hAnsi="Times New Roman" w:cs="Times New Roman"/>
          <w:sz w:val="24"/>
          <w:szCs w:val="24"/>
        </w:rPr>
        <w:t>[10]</w:t>
      </w:r>
      <w:r w:rsidRPr="008B63A2">
        <w:rPr>
          <w:rFonts w:ascii="Times New Roman" w:hAnsi="Times New Roman" w:cs="Times New Roman"/>
          <w:sz w:val="24"/>
          <w:szCs w:val="24"/>
        </w:rPr>
        <w:tab/>
      </w:r>
      <w:r w:rsidR="004630F5" w:rsidRPr="008B63A2">
        <w:rPr>
          <w:rFonts w:ascii="Times New Roman" w:hAnsi="Times New Roman" w:cs="Times New Roman"/>
          <w:sz w:val="24"/>
          <w:szCs w:val="24"/>
        </w:rPr>
        <w:t>The judgment was issued on 28 July 2023.</w:t>
      </w:r>
      <w:r w:rsidRPr="008B63A2">
        <w:rPr>
          <w:rFonts w:ascii="Times New Roman" w:hAnsi="Times New Roman" w:cs="Times New Roman"/>
          <w:sz w:val="24"/>
          <w:szCs w:val="24"/>
        </w:rPr>
        <w:t xml:space="preserve"> The applicant had until 22 August 2023 to note an appeal. It failed to do so. It</w:t>
      </w:r>
      <w:r w:rsidR="006670BE">
        <w:rPr>
          <w:rFonts w:ascii="Times New Roman" w:hAnsi="Times New Roman" w:cs="Times New Roman"/>
          <w:sz w:val="24"/>
          <w:szCs w:val="24"/>
        </w:rPr>
        <w:t>,</w:t>
      </w:r>
      <w:r w:rsidRPr="008B63A2">
        <w:rPr>
          <w:rFonts w:ascii="Times New Roman" w:hAnsi="Times New Roman" w:cs="Times New Roman"/>
          <w:sz w:val="24"/>
          <w:szCs w:val="24"/>
        </w:rPr>
        <w:t xml:space="preserve"> however</w:t>
      </w:r>
      <w:r w:rsidR="006670BE">
        <w:rPr>
          <w:rFonts w:ascii="Times New Roman" w:hAnsi="Times New Roman" w:cs="Times New Roman"/>
          <w:sz w:val="24"/>
          <w:szCs w:val="24"/>
        </w:rPr>
        <w:t>,</w:t>
      </w:r>
      <w:r w:rsidRPr="008B63A2">
        <w:rPr>
          <w:rFonts w:ascii="Times New Roman" w:hAnsi="Times New Roman" w:cs="Times New Roman"/>
          <w:sz w:val="24"/>
          <w:szCs w:val="24"/>
        </w:rPr>
        <w:t xml:space="preserve"> filed its first application for condonation and extension of time within which to note an a</w:t>
      </w:r>
      <w:r w:rsidR="003763BC">
        <w:rPr>
          <w:rFonts w:ascii="Times New Roman" w:hAnsi="Times New Roman" w:cs="Times New Roman"/>
          <w:sz w:val="24"/>
          <w:szCs w:val="24"/>
        </w:rPr>
        <w:t>ppeal on 5 September 2023. As that application</w:t>
      </w:r>
      <w:r w:rsidRPr="008B63A2">
        <w:rPr>
          <w:rFonts w:ascii="Times New Roman" w:hAnsi="Times New Roman" w:cs="Times New Roman"/>
          <w:sz w:val="24"/>
          <w:szCs w:val="24"/>
        </w:rPr>
        <w:t xml:space="preserve"> was fatally defectiv</w:t>
      </w:r>
      <w:r w:rsidR="003763BC">
        <w:rPr>
          <w:rFonts w:ascii="Times New Roman" w:hAnsi="Times New Roman" w:cs="Times New Roman"/>
          <w:sz w:val="24"/>
          <w:szCs w:val="24"/>
        </w:rPr>
        <w:t xml:space="preserve">e it was struck of the roll. The applicant </w:t>
      </w:r>
      <w:r w:rsidRPr="008B63A2">
        <w:rPr>
          <w:rFonts w:ascii="Times New Roman" w:hAnsi="Times New Roman" w:cs="Times New Roman"/>
          <w:sz w:val="24"/>
          <w:szCs w:val="24"/>
        </w:rPr>
        <w:t>proceeded to file the present application on 25 September 2023.</w:t>
      </w:r>
    </w:p>
    <w:p w14:paraId="776895A2" w14:textId="77777777" w:rsidR="00761905" w:rsidRDefault="00761905" w:rsidP="00761905">
      <w:pPr>
        <w:spacing w:after="0" w:line="480" w:lineRule="auto"/>
        <w:ind w:left="720" w:hanging="660"/>
        <w:jc w:val="both"/>
        <w:rPr>
          <w:rFonts w:ascii="Times New Roman" w:hAnsi="Times New Roman" w:cs="Times New Roman"/>
          <w:sz w:val="24"/>
          <w:szCs w:val="24"/>
        </w:rPr>
      </w:pPr>
    </w:p>
    <w:p w14:paraId="0CB70990" w14:textId="5CA745C6" w:rsidR="0070444D" w:rsidRDefault="00AF4ED6" w:rsidP="00761905">
      <w:pPr>
        <w:spacing w:after="0" w:line="480" w:lineRule="auto"/>
        <w:ind w:left="567" w:hanging="567"/>
        <w:jc w:val="both"/>
        <w:rPr>
          <w:rFonts w:ascii="Times New Roman" w:hAnsi="Times New Roman" w:cs="Times New Roman"/>
          <w:b/>
          <w:bCs/>
          <w:sz w:val="24"/>
          <w:szCs w:val="24"/>
        </w:rPr>
      </w:pPr>
      <w:r w:rsidRPr="008B63A2">
        <w:rPr>
          <w:rFonts w:ascii="Times New Roman" w:hAnsi="Times New Roman" w:cs="Times New Roman"/>
          <w:sz w:val="24"/>
          <w:szCs w:val="24"/>
        </w:rPr>
        <w:t>[</w:t>
      </w:r>
      <w:r w:rsidR="003A1921" w:rsidRPr="008B63A2">
        <w:rPr>
          <w:rFonts w:ascii="Times New Roman" w:hAnsi="Times New Roman" w:cs="Times New Roman"/>
          <w:sz w:val="24"/>
          <w:szCs w:val="24"/>
        </w:rPr>
        <w:t>1</w:t>
      </w:r>
      <w:r w:rsidR="003763BC">
        <w:rPr>
          <w:rFonts w:ascii="Times New Roman" w:hAnsi="Times New Roman" w:cs="Times New Roman"/>
          <w:sz w:val="24"/>
          <w:szCs w:val="24"/>
        </w:rPr>
        <w:t>1</w:t>
      </w:r>
      <w:r w:rsidRPr="008B63A2">
        <w:rPr>
          <w:rFonts w:ascii="Times New Roman" w:hAnsi="Times New Roman" w:cs="Times New Roman"/>
          <w:sz w:val="24"/>
          <w:szCs w:val="24"/>
        </w:rPr>
        <w:t>]</w:t>
      </w:r>
      <w:r w:rsidRPr="008B63A2">
        <w:rPr>
          <w:rFonts w:ascii="Times New Roman" w:hAnsi="Times New Roman" w:cs="Times New Roman"/>
          <w:sz w:val="24"/>
          <w:szCs w:val="24"/>
        </w:rPr>
        <w:tab/>
        <w:t xml:space="preserve">In </w:t>
      </w:r>
      <w:r w:rsidRPr="008B63A2">
        <w:rPr>
          <w:rFonts w:ascii="Times New Roman" w:hAnsi="Times New Roman" w:cs="Times New Roman"/>
          <w:i/>
          <w:iCs/>
          <w:sz w:val="24"/>
          <w:szCs w:val="24"/>
        </w:rPr>
        <w:t>casu</w:t>
      </w:r>
      <w:r w:rsidRPr="008B63A2">
        <w:rPr>
          <w:rFonts w:ascii="Times New Roman" w:hAnsi="Times New Roman" w:cs="Times New Roman"/>
          <w:sz w:val="24"/>
          <w:szCs w:val="24"/>
        </w:rPr>
        <w:t xml:space="preserve">, </w:t>
      </w:r>
      <w:proofErr w:type="spellStart"/>
      <w:r w:rsidR="00501271">
        <w:rPr>
          <w:rFonts w:ascii="Times New Roman" w:hAnsi="Times New Roman" w:cs="Times New Roman"/>
          <w:sz w:val="24"/>
          <w:szCs w:val="24"/>
        </w:rPr>
        <w:t>Mr</w:t>
      </w:r>
      <w:proofErr w:type="spellEnd"/>
      <w:r w:rsidR="00671B1C" w:rsidRPr="008B63A2">
        <w:rPr>
          <w:rFonts w:ascii="Times New Roman" w:hAnsi="Times New Roman" w:cs="Times New Roman"/>
          <w:sz w:val="24"/>
          <w:szCs w:val="24"/>
        </w:rPr>
        <w:t xml:space="preserve"> </w:t>
      </w:r>
      <w:r w:rsidR="00671B1C" w:rsidRPr="008B63A2">
        <w:rPr>
          <w:rFonts w:ascii="Times New Roman" w:hAnsi="Times New Roman" w:cs="Times New Roman"/>
          <w:i/>
          <w:iCs/>
          <w:sz w:val="24"/>
          <w:szCs w:val="24"/>
        </w:rPr>
        <w:t>Sithole</w:t>
      </w:r>
      <w:r w:rsidR="00671B1C" w:rsidRPr="008B63A2">
        <w:rPr>
          <w:rFonts w:ascii="Times New Roman" w:hAnsi="Times New Roman" w:cs="Times New Roman"/>
          <w:sz w:val="24"/>
          <w:szCs w:val="24"/>
        </w:rPr>
        <w:t xml:space="preserve"> for </w:t>
      </w:r>
      <w:r w:rsidRPr="008B63A2">
        <w:rPr>
          <w:rFonts w:ascii="Times New Roman" w:hAnsi="Times New Roman" w:cs="Times New Roman"/>
          <w:sz w:val="24"/>
          <w:szCs w:val="24"/>
        </w:rPr>
        <w:t>the first respondent took the preliminary point that the application</w:t>
      </w:r>
      <w:r>
        <w:rPr>
          <w:rFonts w:ascii="Times New Roman" w:hAnsi="Times New Roman" w:cs="Times New Roman"/>
          <w:sz w:val="24"/>
          <w:szCs w:val="24"/>
        </w:rPr>
        <w:t xml:space="preserve"> was moot. </w:t>
      </w:r>
      <w:r w:rsidR="00F3153C">
        <w:rPr>
          <w:rFonts w:ascii="Times New Roman" w:hAnsi="Times New Roman" w:cs="Times New Roman"/>
          <w:sz w:val="24"/>
          <w:szCs w:val="24"/>
        </w:rPr>
        <w:t xml:space="preserve">He </w:t>
      </w:r>
      <w:r>
        <w:rPr>
          <w:rFonts w:ascii="Times New Roman" w:hAnsi="Times New Roman" w:cs="Times New Roman"/>
          <w:sz w:val="24"/>
          <w:szCs w:val="24"/>
        </w:rPr>
        <w:t xml:space="preserve">submitted </w:t>
      </w:r>
      <w:r w:rsidR="008706C9">
        <w:rPr>
          <w:rFonts w:ascii="Times New Roman" w:hAnsi="Times New Roman" w:cs="Times New Roman"/>
          <w:sz w:val="24"/>
          <w:szCs w:val="24"/>
        </w:rPr>
        <w:t>that as</w:t>
      </w:r>
      <w:r w:rsidR="00F3153C">
        <w:rPr>
          <w:rFonts w:ascii="Times New Roman" w:hAnsi="Times New Roman" w:cs="Times New Roman"/>
          <w:sz w:val="24"/>
          <w:szCs w:val="24"/>
        </w:rPr>
        <w:t xml:space="preserve"> the contract with the applicant expired on 3</w:t>
      </w:r>
      <w:r w:rsidR="00AD704D">
        <w:rPr>
          <w:rFonts w:ascii="Times New Roman" w:hAnsi="Times New Roman" w:cs="Times New Roman"/>
          <w:sz w:val="24"/>
          <w:szCs w:val="24"/>
        </w:rPr>
        <w:t xml:space="preserve">1 </w:t>
      </w:r>
      <w:r w:rsidR="00F3153C">
        <w:rPr>
          <w:rFonts w:ascii="Times New Roman" w:hAnsi="Times New Roman" w:cs="Times New Roman"/>
          <w:sz w:val="24"/>
          <w:szCs w:val="24"/>
        </w:rPr>
        <w:t xml:space="preserve">May 2023 and </w:t>
      </w:r>
      <w:r w:rsidR="003763BC">
        <w:rPr>
          <w:rFonts w:ascii="Times New Roman" w:hAnsi="Times New Roman" w:cs="Times New Roman"/>
          <w:sz w:val="24"/>
          <w:szCs w:val="24"/>
        </w:rPr>
        <w:t xml:space="preserve">a </w:t>
      </w:r>
      <w:r w:rsidR="00F3153C">
        <w:rPr>
          <w:rFonts w:ascii="Times New Roman" w:hAnsi="Times New Roman" w:cs="Times New Roman"/>
          <w:sz w:val="24"/>
          <w:szCs w:val="24"/>
        </w:rPr>
        <w:t xml:space="preserve">new contract </w:t>
      </w:r>
      <w:r w:rsidR="006670BE">
        <w:rPr>
          <w:rFonts w:ascii="Times New Roman" w:hAnsi="Times New Roman" w:cs="Times New Roman"/>
          <w:sz w:val="24"/>
          <w:szCs w:val="24"/>
        </w:rPr>
        <w:t xml:space="preserve">was </w:t>
      </w:r>
      <w:r w:rsidR="00F3153C">
        <w:rPr>
          <w:rFonts w:ascii="Times New Roman" w:hAnsi="Times New Roman" w:cs="Times New Roman"/>
          <w:sz w:val="24"/>
          <w:szCs w:val="24"/>
        </w:rPr>
        <w:t>concluded and implemented with the winner,</w:t>
      </w:r>
      <w:r>
        <w:rPr>
          <w:rFonts w:ascii="Times New Roman" w:hAnsi="Times New Roman" w:cs="Times New Roman"/>
          <w:sz w:val="24"/>
          <w:szCs w:val="24"/>
        </w:rPr>
        <w:t xml:space="preserve"> the application to investigate and stay its effects was no longer tenable. </w:t>
      </w:r>
      <w:r w:rsidR="003763BC">
        <w:rPr>
          <w:rFonts w:ascii="Times New Roman" w:hAnsi="Times New Roman" w:cs="Times New Roman"/>
          <w:sz w:val="24"/>
          <w:szCs w:val="24"/>
        </w:rPr>
        <w:t>He contended that t</w:t>
      </w:r>
      <w:r w:rsidR="008706C9">
        <w:rPr>
          <w:rFonts w:ascii="Times New Roman" w:hAnsi="Times New Roman" w:cs="Times New Roman"/>
          <w:sz w:val="24"/>
          <w:szCs w:val="24"/>
        </w:rPr>
        <w:t xml:space="preserve">he nation is now utilizing the new system. </w:t>
      </w:r>
      <w:r>
        <w:rPr>
          <w:rFonts w:ascii="Times New Roman" w:hAnsi="Times New Roman" w:cs="Times New Roman"/>
          <w:sz w:val="24"/>
          <w:szCs w:val="24"/>
        </w:rPr>
        <w:t>The applicant’s projected appeal would constitute an exercise in futility</w:t>
      </w:r>
      <w:r w:rsidR="00A0253E">
        <w:rPr>
          <w:rFonts w:ascii="Times New Roman" w:hAnsi="Times New Roman" w:cs="Times New Roman"/>
          <w:sz w:val="24"/>
          <w:szCs w:val="24"/>
        </w:rPr>
        <w:t xml:space="preserve">. </w:t>
      </w:r>
      <w:r w:rsidR="002827EA">
        <w:rPr>
          <w:rFonts w:ascii="Times New Roman" w:hAnsi="Times New Roman" w:cs="Times New Roman"/>
          <w:sz w:val="24"/>
          <w:szCs w:val="24"/>
        </w:rPr>
        <w:t xml:space="preserve">Staying the new system would leave the nation without a pre-paid vending system. </w:t>
      </w:r>
      <w:r w:rsidR="00A0253E">
        <w:rPr>
          <w:rFonts w:ascii="Times New Roman" w:hAnsi="Times New Roman" w:cs="Times New Roman"/>
          <w:sz w:val="24"/>
          <w:szCs w:val="24"/>
        </w:rPr>
        <w:t>Th</w:t>
      </w:r>
      <w:r w:rsidR="00997953">
        <w:rPr>
          <w:rFonts w:ascii="Times New Roman" w:hAnsi="Times New Roman" w:cs="Times New Roman"/>
          <w:sz w:val="24"/>
          <w:szCs w:val="24"/>
        </w:rPr>
        <w:t xml:space="preserve">is is because the second respondent had, as at the filing of the present application, migrated from the applicant’s </w:t>
      </w:r>
      <w:r w:rsidR="009F7C51">
        <w:rPr>
          <w:rFonts w:ascii="Times New Roman" w:hAnsi="Times New Roman" w:cs="Times New Roman"/>
          <w:sz w:val="24"/>
          <w:szCs w:val="24"/>
        </w:rPr>
        <w:t xml:space="preserve">obsolete </w:t>
      </w:r>
      <w:r w:rsidR="00997953">
        <w:rPr>
          <w:rFonts w:ascii="Times New Roman" w:hAnsi="Times New Roman" w:cs="Times New Roman"/>
          <w:sz w:val="24"/>
          <w:szCs w:val="24"/>
        </w:rPr>
        <w:t>system</w:t>
      </w:r>
      <w:r w:rsidR="00AD2360">
        <w:rPr>
          <w:rFonts w:ascii="Times New Roman" w:hAnsi="Times New Roman" w:cs="Times New Roman"/>
          <w:sz w:val="24"/>
          <w:szCs w:val="24"/>
        </w:rPr>
        <w:t xml:space="preserve"> to the new system on the expiration of its contract with</w:t>
      </w:r>
      <w:r w:rsidR="009F7C51">
        <w:rPr>
          <w:rFonts w:ascii="Times New Roman" w:hAnsi="Times New Roman" w:cs="Times New Roman"/>
          <w:sz w:val="24"/>
          <w:szCs w:val="24"/>
        </w:rPr>
        <w:t xml:space="preserve"> the second res</w:t>
      </w:r>
      <w:r w:rsidR="00AD2360">
        <w:rPr>
          <w:rFonts w:ascii="Times New Roman" w:hAnsi="Times New Roman" w:cs="Times New Roman"/>
          <w:sz w:val="24"/>
          <w:szCs w:val="24"/>
        </w:rPr>
        <w:t>pondent</w:t>
      </w:r>
      <w:r w:rsidR="009F7C51">
        <w:rPr>
          <w:rFonts w:ascii="Times New Roman" w:hAnsi="Times New Roman" w:cs="Times New Roman"/>
          <w:sz w:val="24"/>
          <w:szCs w:val="24"/>
        </w:rPr>
        <w:t xml:space="preserve"> on 3</w:t>
      </w:r>
      <w:r w:rsidR="00AD704D">
        <w:rPr>
          <w:rFonts w:ascii="Times New Roman" w:hAnsi="Times New Roman" w:cs="Times New Roman"/>
          <w:sz w:val="24"/>
          <w:szCs w:val="24"/>
        </w:rPr>
        <w:t>1</w:t>
      </w:r>
      <w:r w:rsidR="00AD2360">
        <w:rPr>
          <w:rFonts w:ascii="Times New Roman" w:hAnsi="Times New Roman" w:cs="Times New Roman"/>
          <w:sz w:val="24"/>
          <w:szCs w:val="24"/>
        </w:rPr>
        <w:t xml:space="preserve"> May 2023</w:t>
      </w:r>
      <w:r w:rsidR="00997953">
        <w:rPr>
          <w:rFonts w:ascii="Times New Roman" w:hAnsi="Times New Roman" w:cs="Times New Roman"/>
          <w:sz w:val="24"/>
          <w:szCs w:val="24"/>
        </w:rPr>
        <w:t xml:space="preserve">. </w:t>
      </w:r>
      <w:r w:rsidR="004216C4">
        <w:rPr>
          <w:rFonts w:ascii="Times New Roman" w:hAnsi="Times New Roman" w:cs="Times New Roman"/>
          <w:sz w:val="24"/>
          <w:szCs w:val="24"/>
        </w:rPr>
        <w:t>He strongly argued that it was incompetent to seek to stay a contract that had been perfected</w:t>
      </w:r>
      <w:r w:rsidR="003763BC">
        <w:rPr>
          <w:rFonts w:ascii="Times New Roman" w:hAnsi="Times New Roman" w:cs="Times New Roman"/>
          <w:sz w:val="24"/>
          <w:szCs w:val="24"/>
        </w:rPr>
        <w:t xml:space="preserve"> with the winner.</w:t>
      </w:r>
      <w:r w:rsidR="004216C4">
        <w:rPr>
          <w:rFonts w:ascii="Times New Roman" w:hAnsi="Times New Roman" w:cs="Times New Roman"/>
          <w:sz w:val="24"/>
          <w:szCs w:val="24"/>
        </w:rPr>
        <w:t xml:space="preserve"> </w:t>
      </w:r>
      <w:r w:rsidR="00CD2437">
        <w:rPr>
          <w:rFonts w:ascii="Times New Roman" w:hAnsi="Times New Roman" w:cs="Times New Roman"/>
          <w:sz w:val="24"/>
          <w:szCs w:val="24"/>
        </w:rPr>
        <w:t>He prayed</w:t>
      </w:r>
      <w:r w:rsidR="00C73513">
        <w:rPr>
          <w:rFonts w:ascii="Times New Roman" w:hAnsi="Times New Roman" w:cs="Times New Roman"/>
          <w:sz w:val="24"/>
          <w:szCs w:val="24"/>
        </w:rPr>
        <w:t xml:space="preserve"> for the dismissal of the application with costs.</w:t>
      </w:r>
    </w:p>
    <w:p w14:paraId="74FC00A4" w14:textId="77777777" w:rsidR="00761905" w:rsidRDefault="00761905" w:rsidP="00761905">
      <w:pPr>
        <w:spacing w:after="0" w:line="480" w:lineRule="auto"/>
        <w:ind w:left="720" w:hanging="720"/>
        <w:jc w:val="both"/>
        <w:rPr>
          <w:rFonts w:ascii="Times New Roman" w:hAnsi="Times New Roman" w:cs="Times New Roman"/>
          <w:sz w:val="24"/>
          <w:szCs w:val="24"/>
        </w:rPr>
      </w:pPr>
    </w:p>
    <w:p w14:paraId="493E130E" w14:textId="43B36CD8" w:rsidR="0070444D" w:rsidRDefault="00671B1C" w:rsidP="00761905">
      <w:pPr>
        <w:spacing w:after="0" w:line="480" w:lineRule="auto"/>
        <w:ind w:left="567" w:hanging="567"/>
        <w:jc w:val="both"/>
        <w:rPr>
          <w:rFonts w:ascii="Times New Roman" w:hAnsi="Times New Roman" w:cs="Times New Roman"/>
          <w:b/>
          <w:bCs/>
          <w:sz w:val="24"/>
          <w:szCs w:val="24"/>
        </w:rPr>
      </w:pPr>
      <w:r>
        <w:rPr>
          <w:rFonts w:ascii="Times New Roman" w:hAnsi="Times New Roman" w:cs="Times New Roman"/>
          <w:sz w:val="24"/>
          <w:szCs w:val="24"/>
        </w:rPr>
        <w:t>[</w:t>
      </w:r>
      <w:r w:rsidR="008F6A23">
        <w:rPr>
          <w:rFonts w:ascii="Times New Roman" w:hAnsi="Times New Roman" w:cs="Times New Roman"/>
          <w:sz w:val="24"/>
          <w:szCs w:val="24"/>
        </w:rPr>
        <w:t>1</w:t>
      </w:r>
      <w:r w:rsidR="003A1921">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ab/>
      </w:r>
      <w:proofErr w:type="spellStart"/>
      <w:r w:rsidR="00501271">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sidRPr="00C73513">
        <w:rPr>
          <w:rFonts w:ascii="Times New Roman" w:hAnsi="Times New Roman" w:cs="Times New Roman"/>
          <w:i/>
          <w:iCs/>
          <w:sz w:val="24"/>
          <w:szCs w:val="24"/>
        </w:rPr>
        <w:t>Munyuru</w:t>
      </w:r>
      <w:proofErr w:type="spellEnd"/>
      <w:r w:rsidRPr="00C73513">
        <w:rPr>
          <w:rFonts w:ascii="Times New Roman" w:hAnsi="Times New Roman" w:cs="Times New Roman"/>
          <w:i/>
          <w:iCs/>
          <w:sz w:val="24"/>
          <w:szCs w:val="24"/>
        </w:rPr>
        <w:t>,</w:t>
      </w:r>
      <w:r w:rsidR="00BE0416">
        <w:rPr>
          <w:rFonts w:ascii="Times New Roman" w:hAnsi="Times New Roman" w:cs="Times New Roman"/>
          <w:sz w:val="24"/>
          <w:szCs w:val="24"/>
        </w:rPr>
        <w:t xml:space="preserve"> for the second respondent took</w:t>
      </w:r>
      <w:r>
        <w:rPr>
          <w:rFonts w:ascii="Times New Roman" w:hAnsi="Times New Roman" w:cs="Times New Roman"/>
          <w:sz w:val="24"/>
          <w:szCs w:val="24"/>
        </w:rPr>
        <w:t xml:space="preserve"> two preliminary points. The first was that the sole ground of appeal in the proposed notice of appeal was incomplete, inexact and vague in </w:t>
      </w:r>
      <w:r>
        <w:rPr>
          <w:rFonts w:ascii="Times New Roman" w:hAnsi="Times New Roman" w:cs="Times New Roman"/>
          <w:sz w:val="24"/>
          <w:szCs w:val="24"/>
        </w:rPr>
        <w:lastRenderedPageBreak/>
        <w:t>breach of r 44</w:t>
      </w:r>
      <w:r w:rsidR="00CD2437">
        <w:rPr>
          <w:rFonts w:ascii="Times New Roman" w:hAnsi="Times New Roman" w:cs="Times New Roman"/>
          <w:sz w:val="24"/>
          <w:szCs w:val="24"/>
        </w:rPr>
        <w:t>,</w:t>
      </w:r>
      <w:r>
        <w:rPr>
          <w:rFonts w:ascii="Times New Roman" w:hAnsi="Times New Roman" w:cs="Times New Roman"/>
          <w:sz w:val="24"/>
          <w:szCs w:val="24"/>
        </w:rPr>
        <w:t xml:space="preserve"> which decrees that the grounds of appeal </w:t>
      </w:r>
      <w:r w:rsidR="003B0A87">
        <w:rPr>
          <w:rFonts w:ascii="Times New Roman" w:hAnsi="Times New Roman" w:cs="Times New Roman"/>
          <w:sz w:val="24"/>
          <w:szCs w:val="24"/>
        </w:rPr>
        <w:t xml:space="preserve">should </w:t>
      </w:r>
      <w:r>
        <w:rPr>
          <w:rFonts w:ascii="Times New Roman" w:hAnsi="Times New Roman" w:cs="Times New Roman"/>
          <w:sz w:val="24"/>
          <w:szCs w:val="24"/>
        </w:rPr>
        <w:t>be “clearly set out and concise”.</w:t>
      </w:r>
      <w:r w:rsidR="00C73513">
        <w:rPr>
          <w:rFonts w:ascii="Times New Roman" w:hAnsi="Times New Roman" w:cs="Times New Roman"/>
          <w:sz w:val="24"/>
          <w:szCs w:val="24"/>
        </w:rPr>
        <w:t xml:space="preserve"> </w:t>
      </w:r>
      <w:r w:rsidR="003B0A87">
        <w:rPr>
          <w:rFonts w:ascii="Times New Roman" w:hAnsi="Times New Roman" w:cs="Times New Roman"/>
          <w:sz w:val="24"/>
          <w:szCs w:val="24"/>
        </w:rPr>
        <w:t xml:space="preserve">He argued that the </w:t>
      </w:r>
      <w:r w:rsidR="00C73513">
        <w:rPr>
          <w:rFonts w:ascii="Times New Roman" w:hAnsi="Times New Roman" w:cs="Times New Roman"/>
          <w:sz w:val="24"/>
          <w:szCs w:val="24"/>
        </w:rPr>
        <w:t>applicant did not indicate why the finding was wrong.</w:t>
      </w:r>
      <w:r>
        <w:rPr>
          <w:rFonts w:ascii="Times New Roman" w:hAnsi="Times New Roman" w:cs="Times New Roman"/>
          <w:sz w:val="24"/>
          <w:szCs w:val="24"/>
        </w:rPr>
        <w:t xml:space="preserve"> The second</w:t>
      </w:r>
      <w:r w:rsidR="003763BC">
        <w:rPr>
          <w:rFonts w:ascii="Times New Roman" w:hAnsi="Times New Roman" w:cs="Times New Roman"/>
          <w:sz w:val="24"/>
          <w:szCs w:val="24"/>
        </w:rPr>
        <w:t xml:space="preserve"> was that the </w:t>
      </w:r>
      <w:r w:rsidR="008F1EC7">
        <w:rPr>
          <w:rFonts w:ascii="Times New Roman" w:hAnsi="Times New Roman" w:cs="Times New Roman"/>
          <w:sz w:val="24"/>
          <w:szCs w:val="24"/>
        </w:rPr>
        <w:t xml:space="preserve">prospective </w:t>
      </w:r>
      <w:r w:rsidR="003763BC">
        <w:rPr>
          <w:rFonts w:ascii="Times New Roman" w:hAnsi="Times New Roman" w:cs="Times New Roman"/>
          <w:sz w:val="24"/>
          <w:szCs w:val="24"/>
        </w:rPr>
        <w:t xml:space="preserve">relief sought </w:t>
      </w:r>
      <w:r w:rsidR="008F1EC7">
        <w:rPr>
          <w:rFonts w:ascii="Times New Roman" w:hAnsi="Times New Roman" w:cs="Times New Roman"/>
          <w:sz w:val="24"/>
          <w:szCs w:val="24"/>
        </w:rPr>
        <w:t>on appeal would be</w:t>
      </w:r>
      <w:r w:rsidR="003763BC">
        <w:rPr>
          <w:rFonts w:ascii="Times New Roman" w:hAnsi="Times New Roman" w:cs="Times New Roman"/>
          <w:sz w:val="24"/>
          <w:szCs w:val="24"/>
        </w:rPr>
        <w:t xml:space="preserve"> incompetent</w:t>
      </w:r>
      <w:r w:rsidR="008F1EC7">
        <w:rPr>
          <w:rFonts w:ascii="Times New Roman" w:hAnsi="Times New Roman" w:cs="Times New Roman"/>
          <w:sz w:val="24"/>
          <w:szCs w:val="24"/>
        </w:rPr>
        <w:t xml:space="preserve"> and</w:t>
      </w:r>
      <w:r w:rsidR="006C448A">
        <w:rPr>
          <w:rFonts w:ascii="Times New Roman" w:hAnsi="Times New Roman" w:cs="Times New Roman"/>
          <w:sz w:val="24"/>
          <w:szCs w:val="24"/>
        </w:rPr>
        <w:t xml:space="preserve"> </w:t>
      </w:r>
      <w:r>
        <w:rPr>
          <w:rFonts w:ascii="Times New Roman" w:hAnsi="Times New Roman" w:cs="Times New Roman"/>
          <w:sz w:val="24"/>
          <w:szCs w:val="24"/>
        </w:rPr>
        <w:t>defective</w:t>
      </w:r>
      <w:r w:rsidR="006C448A">
        <w:rPr>
          <w:rFonts w:ascii="Times New Roman" w:hAnsi="Times New Roman" w:cs="Times New Roman"/>
          <w:sz w:val="24"/>
          <w:szCs w:val="24"/>
        </w:rPr>
        <w:t>. This was because</w:t>
      </w:r>
      <w:r>
        <w:rPr>
          <w:rFonts w:ascii="Times New Roman" w:hAnsi="Times New Roman" w:cs="Times New Roman"/>
          <w:sz w:val="24"/>
          <w:szCs w:val="24"/>
        </w:rPr>
        <w:t xml:space="preserve"> </w:t>
      </w:r>
      <w:r w:rsidR="00C73513">
        <w:rPr>
          <w:rFonts w:ascii="Times New Roman" w:hAnsi="Times New Roman" w:cs="Times New Roman"/>
          <w:sz w:val="24"/>
          <w:szCs w:val="24"/>
        </w:rPr>
        <w:t xml:space="preserve">it sought the remittal of the matter </w:t>
      </w:r>
      <w:r w:rsidR="00C73513" w:rsidRPr="003B0A87">
        <w:rPr>
          <w:rFonts w:ascii="Times New Roman" w:hAnsi="Times New Roman" w:cs="Times New Roman"/>
          <w:i/>
          <w:iCs/>
          <w:sz w:val="24"/>
          <w:szCs w:val="24"/>
        </w:rPr>
        <w:t>a quo</w:t>
      </w:r>
      <w:r w:rsidR="00C73513">
        <w:rPr>
          <w:rFonts w:ascii="Times New Roman" w:hAnsi="Times New Roman" w:cs="Times New Roman"/>
          <w:sz w:val="24"/>
          <w:szCs w:val="24"/>
        </w:rPr>
        <w:t xml:space="preserve"> for</w:t>
      </w:r>
      <w:r w:rsidR="00BE0416">
        <w:rPr>
          <w:rFonts w:ascii="Times New Roman" w:hAnsi="Times New Roman" w:cs="Times New Roman"/>
          <w:sz w:val="24"/>
          <w:szCs w:val="24"/>
        </w:rPr>
        <w:t xml:space="preserve"> a</w:t>
      </w:r>
      <w:r w:rsidR="00C73513">
        <w:rPr>
          <w:rFonts w:ascii="Times New Roman" w:hAnsi="Times New Roman" w:cs="Times New Roman"/>
          <w:sz w:val="24"/>
          <w:szCs w:val="24"/>
        </w:rPr>
        <w:t xml:space="preserve"> determination on the merits when it was apparent that </w:t>
      </w:r>
      <w:r w:rsidR="003B0A87">
        <w:rPr>
          <w:rFonts w:ascii="Times New Roman" w:hAnsi="Times New Roman" w:cs="Times New Roman"/>
          <w:sz w:val="24"/>
          <w:szCs w:val="24"/>
        </w:rPr>
        <w:t xml:space="preserve">the </w:t>
      </w:r>
      <w:r w:rsidR="009572ED">
        <w:rPr>
          <w:rFonts w:ascii="Times New Roman" w:hAnsi="Times New Roman" w:cs="Times New Roman"/>
          <w:sz w:val="24"/>
          <w:szCs w:val="24"/>
        </w:rPr>
        <w:t xml:space="preserve">court </w:t>
      </w:r>
      <w:r w:rsidR="008F1EC7" w:rsidRPr="008F1EC7">
        <w:rPr>
          <w:rFonts w:ascii="Times New Roman" w:hAnsi="Times New Roman" w:cs="Times New Roman"/>
          <w:i/>
          <w:sz w:val="24"/>
          <w:szCs w:val="24"/>
        </w:rPr>
        <w:t>a quo</w:t>
      </w:r>
      <w:r w:rsidR="008F1EC7">
        <w:rPr>
          <w:rFonts w:ascii="Times New Roman" w:hAnsi="Times New Roman" w:cs="Times New Roman"/>
          <w:sz w:val="24"/>
          <w:szCs w:val="24"/>
        </w:rPr>
        <w:t xml:space="preserve"> </w:t>
      </w:r>
      <w:r w:rsidR="009572ED">
        <w:rPr>
          <w:rFonts w:ascii="Times New Roman" w:hAnsi="Times New Roman" w:cs="Times New Roman"/>
          <w:sz w:val="24"/>
          <w:szCs w:val="24"/>
        </w:rPr>
        <w:t>had</w:t>
      </w:r>
      <w:r w:rsidR="00C73513">
        <w:rPr>
          <w:rFonts w:ascii="Times New Roman" w:hAnsi="Times New Roman" w:cs="Times New Roman"/>
          <w:sz w:val="24"/>
          <w:szCs w:val="24"/>
        </w:rPr>
        <w:t xml:space="preserve"> </w:t>
      </w:r>
      <w:r w:rsidR="003B0A87">
        <w:rPr>
          <w:rFonts w:ascii="Times New Roman" w:hAnsi="Times New Roman" w:cs="Times New Roman"/>
          <w:sz w:val="24"/>
          <w:szCs w:val="24"/>
        </w:rPr>
        <w:t>disposed of the application on a single preliminary point without adverting to the other preliminary points</w:t>
      </w:r>
      <w:r w:rsidR="00C73513">
        <w:rPr>
          <w:rFonts w:ascii="Times New Roman" w:hAnsi="Times New Roman" w:cs="Times New Roman"/>
          <w:sz w:val="24"/>
          <w:szCs w:val="24"/>
        </w:rPr>
        <w:t xml:space="preserve">. </w:t>
      </w:r>
      <w:r w:rsidR="008F6A23">
        <w:rPr>
          <w:rFonts w:ascii="Times New Roman" w:hAnsi="Times New Roman" w:cs="Times New Roman"/>
          <w:sz w:val="24"/>
          <w:szCs w:val="24"/>
        </w:rPr>
        <w:t>He submitted that the</w:t>
      </w:r>
      <w:r w:rsidR="00DF640B">
        <w:rPr>
          <w:rFonts w:ascii="Times New Roman" w:hAnsi="Times New Roman" w:cs="Times New Roman"/>
          <w:sz w:val="24"/>
          <w:szCs w:val="24"/>
        </w:rPr>
        <w:t xml:space="preserve"> prospective relief</w:t>
      </w:r>
      <w:r w:rsidR="008F6A23">
        <w:rPr>
          <w:rFonts w:ascii="Times New Roman" w:hAnsi="Times New Roman" w:cs="Times New Roman"/>
          <w:sz w:val="24"/>
          <w:szCs w:val="24"/>
        </w:rPr>
        <w:t xml:space="preserve"> </w:t>
      </w:r>
      <w:r w:rsidR="00DF640B">
        <w:rPr>
          <w:rFonts w:ascii="Times New Roman" w:hAnsi="Times New Roman" w:cs="Times New Roman"/>
          <w:sz w:val="24"/>
          <w:szCs w:val="24"/>
        </w:rPr>
        <w:t xml:space="preserve">sought on appeal would be </w:t>
      </w:r>
      <w:r w:rsidR="008F6A23">
        <w:rPr>
          <w:rFonts w:ascii="Times New Roman" w:hAnsi="Times New Roman" w:cs="Times New Roman"/>
          <w:sz w:val="24"/>
          <w:szCs w:val="24"/>
        </w:rPr>
        <w:t>inexact</w:t>
      </w:r>
      <w:r w:rsidR="00BE0416">
        <w:rPr>
          <w:rFonts w:ascii="Times New Roman" w:hAnsi="Times New Roman" w:cs="Times New Roman"/>
          <w:sz w:val="24"/>
          <w:szCs w:val="24"/>
        </w:rPr>
        <w:t>,</w:t>
      </w:r>
      <w:r w:rsidR="008F6A23">
        <w:rPr>
          <w:rFonts w:ascii="Times New Roman" w:hAnsi="Times New Roman" w:cs="Times New Roman"/>
          <w:sz w:val="24"/>
          <w:szCs w:val="24"/>
        </w:rPr>
        <w:t xml:space="preserve"> in breach of r 37 (1) </w:t>
      </w:r>
      <w:r w:rsidR="006C448A">
        <w:rPr>
          <w:rFonts w:ascii="Times New Roman" w:hAnsi="Times New Roman" w:cs="Times New Roman"/>
          <w:sz w:val="24"/>
          <w:szCs w:val="24"/>
        </w:rPr>
        <w:t>(e)</w:t>
      </w:r>
      <w:r w:rsidR="008F6A23">
        <w:rPr>
          <w:rFonts w:ascii="Times New Roman" w:hAnsi="Times New Roman" w:cs="Times New Roman"/>
          <w:sz w:val="24"/>
          <w:szCs w:val="24"/>
        </w:rPr>
        <w:t xml:space="preserve"> of the Supreme Court Rules, 2018. </w:t>
      </w:r>
      <w:r w:rsidR="00DF640B">
        <w:rPr>
          <w:rFonts w:ascii="Times New Roman" w:hAnsi="Times New Roman" w:cs="Times New Roman"/>
          <w:sz w:val="24"/>
          <w:szCs w:val="24"/>
        </w:rPr>
        <w:t>He therefore prayed for the application to be struck off the roll</w:t>
      </w:r>
      <w:r w:rsidR="00C73513">
        <w:rPr>
          <w:rFonts w:ascii="Times New Roman" w:hAnsi="Times New Roman" w:cs="Times New Roman"/>
          <w:sz w:val="24"/>
          <w:szCs w:val="24"/>
        </w:rPr>
        <w:t xml:space="preserve"> with costs. </w:t>
      </w:r>
    </w:p>
    <w:p w14:paraId="2BCCC179" w14:textId="77777777" w:rsidR="00761905" w:rsidRDefault="00761905" w:rsidP="00761905">
      <w:pPr>
        <w:spacing w:after="0" w:line="480" w:lineRule="auto"/>
        <w:ind w:left="720" w:hanging="720"/>
        <w:jc w:val="both"/>
        <w:rPr>
          <w:rFonts w:ascii="Times New Roman" w:hAnsi="Times New Roman" w:cs="Times New Roman"/>
          <w:sz w:val="24"/>
          <w:szCs w:val="24"/>
        </w:rPr>
      </w:pPr>
    </w:p>
    <w:p w14:paraId="0915B3EA" w14:textId="2CD582FD" w:rsidR="0070444D" w:rsidRDefault="00D42EBF" w:rsidP="00761905">
      <w:pPr>
        <w:spacing w:after="0" w:line="480" w:lineRule="auto"/>
        <w:ind w:left="567" w:hanging="567"/>
        <w:jc w:val="both"/>
        <w:rPr>
          <w:rFonts w:ascii="Times New Roman" w:hAnsi="Times New Roman" w:cs="Times New Roman"/>
          <w:b/>
          <w:bCs/>
          <w:sz w:val="24"/>
          <w:szCs w:val="24"/>
        </w:rPr>
      </w:pPr>
      <w:r>
        <w:rPr>
          <w:rFonts w:ascii="Times New Roman" w:hAnsi="Times New Roman" w:cs="Times New Roman"/>
          <w:sz w:val="24"/>
          <w:szCs w:val="24"/>
        </w:rPr>
        <w:t>[1</w:t>
      </w:r>
      <w:r w:rsidR="003A1921">
        <w:rPr>
          <w:rFonts w:ascii="Times New Roman" w:hAnsi="Times New Roman" w:cs="Times New Roman"/>
          <w:sz w:val="24"/>
          <w:szCs w:val="24"/>
        </w:rPr>
        <w:t>3</w:t>
      </w:r>
      <w:r w:rsidR="008F6A23">
        <w:rPr>
          <w:rFonts w:ascii="Times New Roman" w:hAnsi="Times New Roman" w:cs="Times New Roman"/>
          <w:sz w:val="24"/>
          <w:szCs w:val="24"/>
        </w:rPr>
        <w:t>]</w:t>
      </w:r>
      <w:r w:rsidR="00501271">
        <w:rPr>
          <w:rFonts w:ascii="Times New Roman" w:hAnsi="Times New Roman" w:cs="Times New Roman"/>
          <w:sz w:val="24"/>
          <w:szCs w:val="24"/>
        </w:rPr>
        <w:tab/>
        <w:t>Ms</w:t>
      </w:r>
      <w:r>
        <w:rPr>
          <w:rFonts w:ascii="Times New Roman" w:hAnsi="Times New Roman" w:cs="Times New Roman"/>
          <w:sz w:val="24"/>
          <w:szCs w:val="24"/>
        </w:rPr>
        <w:t xml:space="preserve"> </w:t>
      </w:r>
      <w:proofErr w:type="spellStart"/>
      <w:r w:rsidRPr="00D42EBF">
        <w:rPr>
          <w:rFonts w:ascii="Times New Roman" w:hAnsi="Times New Roman" w:cs="Times New Roman"/>
          <w:i/>
          <w:iCs/>
          <w:sz w:val="24"/>
          <w:szCs w:val="24"/>
        </w:rPr>
        <w:t>Ndlovu</w:t>
      </w:r>
      <w:proofErr w:type="spellEnd"/>
      <w:r w:rsidRPr="00D42EBF">
        <w:rPr>
          <w:rFonts w:ascii="Times New Roman" w:hAnsi="Times New Roman" w:cs="Times New Roman"/>
          <w:i/>
          <w:iCs/>
          <w:sz w:val="24"/>
          <w:szCs w:val="24"/>
        </w:rPr>
        <w:t xml:space="preserve"> </w:t>
      </w:r>
      <w:r>
        <w:rPr>
          <w:rFonts w:ascii="Times New Roman" w:hAnsi="Times New Roman" w:cs="Times New Roman"/>
          <w:sz w:val="24"/>
          <w:szCs w:val="24"/>
        </w:rPr>
        <w:t>for the applicant contended that an investigation brought in terms of s 96 of the Act could be</w:t>
      </w:r>
      <w:r w:rsidR="00CD2437">
        <w:rPr>
          <w:rFonts w:ascii="Times New Roman" w:hAnsi="Times New Roman" w:cs="Times New Roman"/>
          <w:sz w:val="24"/>
          <w:szCs w:val="24"/>
        </w:rPr>
        <w:t xml:space="preserve"> held</w:t>
      </w:r>
      <w:r w:rsidR="00AB779F">
        <w:rPr>
          <w:rFonts w:ascii="Times New Roman" w:hAnsi="Times New Roman" w:cs="Times New Roman"/>
          <w:sz w:val="24"/>
          <w:szCs w:val="24"/>
        </w:rPr>
        <w:t xml:space="preserve"> </w:t>
      </w:r>
      <w:r>
        <w:rPr>
          <w:rFonts w:ascii="Times New Roman" w:hAnsi="Times New Roman" w:cs="Times New Roman"/>
          <w:sz w:val="24"/>
          <w:szCs w:val="24"/>
        </w:rPr>
        <w:t>even in the face of concluded a</w:t>
      </w:r>
      <w:r w:rsidR="00CD2437">
        <w:rPr>
          <w:rFonts w:ascii="Times New Roman" w:hAnsi="Times New Roman" w:cs="Times New Roman"/>
          <w:sz w:val="24"/>
          <w:szCs w:val="24"/>
        </w:rPr>
        <w:t>nd effected tender proceedings. This was on the basis that</w:t>
      </w:r>
      <w:r w:rsidR="00932297">
        <w:rPr>
          <w:rFonts w:ascii="Times New Roman" w:hAnsi="Times New Roman" w:cs="Times New Roman"/>
          <w:sz w:val="24"/>
          <w:szCs w:val="24"/>
        </w:rPr>
        <w:t xml:space="preserve"> one of the remedies contemplated by s 98 of the Act would be the cancellation of any contract concluded from tainted tender proceedings. </w:t>
      </w:r>
      <w:r>
        <w:rPr>
          <w:rFonts w:ascii="Times New Roman" w:hAnsi="Times New Roman" w:cs="Times New Roman"/>
          <w:sz w:val="24"/>
          <w:szCs w:val="24"/>
        </w:rPr>
        <w:t>She therefore submitted that such a</w:t>
      </w:r>
      <w:r w:rsidR="00932297">
        <w:rPr>
          <w:rFonts w:ascii="Times New Roman" w:hAnsi="Times New Roman" w:cs="Times New Roman"/>
          <w:sz w:val="24"/>
          <w:szCs w:val="24"/>
        </w:rPr>
        <w:t xml:space="preserve"> </w:t>
      </w:r>
      <w:r w:rsidR="004F477A">
        <w:rPr>
          <w:rFonts w:ascii="Times New Roman" w:hAnsi="Times New Roman" w:cs="Times New Roman"/>
          <w:sz w:val="24"/>
          <w:szCs w:val="24"/>
        </w:rPr>
        <w:t>statutory</w:t>
      </w:r>
      <w:r w:rsidR="00BE0416">
        <w:rPr>
          <w:rFonts w:ascii="Times New Roman" w:hAnsi="Times New Roman" w:cs="Times New Roman"/>
          <w:sz w:val="24"/>
          <w:szCs w:val="24"/>
        </w:rPr>
        <w:t xml:space="preserve"> investigation could not</w:t>
      </w:r>
      <w:r>
        <w:rPr>
          <w:rFonts w:ascii="Times New Roman" w:hAnsi="Times New Roman" w:cs="Times New Roman"/>
          <w:sz w:val="24"/>
          <w:szCs w:val="24"/>
        </w:rPr>
        <w:t xml:space="preserve"> be afflicted by mootness.</w:t>
      </w:r>
      <w:r w:rsidR="004F477A">
        <w:rPr>
          <w:rFonts w:ascii="Times New Roman" w:hAnsi="Times New Roman" w:cs="Times New Roman"/>
          <w:sz w:val="24"/>
          <w:szCs w:val="24"/>
        </w:rPr>
        <w:t xml:space="preserve"> She also submitted that the proposed ground of appeal raised a clear and concise point of law, which did not require further elaboration. She further submitted that seeking a remittal on the merits would not preclude the court </w:t>
      </w:r>
      <w:r w:rsidR="004F477A" w:rsidRPr="00AB779F">
        <w:rPr>
          <w:rFonts w:ascii="Times New Roman" w:hAnsi="Times New Roman" w:cs="Times New Roman"/>
          <w:i/>
          <w:iCs/>
          <w:sz w:val="24"/>
          <w:szCs w:val="24"/>
        </w:rPr>
        <w:t>a quo</w:t>
      </w:r>
      <w:r w:rsidR="004F477A">
        <w:rPr>
          <w:rFonts w:ascii="Times New Roman" w:hAnsi="Times New Roman" w:cs="Times New Roman"/>
          <w:sz w:val="24"/>
          <w:szCs w:val="24"/>
        </w:rPr>
        <w:t xml:space="preserve"> from determining the other preliminary points that were left in abeyance. </w:t>
      </w:r>
      <w:r w:rsidR="008F6A23">
        <w:rPr>
          <w:rFonts w:ascii="Times New Roman" w:hAnsi="Times New Roman" w:cs="Times New Roman"/>
          <w:sz w:val="24"/>
          <w:szCs w:val="24"/>
        </w:rPr>
        <w:t>She therefore conten</w:t>
      </w:r>
      <w:r w:rsidR="00BE0416">
        <w:rPr>
          <w:rFonts w:ascii="Times New Roman" w:hAnsi="Times New Roman" w:cs="Times New Roman"/>
          <w:sz w:val="24"/>
          <w:szCs w:val="24"/>
        </w:rPr>
        <w:t>ded that the relief sought was in compliance with r 37 (1) (e) o</w:t>
      </w:r>
      <w:r w:rsidR="00CD2437">
        <w:rPr>
          <w:rFonts w:ascii="Times New Roman" w:hAnsi="Times New Roman" w:cs="Times New Roman"/>
          <w:sz w:val="24"/>
          <w:szCs w:val="24"/>
        </w:rPr>
        <w:t>f the Supreme Court Rules, 2018</w:t>
      </w:r>
      <w:r w:rsidR="008F6A23">
        <w:rPr>
          <w:rFonts w:ascii="Times New Roman" w:hAnsi="Times New Roman" w:cs="Times New Roman"/>
          <w:sz w:val="24"/>
          <w:szCs w:val="24"/>
        </w:rPr>
        <w:t>.</w:t>
      </w:r>
    </w:p>
    <w:p w14:paraId="7DA4BF48" w14:textId="77777777" w:rsidR="00761905" w:rsidRDefault="00761905" w:rsidP="00761905">
      <w:pPr>
        <w:spacing w:after="0" w:line="480" w:lineRule="auto"/>
        <w:ind w:left="720" w:hanging="720"/>
        <w:jc w:val="both"/>
        <w:rPr>
          <w:rFonts w:ascii="Times New Roman" w:hAnsi="Times New Roman" w:cs="Times New Roman"/>
          <w:b/>
          <w:bCs/>
          <w:sz w:val="24"/>
          <w:szCs w:val="24"/>
        </w:rPr>
      </w:pPr>
    </w:p>
    <w:p w14:paraId="691ECCC9" w14:textId="5BAFB427" w:rsidR="00AD1834" w:rsidRDefault="0070444D" w:rsidP="00761905">
      <w:pPr>
        <w:spacing w:after="0" w:line="480" w:lineRule="auto"/>
        <w:ind w:left="567" w:hanging="567"/>
        <w:jc w:val="both"/>
        <w:rPr>
          <w:rFonts w:ascii="Times New Roman" w:hAnsi="Times New Roman" w:cs="Times New Roman"/>
          <w:sz w:val="24"/>
          <w:szCs w:val="24"/>
        </w:rPr>
      </w:pPr>
      <w:r>
        <w:rPr>
          <w:rFonts w:ascii="Times New Roman" w:hAnsi="Times New Roman" w:cs="Times New Roman"/>
          <w:b/>
          <w:bCs/>
          <w:sz w:val="24"/>
          <w:szCs w:val="24"/>
        </w:rPr>
        <w:t>[</w:t>
      </w:r>
      <w:r w:rsidRPr="0070444D">
        <w:rPr>
          <w:rFonts w:ascii="Times New Roman" w:hAnsi="Times New Roman" w:cs="Times New Roman"/>
          <w:sz w:val="24"/>
          <w:szCs w:val="24"/>
        </w:rPr>
        <w:t>1</w:t>
      </w:r>
      <w:r>
        <w:rPr>
          <w:rFonts w:ascii="Times New Roman" w:hAnsi="Times New Roman" w:cs="Times New Roman"/>
          <w:sz w:val="24"/>
          <w:szCs w:val="24"/>
        </w:rPr>
        <w:t>4</w:t>
      </w:r>
      <w:r w:rsidRPr="0070444D">
        <w:rPr>
          <w:rFonts w:ascii="Times New Roman" w:hAnsi="Times New Roman" w:cs="Times New Roman"/>
          <w:sz w:val="24"/>
          <w:szCs w:val="24"/>
        </w:rPr>
        <w:t>]</w:t>
      </w:r>
      <w:r>
        <w:rPr>
          <w:rFonts w:ascii="Times New Roman" w:hAnsi="Times New Roman" w:cs="Times New Roman"/>
          <w:b/>
          <w:bCs/>
          <w:sz w:val="24"/>
          <w:szCs w:val="24"/>
        </w:rPr>
        <w:tab/>
      </w:r>
      <w:r w:rsidR="00722416">
        <w:rPr>
          <w:rFonts w:ascii="Times New Roman" w:hAnsi="Times New Roman" w:cs="Times New Roman"/>
          <w:sz w:val="24"/>
          <w:szCs w:val="24"/>
        </w:rPr>
        <w:t xml:space="preserve">In reply </w:t>
      </w:r>
      <w:proofErr w:type="spellStart"/>
      <w:r w:rsidR="00761905">
        <w:rPr>
          <w:rFonts w:ascii="Times New Roman" w:hAnsi="Times New Roman" w:cs="Times New Roman"/>
          <w:sz w:val="24"/>
          <w:szCs w:val="24"/>
        </w:rPr>
        <w:t>Mr</w:t>
      </w:r>
      <w:proofErr w:type="spellEnd"/>
      <w:r w:rsidR="00761905">
        <w:rPr>
          <w:rFonts w:ascii="Times New Roman" w:hAnsi="Times New Roman" w:cs="Times New Roman"/>
          <w:sz w:val="24"/>
          <w:szCs w:val="24"/>
        </w:rPr>
        <w:t xml:space="preserve"> </w:t>
      </w:r>
      <w:r w:rsidR="00722416" w:rsidRPr="00AB779F">
        <w:rPr>
          <w:rFonts w:ascii="Times New Roman" w:hAnsi="Times New Roman" w:cs="Times New Roman"/>
          <w:i/>
          <w:iCs/>
          <w:sz w:val="24"/>
          <w:szCs w:val="24"/>
        </w:rPr>
        <w:t>Sithole</w:t>
      </w:r>
      <w:r w:rsidR="00722416">
        <w:rPr>
          <w:rFonts w:ascii="Times New Roman" w:hAnsi="Times New Roman" w:cs="Times New Roman"/>
          <w:sz w:val="24"/>
          <w:szCs w:val="24"/>
        </w:rPr>
        <w:t xml:space="preserve"> and </w:t>
      </w:r>
      <w:proofErr w:type="spellStart"/>
      <w:r w:rsidR="00761905">
        <w:rPr>
          <w:rFonts w:ascii="Times New Roman" w:hAnsi="Times New Roman" w:cs="Times New Roman"/>
          <w:sz w:val="24"/>
          <w:szCs w:val="24"/>
        </w:rPr>
        <w:t>Mr</w:t>
      </w:r>
      <w:proofErr w:type="spellEnd"/>
      <w:r w:rsidR="00AB779F">
        <w:rPr>
          <w:rFonts w:ascii="Times New Roman" w:hAnsi="Times New Roman" w:cs="Times New Roman"/>
          <w:sz w:val="24"/>
          <w:szCs w:val="24"/>
        </w:rPr>
        <w:t xml:space="preserve"> </w:t>
      </w:r>
      <w:proofErr w:type="spellStart"/>
      <w:r w:rsidR="00722416" w:rsidRPr="00AB779F">
        <w:rPr>
          <w:rFonts w:ascii="Times New Roman" w:hAnsi="Times New Roman" w:cs="Times New Roman"/>
          <w:i/>
          <w:iCs/>
          <w:sz w:val="24"/>
          <w:szCs w:val="24"/>
        </w:rPr>
        <w:t>Munyuru</w:t>
      </w:r>
      <w:proofErr w:type="spellEnd"/>
      <w:r w:rsidR="009B6828">
        <w:rPr>
          <w:rFonts w:ascii="Times New Roman" w:hAnsi="Times New Roman" w:cs="Times New Roman"/>
          <w:sz w:val="24"/>
          <w:szCs w:val="24"/>
        </w:rPr>
        <w:t xml:space="preserve">, in turn, </w:t>
      </w:r>
      <w:r w:rsidR="00AD1834">
        <w:rPr>
          <w:rFonts w:ascii="Times New Roman" w:hAnsi="Times New Roman" w:cs="Times New Roman"/>
          <w:sz w:val="24"/>
          <w:szCs w:val="24"/>
        </w:rPr>
        <w:t>maintained their respective preliminary points.</w:t>
      </w:r>
    </w:p>
    <w:p w14:paraId="7E9F1F85" w14:textId="77777777" w:rsidR="00761905" w:rsidRDefault="00761905" w:rsidP="00761905">
      <w:pPr>
        <w:spacing w:after="0" w:line="480" w:lineRule="auto"/>
        <w:ind w:left="720" w:hanging="720"/>
        <w:jc w:val="both"/>
        <w:rPr>
          <w:rFonts w:ascii="Times New Roman" w:hAnsi="Times New Roman" w:cs="Times New Roman"/>
          <w:bCs/>
          <w:sz w:val="24"/>
          <w:szCs w:val="24"/>
        </w:rPr>
      </w:pPr>
    </w:p>
    <w:p w14:paraId="569F0AD1" w14:textId="3493242D" w:rsidR="00AD1834" w:rsidRDefault="00AD1834" w:rsidP="00761905">
      <w:pPr>
        <w:spacing w:after="0" w:line="480" w:lineRule="auto"/>
        <w:ind w:left="567" w:hanging="567"/>
        <w:jc w:val="both"/>
        <w:rPr>
          <w:rFonts w:ascii="Times New Roman" w:hAnsi="Times New Roman" w:cs="Times New Roman"/>
          <w:bCs/>
          <w:sz w:val="24"/>
          <w:szCs w:val="24"/>
        </w:rPr>
      </w:pPr>
      <w:r w:rsidRPr="00AD1834">
        <w:rPr>
          <w:rFonts w:ascii="Times New Roman" w:hAnsi="Times New Roman" w:cs="Times New Roman"/>
          <w:bCs/>
          <w:sz w:val="24"/>
          <w:szCs w:val="24"/>
        </w:rPr>
        <w:lastRenderedPageBreak/>
        <w:t>[</w:t>
      </w:r>
      <w:r w:rsidR="00CD2437">
        <w:rPr>
          <w:rFonts w:ascii="Times New Roman" w:hAnsi="Times New Roman" w:cs="Times New Roman"/>
          <w:bCs/>
          <w:sz w:val="24"/>
          <w:szCs w:val="24"/>
        </w:rPr>
        <w:t>15]</w:t>
      </w:r>
      <w:r w:rsidR="00CD2437">
        <w:rPr>
          <w:rFonts w:ascii="Times New Roman" w:hAnsi="Times New Roman" w:cs="Times New Roman"/>
          <w:bCs/>
          <w:sz w:val="24"/>
          <w:szCs w:val="24"/>
        </w:rPr>
        <w:tab/>
        <w:t>I rolled over argument to</w:t>
      </w:r>
      <w:r>
        <w:rPr>
          <w:rFonts w:ascii="Times New Roman" w:hAnsi="Times New Roman" w:cs="Times New Roman"/>
          <w:bCs/>
          <w:sz w:val="24"/>
          <w:szCs w:val="24"/>
        </w:rPr>
        <w:t xml:space="preserve"> the merits on the understanding that I would not determine the merits if any one of the preliminary points was dispositive of the matter.</w:t>
      </w:r>
    </w:p>
    <w:p w14:paraId="76FEE342" w14:textId="77777777" w:rsidR="00761905" w:rsidRDefault="00761905" w:rsidP="00761905">
      <w:pPr>
        <w:spacing w:after="0" w:line="480" w:lineRule="auto"/>
        <w:ind w:left="720" w:hanging="660"/>
        <w:jc w:val="both"/>
        <w:rPr>
          <w:rFonts w:ascii="Times New Roman" w:hAnsi="Times New Roman" w:cs="Times New Roman"/>
          <w:sz w:val="24"/>
          <w:szCs w:val="24"/>
        </w:rPr>
      </w:pPr>
    </w:p>
    <w:p w14:paraId="5585EC3D" w14:textId="2F81FF68" w:rsidR="00DB30EF" w:rsidRDefault="00952D58" w:rsidP="00761905">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[1</w:t>
      </w:r>
      <w:r w:rsidR="009E3FEC">
        <w:rPr>
          <w:rFonts w:ascii="Times New Roman" w:hAnsi="Times New Roman" w:cs="Times New Roman"/>
          <w:sz w:val="24"/>
          <w:szCs w:val="24"/>
        </w:rPr>
        <w:t>6</w:t>
      </w:r>
      <w:r w:rsidR="00761905">
        <w:rPr>
          <w:rFonts w:ascii="Times New Roman" w:hAnsi="Times New Roman" w:cs="Times New Roman"/>
          <w:sz w:val="24"/>
          <w:szCs w:val="24"/>
        </w:rPr>
        <w:t>]</w:t>
      </w:r>
      <w:r w:rsidR="00761905">
        <w:rPr>
          <w:rFonts w:ascii="Times New Roman" w:hAnsi="Times New Roman" w:cs="Times New Roman"/>
          <w:sz w:val="24"/>
          <w:szCs w:val="24"/>
        </w:rPr>
        <w:tab/>
        <w:t>On the merits</w:t>
      </w:r>
      <w:r w:rsidR="006670BE">
        <w:rPr>
          <w:rFonts w:ascii="Times New Roman" w:hAnsi="Times New Roman" w:cs="Times New Roman"/>
          <w:sz w:val="24"/>
          <w:szCs w:val="24"/>
        </w:rPr>
        <w:t>,</w:t>
      </w:r>
      <w:r w:rsidR="00761905">
        <w:rPr>
          <w:rFonts w:ascii="Times New Roman" w:hAnsi="Times New Roman" w:cs="Times New Roman"/>
          <w:sz w:val="24"/>
          <w:szCs w:val="24"/>
        </w:rPr>
        <w:t xml:space="preserve"> Ms</w:t>
      </w:r>
      <w:r>
        <w:rPr>
          <w:rFonts w:ascii="Times New Roman" w:hAnsi="Times New Roman" w:cs="Times New Roman"/>
          <w:sz w:val="24"/>
          <w:szCs w:val="24"/>
        </w:rPr>
        <w:t xml:space="preserve"> </w:t>
      </w:r>
      <w:proofErr w:type="spellStart"/>
      <w:r w:rsidRPr="00D21F76">
        <w:rPr>
          <w:rFonts w:ascii="Times New Roman" w:hAnsi="Times New Roman" w:cs="Times New Roman"/>
          <w:i/>
          <w:iCs/>
          <w:sz w:val="24"/>
          <w:szCs w:val="24"/>
        </w:rPr>
        <w:t>Ndlovu</w:t>
      </w:r>
      <w:proofErr w:type="spellEnd"/>
      <w:r>
        <w:rPr>
          <w:rFonts w:ascii="Times New Roman" w:hAnsi="Times New Roman" w:cs="Times New Roman"/>
          <w:sz w:val="24"/>
          <w:szCs w:val="24"/>
        </w:rPr>
        <w:t xml:space="preserve"> contended that the delay of twenty-two days was not inordinate. The cause of the delay </w:t>
      </w:r>
      <w:r w:rsidR="00327F95">
        <w:rPr>
          <w:rFonts w:ascii="Times New Roman" w:hAnsi="Times New Roman" w:cs="Times New Roman"/>
          <w:sz w:val="24"/>
          <w:szCs w:val="24"/>
        </w:rPr>
        <w:t>was due to</w:t>
      </w:r>
      <w:r w:rsidR="00FA5B46">
        <w:rPr>
          <w:rFonts w:ascii="Times New Roman" w:hAnsi="Times New Roman" w:cs="Times New Roman"/>
          <w:sz w:val="24"/>
          <w:szCs w:val="24"/>
        </w:rPr>
        <w:t xml:space="preserve"> </w:t>
      </w:r>
      <w:r>
        <w:rPr>
          <w:rFonts w:ascii="Times New Roman" w:hAnsi="Times New Roman" w:cs="Times New Roman"/>
          <w:sz w:val="24"/>
          <w:szCs w:val="24"/>
        </w:rPr>
        <w:t>the mis</w:t>
      </w:r>
      <w:r w:rsidR="00D21F76">
        <w:rPr>
          <w:rFonts w:ascii="Times New Roman" w:hAnsi="Times New Roman" w:cs="Times New Roman"/>
          <w:sz w:val="24"/>
          <w:szCs w:val="24"/>
        </w:rPr>
        <w:t>calculation</w:t>
      </w:r>
      <w:r w:rsidR="009E3FEC">
        <w:rPr>
          <w:rFonts w:ascii="Times New Roman" w:hAnsi="Times New Roman" w:cs="Times New Roman"/>
          <w:sz w:val="24"/>
          <w:szCs w:val="24"/>
        </w:rPr>
        <w:t xml:space="preserve"> of the </w:t>
      </w:r>
      <w:r w:rsidR="003516DF" w:rsidRPr="003516DF">
        <w:rPr>
          <w:rFonts w:ascii="Times New Roman" w:hAnsi="Times New Roman" w:cs="Times New Roman"/>
          <w:i/>
          <w:iCs/>
          <w:sz w:val="24"/>
          <w:szCs w:val="24"/>
        </w:rPr>
        <w:t>dies</w:t>
      </w:r>
      <w:r w:rsidR="008F1EC7">
        <w:rPr>
          <w:rFonts w:ascii="Times New Roman" w:hAnsi="Times New Roman" w:cs="Times New Roman"/>
          <w:i/>
          <w:iCs/>
          <w:sz w:val="24"/>
          <w:szCs w:val="24"/>
        </w:rPr>
        <w:t xml:space="preserve"> </w:t>
      </w:r>
      <w:proofErr w:type="spellStart"/>
      <w:r w:rsidR="003516DF" w:rsidRPr="003516DF">
        <w:rPr>
          <w:rFonts w:ascii="Times New Roman" w:hAnsi="Times New Roman" w:cs="Times New Roman"/>
          <w:i/>
          <w:iCs/>
          <w:sz w:val="24"/>
          <w:szCs w:val="24"/>
        </w:rPr>
        <w:t>induciae</w:t>
      </w:r>
      <w:proofErr w:type="spellEnd"/>
      <w:r>
        <w:rPr>
          <w:rFonts w:ascii="Times New Roman" w:hAnsi="Times New Roman" w:cs="Times New Roman"/>
          <w:sz w:val="24"/>
          <w:szCs w:val="24"/>
        </w:rPr>
        <w:t xml:space="preserve"> by the instructing legal practitioner</w:t>
      </w:r>
      <w:r w:rsidR="003516DF">
        <w:rPr>
          <w:rFonts w:ascii="Times New Roman" w:hAnsi="Times New Roman" w:cs="Times New Roman"/>
          <w:sz w:val="24"/>
          <w:szCs w:val="24"/>
        </w:rPr>
        <w:t>, which resulted in the further delay</w:t>
      </w:r>
      <w:r w:rsidR="00FA5B46">
        <w:rPr>
          <w:rFonts w:ascii="Times New Roman" w:hAnsi="Times New Roman" w:cs="Times New Roman"/>
          <w:sz w:val="24"/>
          <w:szCs w:val="24"/>
        </w:rPr>
        <w:t xml:space="preserve"> </w:t>
      </w:r>
      <w:r w:rsidR="003516DF">
        <w:rPr>
          <w:rFonts w:ascii="Times New Roman" w:hAnsi="Times New Roman" w:cs="Times New Roman"/>
          <w:sz w:val="24"/>
          <w:szCs w:val="24"/>
        </w:rPr>
        <w:t>in drawing up the notice of appeal</w:t>
      </w:r>
      <w:r>
        <w:rPr>
          <w:rFonts w:ascii="Times New Roman" w:hAnsi="Times New Roman" w:cs="Times New Roman"/>
          <w:sz w:val="24"/>
          <w:szCs w:val="24"/>
        </w:rPr>
        <w:t xml:space="preserve"> </w:t>
      </w:r>
      <w:r w:rsidR="003516DF">
        <w:rPr>
          <w:rFonts w:ascii="Times New Roman" w:hAnsi="Times New Roman" w:cs="Times New Roman"/>
          <w:sz w:val="24"/>
          <w:szCs w:val="24"/>
        </w:rPr>
        <w:t>by the applicant’s advocate of choice. The delay was</w:t>
      </w:r>
      <w:r w:rsidR="0070444D">
        <w:rPr>
          <w:rFonts w:ascii="Times New Roman" w:hAnsi="Times New Roman" w:cs="Times New Roman"/>
          <w:sz w:val="24"/>
          <w:szCs w:val="24"/>
        </w:rPr>
        <w:t xml:space="preserve"> </w:t>
      </w:r>
      <w:r w:rsidR="003516DF">
        <w:rPr>
          <w:rFonts w:ascii="Times New Roman" w:hAnsi="Times New Roman" w:cs="Times New Roman"/>
          <w:sz w:val="24"/>
          <w:szCs w:val="24"/>
        </w:rPr>
        <w:t xml:space="preserve">further compounded by the </w:t>
      </w:r>
      <w:r w:rsidR="00510F9D">
        <w:rPr>
          <w:rFonts w:ascii="Times New Roman" w:hAnsi="Times New Roman" w:cs="Times New Roman"/>
          <w:sz w:val="24"/>
          <w:szCs w:val="24"/>
        </w:rPr>
        <w:t xml:space="preserve">inability of the instructing attorney to obtain </w:t>
      </w:r>
      <w:r w:rsidR="009E3FEC">
        <w:rPr>
          <w:rFonts w:ascii="Times New Roman" w:hAnsi="Times New Roman" w:cs="Times New Roman"/>
          <w:sz w:val="24"/>
          <w:szCs w:val="24"/>
        </w:rPr>
        <w:t xml:space="preserve">instructions to appeal </w:t>
      </w:r>
      <w:r w:rsidR="00510F9D">
        <w:rPr>
          <w:rFonts w:ascii="Times New Roman" w:hAnsi="Times New Roman" w:cs="Times New Roman"/>
          <w:sz w:val="24"/>
          <w:szCs w:val="24"/>
        </w:rPr>
        <w:t xml:space="preserve">from the applicant due to the unavailability of its directors when the judgment of the court </w:t>
      </w:r>
      <w:r w:rsidR="00510F9D" w:rsidRPr="009B457D">
        <w:rPr>
          <w:rFonts w:ascii="Times New Roman" w:hAnsi="Times New Roman" w:cs="Times New Roman"/>
          <w:i/>
          <w:iCs/>
          <w:sz w:val="24"/>
          <w:szCs w:val="24"/>
        </w:rPr>
        <w:t>a quo</w:t>
      </w:r>
      <w:r w:rsidR="00510F9D">
        <w:rPr>
          <w:rFonts w:ascii="Times New Roman" w:hAnsi="Times New Roman" w:cs="Times New Roman"/>
          <w:sz w:val="24"/>
          <w:szCs w:val="24"/>
        </w:rPr>
        <w:t xml:space="preserve"> </w:t>
      </w:r>
      <w:r w:rsidR="00327F95">
        <w:rPr>
          <w:rFonts w:ascii="Times New Roman" w:hAnsi="Times New Roman" w:cs="Times New Roman"/>
          <w:sz w:val="24"/>
          <w:szCs w:val="24"/>
        </w:rPr>
        <w:t>became available</w:t>
      </w:r>
      <w:r w:rsidR="00510F9D">
        <w:rPr>
          <w:rFonts w:ascii="Times New Roman" w:hAnsi="Times New Roman" w:cs="Times New Roman"/>
          <w:sz w:val="24"/>
          <w:szCs w:val="24"/>
        </w:rPr>
        <w:t>.</w:t>
      </w:r>
      <w:r>
        <w:rPr>
          <w:rFonts w:ascii="Times New Roman" w:hAnsi="Times New Roman" w:cs="Times New Roman"/>
          <w:sz w:val="24"/>
          <w:szCs w:val="24"/>
        </w:rPr>
        <w:t xml:space="preserve"> She contended that the explanation for the delay was therefore reasonable. </w:t>
      </w:r>
      <w:r w:rsidR="002437C9">
        <w:rPr>
          <w:rFonts w:ascii="Times New Roman" w:hAnsi="Times New Roman" w:cs="Times New Roman"/>
          <w:sz w:val="24"/>
          <w:szCs w:val="24"/>
        </w:rPr>
        <w:t xml:space="preserve">Lastly, </w:t>
      </w:r>
      <w:r>
        <w:rPr>
          <w:rFonts w:ascii="Times New Roman" w:hAnsi="Times New Roman" w:cs="Times New Roman"/>
          <w:sz w:val="24"/>
          <w:szCs w:val="24"/>
        </w:rPr>
        <w:t xml:space="preserve">she vehemently argued that there were strong prospects of success on appeal. </w:t>
      </w:r>
      <w:r w:rsidR="00E40C48">
        <w:rPr>
          <w:rFonts w:ascii="Times New Roman" w:hAnsi="Times New Roman" w:cs="Times New Roman"/>
          <w:sz w:val="24"/>
          <w:szCs w:val="24"/>
        </w:rPr>
        <w:t>M</w:t>
      </w:r>
      <w:r w:rsidR="0070444D">
        <w:rPr>
          <w:rFonts w:ascii="Times New Roman" w:hAnsi="Times New Roman" w:cs="Times New Roman"/>
          <w:sz w:val="24"/>
          <w:szCs w:val="24"/>
        </w:rPr>
        <w:t>s</w:t>
      </w:r>
      <w:r w:rsidR="00327F95">
        <w:rPr>
          <w:rFonts w:ascii="Times New Roman" w:hAnsi="Times New Roman" w:cs="Times New Roman"/>
          <w:i/>
          <w:iCs/>
          <w:sz w:val="24"/>
          <w:szCs w:val="24"/>
        </w:rPr>
        <w:t xml:space="preserve"> </w:t>
      </w:r>
      <w:proofErr w:type="spellStart"/>
      <w:r w:rsidR="0070444D" w:rsidRPr="0070444D">
        <w:rPr>
          <w:rFonts w:ascii="Times New Roman" w:hAnsi="Times New Roman" w:cs="Times New Roman"/>
          <w:i/>
          <w:iCs/>
          <w:sz w:val="24"/>
          <w:szCs w:val="24"/>
        </w:rPr>
        <w:t>Ndlovu</w:t>
      </w:r>
      <w:proofErr w:type="spellEnd"/>
      <w:r w:rsidR="00E40C48">
        <w:rPr>
          <w:rFonts w:ascii="Times New Roman" w:hAnsi="Times New Roman" w:cs="Times New Roman"/>
          <w:sz w:val="24"/>
          <w:szCs w:val="24"/>
        </w:rPr>
        <w:t xml:space="preserve"> submitted that the applicant, contrary to the finding </w:t>
      </w:r>
      <w:r w:rsidR="00E40C48" w:rsidRPr="0070444D">
        <w:rPr>
          <w:rFonts w:ascii="Times New Roman" w:hAnsi="Times New Roman" w:cs="Times New Roman"/>
          <w:i/>
          <w:iCs/>
          <w:sz w:val="24"/>
          <w:szCs w:val="24"/>
        </w:rPr>
        <w:t>a quo</w:t>
      </w:r>
      <w:r w:rsidR="00E40C48">
        <w:rPr>
          <w:rFonts w:ascii="Times New Roman" w:hAnsi="Times New Roman" w:cs="Times New Roman"/>
          <w:sz w:val="24"/>
          <w:szCs w:val="24"/>
        </w:rPr>
        <w:t xml:space="preserve">, had the legal standing to seek a </w:t>
      </w:r>
      <w:r w:rsidR="00E40C48" w:rsidRPr="006670BE">
        <w:rPr>
          <w:rFonts w:ascii="Times New Roman" w:hAnsi="Times New Roman" w:cs="Times New Roman"/>
          <w:i/>
          <w:iCs/>
          <w:sz w:val="24"/>
          <w:szCs w:val="24"/>
        </w:rPr>
        <w:t>mandamus</w:t>
      </w:r>
      <w:r w:rsidR="00E40C48">
        <w:rPr>
          <w:rFonts w:ascii="Times New Roman" w:hAnsi="Times New Roman" w:cs="Times New Roman"/>
          <w:sz w:val="24"/>
          <w:szCs w:val="24"/>
        </w:rPr>
        <w:t xml:space="preserve"> to compel the first respondent to carry out its statutory investigative function that it had inexplicably abandoned.  </w:t>
      </w:r>
      <w:r w:rsidR="0070444D">
        <w:rPr>
          <w:rFonts w:ascii="Times New Roman" w:hAnsi="Times New Roman" w:cs="Times New Roman"/>
          <w:sz w:val="24"/>
          <w:szCs w:val="24"/>
        </w:rPr>
        <w:t>Sh</w:t>
      </w:r>
      <w:r w:rsidR="00EE7A51">
        <w:rPr>
          <w:rFonts w:ascii="Times New Roman" w:hAnsi="Times New Roman" w:cs="Times New Roman"/>
          <w:sz w:val="24"/>
          <w:szCs w:val="24"/>
        </w:rPr>
        <w:t xml:space="preserve">e argued that the applicant had a civic duty to request the first respondent to exercise its investigative powers and prevent the second respondent from procuring a system that the applicant was already contractually supplying to it. </w:t>
      </w:r>
      <w:r w:rsidR="0070444D">
        <w:rPr>
          <w:rFonts w:ascii="Times New Roman" w:hAnsi="Times New Roman" w:cs="Times New Roman"/>
          <w:sz w:val="24"/>
          <w:szCs w:val="24"/>
        </w:rPr>
        <w:t>She also</w:t>
      </w:r>
      <w:r w:rsidR="00EE7A51">
        <w:rPr>
          <w:rFonts w:ascii="Times New Roman" w:hAnsi="Times New Roman" w:cs="Times New Roman"/>
          <w:sz w:val="24"/>
          <w:szCs w:val="24"/>
        </w:rPr>
        <w:t xml:space="preserve"> argued that the new tender would financially prejudice the taxpayers, who ultimately funded the second respondent’s activities. </w:t>
      </w:r>
    </w:p>
    <w:p w14:paraId="7867C8F5" w14:textId="77777777" w:rsidR="00761905" w:rsidRDefault="00761905" w:rsidP="00761905">
      <w:pPr>
        <w:spacing w:after="0" w:line="480" w:lineRule="auto"/>
        <w:ind w:left="720" w:hanging="660"/>
        <w:jc w:val="both"/>
        <w:rPr>
          <w:rFonts w:ascii="Times New Roman" w:hAnsi="Times New Roman" w:cs="Times New Roman"/>
          <w:sz w:val="24"/>
          <w:szCs w:val="24"/>
        </w:rPr>
      </w:pPr>
    </w:p>
    <w:p w14:paraId="0889A0E9" w14:textId="238C52D3" w:rsidR="005A3254" w:rsidRDefault="005A3254" w:rsidP="00761905">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ab/>
      </w:r>
      <w:r w:rsidRPr="005A3254">
        <w:rPr>
          <w:rFonts w:ascii="Times New Roman" w:hAnsi="Times New Roman" w:cs="Times New Roman"/>
          <w:i/>
          <w:sz w:val="24"/>
          <w:szCs w:val="24"/>
        </w:rPr>
        <w:t>Per contra</w:t>
      </w:r>
      <w:r w:rsidR="00761905">
        <w:rPr>
          <w:rFonts w:ascii="Times New Roman" w:hAnsi="Times New Roman" w:cs="Times New Roman"/>
          <w:sz w:val="24"/>
          <w:szCs w:val="24"/>
        </w:rPr>
        <w:t xml:space="preserve">, </w:t>
      </w:r>
      <w:proofErr w:type="spellStart"/>
      <w:r w:rsidR="00761905">
        <w:rPr>
          <w:rFonts w:ascii="Times New Roman" w:hAnsi="Times New Roman" w:cs="Times New Roman"/>
          <w:sz w:val="24"/>
          <w:szCs w:val="24"/>
        </w:rPr>
        <w:t>Mr</w:t>
      </w:r>
      <w:proofErr w:type="spellEnd"/>
      <w:r>
        <w:rPr>
          <w:rFonts w:ascii="Times New Roman" w:hAnsi="Times New Roman" w:cs="Times New Roman"/>
          <w:sz w:val="24"/>
          <w:szCs w:val="24"/>
        </w:rPr>
        <w:t xml:space="preserve"> </w:t>
      </w:r>
      <w:r w:rsidRPr="005A3254">
        <w:rPr>
          <w:rFonts w:ascii="Times New Roman" w:hAnsi="Times New Roman" w:cs="Times New Roman"/>
          <w:i/>
          <w:sz w:val="24"/>
          <w:szCs w:val="24"/>
        </w:rPr>
        <w:t>Sithole</w:t>
      </w:r>
      <w:r>
        <w:rPr>
          <w:rFonts w:ascii="Times New Roman" w:hAnsi="Times New Roman" w:cs="Times New Roman"/>
          <w:sz w:val="24"/>
          <w:szCs w:val="24"/>
        </w:rPr>
        <w:t xml:space="preserve"> contended that the delay of twenty-two days was in the circumstances of the case inordinate. He also argued that the conceded sins of the applicant’s legal practitioners were, in the light of the prevailing jur</w:t>
      </w:r>
      <w:r w:rsidR="00761905">
        <w:rPr>
          <w:rFonts w:ascii="Times New Roman" w:hAnsi="Times New Roman" w:cs="Times New Roman"/>
          <w:sz w:val="24"/>
          <w:szCs w:val="24"/>
        </w:rPr>
        <w:t>isprudence emanating from this C</w:t>
      </w:r>
      <w:r>
        <w:rPr>
          <w:rFonts w:ascii="Times New Roman" w:hAnsi="Times New Roman" w:cs="Times New Roman"/>
          <w:sz w:val="24"/>
          <w:szCs w:val="24"/>
        </w:rPr>
        <w:t>ourt in the cases such as</w:t>
      </w:r>
      <w:r w:rsidR="00903F00">
        <w:rPr>
          <w:rFonts w:ascii="Times New Roman" w:hAnsi="Times New Roman" w:cs="Times New Roman"/>
          <w:sz w:val="24"/>
          <w:szCs w:val="24"/>
        </w:rPr>
        <w:t xml:space="preserve"> </w:t>
      </w:r>
      <w:proofErr w:type="spellStart"/>
      <w:r w:rsidR="00903F00" w:rsidRPr="00761905">
        <w:rPr>
          <w:rFonts w:ascii="Times New Roman" w:hAnsi="Times New Roman" w:cs="Times New Roman"/>
          <w:i/>
          <w:sz w:val="24"/>
          <w:szCs w:val="24"/>
        </w:rPr>
        <w:t>Lunat</w:t>
      </w:r>
      <w:proofErr w:type="spellEnd"/>
      <w:r w:rsidR="00903F00" w:rsidRPr="00761905">
        <w:rPr>
          <w:rFonts w:ascii="Times New Roman" w:hAnsi="Times New Roman" w:cs="Times New Roman"/>
          <w:i/>
          <w:sz w:val="24"/>
          <w:szCs w:val="24"/>
        </w:rPr>
        <w:t xml:space="preserve"> v Patel</w:t>
      </w:r>
      <w:r w:rsidR="00903F00">
        <w:rPr>
          <w:rFonts w:ascii="Times New Roman" w:hAnsi="Times New Roman" w:cs="Times New Roman"/>
          <w:sz w:val="24"/>
          <w:szCs w:val="24"/>
        </w:rPr>
        <w:t xml:space="preserve"> SC 121/21 at pp 6-7</w:t>
      </w:r>
      <w:r>
        <w:rPr>
          <w:rFonts w:ascii="Times New Roman" w:hAnsi="Times New Roman" w:cs="Times New Roman"/>
          <w:sz w:val="24"/>
          <w:szCs w:val="24"/>
        </w:rPr>
        <w:t xml:space="preserve">, highly unreasonable. In regards to the </w:t>
      </w:r>
      <w:r>
        <w:rPr>
          <w:rFonts w:ascii="Times New Roman" w:hAnsi="Times New Roman" w:cs="Times New Roman"/>
          <w:sz w:val="24"/>
          <w:szCs w:val="24"/>
        </w:rPr>
        <w:lastRenderedPageBreak/>
        <w:t>prospects of success he strongly argued that, as the applicant had not motivated its prospects in the founding</w:t>
      </w:r>
      <w:r w:rsidR="006670BE">
        <w:rPr>
          <w:rFonts w:ascii="Times New Roman" w:hAnsi="Times New Roman" w:cs="Times New Roman"/>
          <w:sz w:val="24"/>
          <w:szCs w:val="24"/>
        </w:rPr>
        <w:t xml:space="preserve"> affidavit</w:t>
      </w:r>
      <w:r>
        <w:rPr>
          <w:rFonts w:ascii="Times New Roman" w:hAnsi="Times New Roman" w:cs="Times New Roman"/>
          <w:sz w:val="24"/>
          <w:szCs w:val="24"/>
        </w:rPr>
        <w:t xml:space="preserve">, it could not now do so in argument. </w:t>
      </w:r>
      <w:r w:rsidR="009B37FF">
        <w:rPr>
          <w:rFonts w:ascii="Times New Roman" w:hAnsi="Times New Roman" w:cs="Times New Roman"/>
          <w:sz w:val="24"/>
          <w:szCs w:val="24"/>
        </w:rPr>
        <w:t xml:space="preserve">He therefore submitted that the application ought to be dismissed with costs. </w:t>
      </w:r>
      <w:proofErr w:type="spellStart"/>
      <w:r w:rsidR="009B37FF">
        <w:rPr>
          <w:rFonts w:ascii="Times New Roman" w:hAnsi="Times New Roman" w:cs="Times New Roman"/>
          <w:sz w:val="24"/>
          <w:szCs w:val="24"/>
        </w:rPr>
        <w:t>Mr</w:t>
      </w:r>
      <w:proofErr w:type="spellEnd"/>
      <w:r w:rsidR="009B37FF">
        <w:rPr>
          <w:rFonts w:ascii="Times New Roman" w:hAnsi="Times New Roman" w:cs="Times New Roman"/>
          <w:sz w:val="24"/>
          <w:szCs w:val="24"/>
        </w:rPr>
        <w:t xml:space="preserve"> </w:t>
      </w:r>
      <w:proofErr w:type="spellStart"/>
      <w:r w:rsidR="009B37FF" w:rsidRPr="009B37FF">
        <w:rPr>
          <w:rFonts w:ascii="Times New Roman" w:hAnsi="Times New Roman" w:cs="Times New Roman"/>
          <w:i/>
          <w:sz w:val="24"/>
          <w:szCs w:val="24"/>
        </w:rPr>
        <w:t>Munyuru</w:t>
      </w:r>
      <w:proofErr w:type="spellEnd"/>
      <w:r w:rsidR="009B37FF">
        <w:rPr>
          <w:rFonts w:ascii="Times New Roman" w:hAnsi="Times New Roman" w:cs="Times New Roman"/>
          <w:sz w:val="24"/>
          <w:szCs w:val="24"/>
        </w:rPr>
        <w:t xml:space="preserve"> associated himself with all the submissions made by </w:t>
      </w:r>
      <w:proofErr w:type="spellStart"/>
      <w:r w:rsidR="009B37FF">
        <w:rPr>
          <w:rFonts w:ascii="Times New Roman" w:hAnsi="Times New Roman" w:cs="Times New Roman"/>
          <w:sz w:val="24"/>
          <w:szCs w:val="24"/>
        </w:rPr>
        <w:t>Mr</w:t>
      </w:r>
      <w:proofErr w:type="spellEnd"/>
      <w:r w:rsidR="009B37FF">
        <w:rPr>
          <w:rFonts w:ascii="Times New Roman" w:hAnsi="Times New Roman" w:cs="Times New Roman"/>
          <w:sz w:val="24"/>
          <w:szCs w:val="24"/>
        </w:rPr>
        <w:t xml:space="preserve"> </w:t>
      </w:r>
      <w:r w:rsidR="009B37FF" w:rsidRPr="009B37FF">
        <w:rPr>
          <w:rFonts w:ascii="Times New Roman" w:hAnsi="Times New Roman" w:cs="Times New Roman"/>
          <w:i/>
          <w:sz w:val="24"/>
          <w:szCs w:val="24"/>
        </w:rPr>
        <w:t>Sithole</w:t>
      </w:r>
      <w:r w:rsidR="009B37FF">
        <w:rPr>
          <w:rFonts w:ascii="Times New Roman" w:hAnsi="Times New Roman" w:cs="Times New Roman"/>
          <w:i/>
          <w:sz w:val="24"/>
          <w:szCs w:val="24"/>
        </w:rPr>
        <w:t>.</w:t>
      </w:r>
    </w:p>
    <w:p w14:paraId="2D5A0B5A" w14:textId="77777777" w:rsidR="00761905" w:rsidRDefault="00761905" w:rsidP="00761905">
      <w:pPr>
        <w:spacing w:after="0" w:line="480" w:lineRule="auto"/>
        <w:ind w:left="720" w:hanging="660"/>
        <w:jc w:val="both"/>
        <w:rPr>
          <w:rFonts w:ascii="Times New Roman" w:hAnsi="Times New Roman" w:cs="Times New Roman"/>
          <w:sz w:val="24"/>
          <w:szCs w:val="24"/>
        </w:rPr>
      </w:pPr>
    </w:p>
    <w:p w14:paraId="3929DE9D" w14:textId="29EF5DEA" w:rsidR="009B37FF" w:rsidRDefault="009B37FF" w:rsidP="005D1ADF">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ab/>
        <w:t xml:space="preserve">It seems to me that the preliminary points raised by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sidRPr="009B37FF">
        <w:rPr>
          <w:rFonts w:ascii="Times New Roman" w:hAnsi="Times New Roman" w:cs="Times New Roman"/>
          <w:i/>
          <w:sz w:val="24"/>
          <w:szCs w:val="24"/>
        </w:rPr>
        <w:t>Munyuru</w:t>
      </w:r>
      <w:proofErr w:type="spellEnd"/>
      <w:r>
        <w:rPr>
          <w:rFonts w:ascii="Times New Roman" w:hAnsi="Times New Roman" w:cs="Times New Roman"/>
          <w:sz w:val="24"/>
          <w:szCs w:val="24"/>
        </w:rPr>
        <w:t xml:space="preserve"> are dispositive of the matter.</w:t>
      </w:r>
      <w:r w:rsidR="00B42842">
        <w:rPr>
          <w:rFonts w:ascii="Times New Roman" w:hAnsi="Times New Roman" w:cs="Times New Roman"/>
          <w:sz w:val="24"/>
          <w:szCs w:val="24"/>
        </w:rPr>
        <w:t xml:space="preserve"> This is because </w:t>
      </w:r>
      <w:r w:rsidR="00B42842" w:rsidRPr="00F521CA">
        <w:rPr>
          <w:rFonts w:ascii="Times New Roman" w:hAnsi="Times New Roman" w:cs="Times New Roman"/>
          <w:i/>
          <w:sz w:val="24"/>
          <w:szCs w:val="24"/>
        </w:rPr>
        <w:t>locus standi</w:t>
      </w:r>
      <w:r w:rsidR="00B42842">
        <w:rPr>
          <w:rFonts w:ascii="Times New Roman" w:hAnsi="Times New Roman" w:cs="Times New Roman"/>
          <w:sz w:val="24"/>
          <w:szCs w:val="24"/>
        </w:rPr>
        <w:t xml:space="preserve"> is a question of fact. In </w:t>
      </w:r>
      <w:proofErr w:type="spellStart"/>
      <w:r w:rsidR="00B42842" w:rsidRPr="00B42842">
        <w:rPr>
          <w:rFonts w:ascii="Times New Roman" w:hAnsi="Times New Roman" w:cs="Times New Roman"/>
          <w:i/>
          <w:sz w:val="24"/>
          <w:szCs w:val="24"/>
        </w:rPr>
        <w:t>Madza</w:t>
      </w:r>
      <w:proofErr w:type="spellEnd"/>
      <w:r w:rsidR="00B42842" w:rsidRPr="00B42842">
        <w:rPr>
          <w:rFonts w:ascii="Times New Roman" w:hAnsi="Times New Roman" w:cs="Times New Roman"/>
          <w:i/>
          <w:sz w:val="24"/>
          <w:szCs w:val="24"/>
        </w:rPr>
        <w:t xml:space="preserve"> &amp; O</w:t>
      </w:r>
      <w:r w:rsidR="00761905">
        <w:rPr>
          <w:rFonts w:ascii="Times New Roman" w:hAnsi="Times New Roman" w:cs="Times New Roman"/>
          <w:i/>
          <w:sz w:val="24"/>
          <w:szCs w:val="24"/>
        </w:rPr>
        <w:t>the</w:t>
      </w:r>
      <w:r w:rsidR="00B42842" w:rsidRPr="00B42842">
        <w:rPr>
          <w:rFonts w:ascii="Times New Roman" w:hAnsi="Times New Roman" w:cs="Times New Roman"/>
          <w:i/>
          <w:sz w:val="24"/>
          <w:szCs w:val="24"/>
        </w:rPr>
        <w:t>rs v The</w:t>
      </w:r>
      <w:r w:rsidR="00B42842">
        <w:rPr>
          <w:rFonts w:ascii="Times New Roman" w:hAnsi="Times New Roman" w:cs="Times New Roman"/>
          <w:sz w:val="24"/>
          <w:szCs w:val="24"/>
        </w:rPr>
        <w:t xml:space="preserve"> </w:t>
      </w:r>
      <w:r w:rsidR="00B42842" w:rsidRPr="00D7117B">
        <w:rPr>
          <w:rFonts w:ascii="Times New Roman" w:hAnsi="Times New Roman" w:cs="Times New Roman"/>
          <w:i/>
          <w:sz w:val="24"/>
          <w:szCs w:val="24"/>
        </w:rPr>
        <w:t xml:space="preserve">Reformed Church in Zimbabwe </w:t>
      </w:r>
      <w:proofErr w:type="spellStart"/>
      <w:r w:rsidR="00B42842">
        <w:rPr>
          <w:rFonts w:ascii="Times New Roman" w:hAnsi="Times New Roman" w:cs="Times New Roman"/>
          <w:i/>
          <w:sz w:val="24"/>
          <w:szCs w:val="24"/>
        </w:rPr>
        <w:t>Daisy</w:t>
      </w:r>
      <w:r w:rsidR="00B42842" w:rsidRPr="00D7117B">
        <w:rPr>
          <w:rFonts w:ascii="Times New Roman" w:hAnsi="Times New Roman" w:cs="Times New Roman"/>
          <w:i/>
          <w:sz w:val="24"/>
          <w:szCs w:val="24"/>
        </w:rPr>
        <w:t>field</w:t>
      </w:r>
      <w:proofErr w:type="spellEnd"/>
      <w:r w:rsidR="00B42842" w:rsidRPr="00D7117B">
        <w:rPr>
          <w:rFonts w:ascii="Times New Roman" w:hAnsi="Times New Roman" w:cs="Times New Roman"/>
          <w:i/>
          <w:sz w:val="24"/>
          <w:szCs w:val="24"/>
        </w:rPr>
        <w:t xml:space="preserve"> Trust &amp; Others</w:t>
      </w:r>
      <w:r w:rsidR="00B42842">
        <w:rPr>
          <w:rFonts w:ascii="Times New Roman" w:hAnsi="Times New Roman" w:cs="Times New Roman"/>
          <w:sz w:val="24"/>
          <w:szCs w:val="24"/>
        </w:rPr>
        <w:t xml:space="preserve"> SC</w:t>
      </w:r>
      <w:r w:rsidR="00761905">
        <w:rPr>
          <w:rFonts w:ascii="Times New Roman" w:hAnsi="Times New Roman" w:cs="Times New Roman"/>
          <w:sz w:val="24"/>
          <w:szCs w:val="24"/>
        </w:rPr>
        <w:t xml:space="preserve"> </w:t>
      </w:r>
      <w:r w:rsidR="00B42842">
        <w:rPr>
          <w:rFonts w:ascii="Times New Roman" w:hAnsi="Times New Roman" w:cs="Times New Roman"/>
          <w:sz w:val="24"/>
          <w:szCs w:val="24"/>
        </w:rPr>
        <w:t>71/14 at p 9 this Court stated that:</w:t>
      </w:r>
    </w:p>
    <w:p w14:paraId="122422B2" w14:textId="06DEEC8A" w:rsidR="00F521CA" w:rsidRDefault="00B42842" w:rsidP="00761905">
      <w:pPr>
        <w:spacing w:after="0" w:line="240" w:lineRule="auto"/>
        <w:ind w:left="1134"/>
        <w:jc w:val="both"/>
        <w:rPr>
          <w:rFonts w:ascii="Times New Roman" w:hAnsi="Times New Roman" w:cs="Times New Roman"/>
          <w:sz w:val="24"/>
          <w:szCs w:val="24"/>
        </w:rPr>
      </w:pPr>
      <w:r>
        <w:rPr>
          <w:rFonts w:ascii="Times New Roman" w:hAnsi="Times New Roman" w:cs="Times New Roman"/>
          <w:sz w:val="24"/>
          <w:szCs w:val="24"/>
        </w:rPr>
        <w:t>“</w:t>
      </w:r>
      <w:r w:rsidR="00F521CA" w:rsidRPr="00D43E32">
        <w:rPr>
          <w:rFonts w:ascii="Times New Roman" w:hAnsi="Times New Roman" w:cs="Times New Roman"/>
          <w:sz w:val="24"/>
          <w:szCs w:val="24"/>
        </w:rPr>
        <w:t xml:space="preserve">The issue of </w:t>
      </w:r>
      <w:r w:rsidR="00F521CA" w:rsidRPr="00D43E32">
        <w:rPr>
          <w:rFonts w:ascii="Times New Roman" w:hAnsi="Times New Roman" w:cs="Times New Roman"/>
          <w:i/>
          <w:sz w:val="24"/>
          <w:szCs w:val="24"/>
        </w:rPr>
        <w:t>locus standi</w:t>
      </w:r>
      <w:r w:rsidR="00F521CA" w:rsidRPr="00D43E32">
        <w:rPr>
          <w:rFonts w:ascii="Times New Roman" w:hAnsi="Times New Roman" w:cs="Times New Roman"/>
          <w:sz w:val="24"/>
          <w:szCs w:val="24"/>
        </w:rPr>
        <w:t xml:space="preserve"> raises a dispute of fact which is capable of resolution by the production of further evidence by the parties, if so minded.  It falls to be resolved upon consideration of the merits after all the evidence which the appellant is entitled, and wishes,</w:t>
      </w:r>
      <w:r w:rsidR="00F521CA">
        <w:rPr>
          <w:rFonts w:ascii="Times New Roman" w:hAnsi="Times New Roman" w:cs="Times New Roman"/>
          <w:sz w:val="24"/>
          <w:szCs w:val="24"/>
        </w:rPr>
        <w:t xml:space="preserve"> </w:t>
      </w:r>
      <w:r w:rsidR="00F521CA" w:rsidRPr="00D43E32">
        <w:rPr>
          <w:rFonts w:ascii="Times New Roman" w:hAnsi="Times New Roman" w:cs="Times New Roman"/>
          <w:sz w:val="24"/>
          <w:szCs w:val="24"/>
        </w:rPr>
        <w:t xml:space="preserve">to produce has been placed on record.  The insufficiency of evidence contained in the founding affidavit is not in itself fatal to the establishment of </w:t>
      </w:r>
      <w:r w:rsidR="00F521CA" w:rsidRPr="00D43E32">
        <w:rPr>
          <w:rFonts w:ascii="Times New Roman" w:hAnsi="Times New Roman" w:cs="Times New Roman"/>
          <w:i/>
          <w:sz w:val="24"/>
          <w:szCs w:val="24"/>
        </w:rPr>
        <w:t>locus standi</w:t>
      </w:r>
      <w:r w:rsidR="00F521CA" w:rsidRPr="00D43E32">
        <w:rPr>
          <w:rFonts w:ascii="Times New Roman" w:hAnsi="Times New Roman" w:cs="Times New Roman"/>
          <w:sz w:val="24"/>
          <w:szCs w:val="24"/>
        </w:rPr>
        <w:t xml:space="preserve"> since that deficiency can, in given circumstances, be remedied by further evidence.  Because of the confused manner in which this application was dealt with by the court </w:t>
      </w:r>
      <w:r w:rsidR="00F521CA" w:rsidRPr="00D43E32">
        <w:rPr>
          <w:rFonts w:ascii="Times New Roman" w:hAnsi="Times New Roman" w:cs="Times New Roman"/>
          <w:i/>
          <w:sz w:val="24"/>
          <w:szCs w:val="24"/>
        </w:rPr>
        <w:t>a quo,</w:t>
      </w:r>
      <w:r w:rsidR="00F521CA" w:rsidRPr="00D43E32">
        <w:rPr>
          <w:rFonts w:ascii="Times New Roman" w:hAnsi="Times New Roman" w:cs="Times New Roman"/>
          <w:sz w:val="24"/>
          <w:szCs w:val="24"/>
        </w:rPr>
        <w:t xml:space="preserve"> the appellant was deprived of an opportunity to adduce, if it so wished, evidence which would establish its </w:t>
      </w:r>
      <w:r w:rsidR="00F521CA" w:rsidRPr="00D43E32">
        <w:rPr>
          <w:rFonts w:ascii="Times New Roman" w:hAnsi="Times New Roman" w:cs="Times New Roman"/>
          <w:i/>
          <w:sz w:val="24"/>
          <w:szCs w:val="24"/>
        </w:rPr>
        <w:t>locus standi</w:t>
      </w:r>
      <w:r w:rsidR="00494754">
        <w:rPr>
          <w:rFonts w:ascii="Times New Roman" w:hAnsi="Times New Roman" w:cs="Times New Roman"/>
          <w:sz w:val="24"/>
          <w:szCs w:val="24"/>
        </w:rPr>
        <w:t xml:space="preserve"> to bring the application.”</w:t>
      </w:r>
    </w:p>
    <w:p w14:paraId="7D90242A" w14:textId="77777777" w:rsidR="00761905" w:rsidRDefault="00761905" w:rsidP="00761905">
      <w:pPr>
        <w:spacing w:after="0" w:line="480" w:lineRule="auto"/>
        <w:ind w:left="720" w:firstLine="720"/>
        <w:jc w:val="both"/>
        <w:rPr>
          <w:rFonts w:ascii="Times New Roman" w:hAnsi="Times New Roman" w:cs="Times New Roman"/>
          <w:sz w:val="24"/>
          <w:szCs w:val="24"/>
        </w:rPr>
      </w:pPr>
    </w:p>
    <w:p w14:paraId="793683E3" w14:textId="7B271CCC" w:rsidR="00494754" w:rsidRDefault="00494754" w:rsidP="00761905">
      <w:pPr>
        <w:spacing w:after="0" w:line="48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The same position is confirmed in </w:t>
      </w:r>
      <w:proofErr w:type="spellStart"/>
      <w:r w:rsidRPr="005C21B1">
        <w:rPr>
          <w:rFonts w:ascii="Times New Roman" w:hAnsi="Times New Roman" w:cs="Times New Roman"/>
          <w:i/>
          <w:sz w:val="24"/>
          <w:szCs w:val="24"/>
        </w:rPr>
        <w:t>Sibanda</w:t>
      </w:r>
      <w:proofErr w:type="spellEnd"/>
      <w:r w:rsidRPr="005C21B1">
        <w:rPr>
          <w:rFonts w:ascii="Times New Roman" w:hAnsi="Times New Roman" w:cs="Times New Roman"/>
          <w:i/>
          <w:sz w:val="24"/>
          <w:szCs w:val="24"/>
        </w:rPr>
        <w:t xml:space="preserve"> &amp; O</w:t>
      </w:r>
      <w:r w:rsidR="005D1ADF">
        <w:rPr>
          <w:rFonts w:ascii="Times New Roman" w:hAnsi="Times New Roman" w:cs="Times New Roman"/>
          <w:i/>
          <w:sz w:val="24"/>
          <w:szCs w:val="24"/>
        </w:rPr>
        <w:t>the</w:t>
      </w:r>
      <w:r w:rsidRPr="005C21B1">
        <w:rPr>
          <w:rFonts w:ascii="Times New Roman" w:hAnsi="Times New Roman" w:cs="Times New Roman"/>
          <w:i/>
          <w:sz w:val="24"/>
          <w:szCs w:val="24"/>
        </w:rPr>
        <w:t>rs v The Apostolic Mission of Port Oregon (Southern African Headquarters</w:t>
      </w:r>
      <w:r w:rsidR="005D1ADF">
        <w:rPr>
          <w:rFonts w:ascii="Times New Roman" w:hAnsi="Times New Roman" w:cs="Times New Roman"/>
          <w:sz w:val="24"/>
          <w:szCs w:val="24"/>
        </w:rPr>
        <w:t>) SC 49/18 at p</w:t>
      </w:r>
      <w:r>
        <w:rPr>
          <w:rFonts w:ascii="Times New Roman" w:hAnsi="Times New Roman" w:cs="Times New Roman"/>
          <w:sz w:val="24"/>
          <w:szCs w:val="24"/>
        </w:rPr>
        <w:t xml:space="preserve"> 9 in the following manner.</w:t>
      </w:r>
    </w:p>
    <w:p w14:paraId="7E64DB06" w14:textId="546255B2" w:rsidR="00494754" w:rsidRDefault="00494754" w:rsidP="00761905">
      <w:pPr>
        <w:spacing w:after="0" w:line="240" w:lineRule="auto"/>
        <w:ind w:left="1134"/>
        <w:jc w:val="both"/>
        <w:rPr>
          <w:rFonts w:ascii="Times New Roman" w:hAnsi="Times New Roman" w:cs="Times New Roman"/>
          <w:sz w:val="24"/>
          <w:szCs w:val="24"/>
        </w:rPr>
      </w:pPr>
      <w:r>
        <w:rPr>
          <w:rFonts w:ascii="Times New Roman" w:hAnsi="Times New Roman" w:cs="Times New Roman"/>
          <w:sz w:val="24"/>
          <w:szCs w:val="24"/>
        </w:rPr>
        <w:t>“</w:t>
      </w:r>
      <w:r w:rsidRPr="00C37A18">
        <w:rPr>
          <w:rFonts w:ascii="Times New Roman" w:eastAsia="Calibri" w:hAnsi="Times New Roman" w:cs="Times New Roman"/>
          <w:sz w:val="24"/>
          <w:szCs w:val="24"/>
          <w:lang w:val="en-ZA"/>
        </w:rPr>
        <w:t>In other words, the respondent as a legal person need</w:t>
      </w:r>
      <w:r w:rsidR="0006272D">
        <w:rPr>
          <w:rFonts w:ascii="Times New Roman" w:eastAsia="Calibri" w:hAnsi="Times New Roman" w:cs="Times New Roman"/>
          <w:sz w:val="24"/>
          <w:szCs w:val="24"/>
          <w:lang w:val="en-ZA"/>
        </w:rPr>
        <w:t>s</w:t>
      </w:r>
      <w:r w:rsidRPr="00C37A18">
        <w:rPr>
          <w:rFonts w:ascii="Times New Roman" w:eastAsia="Calibri" w:hAnsi="Times New Roman" w:cs="Times New Roman"/>
          <w:sz w:val="24"/>
          <w:szCs w:val="24"/>
          <w:lang w:val="en-ZA"/>
        </w:rPr>
        <w:t xml:space="preserve"> to have </w:t>
      </w:r>
      <w:r w:rsidRPr="00C37A18">
        <w:rPr>
          <w:rFonts w:ascii="Times New Roman" w:eastAsia="Calibri" w:hAnsi="Times New Roman" w:cs="Times New Roman"/>
          <w:i/>
          <w:sz w:val="24"/>
          <w:szCs w:val="24"/>
          <w:lang w:val="en-ZA"/>
        </w:rPr>
        <w:t>locus standi</w:t>
      </w:r>
      <w:r w:rsidRPr="00C37A18">
        <w:rPr>
          <w:rFonts w:ascii="Times New Roman" w:eastAsia="Calibri" w:hAnsi="Times New Roman" w:cs="Times New Roman"/>
          <w:sz w:val="24"/>
          <w:szCs w:val="24"/>
          <w:lang w:val="en-ZA"/>
        </w:rPr>
        <w:t xml:space="preserve"> in order to be afforded audience in a court of law. It is trite that </w:t>
      </w:r>
      <w:r w:rsidRPr="00C37A18">
        <w:rPr>
          <w:rFonts w:ascii="Times New Roman" w:eastAsia="Calibri" w:hAnsi="Times New Roman" w:cs="Times New Roman"/>
          <w:i/>
          <w:sz w:val="24"/>
          <w:szCs w:val="24"/>
          <w:lang w:val="en-ZA"/>
        </w:rPr>
        <w:t>locus standi</w:t>
      </w:r>
      <w:r w:rsidRPr="00C37A18">
        <w:rPr>
          <w:rFonts w:ascii="Times New Roman" w:eastAsia="Calibri" w:hAnsi="Times New Roman" w:cs="Times New Roman"/>
          <w:sz w:val="24"/>
          <w:szCs w:val="24"/>
          <w:lang w:val="en-ZA"/>
        </w:rPr>
        <w:t xml:space="preserve"> is the capacity of a party to bring a matter before a court of law. The law is clear on the point that to establish </w:t>
      </w:r>
      <w:r w:rsidRPr="00C37A18">
        <w:rPr>
          <w:rFonts w:ascii="Times New Roman" w:eastAsia="Calibri" w:hAnsi="Times New Roman" w:cs="Times New Roman"/>
          <w:i/>
          <w:sz w:val="24"/>
          <w:szCs w:val="24"/>
          <w:lang w:val="en-ZA"/>
        </w:rPr>
        <w:t>locus standi</w:t>
      </w:r>
      <w:r w:rsidRPr="00C37A18">
        <w:rPr>
          <w:rFonts w:ascii="Times New Roman" w:eastAsia="Calibri" w:hAnsi="Times New Roman" w:cs="Times New Roman"/>
          <w:sz w:val="24"/>
          <w:szCs w:val="24"/>
          <w:lang w:val="en-ZA"/>
        </w:rPr>
        <w:t xml:space="preserve">, a party must show a direct and substantial interest in the matter. See </w:t>
      </w:r>
      <w:r w:rsidRPr="00C37A18">
        <w:rPr>
          <w:rFonts w:ascii="Times New Roman" w:eastAsia="Calibri" w:hAnsi="Times New Roman" w:cs="Times New Roman"/>
          <w:i/>
          <w:sz w:val="24"/>
          <w:szCs w:val="24"/>
          <w:lang w:val="en-ZA"/>
        </w:rPr>
        <w:t xml:space="preserve">United Watch &amp; Diamond Company (Pty) Ltd &amp; </w:t>
      </w:r>
      <w:proofErr w:type="spellStart"/>
      <w:r w:rsidRPr="00C37A18">
        <w:rPr>
          <w:rFonts w:ascii="Times New Roman" w:eastAsia="Calibri" w:hAnsi="Times New Roman" w:cs="Times New Roman"/>
          <w:i/>
          <w:sz w:val="24"/>
          <w:szCs w:val="24"/>
          <w:lang w:val="en-ZA"/>
        </w:rPr>
        <w:t>Ors</w:t>
      </w:r>
      <w:proofErr w:type="spellEnd"/>
      <w:r w:rsidRPr="00C37A18">
        <w:rPr>
          <w:rFonts w:ascii="Times New Roman" w:eastAsia="Calibri" w:hAnsi="Times New Roman" w:cs="Times New Roman"/>
          <w:i/>
          <w:sz w:val="24"/>
          <w:szCs w:val="24"/>
          <w:lang w:val="en-ZA"/>
        </w:rPr>
        <w:t xml:space="preserve"> v </w:t>
      </w:r>
      <w:proofErr w:type="spellStart"/>
      <w:r w:rsidRPr="00C37A18">
        <w:rPr>
          <w:rFonts w:ascii="Times New Roman" w:eastAsia="Calibri" w:hAnsi="Times New Roman" w:cs="Times New Roman"/>
          <w:i/>
          <w:sz w:val="24"/>
          <w:szCs w:val="24"/>
          <w:lang w:val="en-ZA"/>
        </w:rPr>
        <w:t>Disa</w:t>
      </w:r>
      <w:proofErr w:type="spellEnd"/>
      <w:r w:rsidRPr="00C37A18">
        <w:rPr>
          <w:rFonts w:ascii="Times New Roman" w:eastAsia="Calibri" w:hAnsi="Times New Roman" w:cs="Times New Roman"/>
          <w:i/>
          <w:sz w:val="24"/>
          <w:szCs w:val="24"/>
          <w:lang w:val="en-ZA"/>
        </w:rPr>
        <w:t xml:space="preserve"> Hotels Ltd &amp; Ano</w:t>
      </w:r>
      <w:r w:rsidR="00761905">
        <w:rPr>
          <w:rFonts w:ascii="Times New Roman" w:eastAsia="Calibri" w:hAnsi="Times New Roman" w:cs="Times New Roman"/>
          <w:i/>
          <w:sz w:val="24"/>
          <w:szCs w:val="24"/>
          <w:lang w:val="en-ZA"/>
        </w:rPr>
        <w:t>the</w:t>
      </w:r>
      <w:r w:rsidRPr="00C37A18">
        <w:rPr>
          <w:rFonts w:ascii="Times New Roman" w:eastAsia="Calibri" w:hAnsi="Times New Roman" w:cs="Times New Roman"/>
          <w:i/>
          <w:sz w:val="24"/>
          <w:szCs w:val="24"/>
          <w:lang w:val="en-ZA"/>
        </w:rPr>
        <w:t>r</w:t>
      </w:r>
      <w:r>
        <w:rPr>
          <w:rFonts w:ascii="Times New Roman" w:eastAsia="Calibri" w:hAnsi="Times New Roman" w:cs="Times New Roman"/>
          <w:sz w:val="24"/>
          <w:szCs w:val="24"/>
          <w:lang w:val="en-ZA"/>
        </w:rPr>
        <w:t xml:space="preserve"> 1972 (4) SA 409 (C</w:t>
      </w:r>
      <w:r w:rsidRPr="00C37A18">
        <w:rPr>
          <w:rFonts w:ascii="Times New Roman" w:eastAsia="Calibri" w:hAnsi="Times New Roman" w:cs="Times New Roman"/>
          <w:sz w:val="24"/>
          <w:szCs w:val="24"/>
          <w:lang w:val="en-ZA"/>
        </w:rPr>
        <w:t xml:space="preserve">) at 415 A-C and </w:t>
      </w:r>
      <w:proofErr w:type="spellStart"/>
      <w:r w:rsidRPr="00C37A18">
        <w:rPr>
          <w:rFonts w:ascii="Times New Roman" w:eastAsia="Calibri" w:hAnsi="Times New Roman" w:cs="Times New Roman"/>
          <w:i/>
          <w:sz w:val="24"/>
          <w:szCs w:val="24"/>
          <w:lang w:val="en-ZA"/>
        </w:rPr>
        <w:t>Matambanadzo</w:t>
      </w:r>
      <w:proofErr w:type="spellEnd"/>
      <w:r w:rsidRPr="00C37A18">
        <w:rPr>
          <w:rFonts w:ascii="Times New Roman" w:eastAsia="Calibri" w:hAnsi="Times New Roman" w:cs="Times New Roman"/>
          <w:i/>
          <w:sz w:val="24"/>
          <w:szCs w:val="24"/>
          <w:lang w:val="en-ZA"/>
        </w:rPr>
        <w:t xml:space="preserve"> v </w:t>
      </w:r>
      <w:proofErr w:type="spellStart"/>
      <w:r w:rsidRPr="00C37A18">
        <w:rPr>
          <w:rFonts w:ascii="Times New Roman" w:eastAsia="Calibri" w:hAnsi="Times New Roman" w:cs="Times New Roman"/>
          <w:i/>
          <w:sz w:val="24"/>
          <w:szCs w:val="24"/>
          <w:lang w:val="en-ZA"/>
        </w:rPr>
        <w:t>Goven</w:t>
      </w:r>
      <w:proofErr w:type="spellEnd"/>
      <w:r w:rsidR="00555015">
        <w:rPr>
          <w:rFonts w:ascii="Times New Roman" w:eastAsia="Calibri" w:hAnsi="Times New Roman" w:cs="Times New Roman"/>
          <w:sz w:val="24"/>
          <w:szCs w:val="24"/>
          <w:lang w:val="en-ZA"/>
        </w:rPr>
        <w:t xml:space="preserve"> </w:t>
      </w:r>
      <w:r w:rsidRPr="00C37A18">
        <w:rPr>
          <w:rFonts w:ascii="Times New Roman" w:eastAsia="Calibri" w:hAnsi="Times New Roman" w:cs="Times New Roman"/>
          <w:sz w:val="24"/>
          <w:szCs w:val="24"/>
          <w:lang w:val="en-ZA"/>
        </w:rPr>
        <w:t>SC 23-04.</w:t>
      </w:r>
      <w:r>
        <w:rPr>
          <w:rFonts w:ascii="Times New Roman" w:eastAsia="Calibri" w:hAnsi="Times New Roman" w:cs="Times New Roman"/>
          <w:sz w:val="24"/>
          <w:szCs w:val="24"/>
          <w:lang w:val="en-ZA"/>
        </w:rPr>
        <w:t>”</w:t>
      </w:r>
      <w:r>
        <w:rPr>
          <w:rFonts w:ascii="Times New Roman" w:hAnsi="Times New Roman" w:cs="Times New Roman"/>
          <w:sz w:val="24"/>
          <w:szCs w:val="24"/>
        </w:rPr>
        <w:t xml:space="preserve"> </w:t>
      </w:r>
    </w:p>
    <w:p w14:paraId="065D7BB2" w14:textId="77777777" w:rsidR="00761905" w:rsidRDefault="00761905" w:rsidP="00761905">
      <w:pPr>
        <w:spacing w:after="0" w:line="480" w:lineRule="auto"/>
        <w:ind w:left="720" w:hanging="720"/>
        <w:jc w:val="both"/>
        <w:rPr>
          <w:rFonts w:ascii="Times New Roman" w:hAnsi="Times New Roman" w:cs="Times New Roman"/>
          <w:sz w:val="24"/>
          <w:szCs w:val="24"/>
        </w:rPr>
      </w:pPr>
    </w:p>
    <w:p w14:paraId="1678E5E0" w14:textId="7FD266AF" w:rsidR="0023148B" w:rsidRDefault="009B37FF" w:rsidP="005D1ADF">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rPr>
        <w:tab/>
      </w:r>
      <w:r w:rsidR="00670683">
        <w:rPr>
          <w:rFonts w:ascii="Times New Roman" w:hAnsi="Times New Roman" w:cs="Times New Roman"/>
          <w:sz w:val="24"/>
          <w:szCs w:val="24"/>
        </w:rPr>
        <w:t>The requirements for valid grounds of appeal were set out by GARWE JA, as he then was</w:t>
      </w:r>
      <w:r w:rsidR="00DB20BF">
        <w:rPr>
          <w:rFonts w:ascii="Times New Roman" w:hAnsi="Times New Roman" w:cs="Times New Roman"/>
          <w:sz w:val="24"/>
          <w:szCs w:val="24"/>
        </w:rPr>
        <w:t>,</w:t>
      </w:r>
      <w:r w:rsidR="00670683">
        <w:rPr>
          <w:rFonts w:ascii="Times New Roman" w:hAnsi="Times New Roman" w:cs="Times New Roman"/>
          <w:sz w:val="24"/>
          <w:szCs w:val="24"/>
        </w:rPr>
        <w:t xml:space="preserve"> in </w:t>
      </w:r>
      <w:r w:rsidR="0023148B" w:rsidRPr="006E6136">
        <w:rPr>
          <w:rFonts w:ascii="Times New Roman" w:hAnsi="Times New Roman" w:cs="Times New Roman"/>
          <w:i/>
          <w:sz w:val="24"/>
          <w:szCs w:val="24"/>
        </w:rPr>
        <w:t xml:space="preserve">Zimbabwe Open University v </w:t>
      </w:r>
      <w:proofErr w:type="spellStart"/>
      <w:r w:rsidR="0023148B" w:rsidRPr="006E6136">
        <w:rPr>
          <w:rFonts w:ascii="Times New Roman" w:hAnsi="Times New Roman" w:cs="Times New Roman"/>
          <w:i/>
          <w:sz w:val="24"/>
          <w:szCs w:val="24"/>
        </w:rPr>
        <w:t>Ndekwere</w:t>
      </w:r>
      <w:proofErr w:type="spellEnd"/>
      <w:r w:rsidR="0023148B">
        <w:rPr>
          <w:rFonts w:ascii="Times New Roman" w:hAnsi="Times New Roman" w:cs="Times New Roman"/>
          <w:sz w:val="24"/>
          <w:szCs w:val="24"/>
        </w:rPr>
        <w:t xml:space="preserve"> SC 52/19 at para </w:t>
      </w:r>
      <w:r w:rsidR="0023148B" w:rsidRPr="009363BD">
        <w:rPr>
          <w:rFonts w:ascii="Times New Roman" w:hAnsi="Times New Roman" w:cs="Times New Roman"/>
          <w:sz w:val="24"/>
          <w:szCs w:val="24"/>
        </w:rPr>
        <w:t>[38]</w:t>
      </w:r>
      <w:r w:rsidR="0023148B">
        <w:rPr>
          <w:rFonts w:ascii="Times New Roman" w:hAnsi="Times New Roman" w:cs="Times New Roman"/>
          <w:sz w:val="24"/>
          <w:szCs w:val="24"/>
        </w:rPr>
        <w:t xml:space="preserve"> thus:</w:t>
      </w:r>
    </w:p>
    <w:p w14:paraId="4DCCE79B" w14:textId="4FF2F6FF" w:rsidR="009B37FF" w:rsidRDefault="0023148B" w:rsidP="00FA57BF">
      <w:pPr>
        <w:spacing w:after="0" w:line="240" w:lineRule="auto"/>
        <w:ind w:left="1134"/>
        <w:jc w:val="both"/>
        <w:rPr>
          <w:rFonts w:ascii="Times New Roman" w:hAnsi="Times New Roman" w:cs="Times New Roman"/>
          <w:sz w:val="24"/>
          <w:szCs w:val="24"/>
        </w:rPr>
      </w:pPr>
      <w:r>
        <w:rPr>
          <w:rFonts w:ascii="Times New Roman" w:hAnsi="Times New Roman" w:cs="Times New Roman"/>
          <w:sz w:val="24"/>
          <w:szCs w:val="24"/>
        </w:rPr>
        <w:t>“</w:t>
      </w:r>
      <w:r w:rsidRPr="009363BD">
        <w:rPr>
          <w:rFonts w:ascii="Times New Roman" w:hAnsi="Times New Roman" w:cs="Times New Roman"/>
          <w:sz w:val="24"/>
          <w:szCs w:val="24"/>
        </w:rPr>
        <w:t xml:space="preserve">A ground of appeal which attacks findings of fact must, therefore, not only allege that the lower court misdirected itself on the facts but must go further and show how that misdirection came about. Merely alleging a misdirection without further substantiation </w:t>
      </w:r>
      <w:r w:rsidRPr="009363BD">
        <w:rPr>
          <w:rFonts w:ascii="Times New Roman" w:hAnsi="Times New Roman" w:cs="Times New Roman"/>
          <w:sz w:val="24"/>
          <w:szCs w:val="24"/>
        </w:rPr>
        <w:lastRenderedPageBreak/>
        <w:t>would not be enough as the attack would remain one against a factual finding. In other words, in alleging a misdirection on the facts, the ground of appeal must also show in what way those findings of fact are irrational</w:t>
      </w:r>
      <w:r>
        <w:rPr>
          <w:rFonts w:ascii="Times New Roman" w:hAnsi="Times New Roman" w:cs="Times New Roman"/>
          <w:sz w:val="24"/>
          <w:szCs w:val="24"/>
        </w:rPr>
        <w:t>.”</w:t>
      </w:r>
    </w:p>
    <w:p w14:paraId="4430E27F" w14:textId="77777777" w:rsidR="00FA57BF" w:rsidRDefault="00FA57BF" w:rsidP="00FA57BF">
      <w:pPr>
        <w:spacing w:after="0" w:line="480" w:lineRule="auto"/>
        <w:ind w:left="567"/>
        <w:jc w:val="both"/>
        <w:rPr>
          <w:rFonts w:ascii="Times New Roman" w:hAnsi="Times New Roman" w:cs="Times New Roman"/>
          <w:sz w:val="24"/>
          <w:szCs w:val="24"/>
        </w:rPr>
      </w:pPr>
    </w:p>
    <w:p w14:paraId="181E5215" w14:textId="77325C46" w:rsidR="0018122B" w:rsidRPr="00D32382" w:rsidRDefault="004A7230" w:rsidP="00FA57BF">
      <w:pPr>
        <w:spacing w:after="0" w:line="480" w:lineRule="auto"/>
        <w:ind w:left="567"/>
        <w:jc w:val="both"/>
        <w:rPr>
          <w:rFonts w:ascii="Times New Roman" w:hAnsi="Times New Roman" w:cs="Times New Roman"/>
          <w:sz w:val="24"/>
          <w:szCs w:val="24"/>
        </w:rPr>
      </w:pPr>
      <w:r>
        <w:rPr>
          <w:rFonts w:ascii="Times New Roman" w:hAnsi="Times New Roman" w:cs="Times New Roman"/>
          <w:sz w:val="24"/>
          <w:szCs w:val="24"/>
        </w:rPr>
        <w:t>Again, i</w:t>
      </w:r>
      <w:r w:rsidR="0018122B" w:rsidRPr="00D32382">
        <w:rPr>
          <w:rFonts w:ascii="Times New Roman" w:hAnsi="Times New Roman" w:cs="Times New Roman"/>
          <w:sz w:val="24"/>
          <w:szCs w:val="24"/>
        </w:rPr>
        <w:t xml:space="preserve">n the words of LEACH J in </w:t>
      </w:r>
      <w:proofErr w:type="spellStart"/>
      <w:r w:rsidR="0018122B" w:rsidRPr="00D32382">
        <w:rPr>
          <w:rFonts w:ascii="Times New Roman" w:hAnsi="Times New Roman" w:cs="Times New Roman"/>
          <w:i/>
          <w:sz w:val="24"/>
          <w:szCs w:val="24"/>
        </w:rPr>
        <w:t>Sonyongo</w:t>
      </w:r>
      <w:proofErr w:type="spellEnd"/>
      <w:r w:rsidR="0018122B" w:rsidRPr="00D32382">
        <w:rPr>
          <w:rFonts w:ascii="Times New Roman" w:hAnsi="Times New Roman" w:cs="Times New Roman"/>
          <w:i/>
          <w:sz w:val="24"/>
          <w:szCs w:val="24"/>
        </w:rPr>
        <w:t xml:space="preserve"> v Minister of Law and Order </w:t>
      </w:r>
      <w:r w:rsidR="0018122B">
        <w:rPr>
          <w:rFonts w:ascii="Times New Roman" w:hAnsi="Times New Roman" w:cs="Times New Roman"/>
          <w:sz w:val="24"/>
          <w:szCs w:val="24"/>
        </w:rPr>
        <w:t>1996 (4</w:t>
      </w:r>
      <w:r w:rsidR="0018122B" w:rsidRPr="00D32382">
        <w:rPr>
          <w:rFonts w:ascii="Times New Roman" w:hAnsi="Times New Roman" w:cs="Times New Roman"/>
          <w:sz w:val="24"/>
          <w:szCs w:val="24"/>
        </w:rPr>
        <w:t>) SA 384 at 385F:</w:t>
      </w:r>
    </w:p>
    <w:p w14:paraId="5E3FB370" w14:textId="0B93A113" w:rsidR="0018122B" w:rsidRDefault="0018122B" w:rsidP="00FA57BF">
      <w:pPr>
        <w:spacing w:after="0" w:line="240" w:lineRule="auto"/>
        <w:ind w:left="1134"/>
        <w:jc w:val="both"/>
        <w:rPr>
          <w:rFonts w:ascii="Times New Roman" w:hAnsi="Times New Roman" w:cs="Times New Roman"/>
          <w:sz w:val="24"/>
          <w:szCs w:val="24"/>
        </w:rPr>
      </w:pPr>
      <w:r w:rsidRPr="00817968">
        <w:rPr>
          <w:rFonts w:ascii="Times New Roman" w:hAnsi="Times New Roman" w:cs="Times New Roman"/>
          <w:sz w:val="24"/>
          <w:szCs w:val="24"/>
        </w:rPr>
        <w:t>“</w:t>
      </w:r>
      <w:r w:rsidR="004A7230">
        <w:rPr>
          <w:rFonts w:ascii="Times New Roman" w:hAnsi="Times New Roman" w:cs="Times New Roman"/>
          <w:sz w:val="24"/>
          <w:szCs w:val="24"/>
        </w:rPr>
        <w:t>…</w:t>
      </w:r>
      <w:r w:rsidRPr="00817968">
        <w:rPr>
          <w:rFonts w:ascii="Times New Roman" w:hAnsi="Times New Roman" w:cs="Times New Roman"/>
          <w:sz w:val="24"/>
          <w:szCs w:val="24"/>
        </w:rPr>
        <w:t xml:space="preserve">it has been held that grounds of appeal are bad if they are so widely expressed that it leaves the appellant free to canvass every finding of fact and every ruling of the law made by the court </w:t>
      </w:r>
      <w:r w:rsidRPr="00817968">
        <w:rPr>
          <w:rFonts w:ascii="Times New Roman" w:hAnsi="Times New Roman" w:cs="Times New Roman"/>
          <w:i/>
          <w:sz w:val="24"/>
          <w:szCs w:val="24"/>
        </w:rPr>
        <w:t xml:space="preserve">a quo, </w:t>
      </w:r>
      <w:r w:rsidRPr="00817968">
        <w:rPr>
          <w:rFonts w:ascii="Times New Roman" w:hAnsi="Times New Roman" w:cs="Times New Roman"/>
          <w:sz w:val="24"/>
          <w:szCs w:val="24"/>
        </w:rPr>
        <w:t>or if they specify the findings of fact or rulings of law appealed against so vaguely as t</w:t>
      </w:r>
      <w:r w:rsidR="00FA57BF">
        <w:rPr>
          <w:rFonts w:ascii="Times New Roman" w:hAnsi="Times New Roman" w:cs="Times New Roman"/>
          <w:sz w:val="24"/>
          <w:szCs w:val="24"/>
        </w:rPr>
        <w:t>o be of no value either to the c</w:t>
      </w:r>
      <w:r w:rsidRPr="00817968">
        <w:rPr>
          <w:rFonts w:ascii="Times New Roman" w:hAnsi="Times New Roman" w:cs="Times New Roman"/>
          <w:sz w:val="24"/>
          <w:szCs w:val="24"/>
        </w:rPr>
        <w:t>ourt or to the respondent, or if they, in general, fail to specify clearly and in unambiguous terms exactly what case the respondent must be prepared to meet.”</w:t>
      </w:r>
    </w:p>
    <w:p w14:paraId="45BA3DA9" w14:textId="77777777" w:rsidR="00DB20BF" w:rsidRDefault="00DB20BF" w:rsidP="00527A7C">
      <w:pPr>
        <w:spacing w:after="0" w:line="480" w:lineRule="auto"/>
        <w:jc w:val="both"/>
        <w:rPr>
          <w:rFonts w:ascii="Times New Roman" w:hAnsi="Times New Roman" w:cs="Times New Roman"/>
          <w:sz w:val="24"/>
          <w:szCs w:val="24"/>
        </w:rPr>
      </w:pPr>
    </w:p>
    <w:p w14:paraId="2862093C" w14:textId="6F5EBAE8" w:rsidR="009D3875" w:rsidRDefault="00FA57BF" w:rsidP="00FA57BF">
      <w:pPr>
        <w:spacing w:after="0" w:line="276"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[20]   </w:t>
      </w:r>
      <w:r w:rsidR="009D3875">
        <w:rPr>
          <w:rFonts w:ascii="Times New Roman" w:hAnsi="Times New Roman" w:cs="Times New Roman"/>
          <w:sz w:val="24"/>
          <w:szCs w:val="24"/>
        </w:rPr>
        <w:t xml:space="preserve">The impugned intended ground of appeal </w:t>
      </w:r>
      <w:r w:rsidR="00B56406">
        <w:rPr>
          <w:rFonts w:ascii="Times New Roman" w:hAnsi="Times New Roman" w:cs="Times New Roman"/>
          <w:sz w:val="24"/>
          <w:szCs w:val="24"/>
        </w:rPr>
        <w:t>and relief sought are</w:t>
      </w:r>
      <w:r w:rsidR="009D3875">
        <w:rPr>
          <w:rFonts w:ascii="Times New Roman" w:hAnsi="Times New Roman" w:cs="Times New Roman"/>
          <w:sz w:val="24"/>
          <w:szCs w:val="24"/>
        </w:rPr>
        <w:t xml:space="preserve"> worded as follows:</w:t>
      </w:r>
    </w:p>
    <w:p w14:paraId="06E1693C" w14:textId="77777777" w:rsidR="004A7230" w:rsidRDefault="004A7230" w:rsidP="00FA57BF">
      <w:pPr>
        <w:spacing w:after="0" w:line="276" w:lineRule="auto"/>
        <w:ind w:left="720"/>
        <w:jc w:val="both"/>
        <w:rPr>
          <w:rFonts w:ascii="Times New Roman" w:hAnsi="Times New Roman" w:cs="Times New Roman"/>
          <w:sz w:val="24"/>
          <w:szCs w:val="24"/>
        </w:rPr>
      </w:pPr>
    </w:p>
    <w:p w14:paraId="4108492B" w14:textId="5543CB1C" w:rsidR="00B56406" w:rsidRDefault="009D3875" w:rsidP="00DF6DE9">
      <w:pPr>
        <w:spacing w:after="0" w:line="24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“The court </w:t>
      </w:r>
      <w:r w:rsidRPr="00FA57BF">
        <w:rPr>
          <w:rFonts w:ascii="Times New Roman" w:hAnsi="Times New Roman" w:cs="Times New Roman"/>
          <w:i/>
          <w:sz w:val="24"/>
          <w:szCs w:val="24"/>
        </w:rPr>
        <w:t>a quo</w:t>
      </w:r>
      <w:r>
        <w:rPr>
          <w:rFonts w:ascii="Times New Roman" w:hAnsi="Times New Roman" w:cs="Times New Roman"/>
          <w:sz w:val="24"/>
          <w:szCs w:val="24"/>
        </w:rPr>
        <w:t xml:space="preserve"> erred in finding that the applicant had </w:t>
      </w:r>
      <w:r w:rsidRPr="009D3875">
        <w:rPr>
          <w:rFonts w:ascii="Times New Roman" w:hAnsi="Times New Roman" w:cs="Times New Roman"/>
          <w:i/>
          <w:sz w:val="24"/>
          <w:szCs w:val="24"/>
        </w:rPr>
        <w:t>no locus standi</w:t>
      </w:r>
      <w:r>
        <w:rPr>
          <w:rFonts w:ascii="Times New Roman" w:hAnsi="Times New Roman" w:cs="Times New Roman"/>
          <w:sz w:val="24"/>
          <w:szCs w:val="24"/>
        </w:rPr>
        <w:t xml:space="preserve"> to apply for a </w:t>
      </w:r>
      <w:r w:rsidRPr="0006272D">
        <w:rPr>
          <w:rFonts w:ascii="Times New Roman" w:hAnsi="Times New Roman" w:cs="Times New Roman"/>
          <w:i/>
          <w:iCs/>
          <w:sz w:val="24"/>
          <w:szCs w:val="24"/>
        </w:rPr>
        <w:t>mandamus</w:t>
      </w:r>
      <w:r>
        <w:rPr>
          <w:rFonts w:ascii="Times New Roman" w:hAnsi="Times New Roman" w:cs="Times New Roman"/>
          <w:sz w:val="24"/>
          <w:szCs w:val="24"/>
        </w:rPr>
        <w:t xml:space="preserve"> against the first respondent.</w:t>
      </w:r>
    </w:p>
    <w:p w14:paraId="1E9F045B" w14:textId="77777777" w:rsidR="00DF6DE9" w:rsidRDefault="00DF6DE9" w:rsidP="00DF6DE9">
      <w:pPr>
        <w:spacing w:after="0" w:line="240" w:lineRule="auto"/>
        <w:ind w:left="1134"/>
        <w:jc w:val="both"/>
        <w:rPr>
          <w:rFonts w:ascii="Times New Roman" w:hAnsi="Times New Roman" w:cs="Times New Roman"/>
          <w:sz w:val="24"/>
          <w:szCs w:val="24"/>
        </w:rPr>
      </w:pPr>
    </w:p>
    <w:p w14:paraId="342357C9" w14:textId="125C6BE3" w:rsidR="00B56406" w:rsidRDefault="00B56406" w:rsidP="00DF6DE9">
      <w:pPr>
        <w:spacing w:after="0" w:line="240" w:lineRule="auto"/>
        <w:ind w:left="720" w:firstLine="414"/>
        <w:jc w:val="both"/>
        <w:rPr>
          <w:rFonts w:ascii="Times New Roman" w:hAnsi="Times New Roman" w:cs="Times New Roman"/>
          <w:sz w:val="24"/>
          <w:szCs w:val="24"/>
        </w:rPr>
      </w:pPr>
      <w:r w:rsidRPr="00DF6DE9">
        <w:rPr>
          <w:rFonts w:ascii="Times New Roman" w:hAnsi="Times New Roman" w:cs="Times New Roman"/>
          <w:sz w:val="24"/>
          <w:szCs w:val="24"/>
        </w:rPr>
        <w:t>RELIEF SOUGHT</w:t>
      </w:r>
    </w:p>
    <w:p w14:paraId="5576E1E9" w14:textId="77777777" w:rsidR="00DF6DE9" w:rsidRPr="00DF6DE9" w:rsidRDefault="00DF6DE9" w:rsidP="00DF6DE9">
      <w:pPr>
        <w:spacing w:after="0" w:line="240" w:lineRule="auto"/>
        <w:ind w:left="720" w:firstLine="414"/>
        <w:jc w:val="both"/>
        <w:rPr>
          <w:rFonts w:ascii="Times New Roman" w:hAnsi="Times New Roman" w:cs="Times New Roman"/>
          <w:sz w:val="24"/>
          <w:szCs w:val="24"/>
        </w:rPr>
      </w:pPr>
    </w:p>
    <w:p w14:paraId="4AEB7AE8" w14:textId="415153F2" w:rsidR="00B56406" w:rsidRDefault="00B56406" w:rsidP="00DF6DE9">
      <w:pPr>
        <w:spacing w:after="0" w:line="240" w:lineRule="auto"/>
        <w:ind w:left="720" w:firstLine="414"/>
        <w:jc w:val="both"/>
        <w:rPr>
          <w:rFonts w:ascii="Times New Roman" w:hAnsi="Times New Roman" w:cs="Times New Roman"/>
          <w:sz w:val="24"/>
          <w:szCs w:val="24"/>
        </w:rPr>
      </w:pPr>
      <w:r>
        <w:rPr>
          <w:rFonts w:ascii="Times New Roman" w:hAnsi="Times New Roman" w:cs="Times New Roman"/>
          <w:sz w:val="24"/>
          <w:szCs w:val="24"/>
        </w:rPr>
        <w:t>TAKE FURTHER NOTICE THAT the appellant seeks the following relief:</w:t>
      </w:r>
    </w:p>
    <w:p w14:paraId="4CC59317" w14:textId="77777777" w:rsidR="00DF6DE9" w:rsidRDefault="00DF6DE9" w:rsidP="00DF6DE9">
      <w:pPr>
        <w:spacing w:after="0" w:line="240" w:lineRule="auto"/>
        <w:ind w:left="720" w:firstLine="414"/>
        <w:jc w:val="both"/>
        <w:rPr>
          <w:rFonts w:ascii="Times New Roman" w:hAnsi="Times New Roman" w:cs="Times New Roman"/>
          <w:sz w:val="24"/>
          <w:szCs w:val="24"/>
        </w:rPr>
      </w:pPr>
    </w:p>
    <w:p w14:paraId="688C5FD4" w14:textId="44A10302" w:rsidR="00B56406" w:rsidRPr="009D18A8" w:rsidRDefault="00B56406" w:rsidP="00DF6DE9">
      <w:pPr>
        <w:pStyle w:val="ListParagraph"/>
        <w:numPr>
          <w:ilvl w:val="0"/>
          <w:numId w:val="4"/>
        </w:numPr>
        <w:spacing w:after="0" w:line="240" w:lineRule="auto"/>
        <w:ind w:firstLine="54"/>
        <w:jc w:val="both"/>
        <w:rPr>
          <w:rFonts w:ascii="Times New Roman" w:hAnsi="Times New Roman" w:cs="Times New Roman"/>
          <w:sz w:val="24"/>
          <w:szCs w:val="24"/>
        </w:rPr>
      </w:pPr>
      <w:r w:rsidRPr="009D18A8">
        <w:rPr>
          <w:rFonts w:ascii="Times New Roman" w:hAnsi="Times New Roman" w:cs="Times New Roman"/>
          <w:sz w:val="24"/>
          <w:szCs w:val="24"/>
        </w:rPr>
        <w:t>That the appeal be and is hereby allowed with costs.</w:t>
      </w:r>
    </w:p>
    <w:p w14:paraId="2728E315" w14:textId="40C1C49F" w:rsidR="00B56406" w:rsidRDefault="00B56406" w:rsidP="00DF6DE9">
      <w:pPr>
        <w:pStyle w:val="ListParagraph"/>
        <w:numPr>
          <w:ilvl w:val="0"/>
          <w:numId w:val="4"/>
        </w:numPr>
        <w:spacing w:after="0" w:line="240" w:lineRule="auto"/>
        <w:ind w:firstLine="54"/>
        <w:jc w:val="both"/>
        <w:rPr>
          <w:rFonts w:ascii="Times New Roman" w:hAnsi="Times New Roman" w:cs="Times New Roman"/>
          <w:sz w:val="24"/>
          <w:szCs w:val="24"/>
        </w:rPr>
      </w:pPr>
      <w:r>
        <w:rPr>
          <w:rFonts w:ascii="Times New Roman" w:hAnsi="Times New Roman" w:cs="Times New Roman"/>
          <w:sz w:val="24"/>
          <w:szCs w:val="24"/>
        </w:rPr>
        <w:t>That the judgment of the court</w:t>
      </w:r>
      <w:r w:rsidRPr="00B56406">
        <w:rPr>
          <w:rFonts w:ascii="Times New Roman" w:hAnsi="Times New Roman" w:cs="Times New Roman"/>
          <w:i/>
          <w:sz w:val="24"/>
          <w:szCs w:val="24"/>
        </w:rPr>
        <w:t xml:space="preserve"> a quo </w:t>
      </w:r>
      <w:r>
        <w:rPr>
          <w:rFonts w:ascii="Times New Roman" w:hAnsi="Times New Roman" w:cs="Times New Roman"/>
          <w:sz w:val="24"/>
          <w:szCs w:val="24"/>
        </w:rPr>
        <w:t>is set aside and substituted with the following:</w:t>
      </w:r>
    </w:p>
    <w:p w14:paraId="64A0F1A2" w14:textId="67C4AF02" w:rsidR="00B56406" w:rsidRDefault="00B56406" w:rsidP="00DF6DE9">
      <w:pPr>
        <w:pStyle w:val="ListParagraph"/>
        <w:spacing w:after="0" w:line="240" w:lineRule="auto"/>
        <w:ind w:left="993" w:firstLine="425"/>
        <w:jc w:val="both"/>
        <w:rPr>
          <w:rFonts w:ascii="Times New Roman" w:hAnsi="Times New Roman" w:cs="Times New Roman"/>
          <w:sz w:val="24"/>
          <w:szCs w:val="24"/>
        </w:rPr>
      </w:pPr>
      <w:r>
        <w:rPr>
          <w:rFonts w:ascii="Times New Roman" w:hAnsi="Times New Roman" w:cs="Times New Roman"/>
          <w:sz w:val="24"/>
          <w:szCs w:val="24"/>
        </w:rPr>
        <w:t xml:space="preserve">“The point </w:t>
      </w:r>
      <w:r w:rsidRPr="003F1D04">
        <w:rPr>
          <w:rFonts w:ascii="Times New Roman" w:hAnsi="Times New Roman" w:cs="Times New Roman"/>
          <w:i/>
          <w:sz w:val="24"/>
          <w:szCs w:val="24"/>
        </w:rPr>
        <w:t xml:space="preserve">in </w:t>
      </w:r>
      <w:proofErr w:type="spellStart"/>
      <w:r w:rsidRPr="003F1D04">
        <w:rPr>
          <w:rFonts w:ascii="Times New Roman" w:hAnsi="Times New Roman" w:cs="Times New Roman"/>
          <w:i/>
          <w:sz w:val="24"/>
          <w:szCs w:val="24"/>
        </w:rPr>
        <w:t>limine</w:t>
      </w:r>
      <w:proofErr w:type="spellEnd"/>
      <w:r>
        <w:rPr>
          <w:rFonts w:ascii="Times New Roman" w:hAnsi="Times New Roman" w:cs="Times New Roman"/>
          <w:sz w:val="24"/>
          <w:szCs w:val="24"/>
        </w:rPr>
        <w:t xml:space="preserve"> is dismissed with costs”</w:t>
      </w:r>
    </w:p>
    <w:p w14:paraId="7F7ADAAE" w14:textId="6A0AF28F" w:rsidR="00B56406" w:rsidRDefault="00B56406" w:rsidP="00DF6DE9">
      <w:pPr>
        <w:pStyle w:val="ListParagraph"/>
        <w:numPr>
          <w:ilvl w:val="0"/>
          <w:numId w:val="4"/>
        </w:numPr>
        <w:spacing w:after="0" w:line="240" w:lineRule="auto"/>
        <w:ind w:left="1418" w:hanging="284"/>
        <w:jc w:val="both"/>
        <w:rPr>
          <w:rFonts w:ascii="Times New Roman" w:hAnsi="Times New Roman" w:cs="Times New Roman"/>
          <w:sz w:val="24"/>
          <w:szCs w:val="24"/>
        </w:rPr>
      </w:pPr>
      <w:r>
        <w:rPr>
          <w:rFonts w:ascii="Times New Roman" w:hAnsi="Times New Roman" w:cs="Times New Roman"/>
          <w:sz w:val="24"/>
          <w:szCs w:val="24"/>
        </w:rPr>
        <w:t xml:space="preserve">That the matter is remitted to the court </w:t>
      </w:r>
      <w:r w:rsidRPr="00B56406">
        <w:rPr>
          <w:rFonts w:ascii="Times New Roman" w:hAnsi="Times New Roman" w:cs="Times New Roman"/>
          <w:i/>
          <w:sz w:val="24"/>
          <w:szCs w:val="24"/>
        </w:rPr>
        <w:t>a quo</w:t>
      </w:r>
      <w:r>
        <w:rPr>
          <w:rFonts w:ascii="Times New Roman" w:hAnsi="Times New Roman" w:cs="Times New Roman"/>
          <w:sz w:val="24"/>
          <w:szCs w:val="24"/>
        </w:rPr>
        <w:t xml:space="preserve"> for a hearing and determination on the merits.”</w:t>
      </w:r>
    </w:p>
    <w:p w14:paraId="52A8C554" w14:textId="77777777" w:rsidR="00DF6DE9" w:rsidRDefault="00DF6DE9" w:rsidP="00DF6DE9">
      <w:pPr>
        <w:pStyle w:val="ListParagraph"/>
        <w:spacing w:after="0" w:line="240" w:lineRule="auto"/>
        <w:ind w:left="1418"/>
        <w:jc w:val="both"/>
        <w:rPr>
          <w:rFonts w:ascii="Times New Roman" w:hAnsi="Times New Roman" w:cs="Times New Roman"/>
          <w:sz w:val="24"/>
          <w:szCs w:val="24"/>
        </w:rPr>
      </w:pPr>
    </w:p>
    <w:p w14:paraId="69A24E54" w14:textId="77777777" w:rsidR="00715180" w:rsidRPr="00715180" w:rsidRDefault="00715180" w:rsidP="00DF6DE9">
      <w:pPr>
        <w:spacing w:after="0" w:line="240" w:lineRule="auto"/>
        <w:jc w:val="both"/>
        <w:rPr>
          <w:rFonts w:ascii="Times New Roman" w:hAnsi="Times New Roman" w:cs="Times New Roman"/>
          <w:sz w:val="24"/>
          <w:szCs w:val="24"/>
        </w:rPr>
      </w:pPr>
    </w:p>
    <w:p w14:paraId="652F1A21" w14:textId="3DCAC297" w:rsidR="00715180" w:rsidRDefault="00715180" w:rsidP="003F1D04">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t xml:space="preserve">I agree with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sidRPr="00572346">
        <w:rPr>
          <w:rFonts w:ascii="Times New Roman" w:hAnsi="Times New Roman" w:cs="Times New Roman"/>
          <w:i/>
          <w:sz w:val="24"/>
          <w:szCs w:val="24"/>
        </w:rPr>
        <w:t>Munyuru</w:t>
      </w:r>
      <w:proofErr w:type="spellEnd"/>
      <w:r>
        <w:rPr>
          <w:rFonts w:ascii="Times New Roman" w:hAnsi="Times New Roman" w:cs="Times New Roman"/>
          <w:sz w:val="24"/>
          <w:szCs w:val="24"/>
        </w:rPr>
        <w:t xml:space="preserve"> that the sole prospective ground of appeal is incomplete in that </w:t>
      </w:r>
      <w:r w:rsidR="00DB20BF">
        <w:rPr>
          <w:rFonts w:ascii="Times New Roman" w:hAnsi="Times New Roman" w:cs="Times New Roman"/>
          <w:sz w:val="24"/>
          <w:szCs w:val="24"/>
        </w:rPr>
        <w:t>it will</w:t>
      </w:r>
      <w:r w:rsidR="003F1D04">
        <w:rPr>
          <w:rFonts w:ascii="Times New Roman" w:hAnsi="Times New Roman" w:cs="Times New Roman"/>
          <w:sz w:val="24"/>
          <w:szCs w:val="24"/>
        </w:rPr>
        <w:t xml:space="preserve"> not inform the c</w:t>
      </w:r>
      <w:r>
        <w:rPr>
          <w:rFonts w:ascii="Times New Roman" w:hAnsi="Times New Roman" w:cs="Times New Roman"/>
          <w:sz w:val="24"/>
          <w:szCs w:val="24"/>
        </w:rPr>
        <w:t xml:space="preserve">ourt and the respondents how the court </w:t>
      </w:r>
      <w:r w:rsidRPr="00956F96">
        <w:rPr>
          <w:rFonts w:ascii="Times New Roman" w:hAnsi="Times New Roman" w:cs="Times New Roman"/>
          <w:i/>
          <w:sz w:val="24"/>
          <w:szCs w:val="24"/>
        </w:rPr>
        <w:t>a quo</w:t>
      </w:r>
      <w:r>
        <w:rPr>
          <w:rFonts w:ascii="Times New Roman" w:hAnsi="Times New Roman" w:cs="Times New Roman"/>
          <w:sz w:val="24"/>
          <w:szCs w:val="24"/>
        </w:rPr>
        <w:t xml:space="preserve"> erred</w:t>
      </w:r>
      <w:r w:rsidR="00956F96">
        <w:rPr>
          <w:rFonts w:ascii="Times New Roman" w:hAnsi="Times New Roman" w:cs="Times New Roman"/>
          <w:sz w:val="24"/>
          <w:szCs w:val="24"/>
        </w:rPr>
        <w:t xml:space="preserve"> in arriving at that finding. The ground of appeal is therefore vague and embarrassing.</w:t>
      </w:r>
      <w:r>
        <w:rPr>
          <w:rFonts w:ascii="Times New Roman" w:hAnsi="Times New Roman" w:cs="Times New Roman"/>
          <w:sz w:val="24"/>
          <w:szCs w:val="24"/>
        </w:rPr>
        <w:t xml:space="preserve">  </w:t>
      </w:r>
      <w:r w:rsidR="00572346">
        <w:rPr>
          <w:rFonts w:ascii="Times New Roman" w:hAnsi="Times New Roman" w:cs="Times New Roman"/>
          <w:sz w:val="24"/>
          <w:szCs w:val="24"/>
        </w:rPr>
        <w:t>I also agree with him that the third paragraph of the relief sought will be incompetent as</w:t>
      </w:r>
      <w:r w:rsidR="00DB20BF">
        <w:rPr>
          <w:rFonts w:ascii="Times New Roman" w:hAnsi="Times New Roman" w:cs="Times New Roman"/>
          <w:sz w:val="24"/>
          <w:szCs w:val="24"/>
        </w:rPr>
        <w:t>,</w:t>
      </w:r>
      <w:r w:rsidR="00572346">
        <w:rPr>
          <w:rFonts w:ascii="Times New Roman" w:hAnsi="Times New Roman" w:cs="Times New Roman"/>
          <w:sz w:val="24"/>
          <w:szCs w:val="24"/>
        </w:rPr>
        <w:t xml:space="preserve"> in the event that </w:t>
      </w:r>
      <w:r w:rsidR="00DB20BF">
        <w:rPr>
          <w:rFonts w:ascii="Times New Roman" w:hAnsi="Times New Roman" w:cs="Times New Roman"/>
          <w:sz w:val="24"/>
          <w:szCs w:val="24"/>
        </w:rPr>
        <w:t>the prospective appeal succeeds</w:t>
      </w:r>
      <w:r w:rsidR="00572346">
        <w:rPr>
          <w:rFonts w:ascii="Times New Roman" w:hAnsi="Times New Roman" w:cs="Times New Roman"/>
          <w:sz w:val="24"/>
          <w:szCs w:val="24"/>
        </w:rPr>
        <w:t xml:space="preserve">, the court </w:t>
      </w:r>
      <w:r w:rsidR="00572346" w:rsidRPr="00572346">
        <w:rPr>
          <w:rFonts w:ascii="Times New Roman" w:hAnsi="Times New Roman" w:cs="Times New Roman"/>
          <w:i/>
          <w:sz w:val="24"/>
          <w:szCs w:val="24"/>
        </w:rPr>
        <w:t>a quo</w:t>
      </w:r>
      <w:r w:rsidR="00572346">
        <w:rPr>
          <w:rFonts w:ascii="Times New Roman" w:hAnsi="Times New Roman" w:cs="Times New Roman"/>
          <w:sz w:val="24"/>
          <w:szCs w:val="24"/>
        </w:rPr>
        <w:t xml:space="preserve"> would be obliged to determine the other preliminary points that were raised by the respondents before it can consider the merits.</w:t>
      </w:r>
    </w:p>
    <w:p w14:paraId="049C816F" w14:textId="77777777" w:rsidR="00572346" w:rsidRDefault="00572346" w:rsidP="00527A7C">
      <w:pPr>
        <w:spacing w:after="0" w:line="480" w:lineRule="auto"/>
        <w:jc w:val="both"/>
        <w:rPr>
          <w:rFonts w:ascii="Times New Roman" w:hAnsi="Times New Roman" w:cs="Times New Roman"/>
          <w:sz w:val="24"/>
          <w:szCs w:val="24"/>
        </w:rPr>
      </w:pPr>
    </w:p>
    <w:p w14:paraId="37B25E1A" w14:textId="1D093CF3" w:rsidR="00572346" w:rsidRDefault="00572346" w:rsidP="003F1D04">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 xml:space="preserve">[21] </w:t>
      </w:r>
      <w:r w:rsidR="008B7C9D">
        <w:rPr>
          <w:rFonts w:ascii="Times New Roman" w:hAnsi="Times New Roman" w:cs="Times New Roman"/>
          <w:sz w:val="24"/>
          <w:szCs w:val="24"/>
        </w:rPr>
        <w:tab/>
      </w:r>
      <w:r>
        <w:rPr>
          <w:rFonts w:ascii="Times New Roman" w:hAnsi="Times New Roman" w:cs="Times New Roman"/>
          <w:sz w:val="24"/>
          <w:szCs w:val="24"/>
        </w:rPr>
        <w:t xml:space="preserve">In view of the above findings, it is not necessary for me to determine whether the </w:t>
      </w:r>
      <w:r w:rsidR="0064530A">
        <w:rPr>
          <w:rFonts w:ascii="Times New Roman" w:hAnsi="Times New Roman" w:cs="Times New Roman"/>
          <w:sz w:val="24"/>
          <w:szCs w:val="24"/>
        </w:rPr>
        <w:t xml:space="preserve">application is moot </w:t>
      </w:r>
      <w:r>
        <w:rPr>
          <w:rFonts w:ascii="Times New Roman" w:hAnsi="Times New Roman" w:cs="Times New Roman"/>
          <w:sz w:val="24"/>
          <w:szCs w:val="24"/>
        </w:rPr>
        <w:t>or to delve into the merits of the matter.</w:t>
      </w:r>
    </w:p>
    <w:p w14:paraId="4F9DF3F2" w14:textId="77777777" w:rsidR="00572346" w:rsidRDefault="00572346" w:rsidP="00527A7C">
      <w:pPr>
        <w:spacing w:after="0" w:line="480" w:lineRule="auto"/>
        <w:jc w:val="both"/>
        <w:rPr>
          <w:rFonts w:ascii="Times New Roman" w:hAnsi="Times New Roman" w:cs="Times New Roman"/>
          <w:sz w:val="24"/>
          <w:szCs w:val="24"/>
        </w:rPr>
      </w:pPr>
    </w:p>
    <w:p w14:paraId="32D6D07E" w14:textId="6F5B8035" w:rsidR="00572346" w:rsidRDefault="003F1D04" w:rsidP="003F1D04">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[22</w:t>
      </w:r>
      <w:proofErr w:type="gramStart"/>
      <w:r>
        <w:rPr>
          <w:rFonts w:ascii="Times New Roman" w:hAnsi="Times New Roman" w:cs="Times New Roman"/>
          <w:sz w:val="24"/>
          <w:szCs w:val="24"/>
        </w:rPr>
        <w:t>]  There</w:t>
      </w:r>
      <w:proofErr w:type="gramEnd"/>
      <w:r w:rsidR="00572346">
        <w:rPr>
          <w:rFonts w:ascii="Times New Roman" w:hAnsi="Times New Roman" w:cs="Times New Roman"/>
          <w:sz w:val="24"/>
          <w:szCs w:val="24"/>
        </w:rPr>
        <w:t xml:space="preserve"> is no conceivable reason why costs on the ordinary scale should not follow the result</w:t>
      </w:r>
      <w:r w:rsidR="00662D23">
        <w:rPr>
          <w:rFonts w:ascii="Times New Roman" w:hAnsi="Times New Roman" w:cs="Times New Roman"/>
          <w:sz w:val="24"/>
          <w:szCs w:val="24"/>
        </w:rPr>
        <w:t>.</w:t>
      </w:r>
    </w:p>
    <w:p w14:paraId="04A3A17C" w14:textId="77777777" w:rsidR="00572346" w:rsidRDefault="00572346" w:rsidP="00527A7C">
      <w:pPr>
        <w:spacing w:after="0" w:line="480" w:lineRule="auto"/>
        <w:jc w:val="both"/>
        <w:rPr>
          <w:rFonts w:ascii="Times New Roman" w:hAnsi="Times New Roman" w:cs="Times New Roman"/>
          <w:sz w:val="24"/>
          <w:szCs w:val="24"/>
        </w:rPr>
      </w:pPr>
    </w:p>
    <w:p w14:paraId="55EBA07F" w14:textId="1D6B52B0" w:rsidR="002E785C" w:rsidRDefault="003F1D04" w:rsidP="003F1D04">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[23</w:t>
      </w:r>
      <w:proofErr w:type="gramStart"/>
      <w:r>
        <w:rPr>
          <w:rFonts w:ascii="Times New Roman" w:hAnsi="Times New Roman" w:cs="Times New Roman"/>
          <w:sz w:val="24"/>
          <w:szCs w:val="24"/>
        </w:rPr>
        <w:t xml:space="preserve">]  </w:t>
      </w:r>
      <w:r w:rsidR="00572346">
        <w:rPr>
          <w:rFonts w:ascii="Times New Roman" w:hAnsi="Times New Roman" w:cs="Times New Roman"/>
          <w:sz w:val="24"/>
          <w:szCs w:val="24"/>
        </w:rPr>
        <w:t>In</w:t>
      </w:r>
      <w:proofErr w:type="gramEnd"/>
      <w:r w:rsidR="00572346">
        <w:rPr>
          <w:rFonts w:ascii="Times New Roman" w:hAnsi="Times New Roman" w:cs="Times New Roman"/>
          <w:sz w:val="24"/>
          <w:szCs w:val="24"/>
        </w:rPr>
        <w:t xml:space="preserve"> the circumstances, it is ordered that:</w:t>
      </w:r>
    </w:p>
    <w:p w14:paraId="6C79C70C" w14:textId="4656661C" w:rsidR="002E785C" w:rsidRPr="003F1D04" w:rsidRDefault="00572346" w:rsidP="003F1D04">
      <w:pPr>
        <w:pStyle w:val="ListParagraph"/>
        <w:numPr>
          <w:ilvl w:val="0"/>
          <w:numId w:val="5"/>
        </w:numPr>
        <w:spacing w:after="0" w:line="480" w:lineRule="auto"/>
        <w:ind w:firstLine="54"/>
        <w:jc w:val="both"/>
        <w:rPr>
          <w:rFonts w:ascii="Times New Roman" w:hAnsi="Times New Roman" w:cs="Times New Roman"/>
          <w:sz w:val="24"/>
          <w:szCs w:val="24"/>
        </w:rPr>
      </w:pPr>
      <w:r w:rsidRPr="003F1D04">
        <w:rPr>
          <w:rFonts w:ascii="Times New Roman" w:hAnsi="Times New Roman" w:cs="Times New Roman"/>
          <w:sz w:val="24"/>
          <w:szCs w:val="24"/>
        </w:rPr>
        <w:t>The matter be and is hereby struck off the roll.</w:t>
      </w:r>
      <w:r w:rsidR="002E785C" w:rsidRPr="003F1D04">
        <w:rPr>
          <w:rFonts w:ascii="Times New Roman" w:hAnsi="Times New Roman" w:cs="Times New Roman"/>
          <w:sz w:val="24"/>
          <w:szCs w:val="24"/>
        </w:rPr>
        <w:t xml:space="preserve"> </w:t>
      </w:r>
    </w:p>
    <w:p w14:paraId="682D8E3C" w14:textId="16D60F79" w:rsidR="00572346" w:rsidRPr="002E785C" w:rsidRDefault="00572346" w:rsidP="003F1D04">
      <w:pPr>
        <w:pStyle w:val="ListParagraph"/>
        <w:numPr>
          <w:ilvl w:val="0"/>
          <w:numId w:val="5"/>
        </w:numPr>
        <w:spacing w:after="0" w:line="480" w:lineRule="auto"/>
        <w:ind w:firstLine="54"/>
        <w:jc w:val="both"/>
        <w:rPr>
          <w:rFonts w:ascii="Times New Roman" w:hAnsi="Times New Roman" w:cs="Times New Roman"/>
          <w:sz w:val="24"/>
          <w:szCs w:val="24"/>
        </w:rPr>
      </w:pPr>
      <w:r w:rsidRPr="002E785C">
        <w:rPr>
          <w:rFonts w:ascii="Times New Roman" w:hAnsi="Times New Roman" w:cs="Times New Roman"/>
          <w:sz w:val="24"/>
          <w:szCs w:val="24"/>
        </w:rPr>
        <w:t>The applicant shall pay the respondents’ costs on the ordinary</w:t>
      </w:r>
      <w:r w:rsidR="00A0691D" w:rsidRPr="002E785C">
        <w:rPr>
          <w:rFonts w:ascii="Times New Roman" w:hAnsi="Times New Roman" w:cs="Times New Roman"/>
          <w:sz w:val="24"/>
          <w:szCs w:val="24"/>
        </w:rPr>
        <w:t xml:space="preserve"> </w:t>
      </w:r>
      <w:r w:rsidRPr="002E785C">
        <w:rPr>
          <w:rFonts w:ascii="Times New Roman" w:hAnsi="Times New Roman" w:cs="Times New Roman"/>
          <w:sz w:val="24"/>
          <w:szCs w:val="24"/>
        </w:rPr>
        <w:t>scale.</w:t>
      </w:r>
      <w:r w:rsidR="002E785C" w:rsidRPr="002E785C">
        <w:rPr>
          <w:rFonts w:ascii="Times New Roman" w:hAnsi="Times New Roman" w:cs="Times New Roman"/>
          <w:sz w:val="24"/>
          <w:szCs w:val="24"/>
        </w:rPr>
        <w:t xml:space="preserve"> </w:t>
      </w:r>
    </w:p>
    <w:p w14:paraId="2925F3EA" w14:textId="77777777" w:rsidR="0064530A" w:rsidRDefault="0064530A" w:rsidP="00527A7C">
      <w:pPr>
        <w:spacing w:line="480" w:lineRule="auto"/>
        <w:jc w:val="both"/>
        <w:rPr>
          <w:rFonts w:ascii="Times New Roman" w:hAnsi="Times New Roman" w:cs="Times New Roman"/>
          <w:sz w:val="24"/>
          <w:szCs w:val="24"/>
        </w:rPr>
      </w:pPr>
    </w:p>
    <w:p w14:paraId="08519312" w14:textId="77777777" w:rsidR="003F1D04" w:rsidRDefault="003F1D04" w:rsidP="00527A7C">
      <w:pPr>
        <w:spacing w:line="480" w:lineRule="auto"/>
        <w:jc w:val="both"/>
        <w:rPr>
          <w:rFonts w:ascii="Times New Roman" w:hAnsi="Times New Roman" w:cs="Times New Roman"/>
          <w:i/>
          <w:iCs/>
          <w:sz w:val="24"/>
          <w:szCs w:val="24"/>
        </w:rPr>
      </w:pPr>
    </w:p>
    <w:p w14:paraId="3C83BFAE" w14:textId="77777777" w:rsidR="003F1D04" w:rsidRDefault="003F1D04" w:rsidP="00527A7C">
      <w:pPr>
        <w:spacing w:line="480" w:lineRule="auto"/>
        <w:jc w:val="both"/>
        <w:rPr>
          <w:rFonts w:ascii="Times New Roman" w:hAnsi="Times New Roman" w:cs="Times New Roman"/>
          <w:i/>
          <w:iCs/>
          <w:sz w:val="24"/>
          <w:szCs w:val="24"/>
        </w:rPr>
      </w:pPr>
    </w:p>
    <w:p w14:paraId="255D3B26" w14:textId="77777777" w:rsidR="003F1D04" w:rsidRDefault="003F1D04" w:rsidP="00527A7C">
      <w:pPr>
        <w:spacing w:line="480" w:lineRule="auto"/>
        <w:jc w:val="both"/>
        <w:rPr>
          <w:rFonts w:ascii="Times New Roman" w:hAnsi="Times New Roman" w:cs="Times New Roman"/>
          <w:i/>
          <w:iCs/>
          <w:sz w:val="24"/>
          <w:szCs w:val="24"/>
        </w:rPr>
      </w:pPr>
    </w:p>
    <w:p w14:paraId="37F3531F" w14:textId="77777777" w:rsidR="00501271" w:rsidRDefault="00501271" w:rsidP="00527A7C">
      <w:pPr>
        <w:spacing w:line="480" w:lineRule="auto"/>
        <w:jc w:val="both"/>
        <w:rPr>
          <w:rFonts w:ascii="Times New Roman" w:hAnsi="Times New Roman" w:cs="Times New Roman"/>
          <w:i/>
          <w:iCs/>
          <w:sz w:val="24"/>
          <w:szCs w:val="24"/>
        </w:rPr>
      </w:pPr>
    </w:p>
    <w:p w14:paraId="300B23D6" w14:textId="32E38BB3" w:rsidR="0064530A" w:rsidRDefault="002A2E26" w:rsidP="00527A7C">
      <w:pPr>
        <w:spacing w:line="480" w:lineRule="auto"/>
        <w:jc w:val="both"/>
        <w:rPr>
          <w:rFonts w:ascii="Times New Roman" w:hAnsi="Times New Roman" w:cs="Times New Roman"/>
          <w:sz w:val="24"/>
          <w:szCs w:val="24"/>
        </w:rPr>
      </w:pPr>
      <w:r>
        <w:rPr>
          <w:rFonts w:ascii="Times New Roman" w:hAnsi="Times New Roman" w:cs="Times New Roman"/>
          <w:i/>
          <w:iCs/>
          <w:sz w:val="24"/>
          <w:szCs w:val="24"/>
        </w:rPr>
        <w:t>Gil</w:t>
      </w:r>
      <w:r w:rsidR="00D206A7">
        <w:rPr>
          <w:rFonts w:ascii="Times New Roman" w:hAnsi="Times New Roman" w:cs="Times New Roman"/>
          <w:i/>
          <w:iCs/>
          <w:sz w:val="24"/>
          <w:szCs w:val="24"/>
        </w:rPr>
        <w:t>l</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Godlonton</w:t>
      </w:r>
      <w:proofErr w:type="spellEnd"/>
      <w:r w:rsidR="00D206A7">
        <w:rPr>
          <w:rFonts w:ascii="Times New Roman" w:hAnsi="Times New Roman" w:cs="Times New Roman"/>
          <w:i/>
          <w:iCs/>
          <w:sz w:val="24"/>
          <w:szCs w:val="24"/>
        </w:rPr>
        <w:t xml:space="preserve"> &amp; </w:t>
      </w:r>
      <w:proofErr w:type="spellStart"/>
      <w:r w:rsidR="00D206A7">
        <w:rPr>
          <w:rFonts w:ascii="Times New Roman" w:hAnsi="Times New Roman" w:cs="Times New Roman"/>
          <w:i/>
          <w:iCs/>
          <w:sz w:val="24"/>
          <w:szCs w:val="24"/>
        </w:rPr>
        <w:t>Gerrans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applicant’s legal practitioners</w:t>
      </w:r>
      <w:r w:rsidR="0064530A">
        <w:rPr>
          <w:rFonts w:ascii="Times New Roman" w:hAnsi="Times New Roman" w:cs="Times New Roman"/>
          <w:sz w:val="24"/>
          <w:szCs w:val="24"/>
        </w:rPr>
        <w:t>.</w:t>
      </w:r>
    </w:p>
    <w:p w14:paraId="76C4BD27" w14:textId="5E7326EB" w:rsidR="002A2E26" w:rsidRDefault="002A2E26" w:rsidP="00527A7C">
      <w:pPr>
        <w:spacing w:line="480" w:lineRule="auto"/>
        <w:jc w:val="both"/>
        <w:rPr>
          <w:rFonts w:ascii="Times New Roman" w:hAnsi="Times New Roman" w:cs="Times New Roman"/>
          <w:sz w:val="24"/>
          <w:szCs w:val="24"/>
        </w:rPr>
      </w:pPr>
      <w:r w:rsidRPr="00D206A7">
        <w:rPr>
          <w:rFonts w:ascii="Times New Roman" w:hAnsi="Times New Roman" w:cs="Times New Roman"/>
          <w:i/>
          <w:iCs/>
          <w:sz w:val="24"/>
          <w:szCs w:val="24"/>
        </w:rPr>
        <w:t xml:space="preserve">Kantor &amp; </w:t>
      </w:r>
      <w:proofErr w:type="spellStart"/>
      <w:r w:rsidRPr="00D206A7">
        <w:rPr>
          <w:rFonts w:ascii="Times New Roman" w:hAnsi="Times New Roman" w:cs="Times New Roman"/>
          <w:i/>
          <w:iCs/>
          <w:sz w:val="24"/>
          <w:szCs w:val="24"/>
        </w:rPr>
        <w:t>Immerman</w:t>
      </w:r>
      <w:proofErr w:type="spellEnd"/>
      <w:r>
        <w:rPr>
          <w:rFonts w:ascii="Times New Roman" w:hAnsi="Times New Roman" w:cs="Times New Roman"/>
          <w:sz w:val="24"/>
          <w:szCs w:val="24"/>
        </w:rPr>
        <w:t>, first respondent’s legal practitioners</w:t>
      </w:r>
      <w:r w:rsidR="0064530A">
        <w:rPr>
          <w:rFonts w:ascii="Times New Roman" w:hAnsi="Times New Roman" w:cs="Times New Roman"/>
          <w:sz w:val="24"/>
          <w:szCs w:val="24"/>
        </w:rPr>
        <w:t>.</w:t>
      </w:r>
    </w:p>
    <w:p w14:paraId="0F614A2B" w14:textId="338D2C5D" w:rsidR="00A453AA" w:rsidRDefault="002A2E26" w:rsidP="00527A7C">
      <w:pPr>
        <w:spacing w:line="480" w:lineRule="auto"/>
        <w:jc w:val="both"/>
        <w:rPr>
          <w:rFonts w:ascii="Times New Roman" w:hAnsi="Times New Roman" w:cs="Times New Roman"/>
          <w:sz w:val="24"/>
          <w:szCs w:val="24"/>
        </w:rPr>
      </w:pPr>
      <w:proofErr w:type="spellStart"/>
      <w:r w:rsidRPr="00D206A7">
        <w:rPr>
          <w:rFonts w:ascii="Times New Roman" w:hAnsi="Times New Roman" w:cs="Times New Roman"/>
          <w:i/>
          <w:iCs/>
          <w:sz w:val="24"/>
          <w:szCs w:val="24"/>
        </w:rPr>
        <w:t>Muvingi</w:t>
      </w:r>
      <w:proofErr w:type="spellEnd"/>
      <w:r w:rsidR="00D206A7" w:rsidRPr="00D206A7">
        <w:rPr>
          <w:rFonts w:ascii="Times New Roman" w:hAnsi="Times New Roman" w:cs="Times New Roman"/>
          <w:i/>
          <w:iCs/>
          <w:sz w:val="24"/>
          <w:szCs w:val="24"/>
        </w:rPr>
        <w:t xml:space="preserve"> &amp; </w:t>
      </w:r>
      <w:proofErr w:type="spellStart"/>
      <w:r w:rsidR="00D206A7" w:rsidRPr="00D206A7">
        <w:rPr>
          <w:rFonts w:ascii="Times New Roman" w:hAnsi="Times New Roman" w:cs="Times New Roman"/>
          <w:i/>
          <w:iCs/>
          <w:sz w:val="24"/>
          <w:szCs w:val="24"/>
        </w:rPr>
        <w:t>Mugadza</w:t>
      </w:r>
      <w:proofErr w:type="spellEnd"/>
      <w:r>
        <w:rPr>
          <w:rFonts w:ascii="Times New Roman" w:hAnsi="Times New Roman" w:cs="Times New Roman"/>
          <w:sz w:val="24"/>
          <w:szCs w:val="24"/>
        </w:rPr>
        <w:t>, second re</w:t>
      </w:r>
      <w:r w:rsidR="003F1D04">
        <w:rPr>
          <w:rFonts w:ascii="Times New Roman" w:hAnsi="Times New Roman" w:cs="Times New Roman"/>
          <w:sz w:val="24"/>
          <w:szCs w:val="24"/>
        </w:rPr>
        <w:t>spondent’s legal practitioners.</w:t>
      </w:r>
    </w:p>
    <w:sectPr w:rsidR="00A453A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E888A6" w14:textId="77777777" w:rsidR="0090072E" w:rsidRDefault="0090072E" w:rsidP="00805E9F">
      <w:pPr>
        <w:spacing w:after="0" w:line="240" w:lineRule="auto"/>
      </w:pPr>
      <w:r>
        <w:separator/>
      </w:r>
    </w:p>
  </w:endnote>
  <w:endnote w:type="continuationSeparator" w:id="0">
    <w:p w14:paraId="4D551780" w14:textId="77777777" w:rsidR="0090072E" w:rsidRDefault="0090072E" w:rsidP="00805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F9052" w14:textId="34DFA994" w:rsidR="002E785C" w:rsidRDefault="002E785C">
    <w:pPr>
      <w:pStyle w:val="Footer"/>
    </w:pPr>
  </w:p>
  <w:p w14:paraId="502972AE" w14:textId="77777777" w:rsidR="0089514D" w:rsidRDefault="008951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A2860" w14:textId="77777777" w:rsidR="0090072E" w:rsidRDefault="0090072E" w:rsidP="00805E9F">
      <w:pPr>
        <w:spacing w:after="0" w:line="240" w:lineRule="auto"/>
      </w:pPr>
      <w:r>
        <w:separator/>
      </w:r>
    </w:p>
  </w:footnote>
  <w:footnote w:type="continuationSeparator" w:id="0">
    <w:p w14:paraId="50C486CA" w14:textId="77777777" w:rsidR="0090072E" w:rsidRDefault="0090072E" w:rsidP="00805E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B1C23" w14:textId="2F695BF9" w:rsidR="00805E9F" w:rsidRDefault="00BF143E">
    <w:pPr>
      <w:pStyle w:val="Header"/>
    </w:pPr>
    <w:r>
      <w:rPr>
        <w:noProof/>
        <w:lang w:val="en-ZW" w:eastAsia="en-ZW"/>
      </w:rPr>
      <mc:AlternateContent>
        <mc:Choice Requires="wps">
          <w:drawing>
            <wp:anchor distT="0" distB="0" distL="114300" distR="114300" simplePos="0" relativeHeight="251660288" behindDoc="0" locked="0" layoutInCell="0" allowOverlap="1" wp14:anchorId="77FA298F" wp14:editId="309B647D">
              <wp:simplePos x="0" y="0"/>
              <wp:positionH relativeFrom="margin">
                <wp:posOffset>219075</wp:posOffset>
              </wp:positionH>
              <wp:positionV relativeFrom="topMargin">
                <wp:posOffset>309880</wp:posOffset>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006EE" w14:textId="35821A75" w:rsidR="00BF143E" w:rsidRPr="005F559C" w:rsidRDefault="00761905" w:rsidP="005F559C">
                          <w:pPr>
                            <w:spacing w:after="0" w:line="240" w:lineRule="auto"/>
                            <w:ind w:left="6480"/>
                            <w:rPr>
                              <w:rFonts w:ascii="Times New Roman" w:hAnsi="Times New Roman" w:cs="Times New Roman"/>
                              <w:b/>
                              <w:noProof/>
                              <w:sz w:val="24"/>
                              <w:szCs w:val="24"/>
                            </w:rPr>
                          </w:pPr>
                          <w:r>
                            <w:rPr>
                              <w:rFonts w:ascii="Times New Roman" w:hAnsi="Times New Roman" w:cs="Times New Roman"/>
                              <w:b/>
                              <w:noProof/>
                              <w:sz w:val="24"/>
                              <w:szCs w:val="24"/>
                            </w:rPr>
                            <w:t xml:space="preserve">     </w:t>
                          </w:r>
                          <w:r w:rsidR="00B30862">
                            <w:rPr>
                              <w:rFonts w:ascii="Times New Roman" w:hAnsi="Times New Roman" w:cs="Times New Roman"/>
                              <w:b/>
                              <w:noProof/>
                              <w:sz w:val="24"/>
                              <w:szCs w:val="24"/>
                            </w:rPr>
                            <w:t>Judgment No 24</w:t>
                          </w:r>
                          <w:r w:rsidR="005F559C" w:rsidRPr="005F559C">
                            <w:rPr>
                              <w:rFonts w:ascii="Times New Roman" w:hAnsi="Times New Roman" w:cs="Times New Roman"/>
                              <w:b/>
                              <w:noProof/>
                              <w:sz w:val="24"/>
                              <w:szCs w:val="24"/>
                            </w:rPr>
                            <w:t>/24</w:t>
                          </w:r>
                          <w:r>
                            <w:rPr>
                              <w:rFonts w:ascii="Times New Roman" w:hAnsi="Times New Roman" w:cs="Times New Roman"/>
                              <w:b/>
                              <w:noProof/>
                              <w:sz w:val="24"/>
                              <w:szCs w:val="24"/>
                            </w:rPr>
                            <w:t xml:space="preserve"> </w:t>
                          </w:r>
                        </w:p>
                        <w:p w14:paraId="2DD99249" w14:textId="35156FF6" w:rsidR="005F559C" w:rsidRPr="005F559C" w:rsidRDefault="005F559C" w:rsidP="005F559C">
                          <w:pPr>
                            <w:spacing w:after="0" w:line="240" w:lineRule="auto"/>
                            <w:rPr>
                              <w:rFonts w:ascii="Times New Roman" w:hAnsi="Times New Roman" w:cs="Times New Roman"/>
                              <w:b/>
                              <w:noProof/>
                              <w:sz w:val="24"/>
                              <w:szCs w:val="24"/>
                            </w:rPr>
                          </w:pPr>
                          <w:r w:rsidRPr="005F559C">
                            <w:rPr>
                              <w:rFonts w:ascii="Times New Roman" w:hAnsi="Times New Roman" w:cs="Times New Roman"/>
                              <w:b/>
                              <w:noProof/>
                              <w:sz w:val="24"/>
                              <w:szCs w:val="24"/>
                            </w:rPr>
                            <w:tab/>
                          </w:r>
                          <w:r w:rsidRPr="005F559C">
                            <w:rPr>
                              <w:rFonts w:ascii="Times New Roman" w:hAnsi="Times New Roman" w:cs="Times New Roman"/>
                              <w:b/>
                              <w:noProof/>
                              <w:sz w:val="24"/>
                              <w:szCs w:val="24"/>
                            </w:rPr>
                            <w:tab/>
                          </w:r>
                          <w:r w:rsidRPr="005F559C">
                            <w:rPr>
                              <w:rFonts w:ascii="Times New Roman" w:hAnsi="Times New Roman" w:cs="Times New Roman"/>
                              <w:b/>
                              <w:noProof/>
                              <w:sz w:val="24"/>
                              <w:szCs w:val="24"/>
                            </w:rPr>
                            <w:tab/>
                          </w:r>
                          <w:r w:rsidRPr="005F559C">
                            <w:rPr>
                              <w:rFonts w:ascii="Times New Roman" w:hAnsi="Times New Roman" w:cs="Times New Roman"/>
                              <w:b/>
                              <w:noProof/>
                              <w:sz w:val="24"/>
                              <w:szCs w:val="24"/>
                            </w:rPr>
                            <w:tab/>
                          </w:r>
                          <w:r w:rsidRPr="005F559C">
                            <w:rPr>
                              <w:rFonts w:ascii="Times New Roman" w:hAnsi="Times New Roman" w:cs="Times New Roman"/>
                              <w:b/>
                              <w:noProof/>
                              <w:sz w:val="24"/>
                              <w:szCs w:val="24"/>
                            </w:rPr>
                            <w:tab/>
                          </w:r>
                          <w:r w:rsidRPr="005F559C">
                            <w:rPr>
                              <w:rFonts w:ascii="Times New Roman" w:hAnsi="Times New Roman" w:cs="Times New Roman"/>
                              <w:b/>
                              <w:noProof/>
                              <w:sz w:val="24"/>
                              <w:szCs w:val="24"/>
                            </w:rPr>
                            <w:tab/>
                          </w:r>
                          <w:r w:rsidRPr="005F559C">
                            <w:rPr>
                              <w:rFonts w:ascii="Times New Roman" w:hAnsi="Times New Roman" w:cs="Times New Roman"/>
                              <w:b/>
                              <w:noProof/>
                              <w:sz w:val="24"/>
                              <w:szCs w:val="24"/>
                            </w:rPr>
                            <w:tab/>
                            <w:t xml:space="preserve">Chamber  Application No SC 541/23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FA298F" id="_x0000_t202" coordsize="21600,21600" o:spt="202" path="m,l,21600r21600,l21600,xe">
              <v:stroke joinstyle="miter"/>
              <v:path gradientshapeok="t" o:connecttype="rect"/>
            </v:shapetype>
            <v:shape id="Text Box 220" o:spid="_x0000_s1026" type="#_x0000_t202" style="position:absolute;margin-left:17.25pt;margin-top:24.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" o:allowincell="f" filled="f" stroked="f">
              <v:textbox style="mso-fit-shape-to-text:t" inset=",0,,0">
                <w:txbxContent>
                  <w:p w14:paraId="618006EE" w14:textId="35821A75" w:rsidR="00BF143E" w:rsidRPr="005F559C" w:rsidRDefault="00761905" w:rsidP="005F559C">
                    <w:pPr>
                      <w:spacing w:after="0" w:line="240" w:lineRule="auto"/>
                      <w:ind w:left="6480"/>
                      <w:rPr>
                        <w:rFonts w:ascii="Times New Roman" w:hAnsi="Times New Roman" w:cs="Times New Roman"/>
                        <w:b/>
                        <w:noProof/>
                        <w:sz w:val="24"/>
                        <w:szCs w:val="24"/>
                      </w:rPr>
                    </w:pPr>
                    <w:r>
                      <w:rPr>
                        <w:rFonts w:ascii="Times New Roman" w:hAnsi="Times New Roman" w:cs="Times New Roman"/>
                        <w:b/>
                        <w:noProof/>
                        <w:sz w:val="24"/>
                        <w:szCs w:val="24"/>
                      </w:rPr>
                      <w:t xml:space="preserve">     </w:t>
                    </w:r>
                    <w:r w:rsidR="00B30862">
                      <w:rPr>
                        <w:rFonts w:ascii="Times New Roman" w:hAnsi="Times New Roman" w:cs="Times New Roman"/>
                        <w:b/>
                        <w:noProof/>
                        <w:sz w:val="24"/>
                        <w:szCs w:val="24"/>
                      </w:rPr>
                      <w:t>Judgment No 24</w:t>
                    </w:r>
                    <w:r w:rsidR="005F559C" w:rsidRPr="005F559C">
                      <w:rPr>
                        <w:rFonts w:ascii="Times New Roman" w:hAnsi="Times New Roman" w:cs="Times New Roman"/>
                        <w:b/>
                        <w:noProof/>
                        <w:sz w:val="24"/>
                        <w:szCs w:val="24"/>
                      </w:rPr>
                      <w:t>/24</w:t>
                    </w:r>
                    <w:r>
                      <w:rPr>
                        <w:rFonts w:ascii="Times New Roman" w:hAnsi="Times New Roman" w:cs="Times New Roman"/>
                        <w:b/>
                        <w:noProof/>
                        <w:sz w:val="24"/>
                        <w:szCs w:val="24"/>
                      </w:rPr>
                      <w:t xml:space="preserve"> </w:t>
                    </w:r>
                  </w:p>
                  <w:p w14:paraId="2DD99249" w14:textId="35156FF6" w:rsidR="005F559C" w:rsidRPr="005F559C" w:rsidRDefault="005F559C" w:rsidP="005F559C">
                    <w:pPr>
                      <w:spacing w:after="0" w:line="240" w:lineRule="auto"/>
                      <w:rPr>
                        <w:rFonts w:ascii="Times New Roman" w:hAnsi="Times New Roman" w:cs="Times New Roman"/>
                        <w:b/>
                        <w:noProof/>
                        <w:sz w:val="24"/>
                        <w:szCs w:val="24"/>
                      </w:rPr>
                    </w:pPr>
                    <w:r w:rsidRPr="005F559C">
                      <w:rPr>
                        <w:rFonts w:ascii="Times New Roman" w:hAnsi="Times New Roman" w:cs="Times New Roman"/>
                        <w:b/>
                        <w:noProof/>
                        <w:sz w:val="24"/>
                        <w:szCs w:val="24"/>
                      </w:rPr>
                      <w:tab/>
                    </w:r>
                    <w:r w:rsidRPr="005F559C">
                      <w:rPr>
                        <w:rFonts w:ascii="Times New Roman" w:hAnsi="Times New Roman" w:cs="Times New Roman"/>
                        <w:b/>
                        <w:noProof/>
                        <w:sz w:val="24"/>
                        <w:szCs w:val="24"/>
                      </w:rPr>
                      <w:tab/>
                    </w:r>
                    <w:r w:rsidRPr="005F559C">
                      <w:rPr>
                        <w:rFonts w:ascii="Times New Roman" w:hAnsi="Times New Roman" w:cs="Times New Roman"/>
                        <w:b/>
                        <w:noProof/>
                        <w:sz w:val="24"/>
                        <w:szCs w:val="24"/>
                      </w:rPr>
                      <w:tab/>
                    </w:r>
                    <w:r w:rsidRPr="005F559C">
                      <w:rPr>
                        <w:rFonts w:ascii="Times New Roman" w:hAnsi="Times New Roman" w:cs="Times New Roman"/>
                        <w:b/>
                        <w:noProof/>
                        <w:sz w:val="24"/>
                        <w:szCs w:val="24"/>
                      </w:rPr>
                      <w:tab/>
                    </w:r>
                    <w:r w:rsidRPr="005F559C">
                      <w:rPr>
                        <w:rFonts w:ascii="Times New Roman" w:hAnsi="Times New Roman" w:cs="Times New Roman"/>
                        <w:b/>
                        <w:noProof/>
                        <w:sz w:val="24"/>
                        <w:szCs w:val="24"/>
                      </w:rPr>
                      <w:tab/>
                    </w:r>
                    <w:r w:rsidRPr="005F559C">
                      <w:rPr>
                        <w:rFonts w:ascii="Times New Roman" w:hAnsi="Times New Roman" w:cs="Times New Roman"/>
                        <w:b/>
                        <w:noProof/>
                        <w:sz w:val="24"/>
                        <w:szCs w:val="24"/>
                      </w:rPr>
                      <w:tab/>
                    </w:r>
                    <w:r w:rsidRPr="005F559C">
                      <w:rPr>
                        <w:rFonts w:ascii="Times New Roman" w:hAnsi="Times New Roman" w:cs="Times New Roman"/>
                        <w:b/>
                        <w:noProof/>
                        <w:sz w:val="24"/>
                        <w:szCs w:val="24"/>
                      </w:rPr>
                      <w:tab/>
                      <w:t xml:space="preserve">Chamber  Application No SC 541/23 </w:t>
                    </w: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251659264" behindDoc="0" locked="0" layoutInCell="0" allowOverlap="1" wp14:anchorId="0B89C883" wp14:editId="3FDDEF8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40678A6A" w14:textId="77777777" w:rsidR="00BF143E" w:rsidRDefault="00BF143E">
                          <w:pPr>
                            <w:spacing w:after="0" w:line="240" w:lineRule="auto"/>
                            <w:rPr>
                              <w:color w:val="FFFFFF" w:themeColor="background1"/>
                            </w:rPr>
                          </w:pPr>
                          <w:r>
                            <w:fldChar w:fldCharType="begin"/>
                          </w:r>
                          <w:r>
                            <w:instrText xml:space="preserve"> PAGE   \* MERGEFORMAT </w:instrText>
                          </w:r>
                          <w:r>
                            <w:fldChar w:fldCharType="separate"/>
                          </w:r>
                          <w:r w:rsidR="00773789" w:rsidRPr="00773789">
                            <w:rPr>
                              <w:noProof/>
                              <w:color w:val="FFFFFF" w:themeColor="background1"/>
                            </w:rPr>
                            <w:t>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B89C883"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40678A6A" w14:textId="77777777" w:rsidR="00BF143E" w:rsidRDefault="00BF143E">
                    <w:pPr>
                      <w:spacing w:after="0" w:line="240" w:lineRule="auto"/>
                      <w:rPr>
                        <w:color w:val="FFFFFF" w:themeColor="background1"/>
                      </w:rPr>
                    </w:pPr>
                    <w:r>
                      <w:fldChar w:fldCharType="begin"/>
                    </w:r>
                    <w:r>
                      <w:instrText xml:space="preserve"> PAGE   \* MERGEFORMAT </w:instrText>
                    </w:r>
                    <w:r>
                      <w:fldChar w:fldCharType="separate"/>
                    </w:r>
                    <w:r w:rsidR="00773789" w:rsidRPr="00773789">
                      <w:rPr>
                        <w:noProof/>
                        <w:color w:val="FFFFFF" w:themeColor="background1"/>
                      </w:rPr>
                      <w:t>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E1D5D"/>
    <w:multiLevelType w:val="hybridMultilevel"/>
    <w:tmpl w:val="01961C90"/>
    <w:lvl w:ilvl="0" w:tplc="77D6C9C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04F68EA"/>
    <w:multiLevelType w:val="hybridMultilevel"/>
    <w:tmpl w:val="843C7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F3CC7"/>
    <w:multiLevelType w:val="hybridMultilevel"/>
    <w:tmpl w:val="DFF8C7B0"/>
    <w:lvl w:ilvl="0" w:tplc="2AF8ECC6">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DD34F2"/>
    <w:multiLevelType w:val="hybridMultilevel"/>
    <w:tmpl w:val="C5A8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162065"/>
    <w:multiLevelType w:val="hybridMultilevel"/>
    <w:tmpl w:val="F72E2F06"/>
    <w:lvl w:ilvl="0" w:tplc="545CB480">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954C7C"/>
    <w:multiLevelType w:val="hybridMultilevel"/>
    <w:tmpl w:val="5BEAAA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A1E"/>
    <w:rsid w:val="000042A8"/>
    <w:rsid w:val="00033AAA"/>
    <w:rsid w:val="00042C3A"/>
    <w:rsid w:val="000552C2"/>
    <w:rsid w:val="00055D05"/>
    <w:rsid w:val="0006272D"/>
    <w:rsid w:val="00062840"/>
    <w:rsid w:val="00062C17"/>
    <w:rsid w:val="00063EEE"/>
    <w:rsid w:val="00067E5F"/>
    <w:rsid w:val="00071C44"/>
    <w:rsid w:val="00096B77"/>
    <w:rsid w:val="000A3F80"/>
    <w:rsid w:val="000A4D33"/>
    <w:rsid w:val="000A5502"/>
    <w:rsid w:val="000B587B"/>
    <w:rsid w:val="000B73DA"/>
    <w:rsid w:val="000C4E66"/>
    <w:rsid w:val="000D7774"/>
    <w:rsid w:val="000E18A2"/>
    <w:rsid w:val="000E62DC"/>
    <w:rsid w:val="000E6E52"/>
    <w:rsid w:val="000F1D7B"/>
    <w:rsid w:val="000F6E12"/>
    <w:rsid w:val="000F75A1"/>
    <w:rsid w:val="0010053C"/>
    <w:rsid w:val="00100A49"/>
    <w:rsid w:val="00115D16"/>
    <w:rsid w:val="00117682"/>
    <w:rsid w:val="00121AD7"/>
    <w:rsid w:val="00135854"/>
    <w:rsid w:val="00142A56"/>
    <w:rsid w:val="00154915"/>
    <w:rsid w:val="00155108"/>
    <w:rsid w:val="001558D0"/>
    <w:rsid w:val="00162A2F"/>
    <w:rsid w:val="0017377D"/>
    <w:rsid w:val="0018122B"/>
    <w:rsid w:val="00195E51"/>
    <w:rsid w:val="001A4565"/>
    <w:rsid w:val="001A49A1"/>
    <w:rsid w:val="001B1D63"/>
    <w:rsid w:val="001B7660"/>
    <w:rsid w:val="001C6BFD"/>
    <w:rsid w:val="001C7022"/>
    <w:rsid w:val="001C7FAF"/>
    <w:rsid w:val="001D324F"/>
    <w:rsid w:val="001D5B7F"/>
    <w:rsid w:val="001E0720"/>
    <w:rsid w:val="001F2123"/>
    <w:rsid w:val="001F2227"/>
    <w:rsid w:val="001F4F33"/>
    <w:rsid w:val="00206554"/>
    <w:rsid w:val="0023148B"/>
    <w:rsid w:val="00232B5B"/>
    <w:rsid w:val="00241A1E"/>
    <w:rsid w:val="002437C9"/>
    <w:rsid w:val="00244FA7"/>
    <w:rsid w:val="0024635C"/>
    <w:rsid w:val="00250F4C"/>
    <w:rsid w:val="0025571C"/>
    <w:rsid w:val="0026258B"/>
    <w:rsid w:val="002746EC"/>
    <w:rsid w:val="002827EA"/>
    <w:rsid w:val="002857E5"/>
    <w:rsid w:val="00292415"/>
    <w:rsid w:val="002A1B03"/>
    <w:rsid w:val="002A2995"/>
    <w:rsid w:val="002A2E23"/>
    <w:rsid w:val="002A2E26"/>
    <w:rsid w:val="002A3EF1"/>
    <w:rsid w:val="002A7F81"/>
    <w:rsid w:val="002B038E"/>
    <w:rsid w:val="002B3DA2"/>
    <w:rsid w:val="002D01B2"/>
    <w:rsid w:val="002D1283"/>
    <w:rsid w:val="002E785C"/>
    <w:rsid w:val="002F1661"/>
    <w:rsid w:val="00304C93"/>
    <w:rsid w:val="003204FB"/>
    <w:rsid w:val="00327F95"/>
    <w:rsid w:val="003516DF"/>
    <w:rsid w:val="003548AF"/>
    <w:rsid w:val="003743F5"/>
    <w:rsid w:val="003763BC"/>
    <w:rsid w:val="003814D9"/>
    <w:rsid w:val="003A16D7"/>
    <w:rsid w:val="003A1921"/>
    <w:rsid w:val="003A5A5C"/>
    <w:rsid w:val="003B0A87"/>
    <w:rsid w:val="003B20F9"/>
    <w:rsid w:val="003B4177"/>
    <w:rsid w:val="003C27CA"/>
    <w:rsid w:val="003C7405"/>
    <w:rsid w:val="003D05D3"/>
    <w:rsid w:val="003D0E78"/>
    <w:rsid w:val="003D6547"/>
    <w:rsid w:val="003E05ED"/>
    <w:rsid w:val="003F1D04"/>
    <w:rsid w:val="003F2A81"/>
    <w:rsid w:val="0040097F"/>
    <w:rsid w:val="004216C4"/>
    <w:rsid w:val="0042282F"/>
    <w:rsid w:val="00423009"/>
    <w:rsid w:val="004269C9"/>
    <w:rsid w:val="00430294"/>
    <w:rsid w:val="00431B4D"/>
    <w:rsid w:val="00437BF3"/>
    <w:rsid w:val="00446352"/>
    <w:rsid w:val="00450B26"/>
    <w:rsid w:val="00451C7F"/>
    <w:rsid w:val="00453919"/>
    <w:rsid w:val="004545F4"/>
    <w:rsid w:val="004567FE"/>
    <w:rsid w:val="00456E49"/>
    <w:rsid w:val="004630F5"/>
    <w:rsid w:val="00463F03"/>
    <w:rsid w:val="0046435C"/>
    <w:rsid w:val="00465409"/>
    <w:rsid w:val="00466EE4"/>
    <w:rsid w:val="0046705D"/>
    <w:rsid w:val="00474D08"/>
    <w:rsid w:val="00474DC4"/>
    <w:rsid w:val="00476E36"/>
    <w:rsid w:val="00483015"/>
    <w:rsid w:val="00483E3B"/>
    <w:rsid w:val="00493922"/>
    <w:rsid w:val="00494754"/>
    <w:rsid w:val="00497A4E"/>
    <w:rsid w:val="004A7230"/>
    <w:rsid w:val="004C31AA"/>
    <w:rsid w:val="004C739F"/>
    <w:rsid w:val="004E01D2"/>
    <w:rsid w:val="004E0DA6"/>
    <w:rsid w:val="004F477A"/>
    <w:rsid w:val="00501271"/>
    <w:rsid w:val="00507A3B"/>
    <w:rsid w:val="00510545"/>
    <w:rsid w:val="00510F9D"/>
    <w:rsid w:val="00512F87"/>
    <w:rsid w:val="00513666"/>
    <w:rsid w:val="00527A7C"/>
    <w:rsid w:val="005303AF"/>
    <w:rsid w:val="005434CF"/>
    <w:rsid w:val="00550C2C"/>
    <w:rsid w:val="00555015"/>
    <w:rsid w:val="0055643E"/>
    <w:rsid w:val="0055771A"/>
    <w:rsid w:val="005648A6"/>
    <w:rsid w:val="00572346"/>
    <w:rsid w:val="00593355"/>
    <w:rsid w:val="005A3254"/>
    <w:rsid w:val="005B4AA6"/>
    <w:rsid w:val="005D1ADF"/>
    <w:rsid w:val="005E6571"/>
    <w:rsid w:val="005F559C"/>
    <w:rsid w:val="005F7626"/>
    <w:rsid w:val="006021AD"/>
    <w:rsid w:val="00605A8D"/>
    <w:rsid w:val="00607D9D"/>
    <w:rsid w:val="00610902"/>
    <w:rsid w:val="00614CF7"/>
    <w:rsid w:val="00623A22"/>
    <w:rsid w:val="00633551"/>
    <w:rsid w:val="0063732D"/>
    <w:rsid w:val="006435E5"/>
    <w:rsid w:val="0064530A"/>
    <w:rsid w:val="0064691D"/>
    <w:rsid w:val="00650818"/>
    <w:rsid w:val="00651E07"/>
    <w:rsid w:val="006525AD"/>
    <w:rsid w:val="00662D23"/>
    <w:rsid w:val="00664253"/>
    <w:rsid w:val="006670BE"/>
    <w:rsid w:val="00670683"/>
    <w:rsid w:val="00671B1C"/>
    <w:rsid w:val="006814A0"/>
    <w:rsid w:val="0069766A"/>
    <w:rsid w:val="006A20A6"/>
    <w:rsid w:val="006C448A"/>
    <w:rsid w:val="006C49CC"/>
    <w:rsid w:val="006E6136"/>
    <w:rsid w:val="006F0C3A"/>
    <w:rsid w:val="006F612B"/>
    <w:rsid w:val="00702C13"/>
    <w:rsid w:val="0070444D"/>
    <w:rsid w:val="00715180"/>
    <w:rsid w:val="0071796E"/>
    <w:rsid w:val="00722416"/>
    <w:rsid w:val="00723C53"/>
    <w:rsid w:val="00742ADF"/>
    <w:rsid w:val="00746841"/>
    <w:rsid w:val="007615F0"/>
    <w:rsid w:val="00761905"/>
    <w:rsid w:val="0077126D"/>
    <w:rsid w:val="00773789"/>
    <w:rsid w:val="00773E06"/>
    <w:rsid w:val="0078244D"/>
    <w:rsid w:val="007939F3"/>
    <w:rsid w:val="007A28E2"/>
    <w:rsid w:val="007B41DA"/>
    <w:rsid w:val="007B48D8"/>
    <w:rsid w:val="007B640B"/>
    <w:rsid w:val="007D7CCF"/>
    <w:rsid w:val="007E319A"/>
    <w:rsid w:val="007E5853"/>
    <w:rsid w:val="007F028A"/>
    <w:rsid w:val="0080552A"/>
    <w:rsid w:val="00805C43"/>
    <w:rsid w:val="00805E9F"/>
    <w:rsid w:val="00806AED"/>
    <w:rsid w:val="008245CF"/>
    <w:rsid w:val="00852171"/>
    <w:rsid w:val="008706C9"/>
    <w:rsid w:val="00872B91"/>
    <w:rsid w:val="008750D6"/>
    <w:rsid w:val="00875C26"/>
    <w:rsid w:val="00880970"/>
    <w:rsid w:val="00881C9F"/>
    <w:rsid w:val="0088316B"/>
    <w:rsid w:val="008869AC"/>
    <w:rsid w:val="00891C6A"/>
    <w:rsid w:val="0089514D"/>
    <w:rsid w:val="00896DCE"/>
    <w:rsid w:val="008A4FD7"/>
    <w:rsid w:val="008A543F"/>
    <w:rsid w:val="008B63A2"/>
    <w:rsid w:val="008B7C9D"/>
    <w:rsid w:val="008C6FD8"/>
    <w:rsid w:val="008F1EC7"/>
    <w:rsid w:val="008F2D36"/>
    <w:rsid w:val="008F400F"/>
    <w:rsid w:val="008F6A23"/>
    <w:rsid w:val="0090072E"/>
    <w:rsid w:val="00900B45"/>
    <w:rsid w:val="00902C6F"/>
    <w:rsid w:val="00903F00"/>
    <w:rsid w:val="009054D5"/>
    <w:rsid w:val="00914C82"/>
    <w:rsid w:val="00917AEB"/>
    <w:rsid w:val="00917EE2"/>
    <w:rsid w:val="00932297"/>
    <w:rsid w:val="009331AC"/>
    <w:rsid w:val="00941C94"/>
    <w:rsid w:val="00952931"/>
    <w:rsid w:val="00952D58"/>
    <w:rsid w:val="00956F96"/>
    <w:rsid w:val="009572ED"/>
    <w:rsid w:val="00962A08"/>
    <w:rsid w:val="0096681D"/>
    <w:rsid w:val="00972AEB"/>
    <w:rsid w:val="009742D1"/>
    <w:rsid w:val="00985348"/>
    <w:rsid w:val="00986BBA"/>
    <w:rsid w:val="00990857"/>
    <w:rsid w:val="00997953"/>
    <w:rsid w:val="009B37FF"/>
    <w:rsid w:val="009B457D"/>
    <w:rsid w:val="009B5104"/>
    <w:rsid w:val="009B6828"/>
    <w:rsid w:val="009B7BD4"/>
    <w:rsid w:val="009C77F1"/>
    <w:rsid w:val="009C7CC7"/>
    <w:rsid w:val="009D18A8"/>
    <w:rsid w:val="009D1E5E"/>
    <w:rsid w:val="009D24A2"/>
    <w:rsid w:val="009D3875"/>
    <w:rsid w:val="009E3749"/>
    <w:rsid w:val="009E3FEC"/>
    <w:rsid w:val="009E410E"/>
    <w:rsid w:val="009F7C51"/>
    <w:rsid w:val="00A0253E"/>
    <w:rsid w:val="00A03C52"/>
    <w:rsid w:val="00A0691D"/>
    <w:rsid w:val="00A06F0B"/>
    <w:rsid w:val="00A07BB6"/>
    <w:rsid w:val="00A12DC0"/>
    <w:rsid w:val="00A220FF"/>
    <w:rsid w:val="00A23F8D"/>
    <w:rsid w:val="00A2437A"/>
    <w:rsid w:val="00A244E4"/>
    <w:rsid w:val="00A406F1"/>
    <w:rsid w:val="00A423C6"/>
    <w:rsid w:val="00A453AA"/>
    <w:rsid w:val="00A4687A"/>
    <w:rsid w:val="00A471EA"/>
    <w:rsid w:val="00A503E9"/>
    <w:rsid w:val="00A77A05"/>
    <w:rsid w:val="00A822D6"/>
    <w:rsid w:val="00A844FA"/>
    <w:rsid w:val="00A84BC2"/>
    <w:rsid w:val="00A95041"/>
    <w:rsid w:val="00AA3317"/>
    <w:rsid w:val="00AB779F"/>
    <w:rsid w:val="00AC0314"/>
    <w:rsid w:val="00AD1834"/>
    <w:rsid w:val="00AD2360"/>
    <w:rsid w:val="00AD704D"/>
    <w:rsid w:val="00AE3A47"/>
    <w:rsid w:val="00AE587B"/>
    <w:rsid w:val="00AF0C8F"/>
    <w:rsid w:val="00AF4ED6"/>
    <w:rsid w:val="00AF5E0A"/>
    <w:rsid w:val="00B138AA"/>
    <w:rsid w:val="00B17A6B"/>
    <w:rsid w:val="00B20463"/>
    <w:rsid w:val="00B223FE"/>
    <w:rsid w:val="00B30862"/>
    <w:rsid w:val="00B325E1"/>
    <w:rsid w:val="00B32E8D"/>
    <w:rsid w:val="00B42842"/>
    <w:rsid w:val="00B434E2"/>
    <w:rsid w:val="00B56406"/>
    <w:rsid w:val="00B60D7D"/>
    <w:rsid w:val="00B67C20"/>
    <w:rsid w:val="00B67FD5"/>
    <w:rsid w:val="00B731FD"/>
    <w:rsid w:val="00B737CC"/>
    <w:rsid w:val="00B74A89"/>
    <w:rsid w:val="00B8204C"/>
    <w:rsid w:val="00B90CBC"/>
    <w:rsid w:val="00B964AA"/>
    <w:rsid w:val="00BA1B0A"/>
    <w:rsid w:val="00BB632D"/>
    <w:rsid w:val="00BC639B"/>
    <w:rsid w:val="00BD6710"/>
    <w:rsid w:val="00BE0416"/>
    <w:rsid w:val="00BE65E7"/>
    <w:rsid w:val="00BF143E"/>
    <w:rsid w:val="00BF6ADA"/>
    <w:rsid w:val="00C03FD2"/>
    <w:rsid w:val="00C0667C"/>
    <w:rsid w:val="00C07549"/>
    <w:rsid w:val="00C12E7E"/>
    <w:rsid w:val="00C3284B"/>
    <w:rsid w:val="00C32E5D"/>
    <w:rsid w:val="00C32F45"/>
    <w:rsid w:val="00C33537"/>
    <w:rsid w:val="00C47084"/>
    <w:rsid w:val="00C537F3"/>
    <w:rsid w:val="00C53FAA"/>
    <w:rsid w:val="00C563D8"/>
    <w:rsid w:val="00C73513"/>
    <w:rsid w:val="00C757E5"/>
    <w:rsid w:val="00C92D6F"/>
    <w:rsid w:val="00CA3FA4"/>
    <w:rsid w:val="00CD2437"/>
    <w:rsid w:val="00CD612A"/>
    <w:rsid w:val="00CD77E6"/>
    <w:rsid w:val="00D070CA"/>
    <w:rsid w:val="00D1566A"/>
    <w:rsid w:val="00D17BE8"/>
    <w:rsid w:val="00D206A7"/>
    <w:rsid w:val="00D21F76"/>
    <w:rsid w:val="00D3499C"/>
    <w:rsid w:val="00D416CF"/>
    <w:rsid w:val="00D426FC"/>
    <w:rsid w:val="00D42EBF"/>
    <w:rsid w:val="00D501E9"/>
    <w:rsid w:val="00D55EEE"/>
    <w:rsid w:val="00D80C2A"/>
    <w:rsid w:val="00D96B67"/>
    <w:rsid w:val="00DA4E12"/>
    <w:rsid w:val="00DA687E"/>
    <w:rsid w:val="00DB20BF"/>
    <w:rsid w:val="00DB30EF"/>
    <w:rsid w:val="00DB51E9"/>
    <w:rsid w:val="00DB6AFD"/>
    <w:rsid w:val="00DC3DAE"/>
    <w:rsid w:val="00DC43AA"/>
    <w:rsid w:val="00DD1B50"/>
    <w:rsid w:val="00DE16E5"/>
    <w:rsid w:val="00DE6761"/>
    <w:rsid w:val="00DF640B"/>
    <w:rsid w:val="00DF6DE9"/>
    <w:rsid w:val="00E10C2D"/>
    <w:rsid w:val="00E1344F"/>
    <w:rsid w:val="00E17345"/>
    <w:rsid w:val="00E36A5C"/>
    <w:rsid w:val="00E40C48"/>
    <w:rsid w:val="00E5527B"/>
    <w:rsid w:val="00E56985"/>
    <w:rsid w:val="00E61DC5"/>
    <w:rsid w:val="00E673CB"/>
    <w:rsid w:val="00E74487"/>
    <w:rsid w:val="00E808D9"/>
    <w:rsid w:val="00E80E35"/>
    <w:rsid w:val="00E8243D"/>
    <w:rsid w:val="00E96B41"/>
    <w:rsid w:val="00EA799C"/>
    <w:rsid w:val="00EE28DC"/>
    <w:rsid w:val="00EE7A51"/>
    <w:rsid w:val="00EF36EC"/>
    <w:rsid w:val="00F0182B"/>
    <w:rsid w:val="00F3153C"/>
    <w:rsid w:val="00F3194D"/>
    <w:rsid w:val="00F34FDE"/>
    <w:rsid w:val="00F439E2"/>
    <w:rsid w:val="00F51B5F"/>
    <w:rsid w:val="00F521CA"/>
    <w:rsid w:val="00F548C2"/>
    <w:rsid w:val="00F55586"/>
    <w:rsid w:val="00F5625B"/>
    <w:rsid w:val="00F60E7B"/>
    <w:rsid w:val="00F6325D"/>
    <w:rsid w:val="00F84B13"/>
    <w:rsid w:val="00F84C7D"/>
    <w:rsid w:val="00F86183"/>
    <w:rsid w:val="00F86A87"/>
    <w:rsid w:val="00F94DBD"/>
    <w:rsid w:val="00FA476F"/>
    <w:rsid w:val="00FA57BF"/>
    <w:rsid w:val="00FA5B46"/>
    <w:rsid w:val="00FA720E"/>
    <w:rsid w:val="00FB092D"/>
    <w:rsid w:val="00FC0C81"/>
    <w:rsid w:val="00FC2111"/>
    <w:rsid w:val="00FC3E58"/>
    <w:rsid w:val="00FD2E07"/>
    <w:rsid w:val="00FD5EDD"/>
    <w:rsid w:val="00FD7900"/>
    <w:rsid w:val="00FF2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B3070"/>
  <w15:chartTrackingRefBased/>
  <w15:docId w15:val="{C3C834F1-BF76-42EC-B141-8EC7C3F49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9C9"/>
    <w:pPr>
      <w:ind w:left="720"/>
      <w:contextualSpacing/>
    </w:pPr>
  </w:style>
  <w:style w:type="paragraph" w:styleId="Header">
    <w:name w:val="header"/>
    <w:basedOn w:val="Normal"/>
    <w:link w:val="HeaderChar"/>
    <w:uiPriority w:val="99"/>
    <w:unhideWhenUsed/>
    <w:rsid w:val="00805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E9F"/>
  </w:style>
  <w:style w:type="paragraph" w:styleId="Footer">
    <w:name w:val="footer"/>
    <w:basedOn w:val="Normal"/>
    <w:link w:val="FooterChar"/>
    <w:uiPriority w:val="99"/>
    <w:unhideWhenUsed/>
    <w:rsid w:val="00805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E9F"/>
  </w:style>
  <w:style w:type="paragraph" w:customStyle="1" w:styleId="Default">
    <w:name w:val="Default"/>
    <w:rsid w:val="00FC0C81"/>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195E51"/>
    <w:pPr>
      <w:spacing w:after="0" w:line="240" w:lineRule="auto"/>
    </w:pPr>
  </w:style>
  <w:style w:type="paragraph" w:styleId="Revision">
    <w:name w:val="Revision"/>
    <w:hidden/>
    <w:uiPriority w:val="99"/>
    <w:semiHidden/>
    <w:rsid w:val="00121A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40FF5-C574-4E86-B9E9-692E89892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2490</Words>
  <Characters>14196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usr</cp:lastModifiedBy>
  <cp:revision>9</cp:revision>
  <dcterms:created xsi:type="dcterms:W3CDTF">2024-03-04T09:22:00Z</dcterms:created>
  <dcterms:modified xsi:type="dcterms:W3CDTF">2024-03-04T13:34:00Z</dcterms:modified>
</cp:coreProperties>
</file>