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133C" w14:textId="61367778" w:rsidR="008E47A1" w:rsidRPr="008F1538" w:rsidRDefault="008F1538" w:rsidP="00BC1BAA">
      <w:pPr>
        <w:spacing w:line="360" w:lineRule="auto"/>
        <w:jc w:val="both"/>
        <w:rPr>
          <w:rFonts w:ascii="Times New Roman" w:hAnsi="Times New Roman" w:cs="Times New Roman"/>
          <w:b/>
          <w:sz w:val="24"/>
          <w:szCs w:val="24"/>
        </w:rPr>
      </w:pPr>
      <w:r w:rsidRPr="008F1538">
        <w:rPr>
          <w:rFonts w:ascii="Times New Roman" w:hAnsi="Times New Roman" w:cs="Times New Roman"/>
          <w:b/>
          <w:sz w:val="24"/>
          <w:szCs w:val="24"/>
          <w:u w:val="single"/>
        </w:rPr>
        <w:t>REPORTABLE</w:t>
      </w:r>
      <w:r w:rsidRPr="008F1538">
        <w:rPr>
          <w:rFonts w:ascii="Times New Roman" w:hAnsi="Times New Roman" w:cs="Times New Roman"/>
          <w:sz w:val="24"/>
          <w:szCs w:val="24"/>
        </w:rPr>
        <w:tab/>
      </w:r>
      <w:r w:rsidRPr="008F1538">
        <w:rPr>
          <w:rFonts w:ascii="Times New Roman" w:hAnsi="Times New Roman" w:cs="Times New Roman"/>
          <w:b/>
          <w:sz w:val="24"/>
          <w:szCs w:val="24"/>
        </w:rPr>
        <w:t>(</w:t>
      </w:r>
      <w:r w:rsidR="00FB71B4">
        <w:rPr>
          <w:rFonts w:ascii="Times New Roman" w:hAnsi="Times New Roman" w:cs="Times New Roman"/>
          <w:b/>
          <w:sz w:val="24"/>
          <w:szCs w:val="24"/>
        </w:rPr>
        <w:t>12</w:t>
      </w:r>
      <w:r w:rsidRPr="008F1538">
        <w:rPr>
          <w:rFonts w:ascii="Times New Roman" w:hAnsi="Times New Roman" w:cs="Times New Roman"/>
          <w:b/>
          <w:sz w:val="24"/>
          <w:szCs w:val="24"/>
        </w:rPr>
        <w:t>)</w:t>
      </w:r>
    </w:p>
    <w:p w14:paraId="3B5B772E" w14:textId="77777777" w:rsidR="008F1538" w:rsidRDefault="008F1538" w:rsidP="008C48BE">
      <w:pPr>
        <w:spacing w:line="276" w:lineRule="auto"/>
        <w:jc w:val="center"/>
        <w:rPr>
          <w:rFonts w:ascii="Times New Roman" w:hAnsi="Times New Roman" w:cs="Times New Roman"/>
          <w:b/>
          <w:bCs/>
          <w:sz w:val="25"/>
          <w:szCs w:val="25"/>
        </w:rPr>
      </w:pPr>
    </w:p>
    <w:p w14:paraId="3203CF7F" w14:textId="5DBD22F2" w:rsidR="008E47A1" w:rsidRPr="009E0083" w:rsidRDefault="008F1538" w:rsidP="008F1538">
      <w:pPr>
        <w:spacing w:after="0" w:line="276" w:lineRule="auto"/>
        <w:jc w:val="center"/>
        <w:rPr>
          <w:rFonts w:ascii="Times New Roman" w:hAnsi="Times New Roman" w:cs="Times New Roman"/>
          <w:b/>
          <w:bCs/>
          <w:sz w:val="24"/>
          <w:szCs w:val="24"/>
        </w:rPr>
      </w:pPr>
      <w:r w:rsidRPr="009E0083">
        <w:rPr>
          <w:rFonts w:ascii="Times New Roman" w:hAnsi="Times New Roman" w:cs="Times New Roman"/>
          <w:b/>
          <w:bCs/>
          <w:sz w:val="24"/>
          <w:szCs w:val="24"/>
        </w:rPr>
        <w:t xml:space="preserve">FELIX     </w:t>
      </w:r>
      <w:r w:rsidR="008E47A1" w:rsidRPr="009E0083">
        <w:rPr>
          <w:rFonts w:ascii="Times New Roman" w:hAnsi="Times New Roman" w:cs="Times New Roman"/>
          <w:b/>
          <w:bCs/>
          <w:sz w:val="24"/>
          <w:szCs w:val="24"/>
        </w:rPr>
        <w:t>DZUMBUNU</w:t>
      </w:r>
    </w:p>
    <w:p w14:paraId="36BB6F78" w14:textId="6071A814" w:rsidR="008E47A1" w:rsidRPr="009E0083" w:rsidRDefault="006870FF" w:rsidP="008F1538">
      <w:pPr>
        <w:spacing w:after="0" w:line="276" w:lineRule="auto"/>
        <w:jc w:val="center"/>
        <w:rPr>
          <w:rFonts w:ascii="Times New Roman" w:hAnsi="Times New Roman" w:cs="Times New Roman"/>
          <w:b/>
          <w:bCs/>
          <w:sz w:val="24"/>
          <w:szCs w:val="24"/>
        </w:rPr>
      </w:pPr>
      <w:r w:rsidRPr="009E0083">
        <w:rPr>
          <w:rFonts w:ascii="Times New Roman" w:hAnsi="Times New Roman" w:cs="Times New Roman"/>
          <w:b/>
          <w:bCs/>
          <w:sz w:val="24"/>
          <w:szCs w:val="24"/>
        </w:rPr>
        <w:t>v</w:t>
      </w:r>
    </w:p>
    <w:p w14:paraId="10C0F12F" w14:textId="01922C89" w:rsidR="008E47A1" w:rsidRPr="009E0083" w:rsidRDefault="008F1538" w:rsidP="008F1538">
      <w:pPr>
        <w:pStyle w:val="ListParagraph"/>
        <w:numPr>
          <w:ilvl w:val="0"/>
          <w:numId w:val="25"/>
        </w:numPr>
        <w:spacing w:line="276" w:lineRule="auto"/>
        <w:jc w:val="center"/>
        <w:rPr>
          <w:rFonts w:ascii="Times New Roman" w:hAnsi="Times New Roman" w:cs="Times New Roman"/>
          <w:b/>
          <w:bCs/>
          <w:sz w:val="24"/>
          <w:szCs w:val="24"/>
        </w:rPr>
      </w:pPr>
      <w:r w:rsidRPr="009E0083">
        <w:rPr>
          <w:rFonts w:ascii="Times New Roman" w:hAnsi="Times New Roman" w:cs="Times New Roman"/>
          <w:b/>
          <w:bCs/>
          <w:sz w:val="24"/>
          <w:szCs w:val="24"/>
        </w:rPr>
        <w:t xml:space="preserve">    BATANDI     MICHAEL     </w:t>
      </w:r>
      <w:r w:rsidR="008E47A1" w:rsidRPr="009E0083">
        <w:rPr>
          <w:rFonts w:ascii="Times New Roman" w:hAnsi="Times New Roman" w:cs="Times New Roman"/>
          <w:b/>
          <w:bCs/>
          <w:sz w:val="24"/>
          <w:szCs w:val="24"/>
        </w:rPr>
        <w:t>MPOFU</w:t>
      </w:r>
      <w:r w:rsidRPr="009E0083">
        <w:rPr>
          <w:rFonts w:ascii="Times New Roman" w:hAnsi="Times New Roman" w:cs="Times New Roman"/>
          <w:b/>
          <w:bCs/>
          <w:sz w:val="24"/>
          <w:szCs w:val="24"/>
        </w:rPr>
        <w:t xml:space="preserve">     </w:t>
      </w:r>
      <w:r w:rsidR="00C90393" w:rsidRPr="009E0083">
        <w:rPr>
          <w:rFonts w:ascii="Times New Roman" w:hAnsi="Times New Roman" w:cs="Times New Roman"/>
          <w:b/>
          <w:bCs/>
          <w:sz w:val="24"/>
          <w:szCs w:val="24"/>
        </w:rPr>
        <w:t>N.O.</w:t>
      </w:r>
      <w:r w:rsidRPr="009E0083">
        <w:rPr>
          <w:rFonts w:ascii="Times New Roman" w:hAnsi="Times New Roman" w:cs="Times New Roman"/>
          <w:b/>
          <w:bCs/>
          <w:sz w:val="24"/>
          <w:szCs w:val="24"/>
        </w:rPr>
        <w:t xml:space="preserve">     (2)     </w:t>
      </w:r>
      <w:r w:rsidR="008E47A1" w:rsidRPr="009E0083">
        <w:rPr>
          <w:rFonts w:ascii="Times New Roman" w:hAnsi="Times New Roman" w:cs="Times New Roman"/>
          <w:b/>
          <w:bCs/>
          <w:sz w:val="24"/>
          <w:szCs w:val="24"/>
        </w:rPr>
        <w:t xml:space="preserve">CHIKOTI </w:t>
      </w:r>
      <w:r w:rsidR="00FB71B4" w:rsidRPr="009E0083">
        <w:rPr>
          <w:rFonts w:ascii="Times New Roman" w:hAnsi="Times New Roman" w:cs="Times New Roman"/>
          <w:b/>
          <w:bCs/>
          <w:sz w:val="24"/>
          <w:szCs w:val="24"/>
        </w:rPr>
        <w:t xml:space="preserve">    </w:t>
      </w:r>
      <w:r w:rsidR="008E47A1" w:rsidRPr="009E0083">
        <w:rPr>
          <w:rFonts w:ascii="Times New Roman" w:hAnsi="Times New Roman" w:cs="Times New Roman"/>
          <w:b/>
          <w:bCs/>
          <w:sz w:val="24"/>
          <w:szCs w:val="24"/>
        </w:rPr>
        <w:t>DORO</w:t>
      </w:r>
    </w:p>
    <w:p w14:paraId="5AF15BCE" w14:textId="348B250F" w:rsidR="008E47A1" w:rsidRPr="009E0083" w:rsidRDefault="008F1538" w:rsidP="008F1538">
      <w:pPr>
        <w:pStyle w:val="ListParagraph"/>
        <w:numPr>
          <w:ilvl w:val="0"/>
          <w:numId w:val="26"/>
        </w:numPr>
        <w:spacing w:line="276" w:lineRule="auto"/>
        <w:jc w:val="center"/>
        <w:rPr>
          <w:rFonts w:ascii="Times New Roman" w:hAnsi="Times New Roman" w:cs="Times New Roman"/>
          <w:b/>
          <w:bCs/>
          <w:sz w:val="24"/>
          <w:szCs w:val="24"/>
        </w:rPr>
      </w:pPr>
      <w:r w:rsidRPr="009E0083">
        <w:rPr>
          <w:rFonts w:ascii="Times New Roman" w:hAnsi="Times New Roman" w:cs="Times New Roman"/>
          <w:b/>
          <w:bCs/>
          <w:sz w:val="24"/>
          <w:szCs w:val="24"/>
        </w:rPr>
        <w:t xml:space="preserve">    </w:t>
      </w:r>
      <w:r w:rsidR="00D4462A" w:rsidRPr="009E0083">
        <w:rPr>
          <w:rFonts w:ascii="Times New Roman" w:hAnsi="Times New Roman" w:cs="Times New Roman"/>
          <w:b/>
          <w:bCs/>
          <w:sz w:val="24"/>
          <w:szCs w:val="24"/>
        </w:rPr>
        <w:t xml:space="preserve">MASTER     OF     THE     HIGH     COURT     OF     </w:t>
      </w:r>
      <w:r w:rsidR="008E47A1" w:rsidRPr="009E0083">
        <w:rPr>
          <w:rFonts w:ascii="Times New Roman" w:hAnsi="Times New Roman" w:cs="Times New Roman"/>
          <w:b/>
          <w:bCs/>
          <w:sz w:val="24"/>
          <w:szCs w:val="24"/>
        </w:rPr>
        <w:t>ZIMBABWE</w:t>
      </w:r>
    </w:p>
    <w:p w14:paraId="3D9D8063" w14:textId="77777777" w:rsidR="008F1538" w:rsidRPr="009E0083" w:rsidRDefault="008F1538" w:rsidP="008C48BE">
      <w:pPr>
        <w:spacing w:line="276" w:lineRule="auto"/>
        <w:rPr>
          <w:rFonts w:ascii="Times New Roman" w:hAnsi="Times New Roman" w:cs="Times New Roman"/>
          <w:sz w:val="24"/>
          <w:szCs w:val="24"/>
        </w:rPr>
      </w:pPr>
    </w:p>
    <w:p w14:paraId="5E531B92" w14:textId="77777777" w:rsidR="008F1538" w:rsidRDefault="008F1538" w:rsidP="009374DC">
      <w:pPr>
        <w:spacing w:after="0" w:line="240" w:lineRule="auto"/>
        <w:rPr>
          <w:rFonts w:ascii="Times New Roman" w:hAnsi="Times New Roman" w:cs="Times New Roman"/>
          <w:sz w:val="25"/>
          <w:szCs w:val="25"/>
        </w:rPr>
      </w:pPr>
    </w:p>
    <w:p w14:paraId="35FE28BD" w14:textId="74E36D7B" w:rsidR="008E47A1" w:rsidRPr="008F1538" w:rsidRDefault="008E47A1" w:rsidP="008F1538">
      <w:pPr>
        <w:spacing w:after="0" w:line="276" w:lineRule="auto"/>
        <w:rPr>
          <w:rFonts w:ascii="Times New Roman" w:hAnsi="Times New Roman" w:cs="Times New Roman"/>
          <w:b/>
          <w:bCs/>
          <w:sz w:val="24"/>
          <w:szCs w:val="24"/>
        </w:rPr>
      </w:pPr>
      <w:r w:rsidRPr="008F1538">
        <w:rPr>
          <w:rFonts w:ascii="Times New Roman" w:hAnsi="Times New Roman" w:cs="Times New Roman"/>
          <w:b/>
          <w:bCs/>
          <w:sz w:val="24"/>
          <w:szCs w:val="24"/>
        </w:rPr>
        <w:t xml:space="preserve">SUPREME COURT OF ZIMBABWE </w:t>
      </w:r>
    </w:p>
    <w:p w14:paraId="726DAF1A" w14:textId="1F64F352" w:rsidR="008E47A1" w:rsidRPr="008F1538" w:rsidRDefault="008E47A1" w:rsidP="008F1538">
      <w:pPr>
        <w:spacing w:after="0" w:line="276" w:lineRule="auto"/>
        <w:rPr>
          <w:rFonts w:ascii="Times New Roman" w:hAnsi="Times New Roman" w:cs="Times New Roman"/>
          <w:b/>
          <w:bCs/>
          <w:sz w:val="24"/>
          <w:szCs w:val="24"/>
        </w:rPr>
      </w:pPr>
      <w:r w:rsidRPr="008F1538">
        <w:rPr>
          <w:rFonts w:ascii="Times New Roman" w:hAnsi="Times New Roman" w:cs="Times New Roman"/>
          <w:b/>
          <w:bCs/>
          <w:sz w:val="24"/>
          <w:szCs w:val="24"/>
        </w:rPr>
        <w:t>GUVAVA JA, MAVANGIRA JA &amp; CHITAKUNYE JA</w:t>
      </w:r>
    </w:p>
    <w:p w14:paraId="53EBFD65" w14:textId="11DD3B1C" w:rsidR="008E47A1" w:rsidRPr="008F1538" w:rsidRDefault="008E47A1" w:rsidP="004F106B">
      <w:pPr>
        <w:spacing w:after="0" w:line="240" w:lineRule="auto"/>
        <w:rPr>
          <w:rFonts w:ascii="Times New Roman" w:hAnsi="Times New Roman" w:cs="Times New Roman"/>
          <w:b/>
          <w:bCs/>
          <w:sz w:val="24"/>
          <w:szCs w:val="24"/>
        </w:rPr>
      </w:pPr>
      <w:r w:rsidRPr="008F1538">
        <w:rPr>
          <w:rFonts w:ascii="Times New Roman" w:hAnsi="Times New Roman" w:cs="Times New Roman"/>
          <w:b/>
          <w:bCs/>
          <w:sz w:val="24"/>
          <w:szCs w:val="24"/>
        </w:rPr>
        <w:t>BULAWAYO</w:t>
      </w:r>
      <w:r w:rsidR="008F1538" w:rsidRPr="008F1538">
        <w:rPr>
          <w:rFonts w:ascii="Times New Roman" w:hAnsi="Times New Roman" w:cs="Times New Roman"/>
          <w:b/>
          <w:bCs/>
          <w:sz w:val="24"/>
          <w:szCs w:val="24"/>
        </w:rPr>
        <w:t>:</w:t>
      </w:r>
      <w:r w:rsidRPr="008F1538">
        <w:rPr>
          <w:rFonts w:ascii="Times New Roman" w:hAnsi="Times New Roman" w:cs="Times New Roman"/>
          <w:b/>
          <w:bCs/>
          <w:sz w:val="24"/>
          <w:szCs w:val="24"/>
        </w:rPr>
        <w:t xml:space="preserve"> 17 NOVEMBER 2022</w:t>
      </w:r>
      <w:r w:rsidR="00CE5AE0">
        <w:rPr>
          <w:rFonts w:ascii="Times New Roman" w:hAnsi="Times New Roman" w:cs="Times New Roman"/>
          <w:b/>
          <w:bCs/>
          <w:sz w:val="24"/>
          <w:szCs w:val="24"/>
        </w:rPr>
        <w:t xml:space="preserve"> </w:t>
      </w:r>
    </w:p>
    <w:p w14:paraId="57F28672" w14:textId="77777777" w:rsidR="004F106B" w:rsidRDefault="004F106B" w:rsidP="004F106B">
      <w:pPr>
        <w:spacing w:line="240" w:lineRule="auto"/>
        <w:rPr>
          <w:rFonts w:ascii="Times New Roman" w:hAnsi="Times New Roman" w:cs="Times New Roman"/>
          <w:i/>
          <w:sz w:val="25"/>
          <w:szCs w:val="25"/>
        </w:rPr>
      </w:pPr>
    </w:p>
    <w:p w14:paraId="0E1CB84E" w14:textId="77777777" w:rsidR="004F106B" w:rsidRDefault="004F106B" w:rsidP="009374DC">
      <w:pPr>
        <w:spacing w:line="240" w:lineRule="auto"/>
        <w:rPr>
          <w:rFonts w:ascii="Times New Roman" w:hAnsi="Times New Roman" w:cs="Times New Roman"/>
          <w:i/>
          <w:sz w:val="25"/>
          <w:szCs w:val="25"/>
        </w:rPr>
      </w:pPr>
    </w:p>
    <w:p w14:paraId="2BFAE033" w14:textId="63DC3BAD" w:rsidR="008E47A1" w:rsidRPr="009E0083" w:rsidRDefault="008E47A1" w:rsidP="009374DC">
      <w:pPr>
        <w:spacing w:line="240" w:lineRule="auto"/>
        <w:rPr>
          <w:rFonts w:ascii="Times New Roman" w:hAnsi="Times New Roman" w:cs="Times New Roman"/>
          <w:sz w:val="24"/>
          <w:szCs w:val="24"/>
        </w:rPr>
      </w:pPr>
      <w:r w:rsidRPr="009E0083">
        <w:rPr>
          <w:rFonts w:ascii="Times New Roman" w:hAnsi="Times New Roman" w:cs="Times New Roman"/>
          <w:i/>
          <w:sz w:val="24"/>
          <w:szCs w:val="24"/>
        </w:rPr>
        <w:t>G. Nyoni</w:t>
      </w:r>
      <w:r w:rsidRPr="009E0083">
        <w:rPr>
          <w:rFonts w:ascii="Times New Roman" w:hAnsi="Times New Roman" w:cs="Times New Roman"/>
          <w:sz w:val="24"/>
          <w:szCs w:val="24"/>
        </w:rPr>
        <w:t xml:space="preserve"> with </w:t>
      </w:r>
      <w:r w:rsidRPr="009E0083">
        <w:rPr>
          <w:rFonts w:ascii="Times New Roman" w:hAnsi="Times New Roman" w:cs="Times New Roman"/>
          <w:i/>
          <w:sz w:val="24"/>
          <w:szCs w:val="24"/>
        </w:rPr>
        <w:t xml:space="preserve">J.B. </w:t>
      </w:r>
      <w:proofErr w:type="spellStart"/>
      <w:r w:rsidRPr="009E0083">
        <w:rPr>
          <w:rFonts w:ascii="Times New Roman" w:hAnsi="Times New Roman" w:cs="Times New Roman"/>
          <w:i/>
          <w:sz w:val="24"/>
          <w:szCs w:val="24"/>
        </w:rPr>
        <w:t>Ndubiwa</w:t>
      </w:r>
      <w:proofErr w:type="spellEnd"/>
      <w:r w:rsidR="008F1538" w:rsidRPr="009E0083">
        <w:rPr>
          <w:rFonts w:ascii="Times New Roman" w:hAnsi="Times New Roman" w:cs="Times New Roman"/>
          <w:i/>
          <w:sz w:val="24"/>
          <w:szCs w:val="24"/>
        </w:rPr>
        <w:t>,</w:t>
      </w:r>
      <w:r w:rsidRPr="009E0083">
        <w:rPr>
          <w:rFonts w:ascii="Times New Roman" w:hAnsi="Times New Roman" w:cs="Times New Roman"/>
          <w:sz w:val="24"/>
          <w:szCs w:val="24"/>
        </w:rPr>
        <w:t xml:space="preserve"> for the appellant</w:t>
      </w:r>
    </w:p>
    <w:p w14:paraId="0F24CD46" w14:textId="77777777" w:rsidR="00FB71B4" w:rsidRPr="009E0083" w:rsidRDefault="006870FF" w:rsidP="009374DC">
      <w:pPr>
        <w:spacing w:line="240" w:lineRule="auto"/>
        <w:rPr>
          <w:rFonts w:ascii="Times New Roman" w:hAnsi="Times New Roman" w:cs="Times New Roman"/>
          <w:sz w:val="24"/>
          <w:szCs w:val="24"/>
        </w:rPr>
      </w:pPr>
      <w:r w:rsidRPr="009E0083">
        <w:rPr>
          <w:rFonts w:ascii="Times New Roman" w:hAnsi="Times New Roman" w:cs="Times New Roman"/>
          <w:i/>
          <w:sz w:val="24"/>
          <w:szCs w:val="24"/>
        </w:rPr>
        <w:t>S. Siziba</w:t>
      </w:r>
      <w:r w:rsidR="008F1538" w:rsidRPr="009E0083">
        <w:rPr>
          <w:rFonts w:ascii="Times New Roman" w:hAnsi="Times New Roman" w:cs="Times New Roman"/>
          <w:i/>
          <w:sz w:val="24"/>
          <w:szCs w:val="24"/>
        </w:rPr>
        <w:t>,</w:t>
      </w:r>
      <w:r w:rsidRPr="009E0083">
        <w:rPr>
          <w:rFonts w:ascii="Times New Roman" w:hAnsi="Times New Roman" w:cs="Times New Roman"/>
          <w:sz w:val="24"/>
          <w:szCs w:val="24"/>
        </w:rPr>
        <w:t xml:space="preserve"> for the first respondent</w:t>
      </w:r>
    </w:p>
    <w:p w14:paraId="7CCF7ECA" w14:textId="11E3A9E9" w:rsidR="006870FF" w:rsidRPr="009E0083" w:rsidRDefault="006870FF" w:rsidP="009374DC">
      <w:pPr>
        <w:spacing w:line="240" w:lineRule="auto"/>
        <w:rPr>
          <w:rFonts w:ascii="Times New Roman" w:hAnsi="Times New Roman" w:cs="Times New Roman"/>
          <w:sz w:val="24"/>
          <w:szCs w:val="24"/>
        </w:rPr>
      </w:pPr>
      <w:r w:rsidRPr="009E0083">
        <w:rPr>
          <w:rFonts w:ascii="Times New Roman" w:hAnsi="Times New Roman" w:cs="Times New Roman"/>
          <w:i/>
          <w:sz w:val="24"/>
          <w:szCs w:val="24"/>
        </w:rPr>
        <w:t xml:space="preserve">D. </w:t>
      </w:r>
      <w:proofErr w:type="spellStart"/>
      <w:r w:rsidRPr="009E0083">
        <w:rPr>
          <w:rFonts w:ascii="Times New Roman" w:hAnsi="Times New Roman" w:cs="Times New Roman"/>
          <w:i/>
          <w:sz w:val="24"/>
          <w:szCs w:val="24"/>
        </w:rPr>
        <w:t>Nyaningwe</w:t>
      </w:r>
      <w:proofErr w:type="spellEnd"/>
      <w:r w:rsidR="008F1538" w:rsidRPr="009E0083">
        <w:rPr>
          <w:rFonts w:ascii="Times New Roman" w:hAnsi="Times New Roman" w:cs="Times New Roman"/>
          <w:i/>
          <w:sz w:val="24"/>
          <w:szCs w:val="24"/>
        </w:rPr>
        <w:t>,</w:t>
      </w:r>
      <w:r w:rsidRPr="009E0083">
        <w:rPr>
          <w:rFonts w:ascii="Times New Roman" w:hAnsi="Times New Roman" w:cs="Times New Roman"/>
          <w:sz w:val="24"/>
          <w:szCs w:val="24"/>
        </w:rPr>
        <w:t xml:space="preserve"> for the second respondent</w:t>
      </w:r>
    </w:p>
    <w:p w14:paraId="146B8973" w14:textId="689C159B" w:rsidR="006870FF" w:rsidRPr="009E0083" w:rsidRDefault="006870FF" w:rsidP="009374DC">
      <w:pPr>
        <w:spacing w:line="240" w:lineRule="auto"/>
        <w:rPr>
          <w:rFonts w:ascii="Times New Roman" w:hAnsi="Times New Roman" w:cs="Times New Roman"/>
          <w:sz w:val="24"/>
          <w:szCs w:val="24"/>
        </w:rPr>
      </w:pPr>
      <w:r w:rsidRPr="009E0083">
        <w:rPr>
          <w:rFonts w:ascii="Times New Roman" w:hAnsi="Times New Roman" w:cs="Times New Roman"/>
          <w:sz w:val="24"/>
          <w:szCs w:val="24"/>
        </w:rPr>
        <w:t>No appearance for the third respondent</w:t>
      </w:r>
    </w:p>
    <w:p w14:paraId="4B618A10" w14:textId="77777777" w:rsidR="008E47A1" w:rsidRPr="008C48BE" w:rsidRDefault="008E47A1" w:rsidP="008E47A1">
      <w:pPr>
        <w:spacing w:line="360" w:lineRule="auto"/>
        <w:jc w:val="center"/>
        <w:rPr>
          <w:rFonts w:ascii="Times New Roman" w:hAnsi="Times New Roman" w:cs="Times New Roman"/>
          <w:sz w:val="25"/>
          <w:szCs w:val="25"/>
        </w:rPr>
      </w:pPr>
    </w:p>
    <w:p w14:paraId="0940C1FA" w14:textId="26652AA2" w:rsidR="008E47A1" w:rsidRPr="009E0083" w:rsidRDefault="006870FF" w:rsidP="00A96CF1">
      <w:pPr>
        <w:spacing w:after="0" w:line="360" w:lineRule="auto"/>
        <w:jc w:val="both"/>
        <w:rPr>
          <w:rFonts w:ascii="Times New Roman" w:hAnsi="Times New Roman" w:cs="Times New Roman"/>
          <w:b/>
          <w:bCs/>
          <w:sz w:val="24"/>
          <w:szCs w:val="24"/>
        </w:rPr>
      </w:pPr>
      <w:r w:rsidRPr="009E0083">
        <w:rPr>
          <w:rFonts w:ascii="Times New Roman" w:hAnsi="Times New Roman" w:cs="Times New Roman"/>
          <w:b/>
          <w:bCs/>
          <w:sz w:val="24"/>
          <w:szCs w:val="24"/>
        </w:rPr>
        <w:t>MAVANGIRA JA</w:t>
      </w:r>
      <w:r w:rsidR="00D4462A" w:rsidRPr="009E0083">
        <w:rPr>
          <w:rFonts w:ascii="Times New Roman" w:hAnsi="Times New Roman" w:cs="Times New Roman"/>
          <w:b/>
          <w:bCs/>
          <w:sz w:val="24"/>
          <w:szCs w:val="24"/>
        </w:rPr>
        <w:t>:</w:t>
      </w:r>
    </w:p>
    <w:p w14:paraId="4A318242" w14:textId="6F4F2E49" w:rsidR="00BC1BAA" w:rsidRPr="00A96CF1" w:rsidRDefault="00BC1BAA" w:rsidP="009374DC">
      <w:pPr>
        <w:spacing w:after="0" w:line="240" w:lineRule="auto"/>
        <w:jc w:val="both"/>
        <w:rPr>
          <w:rFonts w:ascii="Times New Roman" w:hAnsi="Times New Roman" w:cs="Times New Roman"/>
          <w:b/>
          <w:sz w:val="24"/>
          <w:szCs w:val="24"/>
        </w:rPr>
      </w:pPr>
    </w:p>
    <w:p w14:paraId="685EEC80" w14:textId="5D72B777" w:rsidR="00BC1BAA" w:rsidRPr="00A96CF1" w:rsidRDefault="00BC1BAA" w:rsidP="009E0083">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This is an appeal against the whole</w:t>
      </w:r>
      <w:r w:rsidR="00816E7F" w:rsidRPr="00A96CF1">
        <w:rPr>
          <w:rFonts w:ascii="Times New Roman" w:hAnsi="Times New Roman" w:cs="Times New Roman"/>
          <w:sz w:val="24"/>
          <w:szCs w:val="24"/>
        </w:rPr>
        <w:t xml:space="preserve"> judgment of the High</w:t>
      </w:r>
      <w:r w:rsidRPr="00A96CF1">
        <w:rPr>
          <w:rFonts w:ascii="Times New Roman" w:hAnsi="Times New Roman" w:cs="Times New Roman"/>
          <w:sz w:val="24"/>
          <w:szCs w:val="24"/>
        </w:rPr>
        <w:t xml:space="preserve"> Court of </w:t>
      </w:r>
      <w:r w:rsidR="00816E7F" w:rsidRPr="00A96CF1">
        <w:rPr>
          <w:rFonts w:ascii="Times New Roman" w:hAnsi="Times New Roman" w:cs="Times New Roman"/>
          <w:sz w:val="24"/>
          <w:szCs w:val="24"/>
        </w:rPr>
        <w:t>Zimbabwe handed</w:t>
      </w:r>
      <w:r w:rsidR="00875869" w:rsidRPr="00A96CF1">
        <w:rPr>
          <w:rFonts w:ascii="Times New Roman" w:hAnsi="Times New Roman" w:cs="Times New Roman"/>
          <w:sz w:val="24"/>
          <w:szCs w:val="24"/>
        </w:rPr>
        <w:t xml:space="preserve"> down</w:t>
      </w:r>
      <w:r w:rsidRPr="00A96CF1">
        <w:rPr>
          <w:rFonts w:ascii="Times New Roman" w:hAnsi="Times New Roman" w:cs="Times New Roman"/>
          <w:sz w:val="24"/>
          <w:szCs w:val="24"/>
        </w:rPr>
        <w:t xml:space="preserve"> on</w:t>
      </w:r>
      <w:r w:rsidR="00816E7F" w:rsidRPr="00A96CF1">
        <w:rPr>
          <w:rFonts w:ascii="Times New Roman" w:hAnsi="Times New Roman" w:cs="Times New Roman"/>
          <w:sz w:val="24"/>
          <w:szCs w:val="24"/>
        </w:rPr>
        <w:t xml:space="preserve"> 14 July 2022</w:t>
      </w:r>
      <w:r w:rsidRPr="00A96CF1">
        <w:rPr>
          <w:rFonts w:ascii="Times New Roman" w:hAnsi="Times New Roman" w:cs="Times New Roman"/>
          <w:sz w:val="24"/>
          <w:szCs w:val="24"/>
        </w:rPr>
        <w:t>, under judgment number</w:t>
      </w:r>
      <w:r w:rsidR="00816E7F" w:rsidRPr="00A96CF1">
        <w:rPr>
          <w:rFonts w:ascii="Times New Roman" w:hAnsi="Times New Roman" w:cs="Times New Roman"/>
          <w:sz w:val="24"/>
          <w:szCs w:val="24"/>
        </w:rPr>
        <w:t xml:space="preserve"> HB 188/22</w:t>
      </w:r>
      <w:r w:rsidRPr="00A96CF1">
        <w:rPr>
          <w:rFonts w:ascii="Times New Roman" w:hAnsi="Times New Roman" w:cs="Times New Roman"/>
          <w:sz w:val="24"/>
          <w:szCs w:val="24"/>
        </w:rPr>
        <w:t xml:space="preserve">. </w:t>
      </w:r>
    </w:p>
    <w:p w14:paraId="46B467F2" w14:textId="7C9AA3D7" w:rsidR="00403701" w:rsidRPr="00A96CF1" w:rsidRDefault="00403701" w:rsidP="009E0083">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After hearing the </w:t>
      </w:r>
      <w:r w:rsidR="005517C4" w:rsidRPr="00A96CF1">
        <w:rPr>
          <w:rFonts w:ascii="Times New Roman" w:hAnsi="Times New Roman" w:cs="Times New Roman"/>
          <w:sz w:val="24"/>
          <w:szCs w:val="24"/>
        </w:rPr>
        <w:t>parties,</w:t>
      </w:r>
      <w:r w:rsidRPr="00A96CF1">
        <w:rPr>
          <w:rFonts w:ascii="Times New Roman" w:hAnsi="Times New Roman" w:cs="Times New Roman"/>
          <w:sz w:val="24"/>
          <w:szCs w:val="24"/>
        </w:rPr>
        <w:t xml:space="preserve"> the court dismissed the appeal with costs. The reasons </w:t>
      </w:r>
      <w:r w:rsidR="000852F7" w:rsidRPr="00A96CF1">
        <w:rPr>
          <w:rFonts w:ascii="Times New Roman" w:hAnsi="Times New Roman" w:cs="Times New Roman"/>
          <w:sz w:val="24"/>
          <w:szCs w:val="24"/>
        </w:rPr>
        <w:t>there</w:t>
      </w:r>
      <w:r w:rsidRPr="00A96CF1">
        <w:rPr>
          <w:rFonts w:ascii="Times New Roman" w:hAnsi="Times New Roman" w:cs="Times New Roman"/>
          <w:sz w:val="24"/>
          <w:szCs w:val="24"/>
        </w:rPr>
        <w:t>for appear hereunder.</w:t>
      </w:r>
    </w:p>
    <w:p w14:paraId="2EFDE755" w14:textId="77777777" w:rsidR="00A96CF1" w:rsidRDefault="00A96CF1" w:rsidP="009374DC">
      <w:pPr>
        <w:spacing w:after="0" w:line="240" w:lineRule="auto"/>
        <w:jc w:val="both"/>
        <w:rPr>
          <w:rFonts w:ascii="Times New Roman" w:hAnsi="Times New Roman" w:cs="Times New Roman"/>
          <w:b/>
          <w:sz w:val="24"/>
          <w:szCs w:val="24"/>
        </w:rPr>
      </w:pPr>
    </w:p>
    <w:p w14:paraId="1CA3D221" w14:textId="75F93F4C" w:rsidR="00BC1BAA" w:rsidRPr="00006CA4" w:rsidRDefault="00FE5E93" w:rsidP="009374DC">
      <w:pPr>
        <w:spacing w:after="0" w:line="480" w:lineRule="auto"/>
        <w:jc w:val="both"/>
        <w:rPr>
          <w:rFonts w:ascii="Times New Roman" w:hAnsi="Times New Roman" w:cs="Times New Roman"/>
          <w:b/>
          <w:sz w:val="24"/>
          <w:szCs w:val="24"/>
        </w:rPr>
      </w:pPr>
      <w:r w:rsidRPr="00006CA4">
        <w:rPr>
          <w:rFonts w:ascii="Times New Roman" w:hAnsi="Times New Roman" w:cs="Times New Roman"/>
          <w:b/>
          <w:sz w:val="24"/>
          <w:szCs w:val="24"/>
        </w:rPr>
        <w:t xml:space="preserve">FACTUAL </w:t>
      </w:r>
      <w:r w:rsidR="00BC1BAA" w:rsidRPr="00006CA4">
        <w:rPr>
          <w:rFonts w:ascii="Times New Roman" w:hAnsi="Times New Roman" w:cs="Times New Roman"/>
          <w:b/>
          <w:sz w:val="24"/>
          <w:szCs w:val="24"/>
        </w:rPr>
        <w:t xml:space="preserve">BACKGROUND </w:t>
      </w:r>
    </w:p>
    <w:p w14:paraId="2302A7BB" w14:textId="3F93DBD4" w:rsidR="000A13F6" w:rsidRPr="00006CA4" w:rsidRDefault="00D4462A" w:rsidP="009374DC">
      <w:pPr>
        <w:spacing w:after="0" w:line="480" w:lineRule="auto"/>
        <w:jc w:val="both"/>
        <w:rPr>
          <w:rFonts w:ascii="Times New Roman" w:hAnsi="Times New Roman" w:cs="Times New Roman"/>
          <w:b/>
          <w:bCs/>
          <w:sz w:val="24"/>
          <w:szCs w:val="24"/>
        </w:rPr>
      </w:pPr>
      <w:r w:rsidRPr="00006CA4">
        <w:rPr>
          <w:rFonts w:ascii="Times New Roman" w:hAnsi="Times New Roman" w:cs="Times New Roman"/>
          <w:b/>
          <w:bCs/>
          <w:sz w:val="24"/>
          <w:szCs w:val="24"/>
        </w:rPr>
        <w:t>Statement of agreed facts</w:t>
      </w:r>
    </w:p>
    <w:p w14:paraId="53C0F77B" w14:textId="13743527" w:rsidR="005104AC" w:rsidRPr="00A96CF1" w:rsidRDefault="005104AC" w:rsidP="009E0083">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The parties filed a statement of agreed facts </w:t>
      </w:r>
      <w:r w:rsidR="002F4F95" w:rsidRPr="00A96CF1">
        <w:rPr>
          <w:rFonts w:ascii="Times New Roman" w:hAnsi="Times New Roman" w:cs="Times New Roman"/>
          <w:sz w:val="24"/>
          <w:szCs w:val="24"/>
        </w:rPr>
        <w:t xml:space="preserve">before the court </w:t>
      </w:r>
      <w:r w:rsidR="002F4F95" w:rsidRPr="00A96CF1">
        <w:rPr>
          <w:rFonts w:ascii="Times New Roman" w:hAnsi="Times New Roman" w:cs="Times New Roman"/>
          <w:i/>
          <w:sz w:val="24"/>
          <w:szCs w:val="24"/>
        </w:rPr>
        <w:t>a quo</w:t>
      </w:r>
      <w:r w:rsidR="00DD4EE6" w:rsidRPr="00A96CF1">
        <w:rPr>
          <w:rFonts w:ascii="Times New Roman" w:hAnsi="Times New Roman" w:cs="Times New Roman"/>
          <w:i/>
          <w:sz w:val="24"/>
          <w:szCs w:val="24"/>
        </w:rPr>
        <w:t>.</w:t>
      </w:r>
      <w:r w:rsidR="002F4F95" w:rsidRPr="00A96CF1">
        <w:rPr>
          <w:rFonts w:ascii="Times New Roman" w:hAnsi="Times New Roman" w:cs="Times New Roman"/>
          <w:sz w:val="24"/>
          <w:szCs w:val="24"/>
        </w:rPr>
        <w:t xml:space="preserve"> </w:t>
      </w:r>
      <w:r w:rsidR="00DD4EE6" w:rsidRPr="00A96CF1">
        <w:rPr>
          <w:rFonts w:ascii="Times New Roman" w:hAnsi="Times New Roman" w:cs="Times New Roman"/>
          <w:sz w:val="24"/>
          <w:szCs w:val="24"/>
        </w:rPr>
        <w:t xml:space="preserve">The statement was reproduced by the court </w:t>
      </w:r>
      <w:r w:rsidR="00DD4EE6" w:rsidRPr="00A96CF1">
        <w:rPr>
          <w:rFonts w:ascii="Times New Roman" w:hAnsi="Times New Roman" w:cs="Times New Roman"/>
          <w:i/>
          <w:iCs/>
          <w:sz w:val="24"/>
          <w:szCs w:val="24"/>
        </w:rPr>
        <w:t>a quo</w:t>
      </w:r>
      <w:r w:rsidR="00DD4EE6" w:rsidRPr="00A96CF1">
        <w:rPr>
          <w:rFonts w:ascii="Times New Roman" w:hAnsi="Times New Roman" w:cs="Times New Roman"/>
          <w:sz w:val="24"/>
          <w:szCs w:val="24"/>
        </w:rPr>
        <w:t xml:space="preserve"> in its judgment and </w:t>
      </w:r>
      <w:r w:rsidR="005517C4" w:rsidRPr="00A96CF1">
        <w:rPr>
          <w:rFonts w:ascii="Times New Roman" w:hAnsi="Times New Roman" w:cs="Times New Roman"/>
          <w:sz w:val="24"/>
          <w:szCs w:val="24"/>
        </w:rPr>
        <w:t>may be summarised</w:t>
      </w:r>
      <w:r w:rsidR="00DD4EE6" w:rsidRPr="00A96CF1">
        <w:rPr>
          <w:rFonts w:ascii="Times New Roman" w:hAnsi="Times New Roman" w:cs="Times New Roman"/>
          <w:sz w:val="24"/>
          <w:szCs w:val="24"/>
        </w:rPr>
        <w:t>,</w:t>
      </w:r>
      <w:r w:rsidR="005517C4" w:rsidRPr="00A96CF1">
        <w:rPr>
          <w:rFonts w:ascii="Times New Roman" w:hAnsi="Times New Roman" w:cs="Times New Roman"/>
          <w:sz w:val="24"/>
          <w:szCs w:val="24"/>
        </w:rPr>
        <w:t xml:space="preserve"> materially</w:t>
      </w:r>
      <w:r w:rsidR="00DD4EE6" w:rsidRPr="00A96CF1">
        <w:rPr>
          <w:rFonts w:ascii="Times New Roman" w:hAnsi="Times New Roman" w:cs="Times New Roman"/>
          <w:sz w:val="24"/>
          <w:szCs w:val="24"/>
        </w:rPr>
        <w:t>,</w:t>
      </w:r>
      <w:r w:rsidR="005517C4" w:rsidRPr="00A96CF1">
        <w:rPr>
          <w:rFonts w:ascii="Times New Roman" w:hAnsi="Times New Roman" w:cs="Times New Roman"/>
          <w:sz w:val="24"/>
          <w:szCs w:val="24"/>
        </w:rPr>
        <w:t xml:space="preserve"> </w:t>
      </w:r>
      <w:r w:rsidRPr="00A96CF1">
        <w:rPr>
          <w:rFonts w:ascii="Times New Roman" w:hAnsi="Times New Roman" w:cs="Times New Roman"/>
          <w:sz w:val="24"/>
          <w:szCs w:val="24"/>
        </w:rPr>
        <w:t>to the following effect:</w:t>
      </w:r>
    </w:p>
    <w:p w14:paraId="2CE30C11" w14:textId="6567A4EB" w:rsidR="00802219" w:rsidRPr="00A96CF1" w:rsidRDefault="0069722F" w:rsidP="00611631">
      <w:pPr>
        <w:pStyle w:val="ListParagraph"/>
        <w:numPr>
          <w:ilvl w:val="0"/>
          <w:numId w:val="24"/>
        </w:numPr>
        <w:spacing w:line="480" w:lineRule="auto"/>
        <w:ind w:left="1559" w:hanging="425"/>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Sometime in November 2014, the </w:t>
      </w:r>
      <w:r w:rsidR="00A96CF1">
        <w:rPr>
          <w:rFonts w:ascii="Times New Roman" w:hAnsi="Times New Roman" w:cs="Times New Roman"/>
          <w:sz w:val="24"/>
          <w:szCs w:val="24"/>
        </w:rPr>
        <w:t>first</w:t>
      </w:r>
      <w:r w:rsidR="009010A6" w:rsidRPr="00A96CF1">
        <w:rPr>
          <w:rFonts w:ascii="Times New Roman" w:hAnsi="Times New Roman" w:cs="Times New Roman"/>
          <w:sz w:val="24"/>
          <w:szCs w:val="24"/>
        </w:rPr>
        <w:t xml:space="preserve"> respondent</w:t>
      </w:r>
      <w:r w:rsidRPr="00A96CF1">
        <w:rPr>
          <w:rFonts w:ascii="Times New Roman" w:hAnsi="Times New Roman" w:cs="Times New Roman"/>
          <w:sz w:val="24"/>
          <w:szCs w:val="24"/>
        </w:rPr>
        <w:t xml:space="preserve"> and the </w:t>
      </w:r>
      <w:r w:rsidR="009010A6"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entered into a written agreement of sale over stand number 6505 Bulawayo Township of Stand 6541 Bulawayo Township, situate in the district of Bulawayo</w:t>
      </w:r>
      <w:r w:rsidR="00737AD4">
        <w:rPr>
          <w:rFonts w:ascii="Times New Roman" w:hAnsi="Times New Roman" w:cs="Times New Roman"/>
          <w:sz w:val="24"/>
          <w:szCs w:val="24"/>
        </w:rPr>
        <w:t xml:space="preserve">. In their papers, the parties refer to it </w:t>
      </w:r>
      <w:r w:rsidR="0058623E" w:rsidRPr="00A96CF1">
        <w:rPr>
          <w:rFonts w:ascii="Times New Roman" w:hAnsi="Times New Roman" w:cs="Times New Roman"/>
          <w:sz w:val="24"/>
          <w:szCs w:val="24"/>
        </w:rPr>
        <w:t>as “</w:t>
      </w:r>
      <w:r w:rsidRPr="00A96CF1">
        <w:rPr>
          <w:rFonts w:ascii="Times New Roman" w:hAnsi="Times New Roman" w:cs="Times New Roman"/>
          <w:sz w:val="24"/>
          <w:szCs w:val="24"/>
        </w:rPr>
        <w:t xml:space="preserve">the </w:t>
      </w:r>
      <w:r w:rsidR="0058623E" w:rsidRPr="00A96CF1">
        <w:rPr>
          <w:rFonts w:ascii="Times New Roman" w:hAnsi="Times New Roman" w:cs="Times New Roman"/>
          <w:sz w:val="24"/>
          <w:szCs w:val="24"/>
        </w:rPr>
        <w:t>initial</w:t>
      </w:r>
      <w:r w:rsidRPr="00A96CF1">
        <w:rPr>
          <w:rFonts w:ascii="Times New Roman" w:hAnsi="Times New Roman" w:cs="Times New Roman"/>
          <w:sz w:val="24"/>
          <w:szCs w:val="24"/>
        </w:rPr>
        <w:t xml:space="preserve"> agreement</w:t>
      </w:r>
      <w:r w:rsidR="0058623E" w:rsidRPr="00A96CF1">
        <w:rPr>
          <w:rFonts w:ascii="Times New Roman" w:hAnsi="Times New Roman" w:cs="Times New Roman"/>
          <w:sz w:val="24"/>
          <w:szCs w:val="24"/>
        </w:rPr>
        <w:t>”</w:t>
      </w:r>
      <w:r w:rsidRPr="00A96CF1">
        <w:rPr>
          <w:rFonts w:ascii="Times New Roman" w:hAnsi="Times New Roman" w:cs="Times New Roman"/>
          <w:sz w:val="24"/>
          <w:szCs w:val="24"/>
        </w:rPr>
        <w:t xml:space="preserve">. The </w:t>
      </w:r>
      <w:r w:rsidR="009010A6"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took occupation of the property immediately upon the signing of the agreement </w:t>
      </w:r>
      <w:r w:rsidR="00774986" w:rsidRPr="00A96CF1">
        <w:rPr>
          <w:rFonts w:ascii="Times New Roman" w:hAnsi="Times New Roman" w:cs="Times New Roman"/>
          <w:sz w:val="24"/>
          <w:szCs w:val="24"/>
        </w:rPr>
        <w:t>in accordance with</w:t>
      </w:r>
      <w:r w:rsidRPr="00A96CF1">
        <w:rPr>
          <w:rFonts w:ascii="Times New Roman" w:hAnsi="Times New Roman" w:cs="Times New Roman"/>
          <w:sz w:val="24"/>
          <w:szCs w:val="24"/>
        </w:rPr>
        <w:t xml:space="preserve"> the terms thereof. </w:t>
      </w:r>
      <w:r w:rsidR="00DF6508" w:rsidRPr="00A96CF1">
        <w:rPr>
          <w:rFonts w:ascii="Times New Roman" w:hAnsi="Times New Roman" w:cs="Times New Roman"/>
          <w:sz w:val="24"/>
          <w:szCs w:val="24"/>
        </w:rPr>
        <w:t xml:space="preserve">The </w:t>
      </w:r>
      <w:r w:rsidRPr="00A96CF1">
        <w:rPr>
          <w:rFonts w:ascii="Times New Roman" w:hAnsi="Times New Roman" w:cs="Times New Roman"/>
          <w:sz w:val="24"/>
          <w:szCs w:val="24"/>
        </w:rPr>
        <w:t>terms of the agreement</w:t>
      </w:r>
      <w:r w:rsidR="00DF6508" w:rsidRPr="00A96CF1">
        <w:rPr>
          <w:rFonts w:ascii="Times New Roman" w:hAnsi="Times New Roman" w:cs="Times New Roman"/>
          <w:sz w:val="24"/>
          <w:szCs w:val="24"/>
        </w:rPr>
        <w:t xml:space="preserve"> also provided that</w:t>
      </w:r>
      <w:r w:rsidRPr="00A96CF1">
        <w:rPr>
          <w:rFonts w:ascii="Times New Roman" w:hAnsi="Times New Roman" w:cs="Times New Roman"/>
          <w:sz w:val="24"/>
          <w:szCs w:val="24"/>
        </w:rPr>
        <w:t xml:space="preserve"> the </w:t>
      </w:r>
      <w:r w:rsidR="009010A6"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w:t>
      </w:r>
      <w:r w:rsidR="00DF6508" w:rsidRPr="00A96CF1">
        <w:rPr>
          <w:rFonts w:ascii="Times New Roman" w:hAnsi="Times New Roman" w:cs="Times New Roman"/>
          <w:sz w:val="24"/>
          <w:szCs w:val="24"/>
        </w:rPr>
        <w:t>was</w:t>
      </w:r>
      <w:r w:rsidRPr="00A96CF1">
        <w:rPr>
          <w:rFonts w:ascii="Times New Roman" w:hAnsi="Times New Roman" w:cs="Times New Roman"/>
          <w:sz w:val="24"/>
          <w:szCs w:val="24"/>
        </w:rPr>
        <w:t xml:space="preserve"> to pay the purchase price </w:t>
      </w:r>
      <w:r w:rsidR="00DF6508" w:rsidRPr="00A96CF1">
        <w:rPr>
          <w:rFonts w:ascii="Times New Roman" w:hAnsi="Times New Roman" w:cs="Times New Roman"/>
          <w:sz w:val="24"/>
          <w:szCs w:val="24"/>
        </w:rPr>
        <w:t xml:space="preserve">of </w:t>
      </w:r>
      <w:r w:rsidRPr="00A96CF1">
        <w:rPr>
          <w:rFonts w:ascii="Times New Roman" w:hAnsi="Times New Roman" w:cs="Times New Roman"/>
          <w:sz w:val="24"/>
          <w:szCs w:val="24"/>
        </w:rPr>
        <w:t xml:space="preserve">the property </w:t>
      </w:r>
      <w:r w:rsidR="00DF6508" w:rsidRPr="00A96CF1">
        <w:rPr>
          <w:rFonts w:ascii="Times New Roman" w:hAnsi="Times New Roman" w:cs="Times New Roman"/>
          <w:sz w:val="24"/>
          <w:szCs w:val="24"/>
        </w:rPr>
        <w:t xml:space="preserve">in </w:t>
      </w:r>
      <w:r w:rsidRPr="00A96CF1">
        <w:rPr>
          <w:rFonts w:ascii="Times New Roman" w:hAnsi="Times New Roman" w:cs="Times New Roman"/>
          <w:sz w:val="24"/>
          <w:szCs w:val="24"/>
        </w:rPr>
        <w:t>the sum of USD105 000 as follows:</w:t>
      </w:r>
    </w:p>
    <w:p w14:paraId="1D52AE9C" w14:textId="77777777" w:rsidR="0069722F" w:rsidRPr="00A96CF1" w:rsidRDefault="0069722F" w:rsidP="00277C25">
      <w:pPr>
        <w:pStyle w:val="ListParagraph"/>
        <w:numPr>
          <w:ilvl w:val="0"/>
          <w:numId w:val="4"/>
        </w:numPr>
        <w:spacing w:after="0" w:line="240" w:lineRule="auto"/>
        <w:jc w:val="both"/>
        <w:rPr>
          <w:rFonts w:ascii="Times New Roman" w:hAnsi="Times New Roman" w:cs="Times New Roman"/>
          <w:sz w:val="24"/>
          <w:szCs w:val="24"/>
        </w:rPr>
      </w:pPr>
      <w:r w:rsidRPr="00A96CF1">
        <w:rPr>
          <w:rFonts w:ascii="Times New Roman" w:hAnsi="Times New Roman" w:cs="Times New Roman"/>
          <w:sz w:val="24"/>
          <w:szCs w:val="24"/>
        </w:rPr>
        <w:t>A deposit in the sum of USD25 000 upon the signing of the agreement.</w:t>
      </w:r>
    </w:p>
    <w:p w14:paraId="080166A0" w14:textId="6428CECF" w:rsidR="0069722F" w:rsidRDefault="0069722F" w:rsidP="00277C25">
      <w:pPr>
        <w:pStyle w:val="ListParagraph"/>
        <w:numPr>
          <w:ilvl w:val="0"/>
          <w:numId w:val="4"/>
        </w:numPr>
        <w:spacing w:after="0" w:line="240" w:lineRule="auto"/>
        <w:jc w:val="both"/>
        <w:rPr>
          <w:rFonts w:ascii="Times New Roman" w:hAnsi="Times New Roman" w:cs="Times New Roman"/>
          <w:sz w:val="24"/>
          <w:szCs w:val="24"/>
        </w:rPr>
      </w:pPr>
      <w:r w:rsidRPr="00A96CF1">
        <w:rPr>
          <w:rFonts w:ascii="Times New Roman" w:hAnsi="Times New Roman" w:cs="Times New Roman"/>
          <w:sz w:val="24"/>
          <w:szCs w:val="24"/>
        </w:rPr>
        <w:t>The balance of USD80 000</w:t>
      </w:r>
      <w:r w:rsidR="00DF6508" w:rsidRPr="00A96CF1">
        <w:rPr>
          <w:rFonts w:ascii="Times New Roman" w:hAnsi="Times New Roman" w:cs="Times New Roman"/>
          <w:sz w:val="24"/>
          <w:szCs w:val="24"/>
        </w:rPr>
        <w:t>,</w:t>
      </w:r>
      <w:r w:rsidRPr="00A96CF1">
        <w:rPr>
          <w:rFonts w:ascii="Times New Roman" w:hAnsi="Times New Roman" w:cs="Times New Roman"/>
          <w:sz w:val="24"/>
          <w:szCs w:val="24"/>
        </w:rPr>
        <w:t xml:space="preserve"> by way of three equal instalments commencing on the 28</w:t>
      </w:r>
      <w:r w:rsidRPr="00A96CF1">
        <w:rPr>
          <w:rFonts w:ascii="Times New Roman" w:hAnsi="Times New Roman" w:cs="Times New Roman"/>
          <w:sz w:val="24"/>
          <w:szCs w:val="24"/>
          <w:vertAlign w:val="superscript"/>
        </w:rPr>
        <w:t>th</w:t>
      </w:r>
      <w:r w:rsidRPr="00A96CF1">
        <w:rPr>
          <w:rFonts w:ascii="Times New Roman" w:hAnsi="Times New Roman" w:cs="Times New Roman"/>
          <w:sz w:val="24"/>
          <w:szCs w:val="24"/>
        </w:rPr>
        <w:t xml:space="preserve"> of February 2015, and subsequently on or before 28 April 2015 and finally on or before 31 July 2015.</w:t>
      </w:r>
    </w:p>
    <w:p w14:paraId="7FF66E1A" w14:textId="77777777" w:rsidR="00277C25" w:rsidRPr="00277C25" w:rsidRDefault="00277C25" w:rsidP="00277C25">
      <w:pPr>
        <w:spacing w:after="0" w:line="240" w:lineRule="auto"/>
        <w:jc w:val="both"/>
        <w:rPr>
          <w:rFonts w:ascii="Times New Roman" w:hAnsi="Times New Roman" w:cs="Times New Roman"/>
          <w:sz w:val="24"/>
          <w:szCs w:val="24"/>
        </w:rPr>
      </w:pPr>
    </w:p>
    <w:p w14:paraId="373E9407" w14:textId="42C4B8BE" w:rsidR="001164D3" w:rsidRPr="00A96CF1" w:rsidRDefault="0069722F"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The</w:t>
      </w:r>
      <w:r w:rsidR="00670F51" w:rsidRPr="00A96CF1">
        <w:rPr>
          <w:rFonts w:ascii="Times New Roman" w:hAnsi="Times New Roman" w:cs="Times New Roman"/>
          <w:sz w:val="24"/>
          <w:szCs w:val="24"/>
        </w:rPr>
        <w:t xml:space="preserve"> said</w:t>
      </w:r>
      <w:r w:rsidRPr="00A96CF1">
        <w:rPr>
          <w:rFonts w:ascii="Times New Roman" w:hAnsi="Times New Roman" w:cs="Times New Roman"/>
          <w:sz w:val="24"/>
          <w:szCs w:val="24"/>
        </w:rPr>
        <w:t xml:space="preserve"> purchase price was</w:t>
      </w:r>
      <w:r w:rsidR="00670F51" w:rsidRPr="00A96CF1">
        <w:rPr>
          <w:rFonts w:ascii="Times New Roman" w:hAnsi="Times New Roman" w:cs="Times New Roman"/>
          <w:sz w:val="24"/>
          <w:szCs w:val="24"/>
        </w:rPr>
        <w:t xml:space="preserve"> as per</w:t>
      </w:r>
      <w:r w:rsidRPr="00A96CF1">
        <w:rPr>
          <w:rFonts w:ascii="Times New Roman" w:hAnsi="Times New Roman" w:cs="Times New Roman"/>
          <w:sz w:val="24"/>
          <w:szCs w:val="24"/>
        </w:rPr>
        <w:t xml:space="preserve"> the then prevailing fair market value</w:t>
      </w:r>
      <w:r w:rsidR="00A93C8C" w:rsidRPr="00A96CF1">
        <w:rPr>
          <w:rFonts w:ascii="Times New Roman" w:hAnsi="Times New Roman" w:cs="Times New Roman"/>
          <w:sz w:val="24"/>
          <w:szCs w:val="24"/>
        </w:rPr>
        <w:t xml:space="preserve"> of the property</w:t>
      </w:r>
      <w:r w:rsidRPr="00A96CF1">
        <w:rPr>
          <w:rFonts w:ascii="Times New Roman" w:hAnsi="Times New Roman" w:cs="Times New Roman"/>
          <w:sz w:val="24"/>
          <w:szCs w:val="24"/>
        </w:rPr>
        <w:t xml:space="preserve">. The </w:t>
      </w:r>
      <w:r w:rsidR="009010A6"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paid a deposit of USD37 000 </w:t>
      </w:r>
      <w:r w:rsidR="00E02E1F" w:rsidRPr="00A96CF1">
        <w:rPr>
          <w:rFonts w:ascii="Times New Roman" w:hAnsi="Times New Roman" w:cs="Times New Roman"/>
          <w:sz w:val="24"/>
          <w:szCs w:val="24"/>
        </w:rPr>
        <w:t>“</w:t>
      </w:r>
      <w:r w:rsidRPr="00006CA4">
        <w:rPr>
          <w:rFonts w:ascii="Times New Roman" w:hAnsi="Times New Roman" w:cs="Times New Roman"/>
          <w:i/>
          <w:iCs/>
          <w:sz w:val="24"/>
          <w:szCs w:val="24"/>
        </w:rPr>
        <w:t>by 12 March 2015</w:t>
      </w:r>
      <w:r w:rsidRPr="00A96CF1">
        <w:rPr>
          <w:rFonts w:ascii="Times New Roman" w:hAnsi="Times New Roman" w:cs="Times New Roman"/>
          <w:sz w:val="24"/>
          <w:szCs w:val="24"/>
        </w:rPr>
        <w:t>.</w:t>
      </w:r>
      <w:r w:rsidR="00E02E1F" w:rsidRPr="00A96CF1">
        <w:rPr>
          <w:rFonts w:ascii="Times New Roman" w:hAnsi="Times New Roman" w:cs="Times New Roman"/>
          <w:sz w:val="24"/>
          <w:szCs w:val="24"/>
        </w:rPr>
        <w:t>”</w:t>
      </w:r>
      <w:r w:rsidRPr="00A96CF1">
        <w:rPr>
          <w:rFonts w:ascii="Times New Roman" w:hAnsi="Times New Roman" w:cs="Times New Roman"/>
          <w:sz w:val="24"/>
          <w:szCs w:val="24"/>
        </w:rPr>
        <w:t xml:space="preserve"> The </w:t>
      </w:r>
      <w:r w:rsidR="009010A6"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however breached the agreement of sale by failing to pay the balance of the purchase price of USD 68 000 in the manner </w:t>
      </w:r>
      <w:r w:rsidR="00287FEB" w:rsidRPr="00A96CF1">
        <w:rPr>
          <w:rFonts w:ascii="Times New Roman" w:hAnsi="Times New Roman" w:cs="Times New Roman"/>
          <w:sz w:val="24"/>
          <w:szCs w:val="24"/>
        </w:rPr>
        <w:t>stipulated in</w:t>
      </w:r>
      <w:r w:rsidRPr="00A96CF1">
        <w:rPr>
          <w:rFonts w:ascii="Times New Roman" w:hAnsi="Times New Roman" w:cs="Times New Roman"/>
          <w:sz w:val="24"/>
          <w:szCs w:val="24"/>
        </w:rPr>
        <w:t xml:space="preserve"> the agreement. The notice of termination of the</w:t>
      </w:r>
      <w:r w:rsidR="00E02E1F" w:rsidRPr="00A96CF1">
        <w:rPr>
          <w:rFonts w:ascii="Times New Roman" w:hAnsi="Times New Roman" w:cs="Times New Roman"/>
          <w:sz w:val="24"/>
          <w:szCs w:val="24"/>
        </w:rPr>
        <w:t xml:space="preserve"> initial</w:t>
      </w:r>
      <w:r w:rsidRPr="00A96CF1">
        <w:rPr>
          <w:rFonts w:ascii="Times New Roman" w:hAnsi="Times New Roman" w:cs="Times New Roman"/>
          <w:sz w:val="24"/>
          <w:szCs w:val="24"/>
        </w:rPr>
        <w:t xml:space="preserve"> agreement of sale</w:t>
      </w:r>
      <w:r w:rsidR="00287FEB" w:rsidRPr="00A96CF1">
        <w:rPr>
          <w:rFonts w:ascii="Times New Roman" w:hAnsi="Times New Roman" w:cs="Times New Roman"/>
          <w:sz w:val="24"/>
          <w:szCs w:val="24"/>
        </w:rPr>
        <w:t xml:space="preserve"> authored by the first respondent</w:t>
      </w:r>
      <w:r w:rsidRPr="00A96CF1">
        <w:rPr>
          <w:rFonts w:ascii="Times New Roman" w:hAnsi="Times New Roman" w:cs="Times New Roman"/>
          <w:sz w:val="24"/>
          <w:szCs w:val="24"/>
        </w:rPr>
        <w:t xml:space="preserve"> was, according to the sheriff’s return of service, served upon the</w:t>
      </w:r>
      <w:r w:rsidR="005E6A15" w:rsidRPr="00A96CF1">
        <w:rPr>
          <w:rFonts w:ascii="Times New Roman" w:hAnsi="Times New Roman" w:cs="Times New Roman"/>
          <w:sz w:val="24"/>
          <w:szCs w:val="24"/>
        </w:rPr>
        <w:t xml:space="preserve"> </w:t>
      </w:r>
      <w:r w:rsidR="009010A6" w:rsidRPr="00A96CF1">
        <w:rPr>
          <w:rFonts w:ascii="Times New Roman" w:hAnsi="Times New Roman" w:cs="Times New Roman"/>
          <w:sz w:val="24"/>
          <w:szCs w:val="24"/>
        </w:rPr>
        <w:t>appellant</w:t>
      </w:r>
      <w:r w:rsidR="005E6A15" w:rsidRPr="00A96CF1">
        <w:rPr>
          <w:rFonts w:ascii="Times New Roman" w:hAnsi="Times New Roman" w:cs="Times New Roman"/>
          <w:sz w:val="24"/>
          <w:szCs w:val="24"/>
        </w:rPr>
        <w:t xml:space="preserve"> at No 43 Aberdeen Road, Fortunes Gate, Bulawayo on </w:t>
      </w:r>
      <w:r w:rsidR="00C57264">
        <w:rPr>
          <w:rFonts w:ascii="Times New Roman" w:hAnsi="Times New Roman" w:cs="Times New Roman"/>
          <w:sz w:val="24"/>
          <w:szCs w:val="24"/>
        </w:rPr>
        <w:t xml:space="preserve">           </w:t>
      </w:r>
      <w:r w:rsidR="005E6A15" w:rsidRPr="00A96CF1">
        <w:rPr>
          <w:rFonts w:ascii="Times New Roman" w:hAnsi="Times New Roman" w:cs="Times New Roman"/>
          <w:sz w:val="24"/>
          <w:szCs w:val="24"/>
        </w:rPr>
        <w:t xml:space="preserve">12 August 2015, by handing a copy thereof to the </w:t>
      </w:r>
      <w:r w:rsidR="009010A6" w:rsidRPr="00A96CF1">
        <w:rPr>
          <w:rFonts w:ascii="Times New Roman" w:hAnsi="Times New Roman" w:cs="Times New Roman"/>
          <w:sz w:val="24"/>
          <w:szCs w:val="24"/>
        </w:rPr>
        <w:t>appellant</w:t>
      </w:r>
      <w:r w:rsidR="005E6A15" w:rsidRPr="00A96CF1">
        <w:rPr>
          <w:rFonts w:ascii="Times New Roman" w:hAnsi="Times New Roman" w:cs="Times New Roman"/>
          <w:sz w:val="24"/>
          <w:szCs w:val="24"/>
        </w:rPr>
        <w:t>’s worker. In terms of the notice of termination, the initia</w:t>
      </w:r>
      <w:r w:rsidR="009010A6" w:rsidRPr="00A96CF1">
        <w:rPr>
          <w:rFonts w:ascii="Times New Roman" w:hAnsi="Times New Roman" w:cs="Times New Roman"/>
          <w:sz w:val="24"/>
          <w:szCs w:val="24"/>
        </w:rPr>
        <w:t xml:space="preserve">l agreement was cancelled on </w:t>
      </w:r>
      <w:r w:rsidR="00C57264">
        <w:rPr>
          <w:rFonts w:ascii="Times New Roman" w:hAnsi="Times New Roman" w:cs="Times New Roman"/>
          <w:sz w:val="24"/>
          <w:szCs w:val="24"/>
        </w:rPr>
        <w:t xml:space="preserve">                       </w:t>
      </w:r>
      <w:r w:rsidR="009010A6" w:rsidRPr="00A96CF1">
        <w:rPr>
          <w:rFonts w:ascii="Times New Roman" w:hAnsi="Times New Roman" w:cs="Times New Roman"/>
          <w:sz w:val="24"/>
          <w:szCs w:val="24"/>
        </w:rPr>
        <w:t>4 S</w:t>
      </w:r>
      <w:r w:rsidR="005E6A15" w:rsidRPr="00A96CF1">
        <w:rPr>
          <w:rFonts w:ascii="Times New Roman" w:hAnsi="Times New Roman" w:cs="Times New Roman"/>
          <w:sz w:val="24"/>
          <w:szCs w:val="24"/>
        </w:rPr>
        <w:t xml:space="preserve">eptember 2015. </w:t>
      </w:r>
    </w:p>
    <w:p w14:paraId="38CAB455" w14:textId="7F5C38C6" w:rsidR="0069722F" w:rsidRPr="00A96CF1" w:rsidRDefault="001164D3"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A</w:t>
      </w:r>
      <w:r w:rsidR="005E6A15" w:rsidRPr="00A96CF1">
        <w:rPr>
          <w:rFonts w:ascii="Times New Roman" w:hAnsi="Times New Roman" w:cs="Times New Roman"/>
          <w:sz w:val="24"/>
          <w:szCs w:val="24"/>
        </w:rPr>
        <w:t xml:space="preserve">n action was instituted by the </w:t>
      </w:r>
      <w:r w:rsidR="00EC5AE3" w:rsidRPr="00A96CF1">
        <w:rPr>
          <w:rFonts w:ascii="Times New Roman" w:hAnsi="Times New Roman" w:cs="Times New Roman"/>
          <w:sz w:val="24"/>
          <w:szCs w:val="24"/>
        </w:rPr>
        <w:t>first</w:t>
      </w:r>
      <w:r w:rsidR="009010A6" w:rsidRPr="00A96CF1">
        <w:rPr>
          <w:rFonts w:ascii="Times New Roman" w:hAnsi="Times New Roman" w:cs="Times New Roman"/>
          <w:sz w:val="24"/>
          <w:szCs w:val="24"/>
        </w:rPr>
        <w:t xml:space="preserve"> respondent</w:t>
      </w:r>
      <w:r w:rsidR="005E6A15" w:rsidRPr="00A96CF1">
        <w:rPr>
          <w:rFonts w:ascii="Times New Roman" w:hAnsi="Times New Roman" w:cs="Times New Roman"/>
          <w:sz w:val="24"/>
          <w:szCs w:val="24"/>
        </w:rPr>
        <w:t xml:space="preserve"> on 16 Febr</w:t>
      </w:r>
      <w:r w:rsidR="009010A6" w:rsidRPr="00A96CF1">
        <w:rPr>
          <w:rFonts w:ascii="Times New Roman" w:hAnsi="Times New Roman" w:cs="Times New Roman"/>
          <w:sz w:val="24"/>
          <w:szCs w:val="24"/>
        </w:rPr>
        <w:t>u</w:t>
      </w:r>
      <w:r w:rsidR="005E6A15" w:rsidRPr="00A96CF1">
        <w:rPr>
          <w:rFonts w:ascii="Times New Roman" w:hAnsi="Times New Roman" w:cs="Times New Roman"/>
          <w:sz w:val="24"/>
          <w:szCs w:val="24"/>
        </w:rPr>
        <w:t>ary 2017 under case number HC 446/17 seeking</w:t>
      </w:r>
      <w:r w:rsidRPr="00A96CF1">
        <w:rPr>
          <w:rFonts w:ascii="Times New Roman" w:hAnsi="Times New Roman" w:cs="Times New Roman"/>
          <w:sz w:val="24"/>
          <w:szCs w:val="24"/>
        </w:rPr>
        <w:t xml:space="preserve"> the following relief</w:t>
      </w:r>
      <w:r w:rsidR="005E6A15" w:rsidRPr="00A96CF1">
        <w:rPr>
          <w:rFonts w:ascii="Times New Roman" w:hAnsi="Times New Roman" w:cs="Times New Roman"/>
          <w:sz w:val="24"/>
          <w:szCs w:val="24"/>
        </w:rPr>
        <w:t>:</w:t>
      </w:r>
    </w:p>
    <w:p w14:paraId="53750129" w14:textId="77777777" w:rsidR="005E6A15" w:rsidRPr="00A96CF1" w:rsidRDefault="005E6A15" w:rsidP="00101DF3">
      <w:pPr>
        <w:pStyle w:val="ListParagraph"/>
        <w:numPr>
          <w:ilvl w:val="0"/>
          <w:numId w:val="5"/>
        </w:numPr>
        <w:spacing w:line="240" w:lineRule="auto"/>
        <w:jc w:val="both"/>
        <w:rPr>
          <w:rFonts w:ascii="Times New Roman" w:hAnsi="Times New Roman" w:cs="Times New Roman"/>
          <w:sz w:val="24"/>
          <w:szCs w:val="24"/>
        </w:rPr>
      </w:pPr>
      <w:r w:rsidRPr="00A96CF1">
        <w:rPr>
          <w:rFonts w:ascii="Times New Roman" w:hAnsi="Times New Roman" w:cs="Times New Roman"/>
          <w:sz w:val="24"/>
          <w:szCs w:val="24"/>
        </w:rPr>
        <w:t>An order confirming the cancellation of the initial agreement</w:t>
      </w:r>
    </w:p>
    <w:p w14:paraId="4ABA6B65" w14:textId="77777777" w:rsidR="005E6A15" w:rsidRPr="00A96CF1" w:rsidRDefault="00124D4B" w:rsidP="00101DF3">
      <w:pPr>
        <w:pStyle w:val="ListParagraph"/>
        <w:numPr>
          <w:ilvl w:val="0"/>
          <w:numId w:val="5"/>
        </w:numPr>
        <w:spacing w:line="240" w:lineRule="auto"/>
        <w:jc w:val="both"/>
        <w:rPr>
          <w:rFonts w:ascii="Times New Roman" w:hAnsi="Times New Roman" w:cs="Times New Roman"/>
          <w:sz w:val="24"/>
          <w:szCs w:val="24"/>
        </w:rPr>
      </w:pPr>
      <w:r w:rsidRPr="00A96CF1">
        <w:rPr>
          <w:rFonts w:ascii="Times New Roman" w:hAnsi="Times New Roman" w:cs="Times New Roman"/>
          <w:sz w:val="24"/>
          <w:szCs w:val="24"/>
        </w:rPr>
        <w:t xml:space="preserve">An order evicting the appellant </w:t>
      </w:r>
      <w:r w:rsidR="005E6A15" w:rsidRPr="00A96CF1">
        <w:rPr>
          <w:rFonts w:ascii="Times New Roman" w:hAnsi="Times New Roman" w:cs="Times New Roman"/>
          <w:sz w:val="24"/>
          <w:szCs w:val="24"/>
        </w:rPr>
        <w:t>and all those claiming occupation from the property in question.</w:t>
      </w:r>
    </w:p>
    <w:p w14:paraId="6CB6D1F0" w14:textId="1BECA7A4" w:rsidR="006E3C51" w:rsidRDefault="005E6A15" w:rsidP="00101DF3">
      <w:pPr>
        <w:pStyle w:val="ListParagraph"/>
        <w:numPr>
          <w:ilvl w:val="0"/>
          <w:numId w:val="5"/>
        </w:numPr>
        <w:spacing w:line="240" w:lineRule="auto"/>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An order that the </w:t>
      </w:r>
      <w:r w:rsidR="009010A6"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pays </w:t>
      </w:r>
      <w:r w:rsidR="00E22C1A" w:rsidRPr="00A96CF1">
        <w:rPr>
          <w:rFonts w:ascii="Times New Roman" w:hAnsi="Times New Roman" w:cs="Times New Roman"/>
          <w:sz w:val="24"/>
          <w:szCs w:val="24"/>
        </w:rPr>
        <w:t>“</w:t>
      </w:r>
      <w:r w:rsidRPr="00A96CF1">
        <w:rPr>
          <w:rFonts w:ascii="Times New Roman" w:hAnsi="Times New Roman" w:cs="Times New Roman"/>
          <w:sz w:val="24"/>
          <w:szCs w:val="24"/>
        </w:rPr>
        <w:t>occupational damages</w:t>
      </w:r>
      <w:r w:rsidR="00E22C1A" w:rsidRPr="00A96CF1">
        <w:rPr>
          <w:rFonts w:ascii="Times New Roman" w:hAnsi="Times New Roman" w:cs="Times New Roman"/>
          <w:sz w:val="24"/>
          <w:szCs w:val="24"/>
        </w:rPr>
        <w:t>”</w:t>
      </w:r>
      <w:r w:rsidRPr="00A96CF1">
        <w:rPr>
          <w:rFonts w:ascii="Times New Roman" w:hAnsi="Times New Roman" w:cs="Times New Roman"/>
          <w:sz w:val="24"/>
          <w:szCs w:val="24"/>
        </w:rPr>
        <w:t xml:space="preserve"> to the </w:t>
      </w:r>
      <w:r w:rsidR="00EC5AE3" w:rsidRPr="00A96CF1">
        <w:rPr>
          <w:rFonts w:ascii="Times New Roman" w:hAnsi="Times New Roman" w:cs="Times New Roman"/>
          <w:sz w:val="24"/>
          <w:szCs w:val="24"/>
        </w:rPr>
        <w:t>first responde</w:t>
      </w:r>
      <w:r w:rsidR="00124D4B" w:rsidRPr="00A96CF1">
        <w:rPr>
          <w:rFonts w:ascii="Times New Roman" w:hAnsi="Times New Roman" w:cs="Times New Roman"/>
          <w:sz w:val="24"/>
          <w:szCs w:val="24"/>
        </w:rPr>
        <w:t xml:space="preserve">nt </w:t>
      </w:r>
      <w:r w:rsidRPr="00A96CF1">
        <w:rPr>
          <w:rFonts w:ascii="Times New Roman" w:hAnsi="Times New Roman" w:cs="Times New Roman"/>
          <w:sz w:val="24"/>
          <w:szCs w:val="24"/>
        </w:rPr>
        <w:t>in the sum of USD800 per month or USD26.67 per day from the 4</w:t>
      </w:r>
      <w:r w:rsidRPr="00A96CF1">
        <w:rPr>
          <w:rFonts w:ascii="Times New Roman" w:hAnsi="Times New Roman" w:cs="Times New Roman"/>
          <w:sz w:val="24"/>
          <w:szCs w:val="24"/>
          <w:vertAlign w:val="superscript"/>
        </w:rPr>
        <w:t>th</w:t>
      </w:r>
      <w:r w:rsidRPr="00A96CF1">
        <w:rPr>
          <w:rFonts w:ascii="Times New Roman" w:hAnsi="Times New Roman" w:cs="Times New Roman"/>
          <w:sz w:val="24"/>
          <w:szCs w:val="24"/>
        </w:rPr>
        <w:t xml:space="preserve"> of September 2015, being the date of the cancellation of the initial agreement to the date of eviction.</w:t>
      </w:r>
      <w:r w:rsidR="001164D3" w:rsidRPr="00A96CF1">
        <w:rPr>
          <w:rFonts w:ascii="Times New Roman" w:hAnsi="Times New Roman" w:cs="Times New Roman"/>
          <w:sz w:val="24"/>
          <w:szCs w:val="24"/>
        </w:rPr>
        <w:t xml:space="preserve">  </w:t>
      </w:r>
    </w:p>
    <w:p w14:paraId="4FA2CEB6" w14:textId="77777777" w:rsidR="00101DF3" w:rsidRPr="00101DF3" w:rsidRDefault="00101DF3" w:rsidP="00101DF3">
      <w:pPr>
        <w:spacing w:after="0" w:line="240" w:lineRule="auto"/>
        <w:jc w:val="both"/>
        <w:rPr>
          <w:rFonts w:ascii="Times New Roman" w:hAnsi="Times New Roman" w:cs="Times New Roman"/>
          <w:sz w:val="24"/>
          <w:szCs w:val="24"/>
        </w:rPr>
      </w:pPr>
    </w:p>
    <w:p w14:paraId="447DACDC" w14:textId="6066FB36" w:rsidR="00FE12D9" w:rsidRPr="00A96CF1" w:rsidRDefault="006E3C51"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A</w:t>
      </w:r>
      <w:r w:rsidR="005E6A15" w:rsidRPr="00A96CF1">
        <w:rPr>
          <w:rFonts w:ascii="Times New Roman" w:hAnsi="Times New Roman" w:cs="Times New Roman"/>
          <w:sz w:val="24"/>
          <w:szCs w:val="24"/>
        </w:rPr>
        <w:t xml:space="preserve"> default judgment was granted on 19 May 2017, confirming the cancellation of the initial agreement</w:t>
      </w:r>
      <w:r w:rsidR="009010A6" w:rsidRPr="00A96CF1">
        <w:rPr>
          <w:rFonts w:ascii="Times New Roman" w:hAnsi="Times New Roman" w:cs="Times New Roman"/>
          <w:sz w:val="24"/>
          <w:szCs w:val="24"/>
        </w:rPr>
        <w:t xml:space="preserve"> and granting the r</w:t>
      </w:r>
      <w:r w:rsidR="00124D4B" w:rsidRPr="00A96CF1">
        <w:rPr>
          <w:rFonts w:ascii="Times New Roman" w:hAnsi="Times New Roman" w:cs="Times New Roman"/>
          <w:sz w:val="24"/>
          <w:szCs w:val="24"/>
        </w:rPr>
        <w:t>elief as pray</w:t>
      </w:r>
      <w:r w:rsidR="005E6A15" w:rsidRPr="00A96CF1">
        <w:rPr>
          <w:rFonts w:ascii="Times New Roman" w:hAnsi="Times New Roman" w:cs="Times New Roman"/>
          <w:sz w:val="24"/>
          <w:szCs w:val="24"/>
        </w:rPr>
        <w:t xml:space="preserve">ed for in the summons in HC 446/17. In terms of the writ of execution and ejectment issued on </w:t>
      </w:r>
      <w:r w:rsidR="00C57264">
        <w:rPr>
          <w:rFonts w:ascii="Times New Roman" w:hAnsi="Times New Roman" w:cs="Times New Roman"/>
          <w:sz w:val="24"/>
          <w:szCs w:val="24"/>
        </w:rPr>
        <w:t xml:space="preserve">                        </w:t>
      </w:r>
      <w:r w:rsidR="005E6A15" w:rsidRPr="00A96CF1">
        <w:rPr>
          <w:rFonts w:ascii="Times New Roman" w:hAnsi="Times New Roman" w:cs="Times New Roman"/>
          <w:sz w:val="24"/>
          <w:szCs w:val="24"/>
        </w:rPr>
        <w:t xml:space="preserve">8 February 2018 pursuant to the default judgment, the </w:t>
      </w:r>
      <w:r w:rsidR="009010A6" w:rsidRPr="00A96CF1">
        <w:rPr>
          <w:rFonts w:ascii="Times New Roman" w:hAnsi="Times New Roman" w:cs="Times New Roman"/>
          <w:sz w:val="24"/>
          <w:szCs w:val="24"/>
        </w:rPr>
        <w:t>appellant</w:t>
      </w:r>
      <w:r w:rsidR="005E6A15" w:rsidRPr="00A96CF1">
        <w:rPr>
          <w:rFonts w:ascii="Times New Roman" w:hAnsi="Times New Roman" w:cs="Times New Roman"/>
          <w:sz w:val="24"/>
          <w:szCs w:val="24"/>
        </w:rPr>
        <w:t xml:space="preserve"> was evicted from the property in question. </w:t>
      </w:r>
    </w:p>
    <w:p w14:paraId="4BA252D7" w14:textId="7381CD6E" w:rsidR="002F5977" w:rsidRPr="00A96CF1" w:rsidRDefault="00D23708"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On 22 November 2018, t</w:t>
      </w:r>
      <w:r w:rsidR="005E6A15" w:rsidRPr="00A96CF1">
        <w:rPr>
          <w:rFonts w:ascii="Times New Roman" w:hAnsi="Times New Roman" w:cs="Times New Roman"/>
          <w:sz w:val="24"/>
          <w:szCs w:val="24"/>
        </w:rPr>
        <w:t>he default judgment</w:t>
      </w:r>
      <w:r w:rsidRPr="00A96CF1">
        <w:rPr>
          <w:rFonts w:ascii="Times New Roman" w:hAnsi="Times New Roman" w:cs="Times New Roman"/>
          <w:sz w:val="24"/>
          <w:szCs w:val="24"/>
        </w:rPr>
        <w:t xml:space="preserve"> under HC446/17</w:t>
      </w:r>
      <w:r w:rsidR="005E6A15" w:rsidRPr="00A96CF1">
        <w:rPr>
          <w:rFonts w:ascii="Times New Roman" w:hAnsi="Times New Roman" w:cs="Times New Roman"/>
          <w:sz w:val="24"/>
          <w:szCs w:val="24"/>
        </w:rPr>
        <w:t xml:space="preserve"> was rescinded and set aside under HC 1576/18. </w:t>
      </w:r>
      <w:r w:rsidR="002F5977" w:rsidRPr="00A96CF1">
        <w:rPr>
          <w:rFonts w:ascii="Times New Roman" w:hAnsi="Times New Roman" w:cs="Times New Roman"/>
          <w:sz w:val="24"/>
          <w:szCs w:val="24"/>
        </w:rPr>
        <w:t>On 26 November 2018, t</w:t>
      </w:r>
      <w:r w:rsidR="005E6A15" w:rsidRPr="00A96CF1">
        <w:rPr>
          <w:rFonts w:ascii="Times New Roman" w:hAnsi="Times New Roman" w:cs="Times New Roman"/>
          <w:sz w:val="24"/>
          <w:szCs w:val="24"/>
        </w:rPr>
        <w:t xml:space="preserve">he </w:t>
      </w:r>
      <w:r w:rsidR="009010A6" w:rsidRPr="00A96CF1">
        <w:rPr>
          <w:rFonts w:ascii="Times New Roman" w:hAnsi="Times New Roman" w:cs="Times New Roman"/>
          <w:sz w:val="24"/>
          <w:szCs w:val="24"/>
        </w:rPr>
        <w:t>appellant</w:t>
      </w:r>
      <w:r w:rsidR="005E6A15" w:rsidRPr="00A96CF1">
        <w:rPr>
          <w:rFonts w:ascii="Times New Roman" w:hAnsi="Times New Roman" w:cs="Times New Roman"/>
          <w:sz w:val="24"/>
          <w:szCs w:val="24"/>
        </w:rPr>
        <w:t xml:space="preserve"> entered an appearance to defend the action under HC 446/17</w:t>
      </w:r>
      <w:r w:rsidR="002F5977" w:rsidRPr="00A96CF1">
        <w:rPr>
          <w:rFonts w:ascii="Times New Roman" w:hAnsi="Times New Roman" w:cs="Times New Roman"/>
          <w:sz w:val="24"/>
          <w:szCs w:val="24"/>
        </w:rPr>
        <w:t>.</w:t>
      </w:r>
      <w:r w:rsidR="005E6A15" w:rsidRPr="00A96CF1">
        <w:rPr>
          <w:rFonts w:ascii="Times New Roman" w:hAnsi="Times New Roman" w:cs="Times New Roman"/>
          <w:sz w:val="24"/>
          <w:szCs w:val="24"/>
        </w:rPr>
        <w:t xml:space="preserve"> </w:t>
      </w:r>
      <w:r w:rsidR="002F5977" w:rsidRPr="00A96CF1">
        <w:rPr>
          <w:rFonts w:ascii="Times New Roman" w:hAnsi="Times New Roman" w:cs="Times New Roman"/>
          <w:sz w:val="24"/>
          <w:szCs w:val="24"/>
        </w:rPr>
        <w:t>On 18 February 2019, he</w:t>
      </w:r>
      <w:r w:rsidR="005E6A15" w:rsidRPr="00A96CF1">
        <w:rPr>
          <w:rFonts w:ascii="Times New Roman" w:hAnsi="Times New Roman" w:cs="Times New Roman"/>
          <w:sz w:val="24"/>
          <w:szCs w:val="24"/>
        </w:rPr>
        <w:t xml:space="preserve"> filed a special plea</w:t>
      </w:r>
      <w:r w:rsidR="002F5977" w:rsidRPr="00A96CF1">
        <w:rPr>
          <w:rFonts w:ascii="Times New Roman" w:hAnsi="Times New Roman" w:cs="Times New Roman"/>
          <w:sz w:val="24"/>
          <w:szCs w:val="24"/>
        </w:rPr>
        <w:t xml:space="preserve"> but had not (as at the time of the filing of the statement of agreed facts) pleaded over to the merits</w:t>
      </w:r>
      <w:r w:rsidR="005E6A15" w:rsidRPr="00A96CF1">
        <w:rPr>
          <w:rFonts w:ascii="Times New Roman" w:hAnsi="Times New Roman" w:cs="Times New Roman"/>
          <w:sz w:val="24"/>
          <w:szCs w:val="24"/>
        </w:rPr>
        <w:t xml:space="preserve">. </w:t>
      </w:r>
    </w:p>
    <w:p w14:paraId="3CA0D2A2" w14:textId="76474C84" w:rsidR="005E6A15" w:rsidRPr="00A96CF1" w:rsidRDefault="005E6A15"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During the period when</w:t>
      </w:r>
      <w:r w:rsidR="00912F99" w:rsidRPr="00A96CF1">
        <w:rPr>
          <w:rFonts w:ascii="Times New Roman" w:hAnsi="Times New Roman" w:cs="Times New Roman"/>
          <w:sz w:val="24"/>
          <w:szCs w:val="24"/>
        </w:rPr>
        <w:t xml:space="preserve"> the</w:t>
      </w:r>
      <w:r w:rsidRPr="00A96CF1">
        <w:rPr>
          <w:rFonts w:ascii="Times New Roman" w:hAnsi="Times New Roman" w:cs="Times New Roman"/>
          <w:sz w:val="24"/>
          <w:szCs w:val="24"/>
        </w:rPr>
        <w:t xml:space="preserve"> order</w:t>
      </w:r>
      <w:r w:rsidR="00C45358" w:rsidRPr="00A96CF1">
        <w:rPr>
          <w:rFonts w:ascii="Times New Roman" w:hAnsi="Times New Roman" w:cs="Times New Roman"/>
          <w:sz w:val="24"/>
          <w:szCs w:val="24"/>
        </w:rPr>
        <w:t xml:space="preserve"> (in default)</w:t>
      </w:r>
      <w:r w:rsidRPr="00A96CF1">
        <w:rPr>
          <w:rFonts w:ascii="Times New Roman" w:hAnsi="Times New Roman" w:cs="Times New Roman"/>
          <w:sz w:val="24"/>
          <w:szCs w:val="24"/>
        </w:rPr>
        <w:t xml:space="preserve"> in HC 446/17 was extant, the </w:t>
      </w:r>
      <w:r w:rsidR="00C45358" w:rsidRPr="00A96CF1">
        <w:rPr>
          <w:rFonts w:ascii="Times New Roman" w:hAnsi="Times New Roman" w:cs="Times New Roman"/>
          <w:sz w:val="24"/>
          <w:szCs w:val="24"/>
        </w:rPr>
        <w:t>first</w:t>
      </w:r>
      <w:r w:rsidR="006E3C51" w:rsidRPr="00A96CF1">
        <w:rPr>
          <w:rFonts w:ascii="Times New Roman" w:hAnsi="Times New Roman" w:cs="Times New Roman"/>
          <w:sz w:val="24"/>
          <w:szCs w:val="24"/>
        </w:rPr>
        <w:t xml:space="preserve"> respondent</w:t>
      </w:r>
      <w:r w:rsidR="0038522B" w:rsidRPr="00A96CF1">
        <w:rPr>
          <w:rFonts w:ascii="Times New Roman" w:hAnsi="Times New Roman" w:cs="Times New Roman"/>
          <w:sz w:val="24"/>
          <w:szCs w:val="24"/>
        </w:rPr>
        <w:t xml:space="preserve"> </w:t>
      </w:r>
      <w:r w:rsidRPr="00A96CF1">
        <w:rPr>
          <w:rFonts w:ascii="Times New Roman" w:hAnsi="Times New Roman" w:cs="Times New Roman"/>
          <w:sz w:val="24"/>
          <w:szCs w:val="24"/>
        </w:rPr>
        <w:t>entered into a written agreement of sale over the same property (second agreement) with</w:t>
      </w:r>
      <w:r w:rsidR="009010A6" w:rsidRPr="00A96CF1">
        <w:rPr>
          <w:rFonts w:ascii="Times New Roman" w:hAnsi="Times New Roman" w:cs="Times New Roman"/>
          <w:sz w:val="24"/>
          <w:szCs w:val="24"/>
        </w:rPr>
        <w:t xml:space="preserve"> the </w:t>
      </w:r>
      <w:r w:rsidR="00C45358" w:rsidRPr="00A96CF1">
        <w:rPr>
          <w:rFonts w:ascii="Times New Roman" w:hAnsi="Times New Roman" w:cs="Times New Roman"/>
          <w:sz w:val="24"/>
          <w:szCs w:val="24"/>
        </w:rPr>
        <w:t>second</w:t>
      </w:r>
      <w:r w:rsidR="009010A6" w:rsidRPr="00A96CF1">
        <w:rPr>
          <w:rFonts w:ascii="Times New Roman" w:hAnsi="Times New Roman" w:cs="Times New Roman"/>
          <w:sz w:val="24"/>
          <w:szCs w:val="24"/>
        </w:rPr>
        <w:t xml:space="preserve"> respondent. In terms of the second agreement, the </w:t>
      </w:r>
      <w:r w:rsidR="00C45358" w:rsidRPr="00A96CF1">
        <w:rPr>
          <w:rFonts w:ascii="Times New Roman" w:hAnsi="Times New Roman" w:cs="Times New Roman"/>
          <w:sz w:val="24"/>
          <w:szCs w:val="24"/>
        </w:rPr>
        <w:t>second</w:t>
      </w:r>
      <w:r w:rsidR="009010A6" w:rsidRPr="00A96CF1">
        <w:rPr>
          <w:rFonts w:ascii="Times New Roman" w:hAnsi="Times New Roman" w:cs="Times New Roman"/>
          <w:sz w:val="24"/>
          <w:szCs w:val="24"/>
        </w:rPr>
        <w:t xml:space="preserve"> respondent </w:t>
      </w:r>
      <w:r w:rsidR="00C45358" w:rsidRPr="00A96CF1">
        <w:rPr>
          <w:rFonts w:ascii="Times New Roman" w:hAnsi="Times New Roman" w:cs="Times New Roman"/>
          <w:sz w:val="24"/>
          <w:szCs w:val="24"/>
        </w:rPr>
        <w:t>was</w:t>
      </w:r>
      <w:r w:rsidR="009010A6" w:rsidRPr="00A96CF1">
        <w:rPr>
          <w:rFonts w:ascii="Times New Roman" w:hAnsi="Times New Roman" w:cs="Times New Roman"/>
          <w:sz w:val="24"/>
          <w:szCs w:val="24"/>
        </w:rPr>
        <w:t xml:space="preserve"> to pay the full purchase price in respect of the property being the sum of USD130 000 as follows:</w:t>
      </w:r>
    </w:p>
    <w:p w14:paraId="00BD60CE" w14:textId="77777777" w:rsidR="009010A6" w:rsidRPr="00A96CF1" w:rsidRDefault="009010A6" w:rsidP="00286798">
      <w:pPr>
        <w:pStyle w:val="ListParagraph"/>
        <w:numPr>
          <w:ilvl w:val="0"/>
          <w:numId w:val="7"/>
        </w:numPr>
        <w:spacing w:line="240" w:lineRule="auto"/>
        <w:jc w:val="both"/>
        <w:rPr>
          <w:rFonts w:ascii="Times New Roman" w:hAnsi="Times New Roman" w:cs="Times New Roman"/>
          <w:sz w:val="24"/>
          <w:szCs w:val="24"/>
        </w:rPr>
      </w:pPr>
      <w:r w:rsidRPr="00A96CF1">
        <w:rPr>
          <w:rFonts w:ascii="Times New Roman" w:hAnsi="Times New Roman" w:cs="Times New Roman"/>
          <w:sz w:val="24"/>
          <w:szCs w:val="24"/>
        </w:rPr>
        <w:t>A deposit in the sum of USD70 000 upon the signing of the agreement.</w:t>
      </w:r>
    </w:p>
    <w:p w14:paraId="7C376B0A" w14:textId="7252E97B" w:rsidR="009010A6" w:rsidRDefault="009010A6" w:rsidP="00286798">
      <w:pPr>
        <w:pStyle w:val="ListParagraph"/>
        <w:numPr>
          <w:ilvl w:val="0"/>
          <w:numId w:val="7"/>
        </w:numPr>
        <w:spacing w:line="240" w:lineRule="auto"/>
        <w:jc w:val="both"/>
        <w:rPr>
          <w:rFonts w:ascii="Times New Roman" w:hAnsi="Times New Roman" w:cs="Times New Roman"/>
          <w:sz w:val="24"/>
          <w:szCs w:val="24"/>
        </w:rPr>
      </w:pPr>
      <w:r w:rsidRPr="00A96CF1">
        <w:rPr>
          <w:rFonts w:ascii="Times New Roman" w:hAnsi="Times New Roman" w:cs="Times New Roman"/>
          <w:sz w:val="24"/>
          <w:szCs w:val="24"/>
        </w:rPr>
        <w:t>The balance of US</w:t>
      </w:r>
      <w:r w:rsidR="00C45358" w:rsidRPr="00A96CF1">
        <w:rPr>
          <w:rFonts w:ascii="Times New Roman" w:hAnsi="Times New Roman" w:cs="Times New Roman"/>
          <w:sz w:val="24"/>
          <w:szCs w:val="24"/>
        </w:rPr>
        <w:t>D</w:t>
      </w:r>
      <w:r w:rsidRPr="00A96CF1">
        <w:rPr>
          <w:rFonts w:ascii="Times New Roman" w:hAnsi="Times New Roman" w:cs="Times New Roman"/>
          <w:sz w:val="24"/>
          <w:szCs w:val="24"/>
        </w:rPr>
        <w:t>60 000 to be paid between the 31 April 2018 and 31</w:t>
      </w:r>
      <w:r w:rsidR="00FB4A36" w:rsidRPr="00A96CF1">
        <w:rPr>
          <w:rFonts w:ascii="Times New Roman" w:hAnsi="Times New Roman" w:cs="Times New Roman"/>
          <w:sz w:val="24"/>
          <w:szCs w:val="24"/>
        </w:rPr>
        <w:t xml:space="preserve"> July</w:t>
      </w:r>
      <w:r w:rsidRPr="00A96CF1">
        <w:rPr>
          <w:rFonts w:ascii="Times New Roman" w:hAnsi="Times New Roman" w:cs="Times New Roman"/>
          <w:sz w:val="24"/>
          <w:szCs w:val="24"/>
        </w:rPr>
        <w:t xml:space="preserve"> 2018.</w:t>
      </w:r>
    </w:p>
    <w:p w14:paraId="67B98FF3" w14:textId="77777777" w:rsidR="00286798" w:rsidRPr="00A96CF1" w:rsidRDefault="00286798" w:rsidP="00286798">
      <w:pPr>
        <w:pStyle w:val="ListParagraph"/>
        <w:spacing w:line="240" w:lineRule="auto"/>
        <w:ind w:left="2520"/>
        <w:jc w:val="both"/>
        <w:rPr>
          <w:rFonts w:ascii="Times New Roman" w:hAnsi="Times New Roman" w:cs="Times New Roman"/>
          <w:sz w:val="24"/>
          <w:szCs w:val="24"/>
        </w:rPr>
      </w:pPr>
    </w:p>
    <w:p w14:paraId="49708966" w14:textId="4988F24C" w:rsidR="001A7BA2" w:rsidRPr="00A96CF1" w:rsidRDefault="009010A6"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The purchase price prescribed in respect of the property in terms of the second agreement was</w:t>
      </w:r>
      <w:r w:rsidR="001A7BA2" w:rsidRPr="00A96CF1">
        <w:rPr>
          <w:rFonts w:ascii="Times New Roman" w:hAnsi="Times New Roman" w:cs="Times New Roman"/>
          <w:sz w:val="24"/>
          <w:szCs w:val="24"/>
        </w:rPr>
        <w:t xml:space="preserve"> also</w:t>
      </w:r>
      <w:r w:rsidRPr="00A96CF1">
        <w:rPr>
          <w:rFonts w:ascii="Times New Roman" w:hAnsi="Times New Roman" w:cs="Times New Roman"/>
          <w:sz w:val="24"/>
          <w:szCs w:val="24"/>
        </w:rPr>
        <w:t xml:space="preserve"> per the then prevailing fair market value. In accordance with the terms of the second agreement </w:t>
      </w:r>
      <w:r w:rsidR="00FB4A36" w:rsidRPr="00A96CF1">
        <w:rPr>
          <w:rFonts w:ascii="Times New Roman" w:hAnsi="Times New Roman" w:cs="Times New Roman"/>
          <w:sz w:val="24"/>
          <w:szCs w:val="24"/>
        </w:rPr>
        <w:t xml:space="preserve">and </w:t>
      </w:r>
      <w:r w:rsidRPr="00A96CF1">
        <w:rPr>
          <w:rFonts w:ascii="Times New Roman" w:hAnsi="Times New Roman" w:cs="Times New Roman"/>
          <w:sz w:val="24"/>
          <w:szCs w:val="24"/>
        </w:rPr>
        <w:t>by the 18</w:t>
      </w:r>
      <w:r w:rsidRPr="00A96CF1">
        <w:rPr>
          <w:rFonts w:ascii="Times New Roman" w:hAnsi="Times New Roman" w:cs="Times New Roman"/>
          <w:sz w:val="24"/>
          <w:szCs w:val="24"/>
          <w:vertAlign w:val="superscript"/>
        </w:rPr>
        <w:t>th</w:t>
      </w:r>
      <w:r w:rsidRPr="00A96CF1">
        <w:rPr>
          <w:rFonts w:ascii="Times New Roman" w:hAnsi="Times New Roman" w:cs="Times New Roman"/>
          <w:sz w:val="24"/>
          <w:szCs w:val="24"/>
        </w:rPr>
        <w:t xml:space="preserve"> of July 2018, the </w:t>
      </w:r>
      <w:r w:rsidR="001A7BA2" w:rsidRPr="00A96CF1">
        <w:rPr>
          <w:rFonts w:ascii="Times New Roman" w:hAnsi="Times New Roman" w:cs="Times New Roman"/>
          <w:sz w:val="24"/>
          <w:szCs w:val="24"/>
        </w:rPr>
        <w:t>second</w:t>
      </w:r>
      <w:r w:rsidRPr="00A96CF1">
        <w:rPr>
          <w:rFonts w:ascii="Times New Roman" w:hAnsi="Times New Roman" w:cs="Times New Roman"/>
          <w:sz w:val="24"/>
          <w:szCs w:val="24"/>
        </w:rPr>
        <w:t xml:space="preserve"> respondent had paid the</w:t>
      </w:r>
      <w:r w:rsidR="00786410" w:rsidRPr="00A96CF1">
        <w:rPr>
          <w:rFonts w:ascii="Times New Roman" w:hAnsi="Times New Roman" w:cs="Times New Roman"/>
          <w:sz w:val="24"/>
          <w:szCs w:val="24"/>
        </w:rPr>
        <w:t xml:space="preserve"> full purchase price in the</w:t>
      </w:r>
      <w:r w:rsidRPr="00A96CF1">
        <w:rPr>
          <w:rFonts w:ascii="Times New Roman" w:hAnsi="Times New Roman" w:cs="Times New Roman"/>
          <w:sz w:val="24"/>
          <w:szCs w:val="24"/>
        </w:rPr>
        <w:t xml:space="preserve"> sum of USD130 000 to the </w:t>
      </w:r>
      <w:r w:rsidR="001A7BA2"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w:t>
      </w:r>
    </w:p>
    <w:p w14:paraId="77C6D640" w14:textId="5A96C284" w:rsidR="003655D0" w:rsidRPr="00A96CF1" w:rsidRDefault="009010A6"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The </w:t>
      </w:r>
      <w:r w:rsidR="001A7BA2" w:rsidRPr="00A96CF1">
        <w:rPr>
          <w:rFonts w:ascii="Times New Roman" w:hAnsi="Times New Roman" w:cs="Times New Roman"/>
          <w:sz w:val="24"/>
          <w:szCs w:val="24"/>
        </w:rPr>
        <w:t>third</w:t>
      </w:r>
      <w:r w:rsidR="00FB4A36" w:rsidRPr="00A96CF1">
        <w:rPr>
          <w:rFonts w:ascii="Times New Roman" w:hAnsi="Times New Roman" w:cs="Times New Roman"/>
          <w:sz w:val="24"/>
          <w:szCs w:val="24"/>
        </w:rPr>
        <w:t xml:space="preserve"> respondent</w:t>
      </w:r>
      <w:r w:rsidR="00A3437A" w:rsidRPr="00A96CF1">
        <w:rPr>
          <w:rFonts w:ascii="Times New Roman" w:hAnsi="Times New Roman" w:cs="Times New Roman"/>
          <w:sz w:val="24"/>
          <w:szCs w:val="24"/>
        </w:rPr>
        <w:t xml:space="preserve"> </w:t>
      </w:r>
      <w:r w:rsidR="00FB4A36" w:rsidRPr="00A96CF1">
        <w:rPr>
          <w:rFonts w:ascii="Times New Roman" w:hAnsi="Times New Roman" w:cs="Times New Roman"/>
          <w:sz w:val="24"/>
          <w:szCs w:val="24"/>
        </w:rPr>
        <w:t>was m</w:t>
      </w:r>
      <w:r w:rsidRPr="00A96CF1">
        <w:rPr>
          <w:rFonts w:ascii="Times New Roman" w:hAnsi="Times New Roman" w:cs="Times New Roman"/>
          <w:sz w:val="24"/>
          <w:szCs w:val="24"/>
        </w:rPr>
        <w:t xml:space="preserve">ade aware of the second agreement of sale in terms of a report by the </w:t>
      </w:r>
      <w:r w:rsidR="00786410"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and</w:t>
      </w:r>
      <w:r w:rsidR="006A4F8F" w:rsidRPr="00A96CF1">
        <w:rPr>
          <w:rFonts w:ascii="Times New Roman" w:hAnsi="Times New Roman" w:cs="Times New Roman"/>
          <w:sz w:val="24"/>
          <w:szCs w:val="24"/>
        </w:rPr>
        <w:t xml:space="preserve"> </w:t>
      </w:r>
      <w:r w:rsidR="006A4F8F" w:rsidRPr="00A96CF1">
        <w:rPr>
          <w:rFonts w:ascii="Times New Roman" w:hAnsi="Times New Roman" w:cs="Times New Roman"/>
          <w:bCs/>
          <w:sz w:val="24"/>
          <w:szCs w:val="24"/>
        </w:rPr>
        <w:t>he</w:t>
      </w:r>
      <w:r w:rsidRPr="00A96CF1">
        <w:rPr>
          <w:rFonts w:ascii="Times New Roman" w:hAnsi="Times New Roman" w:cs="Times New Roman"/>
          <w:sz w:val="24"/>
          <w:szCs w:val="24"/>
        </w:rPr>
        <w:t xml:space="preserve"> duly recorded such sale in </w:t>
      </w:r>
      <w:r w:rsidR="003655D0" w:rsidRPr="00A96CF1">
        <w:rPr>
          <w:rFonts w:ascii="Times New Roman" w:hAnsi="Times New Roman" w:cs="Times New Roman"/>
          <w:bCs/>
          <w:sz w:val="24"/>
          <w:szCs w:val="24"/>
        </w:rPr>
        <w:t>his</w:t>
      </w:r>
      <w:r w:rsidRPr="00A96CF1">
        <w:rPr>
          <w:rFonts w:ascii="Times New Roman" w:hAnsi="Times New Roman" w:cs="Times New Roman"/>
          <w:sz w:val="24"/>
          <w:szCs w:val="24"/>
        </w:rPr>
        <w:t xml:space="preserve"> minutes in respect of a creditors’ meeting held on 21 June 2018.</w:t>
      </w:r>
      <w:r w:rsidR="003655D0" w:rsidRPr="00A96CF1">
        <w:rPr>
          <w:rFonts w:ascii="Times New Roman" w:hAnsi="Times New Roman" w:cs="Times New Roman"/>
          <w:sz w:val="24"/>
          <w:szCs w:val="24"/>
        </w:rPr>
        <w:t xml:space="preserve"> The minutes of the said meeting are contained in the third respondent’s final liquidation file under CRB 2/10.</w:t>
      </w:r>
      <w:r w:rsidRPr="00A96CF1">
        <w:rPr>
          <w:rFonts w:ascii="Times New Roman" w:hAnsi="Times New Roman" w:cs="Times New Roman"/>
          <w:sz w:val="24"/>
          <w:szCs w:val="24"/>
        </w:rPr>
        <w:t xml:space="preserve"> </w:t>
      </w:r>
    </w:p>
    <w:p w14:paraId="64B124A2" w14:textId="2DCDB09A" w:rsidR="003655D0" w:rsidRPr="00737AD4" w:rsidRDefault="003655D0" w:rsidP="00611631">
      <w:pPr>
        <w:spacing w:line="480" w:lineRule="auto"/>
        <w:ind w:left="1560"/>
        <w:jc w:val="both"/>
        <w:rPr>
          <w:rFonts w:ascii="Times New Roman" w:hAnsi="Times New Roman" w:cs="Times New Roman"/>
          <w:sz w:val="24"/>
          <w:szCs w:val="24"/>
        </w:rPr>
      </w:pPr>
      <w:r w:rsidRPr="00737AD4">
        <w:rPr>
          <w:rFonts w:ascii="Times New Roman" w:hAnsi="Times New Roman" w:cs="Times New Roman"/>
          <w:sz w:val="24"/>
          <w:szCs w:val="24"/>
        </w:rPr>
        <w:t>I inter</w:t>
      </w:r>
      <w:r w:rsidR="00DD1CB5">
        <w:rPr>
          <w:rFonts w:ascii="Times New Roman" w:hAnsi="Times New Roman" w:cs="Times New Roman"/>
          <w:sz w:val="24"/>
          <w:szCs w:val="24"/>
        </w:rPr>
        <w:t>pose</w:t>
      </w:r>
      <w:r w:rsidRPr="00737AD4">
        <w:rPr>
          <w:rFonts w:ascii="Times New Roman" w:hAnsi="Times New Roman" w:cs="Times New Roman"/>
          <w:sz w:val="24"/>
          <w:szCs w:val="24"/>
        </w:rPr>
        <w:t xml:space="preserve"> at this juncture</w:t>
      </w:r>
      <w:r w:rsidR="006572AA" w:rsidRPr="00737AD4">
        <w:rPr>
          <w:rFonts w:ascii="Times New Roman" w:hAnsi="Times New Roman" w:cs="Times New Roman"/>
          <w:sz w:val="24"/>
          <w:szCs w:val="24"/>
        </w:rPr>
        <w:t>, for the sake of clarity,</w:t>
      </w:r>
      <w:r w:rsidRPr="00737AD4">
        <w:rPr>
          <w:rFonts w:ascii="Times New Roman" w:hAnsi="Times New Roman" w:cs="Times New Roman"/>
          <w:sz w:val="24"/>
          <w:szCs w:val="24"/>
        </w:rPr>
        <w:t xml:space="preserve"> to explain that the first respondent acts in his official capacity as the liquidator of a company</w:t>
      </w:r>
      <w:r w:rsidR="006572AA" w:rsidRPr="00737AD4">
        <w:rPr>
          <w:rFonts w:ascii="Times New Roman" w:hAnsi="Times New Roman" w:cs="Times New Roman"/>
          <w:sz w:val="24"/>
          <w:szCs w:val="24"/>
        </w:rPr>
        <w:t>,</w:t>
      </w:r>
      <w:r w:rsidRPr="00737AD4">
        <w:rPr>
          <w:rFonts w:ascii="Times New Roman" w:hAnsi="Times New Roman" w:cs="Times New Roman"/>
          <w:sz w:val="24"/>
          <w:szCs w:val="24"/>
        </w:rPr>
        <w:t xml:space="preserve"> Tabs Avon Lighting (Pvt) Ltd (in liquidation)</w:t>
      </w:r>
      <w:r w:rsidR="006572AA" w:rsidRPr="00737AD4">
        <w:rPr>
          <w:rFonts w:ascii="Times New Roman" w:hAnsi="Times New Roman" w:cs="Times New Roman"/>
          <w:sz w:val="24"/>
          <w:szCs w:val="24"/>
        </w:rPr>
        <w:t>, the seller of the property in issue, hence the involvement of the third respondent.</w:t>
      </w:r>
    </w:p>
    <w:p w14:paraId="1FA7C694" w14:textId="7341AB7B" w:rsidR="006D2004" w:rsidRPr="00A96CF1" w:rsidRDefault="009010A6"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 xml:space="preserve">On 21 March 2018, the only secured creditor of </w:t>
      </w:r>
      <w:r w:rsidR="00FB4A36" w:rsidRPr="00A96CF1">
        <w:rPr>
          <w:rFonts w:ascii="Times New Roman" w:hAnsi="Times New Roman" w:cs="Times New Roman"/>
          <w:sz w:val="24"/>
          <w:szCs w:val="24"/>
        </w:rPr>
        <w:t>Tabs Avon Lighting (Pvt) Ltd</w:t>
      </w:r>
      <w:r w:rsidR="006572AA" w:rsidRPr="00A96CF1">
        <w:rPr>
          <w:rFonts w:ascii="Times New Roman" w:hAnsi="Times New Roman" w:cs="Times New Roman"/>
          <w:sz w:val="24"/>
          <w:szCs w:val="24"/>
        </w:rPr>
        <w:t xml:space="preserve"> (in liquidation)</w:t>
      </w:r>
      <w:r w:rsidR="00FB4A36" w:rsidRPr="00A96CF1">
        <w:rPr>
          <w:rFonts w:ascii="Times New Roman" w:hAnsi="Times New Roman" w:cs="Times New Roman"/>
          <w:sz w:val="24"/>
          <w:szCs w:val="24"/>
        </w:rPr>
        <w:t xml:space="preserve">, being NMB Bank Limited, approved of the second agreement of sale and the </w:t>
      </w:r>
      <w:r w:rsidR="006D2004" w:rsidRPr="00A96CF1">
        <w:rPr>
          <w:rFonts w:ascii="Times New Roman" w:hAnsi="Times New Roman" w:cs="Times New Roman"/>
          <w:sz w:val="24"/>
          <w:szCs w:val="24"/>
        </w:rPr>
        <w:t>third</w:t>
      </w:r>
      <w:r w:rsidR="00FB4A36" w:rsidRPr="00A96CF1">
        <w:rPr>
          <w:rFonts w:ascii="Times New Roman" w:hAnsi="Times New Roman" w:cs="Times New Roman"/>
          <w:sz w:val="24"/>
          <w:szCs w:val="24"/>
        </w:rPr>
        <w:t xml:space="preserve"> respondent was duly made aware of such approval. </w:t>
      </w:r>
      <w:r w:rsidR="006572AA" w:rsidRPr="00A96CF1">
        <w:rPr>
          <w:rFonts w:ascii="Times New Roman" w:hAnsi="Times New Roman" w:cs="Times New Roman"/>
          <w:sz w:val="24"/>
          <w:szCs w:val="24"/>
        </w:rPr>
        <w:t>The letter by this sole creditor is also filed in the third respondent’s final liquidation file under CRB 2/10.</w:t>
      </w:r>
    </w:p>
    <w:p w14:paraId="75126547" w14:textId="653CC49F" w:rsidR="00FB4A36" w:rsidRPr="00A96CF1" w:rsidRDefault="00FB4A36"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In the aftermath of the granting of the order under HC 1576/18 and after the conclusion of the second agreement of sale and the payment</w:t>
      </w:r>
      <w:r w:rsidR="006D2004" w:rsidRPr="00A96CF1">
        <w:rPr>
          <w:rFonts w:ascii="Times New Roman" w:hAnsi="Times New Roman" w:cs="Times New Roman"/>
          <w:sz w:val="24"/>
          <w:szCs w:val="24"/>
        </w:rPr>
        <w:t xml:space="preserve"> by the second respondent</w:t>
      </w:r>
      <w:r w:rsidRPr="00A96CF1">
        <w:rPr>
          <w:rFonts w:ascii="Times New Roman" w:hAnsi="Times New Roman" w:cs="Times New Roman"/>
          <w:sz w:val="24"/>
          <w:szCs w:val="24"/>
        </w:rPr>
        <w:t xml:space="preserve"> of the full purchase price in respect of the property, the appellant took steps aimed at remedying his breach of the initial agreement of sale</w:t>
      </w:r>
      <w:r w:rsidR="006D2004" w:rsidRPr="00A96CF1">
        <w:rPr>
          <w:rFonts w:ascii="Times New Roman" w:hAnsi="Times New Roman" w:cs="Times New Roman"/>
          <w:sz w:val="24"/>
          <w:szCs w:val="24"/>
        </w:rPr>
        <w:t>. He did so</w:t>
      </w:r>
      <w:r w:rsidRPr="00A96CF1">
        <w:rPr>
          <w:rFonts w:ascii="Times New Roman" w:hAnsi="Times New Roman" w:cs="Times New Roman"/>
          <w:sz w:val="24"/>
          <w:szCs w:val="24"/>
        </w:rPr>
        <w:t xml:space="preserve"> by depositing</w:t>
      </w:r>
      <w:r w:rsidR="006D2004" w:rsidRPr="00A96CF1">
        <w:rPr>
          <w:rFonts w:ascii="Times New Roman" w:hAnsi="Times New Roman" w:cs="Times New Roman"/>
          <w:sz w:val="24"/>
          <w:szCs w:val="24"/>
        </w:rPr>
        <w:t xml:space="preserve"> USD68 000</w:t>
      </w:r>
      <w:r w:rsidRPr="00A96CF1">
        <w:rPr>
          <w:rFonts w:ascii="Times New Roman" w:hAnsi="Times New Roman" w:cs="Times New Roman"/>
          <w:sz w:val="24"/>
          <w:szCs w:val="24"/>
        </w:rPr>
        <w:t xml:space="preserve"> into the </w:t>
      </w:r>
      <w:r w:rsidR="006D2004"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respondent’s legal practitioners</w:t>
      </w:r>
      <w:r w:rsidR="006D2004" w:rsidRPr="00A96CF1">
        <w:rPr>
          <w:rFonts w:ascii="Times New Roman" w:hAnsi="Times New Roman" w:cs="Times New Roman"/>
          <w:sz w:val="24"/>
          <w:szCs w:val="24"/>
        </w:rPr>
        <w:t>’</w:t>
      </w:r>
      <w:r w:rsidRPr="00A96CF1">
        <w:rPr>
          <w:rFonts w:ascii="Times New Roman" w:hAnsi="Times New Roman" w:cs="Times New Roman"/>
          <w:sz w:val="24"/>
          <w:szCs w:val="24"/>
        </w:rPr>
        <w:t xml:space="preserve"> trust account</w:t>
      </w:r>
      <w:r w:rsidR="006D2004" w:rsidRPr="00A96CF1">
        <w:rPr>
          <w:rFonts w:ascii="Times New Roman" w:hAnsi="Times New Roman" w:cs="Times New Roman"/>
          <w:sz w:val="24"/>
          <w:szCs w:val="24"/>
        </w:rPr>
        <w:t>, being</w:t>
      </w:r>
      <w:r w:rsidRPr="00A96CF1">
        <w:rPr>
          <w:rFonts w:ascii="Times New Roman" w:hAnsi="Times New Roman" w:cs="Times New Roman"/>
          <w:sz w:val="24"/>
          <w:szCs w:val="24"/>
        </w:rPr>
        <w:t xml:space="preserve"> the balance of the purchase price. </w:t>
      </w:r>
    </w:p>
    <w:p w14:paraId="17D5B3EA" w14:textId="41EF3B92" w:rsidR="00271670" w:rsidRPr="00A96CF1" w:rsidRDefault="00FB4A36"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 xml:space="preserve">The steps taken by the appellant aimed at remedying his breach of the initial agreement were not accepted by the </w:t>
      </w:r>
      <w:r w:rsidR="0045238E"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The </w:t>
      </w:r>
      <w:r w:rsidR="0045238E"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respondent’s legal practitioners tendered back to the appellant the</w:t>
      </w:r>
      <w:r w:rsidR="0045238E" w:rsidRPr="00A96CF1">
        <w:rPr>
          <w:rFonts w:ascii="Times New Roman" w:hAnsi="Times New Roman" w:cs="Times New Roman"/>
          <w:sz w:val="24"/>
          <w:szCs w:val="24"/>
        </w:rPr>
        <w:t xml:space="preserve"> said</w:t>
      </w:r>
      <w:r w:rsidRPr="00A96CF1">
        <w:rPr>
          <w:rFonts w:ascii="Times New Roman" w:hAnsi="Times New Roman" w:cs="Times New Roman"/>
          <w:sz w:val="24"/>
          <w:szCs w:val="24"/>
        </w:rPr>
        <w:t xml:space="preserve"> amount</w:t>
      </w:r>
      <w:r w:rsidR="0045238E" w:rsidRPr="00A96CF1">
        <w:rPr>
          <w:rFonts w:ascii="Times New Roman" w:hAnsi="Times New Roman" w:cs="Times New Roman"/>
          <w:sz w:val="24"/>
          <w:szCs w:val="24"/>
        </w:rPr>
        <w:t xml:space="preserve"> of </w:t>
      </w:r>
      <w:r w:rsidR="00AC06D0">
        <w:rPr>
          <w:rFonts w:ascii="Times New Roman" w:hAnsi="Times New Roman" w:cs="Times New Roman"/>
          <w:sz w:val="24"/>
          <w:szCs w:val="24"/>
        </w:rPr>
        <w:t xml:space="preserve">                  </w:t>
      </w:r>
      <w:r w:rsidR="0045238E" w:rsidRPr="00A96CF1">
        <w:rPr>
          <w:rFonts w:ascii="Times New Roman" w:hAnsi="Times New Roman" w:cs="Times New Roman"/>
          <w:sz w:val="24"/>
          <w:szCs w:val="24"/>
        </w:rPr>
        <w:t>USD68 00 that had been</w:t>
      </w:r>
      <w:r w:rsidRPr="00A96CF1">
        <w:rPr>
          <w:rFonts w:ascii="Times New Roman" w:hAnsi="Times New Roman" w:cs="Times New Roman"/>
          <w:sz w:val="24"/>
          <w:szCs w:val="24"/>
        </w:rPr>
        <w:t xml:space="preserve"> paid into its trust account. </w:t>
      </w:r>
    </w:p>
    <w:p w14:paraId="6430F991" w14:textId="6F159869" w:rsidR="00271670" w:rsidRPr="00A96CF1" w:rsidRDefault="00FB4A36"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By way of an order granted under HC 3144/18, the </w:t>
      </w:r>
      <w:r w:rsidR="00271670" w:rsidRPr="00A96CF1">
        <w:rPr>
          <w:rFonts w:ascii="Times New Roman" w:hAnsi="Times New Roman" w:cs="Times New Roman"/>
          <w:sz w:val="24"/>
          <w:szCs w:val="24"/>
        </w:rPr>
        <w:t>second</w:t>
      </w:r>
      <w:r w:rsidRPr="00A96CF1">
        <w:rPr>
          <w:rFonts w:ascii="Times New Roman" w:hAnsi="Times New Roman" w:cs="Times New Roman"/>
          <w:sz w:val="24"/>
          <w:szCs w:val="24"/>
        </w:rPr>
        <w:t xml:space="preserve"> respondent </w:t>
      </w:r>
      <w:r w:rsidR="006A4F8F" w:rsidRPr="00A96CF1">
        <w:rPr>
          <w:rFonts w:ascii="Times New Roman" w:hAnsi="Times New Roman" w:cs="Times New Roman"/>
          <w:sz w:val="24"/>
          <w:szCs w:val="24"/>
        </w:rPr>
        <w:t xml:space="preserve">(being the purchaser in the second agreement) </w:t>
      </w:r>
      <w:r w:rsidRPr="00A96CF1">
        <w:rPr>
          <w:rFonts w:ascii="Times New Roman" w:hAnsi="Times New Roman" w:cs="Times New Roman"/>
          <w:sz w:val="24"/>
          <w:szCs w:val="24"/>
        </w:rPr>
        <w:t>was joined to the main proceedings</w:t>
      </w:r>
      <w:r w:rsidR="00271670" w:rsidRPr="00A96CF1">
        <w:rPr>
          <w:rFonts w:ascii="Times New Roman" w:hAnsi="Times New Roman" w:cs="Times New Roman"/>
          <w:sz w:val="24"/>
          <w:szCs w:val="24"/>
        </w:rPr>
        <w:t>. He</w:t>
      </w:r>
      <w:r w:rsidRPr="00A96CF1">
        <w:rPr>
          <w:rFonts w:ascii="Times New Roman" w:hAnsi="Times New Roman" w:cs="Times New Roman"/>
          <w:sz w:val="24"/>
          <w:szCs w:val="24"/>
        </w:rPr>
        <w:t xml:space="preserve"> duly entered an appearance to defend the action and filed his plea thereto. </w:t>
      </w:r>
    </w:p>
    <w:p w14:paraId="5DC449E8" w14:textId="2D529D0D" w:rsidR="009010A6" w:rsidRPr="00A96CF1" w:rsidRDefault="00271670" w:rsidP="00611631">
      <w:pPr>
        <w:pStyle w:val="ListParagraph"/>
        <w:numPr>
          <w:ilvl w:val="0"/>
          <w:numId w:val="24"/>
        </w:numPr>
        <w:spacing w:line="480" w:lineRule="auto"/>
        <w:ind w:left="1560" w:hanging="426"/>
        <w:jc w:val="both"/>
        <w:rPr>
          <w:rFonts w:ascii="Times New Roman" w:hAnsi="Times New Roman" w:cs="Times New Roman"/>
          <w:sz w:val="24"/>
          <w:szCs w:val="24"/>
        </w:rPr>
      </w:pPr>
      <w:r w:rsidRPr="00A96CF1">
        <w:rPr>
          <w:rFonts w:ascii="Times New Roman" w:hAnsi="Times New Roman" w:cs="Times New Roman"/>
          <w:sz w:val="24"/>
          <w:szCs w:val="24"/>
        </w:rPr>
        <w:t>A</w:t>
      </w:r>
      <w:r w:rsidR="00FB4A36" w:rsidRPr="00A96CF1">
        <w:rPr>
          <w:rFonts w:ascii="Times New Roman" w:hAnsi="Times New Roman" w:cs="Times New Roman"/>
          <w:sz w:val="24"/>
          <w:szCs w:val="24"/>
        </w:rPr>
        <w:t>s at the date of</w:t>
      </w:r>
      <w:r w:rsidRPr="00A96CF1">
        <w:rPr>
          <w:rFonts w:ascii="Times New Roman" w:hAnsi="Times New Roman" w:cs="Times New Roman"/>
          <w:sz w:val="24"/>
          <w:szCs w:val="24"/>
        </w:rPr>
        <w:t xml:space="preserve"> the statement of agreed facts</w:t>
      </w:r>
      <w:r w:rsidR="00FB4A36" w:rsidRPr="00A96CF1">
        <w:rPr>
          <w:rFonts w:ascii="Times New Roman" w:hAnsi="Times New Roman" w:cs="Times New Roman"/>
          <w:sz w:val="24"/>
          <w:szCs w:val="24"/>
        </w:rPr>
        <w:t xml:space="preserve"> and following the appellant’s eviction therefrom in terms of the writ of execution and ejectment issued against him </w:t>
      </w:r>
      <w:r w:rsidR="005104AC" w:rsidRPr="00A96CF1">
        <w:rPr>
          <w:rFonts w:ascii="Times New Roman" w:hAnsi="Times New Roman" w:cs="Times New Roman"/>
          <w:sz w:val="24"/>
          <w:szCs w:val="24"/>
        </w:rPr>
        <w:t>under HC 157</w:t>
      </w:r>
      <w:r w:rsidR="006E3C51" w:rsidRPr="00A96CF1">
        <w:rPr>
          <w:rFonts w:ascii="Times New Roman" w:hAnsi="Times New Roman" w:cs="Times New Roman"/>
          <w:sz w:val="24"/>
          <w:szCs w:val="24"/>
        </w:rPr>
        <w:t>6/18, neither of the parties were</w:t>
      </w:r>
      <w:r w:rsidR="005104AC" w:rsidRPr="00A96CF1">
        <w:rPr>
          <w:rFonts w:ascii="Times New Roman" w:hAnsi="Times New Roman" w:cs="Times New Roman"/>
          <w:sz w:val="24"/>
          <w:szCs w:val="24"/>
        </w:rPr>
        <w:t xml:space="preserve"> in physical or lawful occupation of the property nor had any party taken transfer thereof.</w:t>
      </w:r>
    </w:p>
    <w:p w14:paraId="4E541F86" w14:textId="57F28A37" w:rsidR="005104AC" w:rsidRPr="00A96CF1" w:rsidRDefault="00271670" w:rsidP="00611631">
      <w:pPr>
        <w:spacing w:line="480" w:lineRule="auto"/>
        <w:ind w:left="1560"/>
        <w:jc w:val="both"/>
        <w:rPr>
          <w:rFonts w:ascii="Times New Roman" w:hAnsi="Times New Roman" w:cs="Times New Roman"/>
          <w:sz w:val="24"/>
          <w:szCs w:val="24"/>
        </w:rPr>
      </w:pPr>
      <w:r w:rsidRPr="00A96CF1">
        <w:rPr>
          <w:rFonts w:ascii="Times New Roman" w:hAnsi="Times New Roman" w:cs="Times New Roman"/>
          <w:sz w:val="24"/>
          <w:szCs w:val="24"/>
        </w:rPr>
        <w:t xml:space="preserve">In the statement of agreed </w:t>
      </w:r>
      <w:r w:rsidR="00DF18F5" w:rsidRPr="00A96CF1">
        <w:rPr>
          <w:rFonts w:ascii="Times New Roman" w:hAnsi="Times New Roman" w:cs="Times New Roman"/>
          <w:sz w:val="24"/>
          <w:szCs w:val="24"/>
        </w:rPr>
        <w:t>facts,</w:t>
      </w:r>
      <w:r w:rsidRPr="00A96CF1">
        <w:rPr>
          <w:rFonts w:ascii="Times New Roman" w:hAnsi="Times New Roman" w:cs="Times New Roman"/>
          <w:sz w:val="24"/>
          <w:szCs w:val="24"/>
        </w:rPr>
        <w:t xml:space="preserve"> t</w:t>
      </w:r>
      <w:r w:rsidR="005104AC" w:rsidRPr="00A96CF1">
        <w:rPr>
          <w:rFonts w:ascii="Times New Roman" w:hAnsi="Times New Roman" w:cs="Times New Roman"/>
          <w:sz w:val="24"/>
          <w:szCs w:val="24"/>
        </w:rPr>
        <w:t>he</w:t>
      </w:r>
      <w:r w:rsidRPr="00A96CF1">
        <w:rPr>
          <w:rFonts w:ascii="Times New Roman" w:hAnsi="Times New Roman" w:cs="Times New Roman"/>
          <w:sz w:val="24"/>
          <w:szCs w:val="24"/>
        </w:rPr>
        <w:t xml:space="preserve"> parties listed the </w:t>
      </w:r>
      <w:r w:rsidR="005104AC" w:rsidRPr="00A96CF1">
        <w:rPr>
          <w:rFonts w:ascii="Times New Roman" w:hAnsi="Times New Roman" w:cs="Times New Roman"/>
          <w:sz w:val="24"/>
          <w:szCs w:val="24"/>
        </w:rPr>
        <w:t>following</w:t>
      </w:r>
      <w:r w:rsidRPr="00A96CF1">
        <w:rPr>
          <w:rFonts w:ascii="Times New Roman" w:hAnsi="Times New Roman" w:cs="Times New Roman"/>
          <w:sz w:val="24"/>
          <w:szCs w:val="24"/>
        </w:rPr>
        <w:t xml:space="preserve"> as the</w:t>
      </w:r>
      <w:r w:rsidR="005104AC" w:rsidRPr="00A96CF1">
        <w:rPr>
          <w:rFonts w:ascii="Times New Roman" w:hAnsi="Times New Roman" w:cs="Times New Roman"/>
          <w:sz w:val="24"/>
          <w:szCs w:val="24"/>
        </w:rPr>
        <w:t xml:space="preserve"> issues for determination</w:t>
      </w:r>
      <w:r w:rsidRPr="00A96CF1">
        <w:rPr>
          <w:rFonts w:ascii="Times New Roman" w:hAnsi="Times New Roman" w:cs="Times New Roman"/>
          <w:sz w:val="24"/>
          <w:szCs w:val="24"/>
        </w:rPr>
        <w:t xml:space="preserve"> by the court </w:t>
      </w:r>
      <w:r w:rsidRPr="00A96CF1">
        <w:rPr>
          <w:rFonts w:ascii="Times New Roman" w:hAnsi="Times New Roman" w:cs="Times New Roman"/>
          <w:i/>
          <w:iCs/>
          <w:sz w:val="24"/>
          <w:szCs w:val="24"/>
        </w:rPr>
        <w:t>a quo</w:t>
      </w:r>
      <w:r w:rsidR="005104AC" w:rsidRPr="00A96CF1">
        <w:rPr>
          <w:rFonts w:ascii="Times New Roman" w:hAnsi="Times New Roman" w:cs="Times New Roman"/>
          <w:sz w:val="24"/>
          <w:szCs w:val="24"/>
        </w:rPr>
        <w:t>:</w:t>
      </w:r>
    </w:p>
    <w:p w14:paraId="0C4A3425" w14:textId="764EA0D2" w:rsidR="005104AC" w:rsidRPr="00A96CF1" w:rsidRDefault="005104AC" w:rsidP="00611631">
      <w:pPr>
        <w:pStyle w:val="ListParagraph"/>
        <w:numPr>
          <w:ilvl w:val="0"/>
          <w:numId w:val="8"/>
        </w:numPr>
        <w:spacing w:line="480" w:lineRule="auto"/>
        <w:ind w:left="2268" w:hanging="425"/>
        <w:jc w:val="both"/>
        <w:rPr>
          <w:rFonts w:ascii="Times New Roman" w:hAnsi="Times New Roman" w:cs="Times New Roman"/>
          <w:sz w:val="24"/>
          <w:szCs w:val="24"/>
        </w:rPr>
      </w:pPr>
      <w:r w:rsidRPr="00A96CF1">
        <w:rPr>
          <w:rFonts w:ascii="Times New Roman" w:hAnsi="Times New Roman" w:cs="Times New Roman"/>
          <w:sz w:val="24"/>
          <w:szCs w:val="24"/>
        </w:rPr>
        <w:t xml:space="preserve">Whether the initial agreement of sale over stand 6505 Bulawayo Township of Stand 6541A Bulawayo Township, situate in the District of Bulawayo between the </w:t>
      </w:r>
      <w:r w:rsidR="00553743" w:rsidRPr="00A96CF1">
        <w:rPr>
          <w:rFonts w:ascii="Times New Roman" w:hAnsi="Times New Roman" w:cs="Times New Roman"/>
          <w:sz w:val="24"/>
          <w:szCs w:val="24"/>
        </w:rPr>
        <w:t>plaintiff (</w:t>
      </w:r>
      <w:r w:rsidRPr="00A96CF1">
        <w:rPr>
          <w:rFonts w:ascii="Times New Roman" w:hAnsi="Times New Roman" w:cs="Times New Roman"/>
          <w:sz w:val="24"/>
          <w:szCs w:val="24"/>
        </w:rPr>
        <w:t>appellant</w:t>
      </w:r>
      <w:r w:rsidR="00553743" w:rsidRPr="00A96CF1">
        <w:rPr>
          <w:rFonts w:ascii="Times New Roman" w:hAnsi="Times New Roman" w:cs="Times New Roman"/>
          <w:sz w:val="24"/>
          <w:szCs w:val="24"/>
        </w:rPr>
        <w:t>)</w:t>
      </w:r>
      <w:r w:rsidR="006806A3">
        <w:rPr>
          <w:rFonts w:ascii="Times New Roman" w:hAnsi="Times New Roman" w:cs="Times New Roman"/>
          <w:sz w:val="24"/>
          <w:szCs w:val="24"/>
        </w:rPr>
        <w:t xml:space="preserve"> and first</w:t>
      </w:r>
      <w:r w:rsidR="00553743" w:rsidRPr="00A96CF1">
        <w:rPr>
          <w:rFonts w:ascii="Times New Roman" w:hAnsi="Times New Roman" w:cs="Times New Roman"/>
          <w:sz w:val="24"/>
          <w:szCs w:val="24"/>
          <w:vertAlign w:val="superscript"/>
        </w:rPr>
        <w:t xml:space="preserve"> </w:t>
      </w:r>
      <w:r w:rsidR="00553743" w:rsidRPr="00A96CF1">
        <w:rPr>
          <w:rFonts w:ascii="Times New Roman" w:hAnsi="Times New Roman" w:cs="Times New Roman"/>
          <w:sz w:val="24"/>
          <w:szCs w:val="24"/>
        </w:rPr>
        <w:t>defendant (first</w:t>
      </w:r>
      <w:r w:rsidRPr="00A96CF1">
        <w:rPr>
          <w:rFonts w:ascii="Times New Roman" w:hAnsi="Times New Roman" w:cs="Times New Roman"/>
          <w:sz w:val="24"/>
          <w:szCs w:val="24"/>
        </w:rPr>
        <w:t xml:space="preserve"> respondent</w:t>
      </w:r>
      <w:r w:rsidR="00553743" w:rsidRPr="00A96CF1">
        <w:rPr>
          <w:rFonts w:ascii="Times New Roman" w:hAnsi="Times New Roman" w:cs="Times New Roman"/>
          <w:sz w:val="24"/>
          <w:szCs w:val="24"/>
        </w:rPr>
        <w:t>)</w:t>
      </w:r>
      <w:r w:rsidRPr="00A96CF1">
        <w:rPr>
          <w:rFonts w:ascii="Times New Roman" w:hAnsi="Times New Roman" w:cs="Times New Roman"/>
          <w:sz w:val="24"/>
          <w:szCs w:val="24"/>
        </w:rPr>
        <w:t xml:space="preserve"> was lawfully terminated.</w:t>
      </w:r>
    </w:p>
    <w:p w14:paraId="15BF2877" w14:textId="0DAB62D8" w:rsidR="005104AC" w:rsidRPr="00A96CF1" w:rsidRDefault="005104AC" w:rsidP="00611631">
      <w:pPr>
        <w:pStyle w:val="ListParagraph"/>
        <w:numPr>
          <w:ilvl w:val="0"/>
          <w:numId w:val="8"/>
        </w:numPr>
        <w:spacing w:line="480" w:lineRule="auto"/>
        <w:ind w:left="2268" w:hanging="425"/>
        <w:jc w:val="both"/>
        <w:rPr>
          <w:rFonts w:ascii="Times New Roman" w:hAnsi="Times New Roman" w:cs="Times New Roman"/>
          <w:sz w:val="24"/>
          <w:szCs w:val="24"/>
        </w:rPr>
      </w:pPr>
      <w:r w:rsidRPr="00A96CF1">
        <w:rPr>
          <w:rFonts w:ascii="Times New Roman" w:hAnsi="Times New Roman" w:cs="Times New Roman"/>
          <w:sz w:val="24"/>
          <w:szCs w:val="24"/>
        </w:rPr>
        <w:t>Whether there existed any legal impediment to the conclusion of the second agreement of</w:t>
      </w:r>
      <w:r w:rsidR="00124D4B" w:rsidRPr="00A96CF1">
        <w:rPr>
          <w:rFonts w:ascii="Times New Roman" w:hAnsi="Times New Roman" w:cs="Times New Roman"/>
          <w:sz w:val="24"/>
          <w:szCs w:val="24"/>
        </w:rPr>
        <w:t xml:space="preserve"> sale entered into between the</w:t>
      </w:r>
      <w:r w:rsidR="00470B7C" w:rsidRPr="00A96CF1">
        <w:rPr>
          <w:rFonts w:ascii="Times New Roman" w:hAnsi="Times New Roman" w:cs="Times New Roman"/>
          <w:sz w:val="24"/>
          <w:szCs w:val="24"/>
        </w:rPr>
        <w:t xml:space="preserve"> plaintiff</w:t>
      </w:r>
      <w:r w:rsidR="00124D4B" w:rsidRPr="00A96CF1">
        <w:rPr>
          <w:rFonts w:ascii="Times New Roman" w:hAnsi="Times New Roman" w:cs="Times New Roman"/>
          <w:sz w:val="24"/>
          <w:szCs w:val="24"/>
        </w:rPr>
        <w:t xml:space="preserve"> </w:t>
      </w:r>
      <w:r w:rsidR="00470B7C"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w:t>
      </w:r>
      <w:r w:rsidR="00470B7C" w:rsidRPr="00A96CF1">
        <w:rPr>
          <w:rFonts w:ascii="Times New Roman" w:hAnsi="Times New Roman" w:cs="Times New Roman"/>
          <w:sz w:val="24"/>
          <w:szCs w:val="24"/>
        </w:rPr>
        <w:t>)</w:t>
      </w:r>
      <w:r w:rsidR="006806A3">
        <w:rPr>
          <w:rFonts w:ascii="Times New Roman" w:hAnsi="Times New Roman" w:cs="Times New Roman"/>
          <w:sz w:val="24"/>
          <w:szCs w:val="24"/>
        </w:rPr>
        <w:t xml:space="preserve"> and the second</w:t>
      </w:r>
      <w:r w:rsidR="00470B7C" w:rsidRPr="00A96CF1">
        <w:rPr>
          <w:rFonts w:ascii="Times New Roman" w:hAnsi="Times New Roman" w:cs="Times New Roman"/>
          <w:sz w:val="24"/>
          <w:szCs w:val="24"/>
          <w:vertAlign w:val="superscript"/>
        </w:rPr>
        <w:t xml:space="preserve"> </w:t>
      </w:r>
      <w:r w:rsidR="00470B7C" w:rsidRPr="00A96CF1">
        <w:rPr>
          <w:rFonts w:ascii="Times New Roman" w:hAnsi="Times New Roman" w:cs="Times New Roman"/>
          <w:sz w:val="24"/>
          <w:szCs w:val="24"/>
        </w:rPr>
        <w:t>defendant</w:t>
      </w:r>
      <w:r w:rsidRPr="00A96CF1">
        <w:rPr>
          <w:rFonts w:ascii="Times New Roman" w:hAnsi="Times New Roman" w:cs="Times New Roman"/>
          <w:sz w:val="24"/>
          <w:szCs w:val="24"/>
        </w:rPr>
        <w:t xml:space="preserve"> </w:t>
      </w:r>
      <w:r w:rsidR="00470B7C" w:rsidRPr="00A96CF1">
        <w:rPr>
          <w:rFonts w:ascii="Times New Roman" w:hAnsi="Times New Roman" w:cs="Times New Roman"/>
          <w:sz w:val="24"/>
          <w:szCs w:val="24"/>
        </w:rPr>
        <w:t xml:space="preserve">(second </w:t>
      </w:r>
      <w:r w:rsidRPr="00A96CF1">
        <w:rPr>
          <w:rFonts w:ascii="Times New Roman" w:hAnsi="Times New Roman" w:cs="Times New Roman"/>
          <w:sz w:val="24"/>
          <w:szCs w:val="24"/>
        </w:rPr>
        <w:t>respondent</w:t>
      </w:r>
      <w:r w:rsidR="00470B7C" w:rsidRPr="00A96CF1">
        <w:rPr>
          <w:rFonts w:ascii="Times New Roman" w:hAnsi="Times New Roman" w:cs="Times New Roman"/>
          <w:sz w:val="24"/>
          <w:szCs w:val="24"/>
        </w:rPr>
        <w:t>)</w:t>
      </w:r>
      <w:r w:rsidRPr="00A96CF1">
        <w:rPr>
          <w:rFonts w:ascii="Times New Roman" w:hAnsi="Times New Roman" w:cs="Times New Roman"/>
          <w:sz w:val="24"/>
          <w:szCs w:val="24"/>
        </w:rPr>
        <w:t xml:space="preserve"> at the material time.</w:t>
      </w:r>
    </w:p>
    <w:p w14:paraId="61801979" w14:textId="73EBEDC0" w:rsidR="005104AC" w:rsidRPr="00A96CF1" w:rsidRDefault="005104AC" w:rsidP="00611631">
      <w:pPr>
        <w:pStyle w:val="ListParagraph"/>
        <w:numPr>
          <w:ilvl w:val="0"/>
          <w:numId w:val="8"/>
        </w:numPr>
        <w:spacing w:after="0" w:line="480" w:lineRule="auto"/>
        <w:ind w:left="2268" w:hanging="425"/>
        <w:jc w:val="both"/>
        <w:rPr>
          <w:rFonts w:ascii="Times New Roman" w:hAnsi="Times New Roman" w:cs="Times New Roman"/>
          <w:sz w:val="24"/>
          <w:szCs w:val="24"/>
        </w:rPr>
      </w:pPr>
      <w:r w:rsidRPr="00A96CF1">
        <w:rPr>
          <w:rFonts w:ascii="Times New Roman" w:hAnsi="Times New Roman" w:cs="Times New Roman"/>
          <w:sz w:val="24"/>
          <w:szCs w:val="24"/>
        </w:rPr>
        <w:t>To whom should the property being stand 6505 Bulawayo Township of Stand 6541A Bulawayo Township, situate in the District of Bulawayo be transferred.</w:t>
      </w:r>
    </w:p>
    <w:p w14:paraId="7752E7AC" w14:textId="77777777" w:rsidR="00611631" w:rsidRDefault="00611631" w:rsidP="00286798">
      <w:pPr>
        <w:spacing w:after="0" w:line="240" w:lineRule="auto"/>
        <w:jc w:val="both"/>
        <w:rPr>
          <w:rFonts w:ascii="Times New Roman" w:hAnsi="Times New Roman" w:cs="Times New Roman"/>
          <w:b/>
          <w:sz w:val="24"/>
          <w:szCs w:val="24"/>
        </w:rPr>
      </w:pPr>
    </w:p>
    <w:p w14:paraId="0FAFB3F0" w14:textId="02E92F27" w:rsidR="000A13F6" w:rsidRPr="00832224" w:rsidRDefault="006806A3" w:rsidP="00611631">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 xml:space="preserve">SUBMISSIONS BEFORE THE COURT </w:t>
      </w:r>
      <w:r w:rsidRPr="00832224">
        <w:rPr>
          <w:rFonts w:ascii="Times New Roman" w:hAnsi="Times New Roman" w:cs="Times New Roman"/>
          <w:b/>
          <w:i/>
          <w:iCs/>
          <w:sz w:val="24"/>
          <w:szCs w:val="24"/>
        </w:rPr>
        <w:t>A QUO</w:t>
      </w:r>
    </w:p>
    <w:p w14:paraId="7360DD68" w14:textId="08329F2B" w:rsidR="00DF7CBC" w:rsidRPr="00A96CF1" w:rsidRDefault="0045702B" w:rsidP="00611631">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On </w:t>
      </w:r>
      <w:r w:rsidR="005104AC" w:rsidRPr="00A96CF1">
        <w:rPr>
          <w:rFonts w:ascii="Times New Roman" w:hAnsi="Times New Roman" w:cs="Times New Roman"/>
          <w:sz w:val="24"/>
          <w:szCs w:val="24"/>
        </w:rPr>
        <w:t>the first issue, the appellant argued that the notice was not deli</w:t>
      </w:r>
      <w:r w:rsidR="006806A3">
        <w:rPr>
          <w:rFonts w:ascii="Times New Roman" w:hAnsi="Times New Roman" w:cs="Times New Roman"/>
          <w:sz w:val="24"/>
          <w:szCs w:val="24"/>
        </w:rPr>
        <w:t>vered in compliance with s</w:t>
      </w:r>
      <w:r w:rsidR="005104AC" w:rsidRPr="00A96CF1">
        <w:rPr>
          <w:rFonts w:ascii="Times New Roman" w:hAnsi="Times New Roman" w:cs="Times New Roman"/>
          <w:sz w:val="24"/>
          <w:szCs w:val="24"/>
        </w:rPr>
        <w:t xml:space="preserve"> 8</w:t>
      </w:r>
      <w:r w:rsidR="006806A3">
        <w:rPr>
          <w:rFonts w:ascii="Times New Roman" w:hAnsi="Times New Roman" w:cs="Times New Roman"/>
          <w:sz w:val="24"/>
          <w:szCs w:val="24"/>
        </w:rPr>
        <w:t xml:space="preserve"> </w:t>
      </w:r>
      <w:r w:rsidR="005104AC" w:rsidRPr="00A96CF1">
        <w:rPr>
          <w:rFonts w:ascii="Times New Roman" w:hAnsi="Times New Roman" w:cs="Times New Roman"/>
          <w:sz w:val="24"/>
          <w:szCs w:val="24"/>
        </w:rPr>
        <w:t>(3) of the Contractual Penalties Act [</w:t>
      </w:r>
      <w:r w:rsidR="005104AC" w:rsidRPr="00A96CF1">
        <w:rPr>
          <w:rFonts w:ascii="Times New Roman" w:hAnsi="Times New Roman" w:cs="Times New Roman"/>
          <w:i/>
          <w:sz w:val="24"/>
          <w:szCs w:val="24"/>
        </w:rPr>
        <w:t>Chapter 8:04</w:t>
      </w:r>
      <w:r w:rsidR="005104AC" w:rsidRPr="00A96CF1">
        <w:rPr>
          <w:rFonts w:ascii="Times New Roman" w:hAnsi="Times New Roman" w:cs="Times New Roman"/>
          <w:sz w:val="24"/>
          <w:szCs w:val="24"/>
        </w:rPr>
        <w:t xml:space="preserve">] </w:t>
      </w:r>
      <w:r w:rsidR="00124D4B" w:rsidRPr="00A96CF1">
        <w:rPr>
          <w:rFonts w:ascii="Times New Roman" w:hAnsi="Times New Roman" w:cs="Times New Roman"/>
          <w:sz w:val="24"/>
          <w:szCs w:val="24"/>
        </w:rPr>
        <w:t>(‘the Act’)</w:t>
      </w:r>
      <w:r w:rsidR="000A13F6" w:rsidRPr="00A96CF1">
        <w:rPr>
          <w:rFonts w:ascii="Times New Roman" w:hAnsi="Times New Roman" w:cs="Times New Roman"/>
          <w:sz w:val="24"/>
          <w:szCs w:val="24"/>
        </w:rPr>
        <w:t xml:space="preserve"> </w:t>
      </w:r>
      <w:r w:rsidR="005104AC" w:rsidRPr="00A96CF1">
        <w:rPr>
          <w:rFonts w:ascii="Times New Roman" w:hAnsi="Times New Roman" w:cs="Times New Roman"/>
          <w:sz w:val="24"/>
          <w:szCs w:val="24"/>
        </w:rPr>
        <w:t xml:space="preserve">in that it was not delivered to </w:t>
      </w:r>
      <w:r w:rsidRPr="00A96CF1">
        <w:rPr>
          <w:rFonts w:ascii="Times New Roman" w:hAnsi="Times New Roman" w:cs="Times New Roman"/>
          <w:sz w:val="24"/>
          <w:szCs w:val="24"/>
        </w:rPr>
        <w:t>him</w:t>
      </w:r>
      <w:r w:rsidR="005104AC" w:rsidRPr="00A96CF1">
        <w:rPr>
          <w:rFonts w:ascii="Times New Roman" w:hAnsi="Times New Roman" w:cs="Times New Roman"/>
          <w:sz w:val="24"/>
          <w:szCs w:val="24"/>
        </w:rPr>
        <w:t xml:space="preserve"> personally or by registered post to his chosen address. </w:t>
      </w:r>
    </w:p>
    <w:p w14:paraId="0F6AC549" w14:textId="3B53D9D8" w:rsidR="00DF7CBC" w:rsidRPr="00A96CF1" w:rsidRDefault="00124D4B" w:rsidP="00611631">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On the </w:t>
      </w:r>
      <w:r w:rsidR="0045702B" w:rsidRPr="00A96CF1">
        <w:rPr>
          <w:rFonts w:ascii="Times New Roman" w:hAnsi="Times New Roman" w:cs="Times New Roman"/>
          <w:sz w:val="24"/>
          <w:szCs w:val="24"/>
        </w:rPr>
        <w:t>other hand,</w:t>
      </w:r>
      <w:r w:rsidRPr="00A96CF1">
        <w:rPr>
          <w:rFonts w:ascii="Times New Roman" w:hAnsi="Times New Roman" w:cs="Times New Roman"/>
          <w:sz w:val="24"/>
          <w:szCs w:val="24"/>
        </w:rPr>
        <w:t xml:space="preserve"> t</w:t>
      </w:r>
      <w:r w:rsidR="005104AC" w:rsidRPr="00A96CF1">
        <w:rPr>
          <w:rFonts w:ascii="Times New Roman" w:hAnsi="Times New Roman" w:cs="Times New Roman"/>
          <w:sz w:val="24"/>
          <w:szCs w:val="24"/>
        </w:rPr>
        <w:t xml:space="preserve">he </w:t>
      </w:r>
      <w:r w:rsidR="000A13F6" w:rsidRPr="00A96CF1">
        <w:rPr>
          <w:rFonts w:ascii="Times New Roman" w:hAnsi="Times New Roman" w:cs="Times New Roman"/>
          <w:sz w:val="24"/>
          <w:szCs w:val="24"/>
        </w:rPr>
        <w:t>first</w:t>
      </w:r>
      <w:r w:rsidR="005104AC" w:rsidRPr="00A96CF1">
        <w:rPr>
          <w:rFonts w:ascii="Times New Roman" w:hAnsi="Times New Roman" w:cs="Times New Roman"/>
          <w:sz w:val="24"/>
          <w:szCs w:val="24"/>
        </w:rPr>
        <w:t xml:space="preserve"> respondent submitted that the appellant was notified of the </w:t>
      </w:r>
      <w:r w:rsidRPr="00A96CF1">
        <w:rPr>
          <w:rFonts w:ascii="Times New Roman" w:hAnsi="Times New Roman" w:cs="Times New Roman"/>
          <w:sz w:val="24"/>
          <w:szCs w:val="24"/>
        </w:rPr>
        <w:t>breach in a manner that complied</w:t>
      </w:r>
      <w:r w:rsidR="006806A3">
        <w:rPr>
          <w:rFonts w:ascii="Times New Roman" w:hAnsi="Times New Roman" w:cs="Times New Roman"/>
          <w:sz w:val="24"/>
          <w:szCs w:val="24"/>
        </w:rPr>
        <w:t xml:space="preserve"> with the provisions of s</w:t>
      </w:r>
      <w:r w:rsidR="005104AC" w:rsidRPr="00A96CF1">
        <w:rPr>
          <w:rFonts w:ascii="Times New Roman" w:hAnsi="Times New Roman" w:cs="Times New Roman"/>
          <w:sz w:val="24"/>
          <w:szCs w:val="24"/>
        </w:rPr>
        <w:t xml:space="preserve"> 8 of the Act, and that the agreement was lawfully cancelled. </w:t>
      </w:r>
    </w:p>
    <w:p w14:paraId="0A5E124C" w14:textId="41183EF3" w:rsidR="00B126F8" w:rsidRPr="00A96CF1" w:rsidRDefault="006806A3" w:rsidP="00611631">
      <w:pPr>
        <w:pStyle w:val="ListParagraph"/>
        <w:numPr>
          <w:ilvl w:val="0"/>
          <w:numId w:val="15"/>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The second </w:t>
      </w:r>
      <w:r w:rsidR="005104AC" w:rsidRPr="00A96CF1">
        <w:rPr>
          <w:rFonts w:ascii="Times New Roman" w:hAnsi="Times New Roman" w:cs="Times New Roman"/>
          <w:sz w:val="24"/>
          <w:szCs w:val="24"/>
        </w:rPr>
        <w:t>respondent</w:t>
      </w:r>
      <w:r w:rsidR="006A4F8F" w:rsidRPr="00A96CF1">
        <w:rPr>
          <w:rFonts w:ascii="Times New Roman" w:hAnsi="Times New Roman" w:cs="Times New Roman"/>
          <w:sz w:val="24"/>
          <w:szCs w:val="24"/>
        </w:rPr>
        <w:t>, on his part,</w:t>
      </w:r>
      <w:r w:rsidR="005104AC" w:rsidRPr="00A96CF1">
        <w:rPr>
          <w:rFonts w:ascii="Times New Roman" w:hAnsi="Times New Roman" w:cs="Times New Roman"/>
          <w:sz w:val="24"/>
          <w:szCs w:val="24"/>
        </w:rPr>
        <w:t xml:space="preserve"> contended that the agreement between the appellant and the </w:t>
      </w:r>
      <w:r w:rsidR="006A4F8F" w:rsidRPr="00A96CF1">
        <w:rPr>
          <w:rFonts w:ascii="Times New Roman" w:hAnsi="Times New Roman" w:cs="Times New Roman"/>
          <w:sz w:val="24"/>
          <w:szCs w:val="24"/>
        </w:rPr>
        <w:t>first</w:t>
      </w:r>
      <w:r w:rsidR="005104AC" w:rsidRPr="00A96CF1">
        <w:rPr>
          <w:rFonts w:ascii="Times New Roman" w:hAnsi="Times New Roman" w:cs="Times New Roman"/>
          <w:sz w:val="24"/>
          <w:szCs w:val="24"/>
        </w:rPr>
        <w:t xml:space="preserve"> respondent was lawfully </w:t>
      </w:r>
      <w:r w:rsidR="005104AC" w:rsidRPr="00A96CF1">
        <w:rPr>
          <w:rFonts w:ascii="Times New Roman" w:hAnsi="Times New Roman" w:cs="Times New Roman"/>
          <w:iCs/>
          <w:sz w:val="24"/>
          <w:szCs w:val="24"/>
        </w:rPr>
        <w:t>terminated.</w:t>
      </w:r>
      <w:r w:rsidR="005104AC" w:rsidRPr="00A96CF1">
        <w:rPr>
          <w:rFonts w:ascii="Times New Roman" w:hAnsi="Times New Roman" w:cs="Times New Roman"/>
          <w:sz w:val="24"/>
          <w:szCs w:val="24"/>
        </w:rPr>
        <w:t xml:space="preserve"> </w:t>
      </w:r>
      <w:r w:rsidR="006A4F8F" w:rsidRPr="00A96CF1">
        <w:rPr>
          <w:rFonts w:ascii="Times New Roman" w:hAnsi="Times New Roman" w:cs="Times New Roman"/>
          <w:sz w:val="24"/>
          <w:szCs w:val="24"/>
        </w:rPr>
        <w:t>According to him, t</w:t>
      </w:r>
      <w:r w:rsidR="005104AC" w:rsidRPr="00A96CF1">
        <w:rPr>
          <w:rFonts w:ascii="Times New Roman" w:hAnsi="Times New Roman" w:cs="Times New Roman"/>
          <w:sz w:val="24"/>
          <w:szCs w:val="24"/>
        </w:rPr>
        <w:t xml:space="preserve">he question that arose was whether the service of the notice </w:t>
      </w:r>
      <w:r w:rsidR="00DF7CBC" w:rsidRPr="00A96CF1">
        <w:rPr>
          <w:rFonts w:ascii="Times New Roman" w:hAnsi="Times New Roman" w:cs="Times New Roman"/>
          <w:sz w:val="24"/>
          <w:szCs w:val="24"/>
        </w:rPr>
        <w:t>on</w:t>
      </w:r>
      <w:r w:rsidR="005104AC" w:rsidRPr="00A96CF1">
        <w:rPr>
          <w:rFonts w:ascii="Times New Roman" w:hAnsi="Times New Roman" w:cs="Times New Roman"/>
          <w:sz w:val="24"/>
          <w:szCs w:val="24"/>
        </w:rPr>
        <w:t xml:space="preserve"> the appellant </w:t>
      </w:r>
      <w:r w:rsidR="00DF7CBC" w:rsidRPr="00A96CF1">
        <w:rPr>
          <w:rFonts w:ascii="Times New Roman" w:hAnsi="Times New Roman" w:cs="Times New Roman"/>
          <w:sz w:val="24"/>
          <w:szCs w:val="24"/>
        </w:rPr>
        <w:t xml:space="preserve">by way of </w:t>
      </w:r>
      <w:r w:rsidR="005104AC" w:rsidRPr="00A96CF1">
        <w:rPr>
          <w:rFonts w:ascii="Times New Roman" w:hAnsi="Times New Roman" w:cs="Times New Roman"/>
          <w:sz w:val="24"/>
          <w:szCs w:val="24"/>
        </w:rPr>
        <w:t>handing it to his worker was v</w:t>
      </w:r>
      <w:r>
        <w:rPr>
          <w:rFonts w:ascii="Times New Roman" w:hAnsi="Times New Roman" w:cs="Times New Roman"/>
          <w:sz w:val="24"/>
          <w:szCs w:val="24"/>
        </w:rPr>
        <w:t>alid service in terms of s</w:t>
      </w:r>
      <w:r w:rsidR="005104AC" w:rsidRPr="00A96CF1">
        <w:rPr>
          <w:rFonts w:ascii="Times New Roman" w:hAnsi="Times New Roman" w:cs="Times New Roman"/>
          <w:sz w:val="24"/>
          <w:szCs w:val="24"/>
        </w:rPr>
        <w:t xml:space="preserve"> 8 of the Act</w:t>
      </w:r>
      <w:r w:rsidR="00B126F8" w:rsidRPr="00A96CF1">
        <w:rPr>
          <w:rFonts w:ascii="Times New Roman" w:hAnsi="Times New Roman" w:cs="Times New Roman"/>
          <w:sz w:val="24"/>
          <w:szCs w:val="24"/>
        </w:rPr>
        <w:t xml:space="preserve">. </w:t>
      </w:r>
    </w:p>
    <w:p w14:paraId="5A33C7B8" w14:textId="77777777" w:rsidR="006806A3" w:rsidRDefault="006806A3" w:rsidP="00286798">
      <w:pPr>
        <w:spacing w:after="0" w:line="240" w:lineRule="auto"/>
        <w:jc w:val="both"/>
        <w:rPr>
          <w:rFonts w:ascii="Times New Roman" w:hAnsi="Times New Roman" w:cs="Times New Roman"/>
          <w:sz w:val="24"/>
          <w:szCs w:val="24"/>
          <w:u w:val="single"/>
        </w:rPr>
      </w:pPr>
    </w:p>
    <w:p w14:paraId="2EB95022" w14:textId="70D34F15" w:rsidR="00D51CBD" w:rsidRPr="00832224" w:rsidRDefault="006806A3" w:rsidP="00611631">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 xml:space="preserve">THE COURT </w:t>
      </w:r>
      <w:r w:rsidRPr="00832224">
        <w:rPr>
          <w:rFonts w:ascii="Times New Roman" w:hAnsi="Times New Roman" w:cs="Times New Roman"/>
          <w:b/>
          <w:i/>
          <w:sz w:val="24"/>
          <w:szCs w:val="24"/>
        </w:rPr>
        <w:t>A QUO</w:t>
      </w:r>
      <w:r w:rsidRPr="00832224">
        <w:rPr>
          <w:rFonts w:ascii="Times New Roman" w:hAnsi="Times New Roman" w:cs="Times New Roman"/>
          <w:b/>
          <w:sz w:val="24"/>
          <w:szCs w:val="24"/>
        </w:rPr>
        <w:t>’S DETERMINATION</w:t>
      </w:r>
    </w:p>
    <w:p w14:paraId="7EA4069C" w14:textId="75A2D001" w:rsidR="0088370A" w:rsidRPr="00A96CF1" w:rsidRDefault="00B126F8" w:rsidP="00611631">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In determining the matter, 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found that it was </w:t>
      </w:r>
      <w:r w:rsidR="006A4F8F" w:rsidRPr="00A96CF1">
        <w:rPr>
          <w:rFonts w:ascii="Times New Roman" w:hAnsi="Times New Roman" w:cs="Times New Roman"/>
          <w:sz w:val="24"/>
          <w:szCs w:val="24"/>
        </w:rPr>
        <w:t>“</w:t>
      </w:r>
      <w:r w:rsidRPr="00A96CF1">
        <w:rPr>
          <w:rFonts w:ascii="Times New Roman" w:hAnsi="Times New Roman" w:cs="Times New Roman"/>
          <w:i/>
          <w:iCs/>
          <w:sz w:val="24"/>
          <w:szCs w:val="24"/>
        </w:rPr>
        <w:t>required to tease out the intentio</w:t>
      </w:r>
      <w:r w:rsidR="006806A3">
        <w:rPr>
          <w:rFonts w:ascii="Times New Roman" w:hAnsi="Times New Roman" w:cs="Times New Roman"/>
          <w:i/>
          <w:iCs/>
          <w:sz w:val="24"/>
          <w:szCs w:val="24"/>
        </w:rPr>
        <w:t>n, purpose or context of s</w:t>
      </w:r>
      <w:r w:rsidRPr="00A96CF1">
        <w:rPr>
          <w:rFonts w:ascii="Times New Roman" w:hAnsi="Times New Roman" w:cs="Times New Roman"/>
          <w:i/>
          <w:iCs/>
          <w:sz w:val="24"/>
          <w:szCs w:val="24"/>
        </w:rPr>
        <w:t xml:space="preserve"> 8 (3) (b)</w:t>
      </w:r>
      <w:r w:rsidR="006A4F8F" w:rsidRPr="00A96CF1">
        <w:rPr>
          <w:rFonts w:ascii="Times New Roman" w:hAnsi="Times New Roman" w:cs="Times New Roman"/>
          <w:sz w:val="24"/>
          <w:szCs w:val="24"/>
        </w:rPr>
        <w:t>”</w:t>
      </w:r>
      <w:r w:rsidRPr="00A96CF1">
        <w:rPr>
          <w:rFonts w:ascii="Times New Roman" w:hAnsi="Times New Roman" w:cs="Times New Roman"/>
          <w:sz w:val="24"/>
          <w:szCs w:val="24"/>
        </w:rPr>
        <w:t xml:space="preserve"> of the Act. It found that </w:t>
      </w:r>
      <w:r w:rsidR="006C12E2" w:rsidRPr="00A96CF1">
        <w:rPr>
          <w:rFonts w:ascii="Times New Roman" w:hAnsi="Times New Roman" w:cs="Times New Roman"/>
          <w:sz w:val="24"/>
          <w:szCs w:val="24"/>
        </w:rPr>
        <w:t>i</w:t>
      </w:r>
      <w:r w:rsidR="006A4F8F" w:rsidRPr="00A96CF1">
        <w:rPr>
          <w:rFonts w:ascii="Times New Roman" w:hAnsi="Times New Roman" w:cs="Times New Roman"/>
          <w:sz w:val="24"/>
          <w:szCs w:val="24"/>
        </w:rPr>
        <w:t>t</w:t>
      </w:r>
      <w:r w:rsidR="006C12E2" w:rsidRPr="00A96CF1">
        <w:rPr>
          <w:rFonts w:ascii="Times New Roman" w:hAnsi="Times New Roman" w:cs="Times New Roman"/>
          <w:sz w:val="24"/>
          <w:szCs w:val="24"/>
        </w:rPr>
        <w:t xml:space="preserve">s </w:t>
      </w:r>
      <w:r w:rsidRPr="00A96CF1">
        <w:rPr>
          <w:rFonts w:ascii="Times New Roman" w:hAnsi="Times New Roman" w:cs="Times New Roman"/>
          <w:sz w:val="24"/>
          <w:szCs w:val="24"/>
        </w:rPr>
        <w:t>purpose</w:t>
      </w:r>
      <w:r w:rsidR="006A4F8F" w:rsidRPr="00A96CF1">
        <w:rPr>
          <w:rFonts w:ascii="Times New Roman" w:hAnsi="Times New Roman" w:cs="Times New Roman"/>
          <w:sz w:val="24"/>
          <w:szCs w:val="24"/>
        </w:rPr>
        <w:t xml:space="preserve"> is</w:t>
      </w:r>
      <w:r w:rsidRPr="00A96CF1">
        <w:rPr>
          <w:rFonts w:ascii="Times New Roman" w:hAnsi="Times New Roman" w:cs="Times New Roman"/>
          <w:sz w:val="24"/>
          <w:szCs w:val="24"/>
        </w:rPr>
        <w:t xml:space="preserve"> to make provision for effective service of a written notice of breach of </w:t>
      </w:r>
      <w:r w:rsidR="006A4F8F" w:rsidRPr="00A96CF1">
        <w:rPr>
          <w:rFonts w:ascii="Times New Roman" w:hAnsi="Times New Roman" w:cs="Times New Roman"/>
          <w:sz w:val="24"/>
          <w:szCs w:val="24"/>
        </w:rPr>
        <w:t>an instalment sale</w:t>
      </w:r>
      <w:r w:rsidRPr="00A96CF1">
        <w:rPr>
          <w:rFonts w:ascii="Times New Roman" w:hAnsi="Times New Roman" w:cs="Times New Roman"/>
          <w:sz w:val="24"/>
          <w:szCs w:val="24"/>
        </w:rPr>
        <w:t xml:space="preserve"> agreement. It stated that service of the notice of</w:t>
      </w:r>
      <w:r w:rsidR="00DF7CBC" w:rsidRPr="00A96CF1">
        <w:rPr>
          <w:rFonts w:ascii="Times New Roman" w:hAnsi="Times New Roman" w:cs="Times New Roman"/>
          <w:sz w:val="24"/>
          <w:szCs w:val="24"/>
        </w:rPr>
        <w:t xml:space="preserve"> the</w:t>
      </w:r>
      <w:r w:rsidRPr="00A96CF1">
        <w:rPr>
          <w:rFonts w:ascii="Times New Roman" w:hAnsi="Times New Roman" w:cs="Times New Roman"/>
          <w:sz w:val="24"/>
          <w:szCs w:val="24"/>
        </w:rPr>
        <w:t xml:space="preserve"> termination of the agreement was served </w:t>
      </w:r>
      <w:r w:rsidR="00DF7CBC" w:rsidRPr="00A96CF1">
        <w:rPr>
          <w:rFonts w:ascii="Times New Roman" w:hAnsi="Times New Roman" w:cs="Times New Roman"/>
          <w:sz w:val="24"/>
          <w:szCs w:val="24"/>
        </w:rPr>
        <w:t>at</w:t>
      </w:r>
      <w:r w:rsidRPr="00A96CF1">
        <w:rPr>
          <w:rFonts w:ascii="Times New Roman" w:hAnsi="Times New Roman" w:cs="Times New Roman"/>
          <w:sz w:val="24"/>
          <w:szCs w:val="24"/>
        </w:rPr>
        <w:t xml:space="preserve"> the appellant’s giv</w:t>
      </w:r>
      <w:r w:rsidR="006C12E2" w:rsidRPr="00A96CF1">
        <w:rPr>
          <w:rFonts w:ascii="Times New Roman" w:hAnsi="Times New Roman" w:cs="Times New Roman"/>
          <w:sz w:val="24"/>
          <w:szCs w:val="24"/>
        </w:rPr>
        <w:t>e</w:t>
      </w:r>
      <w:r w:rsidRPr="00A96CF1">
        <w:rPr>
          <w:rFonts w:ascii="Times New Roman" w:hAnsi="Times New Roman" w:cs="Times New Roman"/>
          <w:sz w:val="24"/>
          <w:szCs w:val="24"/>
        </w:rPr>
        <w:t>n address of service</w:t>
      </w:r>
      <w:r w:rsidR="006C12E2" w:rsidRPr="00A96CF1">
        <w:rPr>
          <w:rFonts w:ascii="Times New Roman" w:hAnsi="Times New Roman" w:cs="Times New Roman"/>
          <w:sz w:val="24"/>
          <w:szCs w:val="24"/>
        </w:rPr>
        <w:t xml:space="preserve"> and </w:t>
      </w:r>
      <w:r w:rsidRPr="00A96CF1">
        <w:rPr>
          <w:rFonts w:ascii="Times New Roman" w:hAnsi="Times New Roman" w:cs="Times New Roman"/>
          <w:sz w:val="24"/>
          <w:szCs w:val="24"/>
        </w:rPr>
        <w:t xml:space="preserve">concluded that service on the appellant’s worker amounted to effective service of the notice. </w:t>
      </w:r>
    </w:p>
    <w:p w14:paraId="68F394C8" w14:textId="77777777" w:rsidR="006806A3" w:rsidRDefault="006806A3" w:rsidP="00286798">
      <w:pPr>
        <w:pStyle w:val="ListParagraph"/>
        <w:spacing w:line="240" w:lineRule="auto"/>
        <w:ind w:left="851"/>
        <w:jc w:val="both"/>
        <w:rPr>
          <w:rFonts w:ascii="Times New Roman" w:hAnsi="Times New Roman" w:cs="Times New Roman"/>
          <w:sz w:val="24"/>
          <w:szCs w:val="24"/>
        </w:rPr>
      </w:pPr>
    </w:p>
    <w:p w14:paraId="55F0B132" w14:textId="2DB37F8C" w:rsidR="00B126F8" w:rsidRPr="00A96CF1" w:rsidRDefault="0088370A" w:rsidP="00611631">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The</w:t>
      </w:r>
      <w:r w:rsidR="006C12E2" w:rsidRPr="00A96CF1">
        <w:rPr>
          <w:rFonts w:ascii="Times New Roman" w:hAnsi="Times New Roman" w:cs="Times New Roman"/>
          <w:sz w:val="24"/>
          <w:szCs w:val="24"/>
        </w:rPr>
        <w:t xml:space="preserve"> said</w:t>
      </w:r>
      <w:r w:rsidRPr="00A96CF1">
        <w:rPr>
          <w:rFonts w:ascii="Times New Roman" w:hAnsi="Times New Roman" w:cs="Times New Roman"/>
          <w:sz w:val="24"/>
          <w:szCs w:val="24"/>
        </w:rPr>
        <w:t xml:space="preserve"> court</w:t>
      </w:r>
      <w:r w:rsidR="00B126F8" w:rsidRPr="00A96CF1">
        <w:rPr>
          <w:rFonts w:ascii="Times New Roman" w:hAnsi="Times New Roman" w:cs="Times New Roman"/>
          <w:sz w:val="24"/>
          <w:szCs w:val="24"/>
        </w:rPr>
        <w:t xml:space="preserve"> noted that the notice of cancellation clearly specified that the appellant had breached the agreement of sale by failing to pay the instal</w:t>
      </w:r>
      <w:r w:rsidR="00124D4B" w:rsidRPr="00A96CF1">
        <w:rPr>
          <w:rFonts w:ascii="Times New Roman" w:hAnsi="Times New Roman" w:cs="Times New Roman"/>
          <w:sz w:val="24"/>
          <w:szCs w:val="24"/>
        </w:rPr>
        <w:t xml:space="preserve">ments. </w:t>
      </w:r>
      <w:r w:rsidRPr="00A96CF1">
        <w:rPr>
          <w:rFonts w:ascii="Times New Roman" w:hAnsi="Times New Roman" w:cs="Times New Roman"/>
          <w:sz w:val="24"/>
          <w:szCs w:val="24"/>
        </w:rPr>
        <w:t>The appellant</w:t>
      </w:r>
      <w:r w:rsidR="00124D4B" w:rsidRPr="00A96CF1">
        <w:rPr>
          <w:rFonts w:ascii="Times New Roman" w:hAnsi="Times New Roman" w:cs="Times New Roman"/>
          <w:sz w:val="24"/>
          <w:szCs w:val="24"/>
        </w:rPr>
        <w:t xml:space="preserve"> was given thirty </w:t>
      </w:r>
      <w:r w:rsidRPr="00A96CF1">
        <w:rPr>
          <w:rFonts w:ascii="Times New Roman" w:hAnsi="Times New Roman" w:cs="Times New Roman"/>
          <w:sz w:val="24"/>
          <w:szCs w:val="24"/>
        </w:rPr>
        <w:t>days’ notice</w:t>
      </w:r>
      <w:r w:rsidR="00B126F8" w:rsidRPr="00A96CF1">
        <w:rPr>
          <w:rFonts w:ascii="Times New Roman" w:hAnsi="Times New Roman" w:cs="Times New Roman"/>
          <w:sz w:val="24"/>
          <w:szCs w:val="24"/>
        </w:rPr>
        <w:t xml:space="preserve"> to remedy the breach by settling the amount due. The notice specified that failure to settle the amount </w:t>
      </w:r>
      <w:r w:rsidR="00B126F8" w:rsidRPr="00A96CF1">
        <w:rPr>
          <w:rFonts w:ascii="Times New Roman" w:hAnsi="Times New Roman" w:cs="Times New Roman"/>
          <w:bCs/>
          <w:sz w:val="24"/>
          <w:szCs w:val="24"/>
        </w:rPr>
        <w:t>within thirty days</w:t>
      </w:r>
      <w:r w:rsidR="00B126F8" w:rsidRPr="00A96CF1">
        <w:rPr>
          <w:rFonts w:ascii="Times New Roman" w:hAnsi="Times New Roman" w:cs="Times New Roman"/>
          <w:sz w:val="24"/>
          <w:szCs w:val="24"/>
        </w:rPr>
        <w:t xml:space="preserve"> would lead to an automatic cancellation. The appellant unilaterally deposited </w:t>
      </w:r>
      <w:r w:rsidRPr="00A96CF1">
        <w:rPr>
          <w:rFonts w:ascii="Times New Roman" w:hAnsi="Times New Roman" w:cs="Times New Roman"/>
          <w:sz w:val="24"/>
          <w:szCs w:val="24"/>
        </w:rPr>
        <w:t>in</w:t>
      </w:r>
      <w:r w:rsidR="00B126F8" w:rsidRPr="00A96CF1">
        <w:rPr>
          <w:rFonts w:ascii="Times New Roman" w:hAnsi="Times New Roman" w:cs="Times New Roman"/>
          <w:sz w:val="24"/>
          <w:szCs w:val="24"/>
        </w:rPr>
        <w:t xml:space="preserve">to the </w:t>
      </w:r>
      <w:r w:rsidRPr="00A96CF1">
        <w:rPr>
          <w:rFonts w:ascii="Times New Roman" w:hAnsi="Times New Roman" w:cs="Times New Roman"/>
          <w:sz w:val="24"/>
          <w:szCs w:val="24"/>
        </w:rPr>
        <w:t>first</w:t>
      </w:r>
      <w:r w:rsidR="00B126F8" w:rsidRPr="00A96CF1">
        <w:rPr>
          <w:rFonts w:ascii="Times New Roman" w:hAnsi="Times New Roman" w:cs="Times New Roman"/>
          <w:sz w:val="24"/>
          <w:szCs w:val="24"/>
        </w:rPr>
        <w:t xml:space="preserve"> respondent’s legal practitioners</w:t>
      </w:r>
      <w:r w:rsidRPr="00A96CF1">
        <w:rPr>
          <w:rFonts w:ascii="Times New Roman" w:hAnsi="Times New Roman" w:cs="Times New Roman"/>
          <w:sz w:val="24"/>
          <w:szCs w:val="24"/>
        </w:rPr>
        <w:t>’</w:t>
      </w:r>
      <w:r w:rsidR="00B126F8" w:rsidRPr="00A96CF1">
        <w:rPr>
          <w:rFonts w:ascii="Times New Roman" w:hAnsi="Times New Roman" w:cs="Times New Roman"/>
          <w:sz w:val="24"/>
          <w:szCs w:val="24"/>
        </w:rPr>
        <w:t xml:space="preserve"> trust account the balance of the purchase price almost </w:t>
      </w:r>
      <w:r w:rsidR="00B126F8" w:rsidRPr="00A96CF1">
        <w:rPr>
          <w:rFonts w:ascii="Times New Roman" w:hAnsi="Times New Roman" w:cs="Times New Roman"/>
          <w:sz w:val="24"/>
          <w:szCs w:val="24"/>
          <w:u w:val="single"/>
        </w:rPr>
        <w:t>three years after the deadline</w:t>
      </w:r>
      <w:r w:rsidR="00B126F8" w:rsidRPr="00A96CF1">
        <w:rPr>
          <w:rFonts w:ascii="Times New Roman" w:hAnsi="Times New Roman" w:cs="Times New Roman"/>
          <w:sz w:val="24"/>
          <w:szCs w:val="24"/>
        </w:rPr>
        <w:t xml:space="preserve"> of 1 September 2015. Therefore, the issue whether the agreement between the appellant and the </w:t>
      </w:r>
      <w:r w:rsidR="006C12E2" w:rsidRPr="00A96CF1">
        <w:rPr>
          <w:rFonts w:ascii="Times New Roman" w:hAnsi="Times New Roman" w:cs="Times New Roman"/>
          <w:sz w:val="24"/>
          <w:szCs w:val="24"/>
        </w:rPr>
        <w:t>first</w:t>
      </w:r>
      <w:r w:rsidR="00B126F8" w:rsidRPr="00A96CF1">
        <w:rPr>
          <w:rFonts w:ascii="Times New Roman" w:hAnsi="Times New Roman" w:cs="Times New Roman"/>
          <w:sz w:val="24"/>
          <w:szCs w:val="24"/>
        </w:rPr>
        <w:t xml:space="preserve"> respondent was lawfully terminated</w:t>
      </w:r>
      <w:r w:rsidR="006C12E2" w:rsidRPr="00A96CF1">
        <w:rPr>
          <w:rFonts w:ascii="Times New Roman" w:hAnsi="Times New Roman" w:cs="Times New Roman"/>
          <w:sz w:val="24"/>
          <w:szCs w:val="24"/>
        </w:rPr>
        <w:t>,</w:t>
      </w:r>
      <w:r w:rsidR="006E3C51" w:rsidRPr="00A96CF1">
        <w:rPr>
          <w:rFonts w:ascii="Times New Roman" w:hAnsi="Times New Roman" w:cs="Times New Roman"/>
          <w:sz w:val="24"/>
          <w:szCs w:val="24"/>
        </w:rPr>
        <w:t xml:space="preserve"> was settled</w:t>
      </w:r>
      <w:r w:rsidRPr="00A96CF1">
        <w:rPr>
          <w:rFonts w:ascii="Times New Roman" w:hAnsi="Times New Roman" w:cs="Times New Roman"/>
          <w:sz w:val="24"/>
          <w:szCs w:val="24"/>
        </w:rPr>
        <w:t xml:space="preserve"> accordingly</w:t>
      </w:r>
      <w:r w:rsidR="00B126F8" w:rsidRPr="00A96CF1">
        <w:rPr>
          <w:rFonts w:ascii="Times New Roman" w:hAnsi="Times New Roman" w:cs="Times New Roman"/>
          <w:sz w:val="24"/>
          <w:szCs w:val="24"/>
        </w:rPr>
        <w:t>.</w:t>
      </w:r>
    </w:p>
    <w:p w14:paraId="432D025A" w14:textId="77777777" w:rsidR="003813DA" w:rsidRDefault="003813DA" w:rsidP="00611631">
      <w:pPr>
        <w:pStyle w:val="ListParagraph"/>
        <w:spacing w:line="480" w:lineRule="auto"/>
        <w:ind w:left="851"/>
        <w:jc w:val="both"/>
        <w:rPr>
          <w:rFonts w:ascii="Times New Roman" w:hAnsi="Times New Roman" w:cs="Times New Roman"/>
          <w:sz w:val="24"/>
          <w:szCs w:val="24"/>
        </w:rPr>
      </w:pPr>
    </w:p>
    <w:p w14:paraId="3F90BEEA" w14:textId="4893E103" w:rsidR="0088370A" w:rsidRPr="00A96CF1" w:rsidRDefault="00B126F8" w:rsidP="00611631">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On the second issue, the </w:t>
      </w:r>
      <w:r w:rsidR="0088370A" w:rsidRPr="00A96CF1">
        <w:rPr>
          <w:rFonts w:ascii="Times New Roman" w:hAnsi="Times New Roman" w:cs="Times New Roman"/>
          <w:sz w:val="24"/>
          <w:szCs w:val="24"/>
        </w:rPr>
        <w:t>first</w:t>
      </w:r>
      <w:r w:rsidR="00565AC1" w:rsidRPr="00A96CF1">
        <w:rPr>
          <w:rFonts w:ascii="Times New Roman" w:hAnsi="Times New Roman" w:cs="Times New Roman"/>
          <w:sz w:val="24"/>
          <w:szCs w:val="24"/>
        </w:rPr>
        <w:t xml:space="preserve"> respondent contended that the second agreement was concluded after the cancellation of the first agreement and also at the time the default judgment c</w:t>
      </w:r>
      <w:r w:rsidR="006E3C51" w:rsidRPr="00A96CF1">
        <w:rPr>
          <w:rFonts w:ascii="Times New Roman" w:hAnsi="Times New Roman" w:cs="Times New Roman"/>
          <w:sz w:val="24"/>
          <w:szCs w:val="24"/>
        </w:rPr>
        <w:t>onfirming cancellation was</w:t>
      </w:r>
      <w:r w:rsidR="00565AC1" w:rsidRPr="00A96CF1">
        <w:rPr>
          <w:rFonts w:ascii="Times New Roman" w:hAnsi="Times New Roman" w:cs="Times New Roman"/>
          <w:sz w:val="24"/>
          <w:szCs w:val="24"/>
        </w:rPr>
        <w:t xml:space="preserve"> extant. It was also submitted</w:t>
      </w:r>
      <w:r w:rsidR="0088370A" w:rsidRPr="00A96CF1">
        <w:rPr>
          <w:rFonts w:ascii="Times New Roman" w:hAnsi="Times New Roman" w:cs="Times New Roman"/>
          <w:sz w:val="24"/>
          <w:szCs w:val="24"/>
        </w:rPr>
        <w:t>,</w:t>
      </w:r>
      <w:r w:rsidR="00565AC1" w:rsidRPr="00A96CF1">
        <w:rPr>
          <w:rFonts w:ascii="Times New Roman" w:hAnsi="Times New Roman" w:cs="Times New Roman"/>
          <w:sz w:val="24"/>
          <w:szCs w:val="24"/>
        </w:rPr>
        <w:t xml:space="preserve"> </w:t>
      </w:r>
      <w:r w:rsidR="0088370A" w:rsidRPr="00A96CF1">
        <w:rPr>
          <w:rFonts w:ascii="Times New Roman" w:hAnsi="Times New Roman" w:cs="Times New Roman"/>
          <w:sz w:val="24"/>
          <w:szCs w:val="24"/>
        </w:rPr>
        <w:t xml:space="preserve">on his behalf, </w:t>
      </w:r>
      <w:r w:rsidR="00565AC1" w:rsidRPr="00A96CF1">
        <w:rPr>
          <w:rFonts w:ascii="Times New Roman" w:hAnsi="Times New Roman" w:cs="Times New Roman"/>
          <w:sz w:val="24"/>
          <w:szCs w:val="24"/>
        </w:rPr>
        <w:t xml:space="preserve">that the fact that the default judgment confirming the cancellation was later rescinded was of no </w:t>
      </w:r>
      <w:r w:rsidR="006C12E2" w:rsidRPr="00A96CF1">
        <w:rPr>
          <w:rFonts w:ascii="Times New Roman" w:hAnsi="Times New Roman" w:cs="Times New Roman"/>
          <w:sz w:val="24"/>
          <w:szCs w:val="24"/>
        </w:rPr>
        <w:t>moment</w:t>
      </w:r>
      <w:r w:rsidR="00565AC1" w:rsidRPr="00A96CF1">
        <w:rPr>
          <w:rFonts w:ascii="Times New Roman" w:hAnsi="Times New Roman" w:cs="Times New Roman"/>
          <w:sz w:val="24"/>
          <w:szCs w:val="24"/>
        </w:rPr>
        <w:t xml:space="preserve">. </w:t>
      </w:r>
    </w:p>
    <w:p w14:paraId="30BFFC01" w14:textId="77777777" w:rsidR="003813DA" w:rsidRPr="003813DA" w:rsidRDefault="003813DA" w:rsidP="00286798">
      <w:pPr>
        <w:pStyle w:val="ListParagraph"/>
        <w:spacing w:after="0" w:line="240" w:lineRule="auto"/>
        <w:ind w:left="993"/>
        <w:jc w:val="both"/>
        <w:rPr>
          <w:rFonts w:ascii="Times New Roman" w:hAnsi="Times New Roman" w:cs="Times New Roman"/>
          <w:sz w:val="24"/>
          <w:szCs w:val="24"/>
        </w:rPr>
      </w:pPr>
    </w:p>
    <w:p w14:paraId="4593329E" w14:textId="09BBADE9" w:rsidR="0088370A" w:rsidRPr="00A96CF1" w:rsidRDefault="00565AC1" w:rsidP="00611631">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i/>
          <w:sz w:val="24"/>
          <w:szCs w:val="24"/>
        </w:rPr>
        <w:t>Per contra</w:t>
      </w:r>
      <w:r w:rsidRPr="00A96CF1">
        <w:rPr>
          <w:rFonts w:ascii="Times New Roman" w:hAnsi="Times New Roman" w:cs="Times New Roman"/>
          <w:sz w:val="24"/>
          <w:szCs w:val="24"/>
        </w:rPr>
        <w:t xml:space="preserve">, the appellant argued that the preamble </w:t>
      </w:r>
      <w:r w:rsidR="0088370A" w:rsidRPr="00A96CF1">
        <w:rPr>
          <w:rFonts w:ascii="Times New Roman" w:hAnsi="Times New Roman" w:cs="Times New Roman"/>
          <w:sz w:val="24"/>
          <w:szCs w:val="24"/>
        </w:rPr>
        <w:t>to</w:t>
      </w:r>
      <w:r w:rsidRPr="00A96CF1">
        <w:rPr>
          <w:rFonts w:ascii="Times New Roman" w:hAnsi="Times New Roman" w:cs="Times New Roman"/>
          <w:sz w:val="24"/>
          <w:szCs w:val="24"/>
        </w:rPr>
        <w:t xml:space="preserve"> the agreement between the </w:t>
      </w:r>
      <w:r w:rsidR="0088370A"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and the </w:t>
      </w:r>
      <w:r w:rsidR="0088370A" w:rsidRPr="00A96CF1">
        <w:rPr>
          <w:rFonts w:ascii="Times New Roman" w:hAnsi="Times New Roman" w:cs="Times New Roman"/>
          <w:sz w:val="24"/>
          <w:szCs w:val="24"/>
        </w:rPr>
        <w:t>second</w:t>
      </w:r>
      <w:r w:rsidRPr="00A96CF1">
        <w:rPr>
          <w:rFonts w:ascii="Times New Roman" w:hAnsi="Times New Roman" w:cs="Times New Roman"/>
          <w:sz w:val="24"/>
          <w:szCs w:val="24"/>
        </w:rPr>
        <w:t xml:space="preserve"> respondent described the property as </w:t>
      </w:r>
      <w:r w:rsidR="00214094" w:rsidRPr="00A96CF1">
        <w:rPr>
          <w:rFonts w:ascii="Times New Roman" w:hAnsi="Times New Roman" w:cs="Times New Roman"/>
          <w:sz w:val="24"/>
          <w:szCs w:val="24"/>
        </w:rPr>
        <w:t>S</w:t>
      </w:r>
      <w:r w:rsidRPr="00A96CF1">
        <w:rPr>
          <w:rFonts w:ascii="Times New Roman" w:hAnsi="Times New Roman" w:cs="Times New Roman"/>
          <w:sz w:val="24"/>
          <w:szCs w:val="24"/>
        </w:rPr>
        <w:t>tand 6512 Bulawayo Township. It</w:t>
      </w:r>
      <w:r w:rsidR="0088370A" w:rsidRPr="00A96CF1">
        <w:rPr>
          <w:rFonts w:ascii="Times New Roman" w:hAnsi="Times New Roman" w:cs="Times New Roman"/>
          <w:sz w:val="24"/>
          <w:szCs w:val="24"/>
        </w:rPr>
        <w:t xml:space="preserve"> was</w:t>
      </w:r>
      <w:r w:rsidRPr="00A96CF1">
        <w:rPr>
          <w:rFonts w:ascii="Times New Roman" w:hAnsi="Times New Roman" w:cs="Times New Roman"/>
          <w:sz w:val="24"/>
          <w:szCs w:val="24"/>
        </w:rPr>
        <w:t xml:space="preserve"> submitted that</w:t>
      </w:r>
      <w:r w:rsidR="0088370A" w:rsidRPr="00A96CF1">
        <w:rPr>
          <w:rFonts w:ascii="Times New Roman" w:hAnsi="Times New Roman" w:cs="Times New Roman"/>
          <w:sz w:val="24"/>
          <w:szCs w:val="24"/>
        </w:rPr>
        <w:t xml:space="preserve"> it therefore followed that</w:t>
      </w:r>
      <w:r w:rsidRPr="00A96CF1">
        <w:rPr>
          <w:rFonts w:ascii="Times New Roman" w:hAnsi="Times New Roman" w:cs="Times New Roman"/>
          <w:sz w:val="24"/>
          <w:szCs w:val="24"/>
        </w:rPr>
        <w:t xml:space="preserve"> the parties</w:t>
      </w:r>
      <w:r w:rsidR="00214094" w:rsidRPr="00A96CF1">
        <w:rPr>
          <w:rFonts w:ascii="Times New Roman" w:hAnsi="Times New Roman" w:cs="Times New Roman"/>
          <w:sz w:val="24"/>
          <w:szCs w:val="24"/>
        </w:rPr>
        <w:t xml:space="preserve"> in the second agreement</w:t>
      </w:r>
      <w:r w:rsidRPr="00A96CF1">
        <w:rPr>
          <w:rFonts w:ascii="Times New Roman" w:hAnsi="Times New Roman" w:cs="Times New Roman"/>
          <w:sz w:val="24"/>
          <w:szCs w:val="24"/>
        </w:rPr>
        <w:t xml:space="preserve"> had in mind </w:t>
      </w:r>
      <w:r w:rsidR="00214094" w:rsidRPr="00A96CF1">
        <w:rPr>
          <w:rFonts w:ascii="Times New Roman" w:hAnsi="Times New Roman" w:cs="Times New Roman"/>
          <w:sz w:val="24"/>
          <w:szCs w:val="24"/>
        </w:rPr>
        <w:t>S</w:t>
      </w:r>
      <w:r w:rsidRPr="00A96CF1">
        <w:rPr>
          <w:rFonts w:ascii="Times New Roman" w:hAnsi="Times New Roman" w:cs="Times New Roman"/>
          <w:sz w:val="24"/>
          <w:szCs w:val="24"/>
        </w:rPr>
        <w:t xml:space="preserve">tand 6512 </w:t>
      </w:r>
      <w:r w:rsidR="0088370A" w:rsidRPr="00A96CF1">
        <w:rPr>
          <w:rFonts w:ascii="Times New Roman" w:hAnsi="Times New Roman" w:cs="Times New Roman"/>
          <w:sz w:val="24"/>
          <w:szCs w:val="24"/>
        </w:rPr>
        <w:t xml:space="preserve">and not </w:t>
      </w:r>
      <w:r w:rsidR="00214094" w:rsidRPr="00A96CF1">
        <w:rPr>
          <w:rFonts w:ascii="Times New Roman" w:hAnsi="Times New Roman" w:cs="Times New Roman"/>
          <w:sz w:val="24"/>
          <w:szCs w:val="24"/>
        </w:rPr>
        <w:t>S</w:t>
      </w:r>
      <w:r w:rsidR="0088370A" w:rsidRPr="00A96CF1">
        <w:rPr>
          <w:rFonts w:ascii="Times New Roman" w:hAnsi="Times New Roman" w:cs="Times New Roman"/>
          <w:sz w:val="24"/>
          <w:szCs w:val="24"/>
        </w:rPr>
        <w:t xml:space="preserve">tand </w:t>
      </w:r>
      <w:r w:rsidRPr="00A96CF1">
        <w:rPr>
          <w:rFonts w:ascii="Times New Roman" w:hAnsi="Times New Roman" w:cs="Times New Roman"/>
          <w:sz w:val="24"/>
          <w:szCs w:val="24"/>
        </w:rPr>
        <w:t>6505</w:t>
      </w:r>
      <w:r w:rsidR="00214094" w:rsidRPr="00A96CF1">
        <w:rPr>
          <w:rFonts w:ascii="Times New Roman" w:hAnsi="Times New Roman" w:cs="Times New Roman"/>
          <w:sz w:val="24"/>
          <w:szCs w:val="24"/>
        </w:rPr>
        <w:t>, the subject matter of the initial agreement.</w:t>
      </w:r>
      <w:r w:rsidRPr="00A96CF1">
        <w:rPr>
          <w:rFonts w:ascii="Times New Roman" w:hAnsi="Times New Roman" w:cs="Times New Roman"/>
          <w:sz w:val="24"/>
          <w:szCs w:val="24"/>
        </w:rPr>
        <w:t xml:space="preserve"> </w:t>
      </w:r>
      <w:r w:rsidR="00214094" w:rsidRPr="00A96CF1">
        <w:rPr>
          <w:rFonts w:ascii="Times New Roman" w:hAnsi="Times New Roman" w:cs="Times New Roman"/>
          <w:sz w:val="24"/>
          <w:szCs w:val="24"/>
        </w:rPr>
        <w:t>Furthermore,</w:t>
      </w:r>
      <w:r w:rsidRPr="00A96CF1">
        <w:rPr>
          <w:rFonts w:ascii="Times New Roman" w:hAnsi="Times New Roman" w:cs="Times New Roman"/>
          <w:sz w:val="24"/>
          <w:szCs w:val="24"/>
        </w:rPr>
        <w:t xml:space="preserve"> </w:t>
      </w:r>
      <w:r w:rsidR="0088370A" w:rsidRPr="00A96CF1">
        <w:rPr>
          <w:rFonts w:ascii="Times New Roman" w:hAnsi="Times New Roman" w:cs="Times New Roman"/>
          <w:sz w:val="24"/>
          <w:szCs w:val="24"/>
        </w:rPr>
        <w:t>that</w:t>
      </w:r>
      <w:r w:rsidRPr="00A96CF1">
        <w:rPr>
          <w:rFonts w:ascii="Times New Roman" w:hAnsi="Times New Roman" w:cs="Times New Roman"/>
          <w:sz w:val="24"/>
          <w:szCs w:val="24"/>
        </w:rPr>
        <w:t xml:space="preserve"> there was</w:t>
      </w:r>
      <w:r w:rsidR="0088370A" w:rsidRPr="00A96CF1">
        <w:rPr>
          <w:rFonts w:ascii="Times New Roman" w:hAnsi="Times New Roman" w:cs="Times New Roman"/>
          <w:sz w:val="24"/>
          <w:szCs w:val="24"/>
        </w:rPr>
        <w:t xml:space="preserve"> thus</w:t>
      </w:r>
      <w:r w:rsidRPr="00A96CF1">
        <w:rPr>
          <w:rFonts w:ascii="Times New Roman" w:hAnsi="Times New Roman" w:cs="Times New Roman"/>
          <w:sz w:val="24"/>
          <w:szCs w:val="24"/>
        </w:rPr>
        <w:t xml:space="preserve"> no </w:t>
      </w:r>
      <w:r w:rsidRPr="00322C85">
        <w:rPr>
          <w:rFonts w:ascii="Times New Roman" w:hAnsi="Times New Roman" w:cs="Times New Roman"/>
          <w:sz w:val="24"/>
          <w:szCs w:val="24"/>
        </w:rPr>
        <w:t>privity</w:t>
      </w:r>
      <w:r w:rsidRPr="00A96CF1">
        <w:rPr>
          <w:rFonts w:ascii="Times New Roman" w:hAnsi="Times New Roman" w:cs="Times New Roman"/>
          <w:sz w:val="24"/>
          <w:szCs w:val="24"/>
        </w:rPr>
        <w:t xml:space="preserve"> of contract between the </w:t>
      </w:r>
      <w:r w:rsidR="0088370A"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and </w:t>
      </w:r>
      <w:r w:rsidR="0088370A" w:rsidRPr="00A96CF1">
        <w:rPr>
          <w:rFonts w:ascii="Times New Roman" w:hAnsi="Times New Roman" w:cs="Times New Roman"/>
          <w:sz w:val="24"/>
          <w:szCs w:val="24"/>
        </w:rPr>
        <w:t>second</w:t>
      </w:r>
      <w:r w:rsidRPr="00A96CF1">
        <w:rPr>
          <w:rFonts w:ascii="Times New Roman" w:hAnsi="Times New Roman" w:cs="Times New Roman"/>
          <w:sz w:val="24"/>
          <w:szCs w:val="24"/>
        </w:rPr>
        <w:t xml:space="preserve"> respondent concerning the property</w:t>
      </w:r>
      <w:r w:rsidR="00214094" w:rsidRPr="00A96CF1">
        <w:rPr>
          <w:rFonts w:ascii="Times New Roman" w:hAnsi="Times New Roman" w:cs="Times New Roman"/>
          <w:sz w:val="24"/>
          <w:szCs w:val="24"/>
        </w:rPr>
        <w:t xml:space="preserve"> the subject of this appeal</w:t>
      </w:r>
      <w:r w:rsidRPr="00A96CF1">
        <w:rPr>
          <w:rFonts w:ascii="Times New Roman" w:hAnsi="Times New Roman" w:cs="Times New Roman"/>
          <w:sz w:val="24"/>
          <w:szCs w:val="24"/>
        </w:rPr>
        <w:t xml:space="preserve">. </w:t>
      </w:r>
    </w:p>
    <w:p w14:paraId="50338CE0" w14:textId="77777777" w:rsidR="003813DA" w:rsidRDefault="003813DA" w:rsidP="00611631">
      <w:pPr>
        <w:pStyle w:val="ListParagraph"/>
        <w:spacing w:line="480" w:lineRule="auto"/>
        <w:jc w:val="both"/>
        <w:rPr>
          <w:rFonts w:ascii="Times New Roman" w:hAnsi="Times New Roman" w:cs="Times New Roman"/>
          <w:sz w:val="24"/>
          <w:szCs w:val="24"/>
        </w:rPr>
      </w:pPr>
    </w:p>
    <w:p w14:paraId="0DCA9EDD" w14:textId="07AA3C05" w:rsidR="00CA15F7" w:rsidRPr="00A96CF1" w:rsidRDefault="00CA15F7" w:rsidP="00322C85">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The </w:t>
      </w:r>
      <w:r w:rsidR="0088370A" w:rsidRPr="00A96CF1">
        <w:rPr>
          <w:rFonts w:ascii="Times New Roman" w:hAnsi="Times New Roman" w:cs="Times New Roman"/>
          <w:sz w:val="24"/>
          <w:szCs w:val="24"/>
        </w:rPr>
        <w:t>second</w:t>
      </w:r>
      <w:r w:rsidRPr="00A96CF1">
        <w:rPr>
          <w:rFonts w:ascii="Times New Roman" w:hAnsi="Times New Roman" w:cs="Times New Roman"/>
          <w:sz w:val="24"/>
          <w:szCs w:val="24"/>
        </w:rPr>
        <w:t xml:space="preserve"> respondent contended that the appellant breached the agreement by failing to pay the balance </w:t>
      </w:r>
      <w:r w:rsidR="00124D4B" w:rsidRPr="00A96CF1">
        <w:rPr>
          <w:rFonts w:ascii="Times New Roman" w:hAnsi="Times New Roman" w:cs="Times New Roman"/>
          <w:sz w:val="24"/>
          <w:szCs w:val="24"/>
        </w:rPr>
        <w:t xml:space="preserve">of the </w:t>
      </w:r>
      <w:r w:rsidRPr="00A96CF1">
        <w:rPr>
          <w:rFonts w:ascii="Times New Roman" w:hAnsi="Times New Roman" w:cs="Times New Roman"/>
          <w:sz w:val="24"/>
          <w:szCs w:val="24"/>
        </w:rPr>
        <w:t>purchase price. Subsequently the appellant was notified of the breach and failed to rectify the breach. He stated that</w:t>
      </w:r>
      <w:r w:rsidR="0088370A" w:rsidRPr="00A96CF1">
        <w:rPr>
          <w:rFonts w:ascii="Times New Roman" w:hAnsi="Times New Roman" w:cs="Times New Roman"/>
          <w:sz w:val="24"/>
          <w:szCs w:val="24"/>
        </w:rPr>
        <w:t xml:space="preserve"> the sale to him (second respondent)</w:t>
      </w:r>
      <w:r w:rsidR="002F0F3F" w:rsidRPr="00A96CF1">
        <w:rPr>
          <w:rFonts w:ascii="Times New Roman" w:hAnsi="Times New Roman" w:cs="Times New Roman"/>
          <w:sz w:val="24"/>
          <w:szCs w:val="24"/>
        </w:rPr>
        <w:t xml:space="preserve"> was conducted</w:t>
      </w:r>
      <w:r w:rsidRPr="00A96CF1">
        <w:rPr>
          <w:rFonts w:ascii="Times New Roman" w:hAnsi="Times New Roman" w:cs="Times New Roman"/>
          <w:sz w:val="24"/>
          <w:szCs w:val="24"/>
        </w:rPr>
        <w:t xml:space="preserve"> during the period when the order confirming the cancellation</w:t>
      </w:r>
      <w:r w:rsidR="002F0F3F" w:rsidRPr="00A96CF1">
        <w:rPr>
          <w:rFonts w:ascii="Times New Roman" w:hAnsi="Times New Roman" w:cs="Times New Roman"/>
          <w:sz w:val="24"/>
          <w:szCs w:val="24"/>
        </w:rPr>
        <w:t xml:space="preserve"> of the initial sale</w:t>
      </w:r>
      <w:r w:rsidRPr="00A96CF1">
        <w:rPr>
          <w:rFonts w:ascii="Times New Roman" w:hAnsi="Times New Roman" w:cs="Times New Roman"/>
          <w:sz w:val="24"/>
          <w:szCs w:val="24"/>
        </w:rPr>
        <w:t xml:space="preserve"> was extant</w:t>
      </w:r>
      <w:r w:rsidR="002F0F3F" w:rsidRPr="00A96CF1">
        <w:rPr>
          <w:rFonts w:ascii="Times New Roman" w:hAnsi="Times New Roman" w:cs="Times New Roman"/>
          <w:sz w:val="24"/>
          <w:szCs w:val="24"/>
        </w:rPr>
        <w:t xml:space="preserve"> and that there </w:t>
      </w:r>
      <w:r w:rsidRPr="00A96CF1">
        <w:rPr>
          <w:rFonts w:ascii="Times New Roman" w:hAnsi="Times New Roman" w:cs="Times New Roman"/>
          <w:sz w:val="24"/>
          <w:szCs w:val="24"/>
        </w:rPr>
        <w:t>were</w:t>
      </w:r>
      <w:r w:rsidR="002F0F3F" w:rsidRPr="00A96CF1">
        <w:rPr>
          <w:rFonts w:ascii="Times New Roman" w:hAnsi="Times New Roman" w:cs="Times New Roman"/>
          <w:sz w:val="24"/>
          <w:szCs w:val="24"/>
        </w:rPr>
        <w:t xml:space="preserve"> therefore</w:t>
      </w:r>
      <w:r w:rsidRPr="00A96CF1">
        <w:rPr>
          <w:rFonts w:ascii="Times New Roman" w:hAnsi="Times New Roman" w:cs="Times New Roman"/>
          <w:sz w:val="24"/>
          <w:szCs w:val="24"/>
        </w:rPr>
        <w:t xml:space="preserve"> no legal impediments to the conclusion of the</w:t>
      </w:r>
      <w:r w:rsidR="002F0F3F" w:rsidRPr="00A96CF1">
        <w:rPr>
          <w:rFonts w:ascii="Times New Roman" w:hAnsi="Times New Roman" w:cs="Times New Roman"/>
          <w:sz w:val="24"/>
          <w:szCs w:val="24"/>
        </w:rPr>
        <w:t xml:space="preserve"> said</w:t>
      </w:r>
      <w:r w:rsidRPr="00A96CF1">
        <w:rPr>
          <w:rFonts w:ascii="Times New Roman" w:hAnsi="Times New Roman" w:cs="Times New Roman"/>
          <w:sz w:val="24"/>
          <w:szCs w:val="24"/>
        </w:rPr>
        <w:t xml:space="preserve"> </w:t>
      </w:r>
      <w:r w:rsidR="002F0F3F" w:rsidRPr="00A96CF1">
        <w:rPr>
          <w:rFonts w:ascii="Times New Roman" w:hAnsi="Times New Roman" w:cs="Times New Roman"/>
          <w:sz w:val="24"/>
          <w:szCs w:val="24"/>
        </w:rPr>
        <w:t>(</w:t>
      </w:r>
      <w:r w:rsidRPr="00A96CF1">
        <w:rPr>
          <w:rFonts w:ascii="Times New Roman" w:hAnsi="Times New Roman" w:cs="Times New Roman"/>
          <w:sz w:val="24"/>
          <w:szCs w:val="24"/>
        </w:rPr>
        <w:t>second</w:t>
      </w:r>
      <w:r w:rsidR="002F0F3F" w:rsidRPr="00A96CF1">
        <w:rPr>
          <w:rFonts w:ascii="Times New Roman" w:hAnsi="Times New Roman" w:cs="Times New Roman"/>
          <w:sz w:val="24"/>
          <w:szCs w:val="24"/>
        </w:rPr>
        <w:t>)</w:t>
      </w:r>
      <w:r w:rsidRPr="00A96CF1">
        <w:rPr>
          <w:rFonts w:ascii="Times New Roman" w:hAnsi="Times New Roman" w:cs="Times New Roman"/>
          <w:sz w:val="24"/>
          <w:szCs w:val="24"/>
        </w:rPr>
        <w:t xml:space="preserve"> agreement of sale. </w:t>
      </w:r>
    </w:p>
    <w:p w14:paraId="64B05766" w14:textId="77777777" w:rsidR="003813DA" w:rsidRDefault="003813DA" w:rsidP="003813DA">
      <w:pPr>
        <w:pStyle w:val="ListParagraph"/>
        <w:spacing w:line="360" w:lineRule="auto"/>
        <w:jc w:val="both"/>
        <w:rPr>
          <w:rFonts w:ascii="Times New Roman" w:hAnsi="Times New Roman" w:cs="Times New Roman"/>
          <w:sz w:val="24"/>
          <w:szCs w:val="24"/>
        </w:rPr>
      </w:pPr>
    </w:p>
    <w:p w14:paraId="313D33A4" w14:textId="56B85011" w:rsidR="00B126F8" w:rsidRPr="00A96CF1" w:rsidRDefault="00CA15F7" w:rsidP="00322C85">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The court found that the property referred to in the agreed facts was stand number 6505 Bulawayo Township, situate in the District of Bulawayo. It found that there was no factual dispute</w:t>
      </w:r>
      <w:r w:rsidR="00214094" w:rsidRPr="00A96CF1">
        <w:rPr>
          <w:rFonts w:ascii="Times New Roman" w:hAnsi="Times New Roman" w:cs="Times New Roman"/>
          <w:sz w:val="24"/>
          <w:szCs w:val="24"/>
        </w:rPr>
        <w:t xml:space="preserve"> as</w:t>
      </w:r>
      <w:r w:rsidRPr="00A96CF1">
        <w:rPr>
          <w:rFonts w:ascii="Times New Roman" w:hAnsi="Times New Roman" w:cs="Times New Roman"/>
          <w:sz w:val="24"/>
          <w:szCs w:val="24"/>
        </w:rPr>
        <w:t xml:space="preserve"> to the identity of the property in issue</w:t>
      </w:r>
      <w:r w:rsidR="002F0F3F" w:rsidRPr="00A96CF1">
        <w:rPr>
          <w:rFonts w:ascii="Times New Roman" w:hAnsi="Times New Roman" w:cs="Times New Roman"/>
          <w:sz w:val="24"/>
          <w:szCs w:val="24"/>
        </w:rPr>
        <w:t>,</w:t>
      </w:r>
      <w:r w:rsidR="00214094" w:rsidRPr="00A96CF1">
        <w:rPr>
          <w:rFonts w:ascii="Times New Roman" w:hAnsi="Times New Roman" w:cs="Times New Roman"/>
          <w:sz w:val="24"/>
          <w:szCs w:val="24"/>
        </w:rPr>
        <w:t xml:space="preserve"> the</w:t>
      </w:r>
      <w:r w:rsidRPr="00A96CF1">
        <w:rPr>
          <w:rFonts w:ascii="Times New Roman" w:hAnsi="Times New Roman" w:cs="Times New Roman"/>
          <w:sz w:val="24"/>
          <w:szCs w:val="24"/>
        </w:rPr>
        <w:t xml:space="preserve"> subject </w:t>
      </w:r>
      <w:r w:rsidR="00214094" w:rsidRPr="00A96CF1">
        <w:rPr>
          <w:rFonts w:ascii="Times New Roman" w:hAnsi="Times New Roman" w:cs="Times New Roman"/>
          <w:sz w:val="24"/>
          <w:szCs w:val="24"/>
        </w:rPr>
        <w:t>matter of</w:t>
      </w:r>
      <w:r w:rsidRPr="00A96CF1">
        <w:rPr>
          <w:rFonts w:ascii="Times New Roman" w:hAnsi="Times New Roman" w:cs="Times New Roman"/>
          <w:sz w:val="24"/>
          <w:szCs w:val="24"/>
        </w:rPr>
        <w:t xml:space="preserve"> the agreement between the </w:t>
      </w:r>
      <w:r w:rsidR="002F0F3F" w:rsidRPr="00A96CF1">
        <w:rPr>
          <w:rFonts w:ascii="Times New Roman" w:hAnsi="Times New Roman" w:cs="Times New Roman"/>
          <w:sz w:val="24"/>
          <w:szCs w:val="24"/>
        </w:rPr>
        <w:t>first and second</w:t>
      </w:r>
      <w:r w:rsidRPr="00A96CF1">
        <w:rPr>
          <w:rFonts w:ascii="Times New Roman" w:hAnsi="Times New Roman" w:cs="Times New Roman"/>
          <w:sz w:val="24"/>
          <w:szCs w:val="24"/>
        </w:rPr>
        <w:t xml:space="preserve"> respondent</w:t>
      </w:r>
      <w:r w:rsidR="002F0F3F" w:rsidRPr="00A96CF1">
        <w:rPr>
          <w:rFonts w:ascii="Times New Roman" w:hAnsi="Times New Roman" w:cs="Times New Roman"/>
          <w:sz w:val="24"/>
          <w:szCs w:val="24"/>
        </w:rPr>
        <w:t>s</w:t>
      </w:r>
      <w:r w:rsidRPr="00A96CF1">
        <w:rPr>
          <w:rFonts w:ascii="Times New Roman" w:hAnsi="Times New Roman" w:cs="Times New Roman"/>
          <w:sz w:val="24"/>
          <w:szCs w:val="24"/>
        </w:rPr>
        <w:t xml:space="preserve">. </w:t>
      </w:r>
      <w:r w:rsidR="002F0F3F" w:rsidRPr="00A96CF1">
        <w:rPr>
          <w:rFonts w:ascii="Times New Roman" w:hAnsi="Times New Roman" w:cs="Times New Roman"/>
          <w:sz w:val="24"/>
          <w:szCs w:val="24"/>
        </w:rPr>
        <w:t>Further, that i</w:t>
      </w:r>
      <w:r w:rsidRPr="00A96CF1">
        <w:rPr>
          <w:rFonts w:ascii="Times New Roman" w:hAnsi="Times New Roman" w:cs="Times New Roman"/>
          <w:sz w:val="24"/>
          <w:szCs w:val="24"/>
        </w:rPr>
        <w:t xml:space="preserve">n any event, the validity of the agreement of sale between the </w:t>
      </w:r>
      <w:r w:rsidR="002F0F3F" w:rsidRPr="00A96CF1">
        <w:rPr>
          <w:rFonts w:ascii="Times New Roman" w:hAnsi="Times New Roman" w:cs="Times New Roman"/>
          <w:sz w:val="24"/>
          <w:szCs w:val="24"/>
        </w:rPr>
        <w:t xml:space="preserve">first </w:t>
      </w:r>
      <w:r w:rsidRPr="00A96CF1">
        <w:rPr>
          <w:rFonts w:ascii="Times New Roman" w:hAnsi="Times New Roman" w:cs="Times New Roman"/>
          <w:sz w:val="24"/>
          <w:szCs w:val="24"/>
        </w:rPr>
        <w:t xml:space="preserve">and </w:t>
      </w:r>
      <w:r w:rsidR="002F0F3F" w:rsidRPr="00A96CF1">
        <w:rPr>
          <w:rFonts w:ascii="Times New Roman" w:hAnsi="Times New Roman" w:cs="Times New Roman"/>
          <w:sz w:val="24"/>
          <w:szCs w:val="24"/>
        </w:rPr>
        <w:t xml:space="preserve">second </w:t>
      </w:r>
      <w:r w:rsidRPr="00A96CF1">
        <w:rPr>
          <w:rFonts w:ascii="Times New Roman" w:hAnsi="Times New Roman" w:cs="Times New Roman"/>
          <w:sz w:val="24"/>
          <w:szCs w:val="24"/>
        </w:rPr>
        <w:t>respondent</w:t>
      </w:r>
      <w:r w:rsidR="002F0F3F" w:rsidRPr="00A96CF1">
        <w:rPr>
          <w:rFonts w:ascii="Times New Roman" w:hAnsi="Times New Roman" w:cs="Times New Roman"/>
          <w:sz w:val="24"/>
          <w:szCs w:val="24"/>
        </w:rPr>
        <w:t>s</w:t>
      </w:r>
      <w:r w:rsidRPr="00A96CF1">
        <w:rPr>
          <w:rFonts w:ascii="Times New Roman" w:hAnsi="Times New Roman" w:cs="Times New Roman"/>
          <w:sz w:val="24"/>
          <w:szCs w:val="24"/>
        </w:rPr>
        <w:t xml:space="preserve"> was not an issue</w:t>
      </w:r>
      <w:r w:rsidR="002F0F3F" w:rsidRPr="00A96CF1">
        <w:rPr>
          <w:rFonts w:ascii="Times New Roman" w:hAnsi="Times New Roman" w:cs="Times New Roman"/>
          <w:sz w:val="24"/>
          <w:szCs w:val="24"/>
        </w:rPr>
        <w:t xml:space="preserve"> that</w:t>
      </w:r>
      <w:r w:rsidRPr="00A96CF1">
        <w:rPr>
          <w:rFonts w:ascii="Times New Roman" w:hAnsi="Times New Roman" w:cs="Times New Roman"/>
          <w:sz w:val="24"/>
          <w:szCs w:val="24"/>
        </w:rPr>
        <w:t xml:space="preserve"> the appellant should</w:t>
      </w:r>
      <w:r w:rsidR="006E3C51" w:rsidRPr="00A96CF1">
        <w:rPr>
          <w:rFonts w:ascii="Times New Roman" w:hAnsi="Times New Roman" w:cs="Times New Roman"/>
          <w:sz w:val="24"/>
          <w:szCs w:val="24"/>
        </w:rPr>
        <w:t xml:space="preserve"> have </w:t>
      </w:r>
      <w:r w:rsidRPr="00A96CF1">
        <w:rPr>
          <w:rFonts w:ascii="Times New Roman" w:hAnsi="Times New Roman" w:cs="Times New Roman"/>
          <w:sz w:val="24"/>
          <w:szCs w:val="24"/>
        </w:rPr>
        <w:t>concern</w:t>
      </w:r>
      <w:r w:rsidR="006E3C51" w:rsidRPr="00A96CF1">
        <w:rPr>
          <w:rFonts w:ascii="Times New Roman" w:hAnsi="Times New Roman" w:cs="Times New Roman"/>
          <w:sz w:val="24"/>
          <w:szCs w:val="24"/>
        </w:rPr>
        <w:t>ed</w:t>
      </w:r>
      <w:r w:rsidRPr="00A96CF1">
        <w:rPr>
          <w:rFonts w:ascii="Times New Roman" w:hAnsi="Times New Roman" w:cs="Times New Roman"/>
          <w:sz w:val="24"/>
          <w:szCs w:val="24"/>
        </w:rPr>
        <w:t xml:space="preserve"> himself with. His matter did not turn on </w:t>
      </w:r>
      <w:r w:rsidRPr="00A96CF1">
        <w:rPr>
          <w:rFonts w:ascii="Times New Roman" w:hAnsi="Times New Roman" w:cs="Times New Roman"/>
          <w:sz w:val="24"/>
          <w:szCs w:val="24"/>
        </w:rPr>
        <w:lastRenderedPageBreak/>
        <w:t>whether the second agreement was valid or not. His matter turne</w:t>
      </w:r>
      <w:r w:rsidR="00124D4B" w:rsidRPr="00A96CF1">
        <w:rPr>
          <w:rFonts w:ascii="Times New Roman" w:hAnsi="Times New Roman" w:cs="Times New Roman"/>
          <w:sz w:val="24"/>
          <w:szCs w:val="24"/>
        </w:rPr>
        <w:t>d on whether he had breached the</w:t>
      </w:r>
      <w:r w:rsidRPr="00A96CF1">
        <w:rPr>
          <w:rFonts w:ascii="Times New Roman" w:hAnsi="Times New Roman" w:cs="Times New Roman"/>
          <w:sz w:val="24"/>
          <w:szCs w:val="24"/>
        </w:rPr>
        <w:t xml:space="preserve"> agreement of sale with the </w:t>
      </w:r>
      <w:r w:rsidR="002F0F3F"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and whether his agreement was lawfully cancelled. The court</w:t>
      </w:r>
      <w:r w:rsidR="002F0F3F" w:rsidRPr="00A96CF1">
        <w:rPr>
          <w:rFonts w:ascii="Times New Roman" w:hAnsi="Times New Roman" w:cs="Times New Roman"/>
          <w:sz w:val="24"/>
          <w:szCs w:val="24"/>
        </w:rPr>
        <w:t xml:space="preserve"> ultimately</w:t>
      </w:r>
      <w:r w:rsidRPr="00A96CF1">
        <w:rPr>
          <w:rFonts w:ascii="Times New Roman" w:hAnsi="Times New Roman" w:cs="Times New Roman"/>
          <w:sz w:val="24"/>
          <w:szCs w:val="24"/>
        </w:rPr>
        <w:t xml:space="preserve"> found that the agreement of sale betwe</w:t>
      </w:r>
      <w:r w:rsidR="00322C85">
        <w:rPr>
          <w:rFonts w:ascii="Times New Roman" w:hAnsi="Times New Roman" w:cs="Times New Roman"/>
          <w:sz w:val="24"/>
          <w:szCs w:val="24"/>
        </w:rPr>
        <w:t xml:space="preserve">en the </w:t>
      </w:r>
      <w:r w:rsidRPr="00A96CF1">
        <w:rPr>
          <w:rFonts w:ascii="Times New Roman" w:hAnsi="Times New Roman" w:cs="Times New Roman"/>
          <w:sz w:val="24"/>
          <w:szCs w:val="24"/>
        </w:rPr>
        <w:t xml:space="preserve">appellant and the </w:t>
      </w:r>
      <w:r w:rsidR="002F0F3F"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was lawfully cancelled.</w:t>
      </w:r>
    </w:p>
    <w:p w14:paraId="0C2AA554" w14:textId="77777777" w:rsidR="003813DA" w:rsidRDefault="003813DA" w:rsidP="00322C85">
      <w:pPr>
        <w:pStyle w:val="ListParagraph"/>
        <w:spacing w:line="480" w:lineRule="auto"/>
        <w:jc w:val="both"/>
        <w:rPr>
          <w:rFonts w:ascii="Times New Roman" w:hAnsi="Times New Roman" w:cs="Times New Roman"/>
          <w:sz w:val="24"/>
          <w:szCs w:val="24"/>
        </w:rPr>
      </w:pPr>
    </w:p>
    <w:p w14:paraId="13F2ECA1" w14:textId="6202F764" w:rsidR="00CA15F7" w:rsidRPr="00A96CF1" w:rsidRDefault="00472D33" w:rsidP="00322C85">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W</w:t>
      </w:r>
      <w:r w:rsidR="002F0F3F" w:rsidRPr="00A96CF1">
        <w:rPr>
          <w:rFonts w:ascii="Times New Roman" w:hAnsi="Times New Roman" w:cs="Times New Roman"/>
          <w:sz w:val="24"/>
          <w:szCs w:val="24"/>
        </w:rPr>
        <w:t xml:space="preserve">ith regard to </w:t>
      </w:r>
      <w:r w:rsidR="00CA15F7" w:rsidRPr="00A96CF1">
        <w:rPr>
          <w:rFonts w:ascii="Times New Roman" w:hAnsi="Times New Roman" w:cs="Times New Roman"/>
          <w:sz w:val="24"/>
          <w:szCs w:val="24"/>
        </w:rPr>
        <w:t xml:space="preserve">the third issue for determination, the </w:t>
      </w:r>
      <w:r w:rsidRPr="00A96CF1">
        <w:rPr>
          <w:rFonts w:ascii="Times New Roman" w:hAnsi="Times New Roman" w:cs="Times New Roman"/>
          <w:sz w:val="24"/>
          <w:szCs w:val="24"/>
        </w:rPr>
        <w:t>first</w:t>
      </w:r>
      <w:r w:rsidR="00CA15F7" w:rsidRPr="00A96CF1">
        <w:rPr>
          <w:rFonts w:ascii="Times New Roman" w:hAnsi="Times New Roman" w:cs="Times New Roman"/>
          <w:sz w:val="24"/>
          <w:szCs w:val="24"/>
        </w:rPr>
        <w:t xml:space="preserve"> respondent submitted that since the agreement of s</w:t>
      </w:r>
      <w:r w:rsidR="00DC18B2" w:rsidRPr="00A96CF1">
        <w:rPr>
          <w:rFonts w:ascii="Times New Roman" w:hAnsi="Times New Roman" w:cs="Times New Roman"/>
          <w:sz w:val="24"/>
          <w:szCs w:val="24"/>
        </w:rPr>
        <w:t>ale was lawfully terminated, and</w:t>
      </w:r>
      <w:r w:rsidR="00124D4B" w:rsidRPr="00A96CF1">
        <w:rPr>
          <w:rFonts w:ascii="Times New Roman" w:hAnsi="Times New Roman" w:cs="Times New Roman"/>
          <w:sz w:val="24"/>
          <w:szCs w:val="24"/>
        </w:rPr>
        <w:t xml:space="preserve"> that</w:t>
      </w:r>
      <w:r w:rsidR="00CA15F7" w:rsidRPr="00A96CF1">
        <w:rPr>
          <w:rFonts w:ascii="Times New Roman" w:hAnsi="Times New Roman" w:cs="Times New Roman"/>
          <w:sz w:val="24"/>
          <w:szCs w:val="24"/>
        </w:rPr>
        <w:t xml:space="preserve"> the only valid agreement</w:t>
      </w:r>
      <w:r w:rsidR="00124D4B" w:rsidRPr="00A96CF1">
        <w:rPr>
          <w:rFonts w:ascii="Times New Roman" w:hAnsi="Times New Roman" w:cs="Times New Roman"/>
          <w:sz w:val="24"/>
          <w:szCs w:val="24"/>
        </w:rPr>
        <w:t xml:space="preserve"> was</w:t>
      </w:r>
      <w:r w:rsidR="00CA15F7" w:rsidRPr="00A96CF1">
        <w:rPr>
          <w:rFonts w:ascii="Times New Roman" w:hAnsi="Times New Roman" w:cs="Times New Roman"/>
          <w:sz w:val="24"/>
          <w:szCs w:val="24"/>
        </w:rPr>
        <w:t xml:space="preserve"> the one between the </w:t>
      </w:r>
      <w:r w:rsidRPr="00A96CF1">
        <w:rPr>
          <w:rFonts w:ascii="Times New Roman" w:hAnsi="Times New Roman" w:cs="Times New Roman"/>
          <w:sz w:val="24"/>
          <w:szCs w:val="24"/>
        </w:rPr>
        <w:t>first</w:t>
      </w:r>
      <w:r w:rsidR="00CA15F7" w:rsidRPr="00A96CF1">
        <w:rPr>
          <w:rFonts w:ascii="Times New Roman" w:hAnsi="Times New Roman" w:cs="Times New Roman"/>
          <w:sz w:val="24"/>
          <w:szCs w:val="24"/>
        </w:rPr>
        <w:t xml:space="preserve"> and </w:t>
      </w:r>
      <w:r w:rsidRPr="00A96CF1">
        <w:rPr>
          <w:rFonts w:ascii="Times New Roman" w:hAnsi="Times New Roman" w:cs="Times New Roman"/>
          <w:sz w:val="24"/>
          <w:szCs w:val="24"/>
        </w:rPr>
        <w:t>second</w:t>
      </w:r>
      <w:r w:rsidR="00CA15F7" w:rsidRPr="00A96CF1">
        <w:rPr>
          <w:rFonts w:ascii="Times New Roman" w:hAnsi="Times New Roman" w:cs="Times New Roman"/>
          <w:sz w:val="24"/>
          <w:szCs w:val="24"/>
        </w:rPr>
        <w:t xml:space="preserve"> respondent</w:t>
      </w:r>
      <w:r w:rsidRPr="00A96CF1">
        <w:rPr>
          <w:rFonts w:ascii="Times New Roman" w:hAnsi="Times New Roman" w:cs="Times New Roman"/>
          <w:sz w:val="24"/>
          <w:szCs w:val="24"/>
        </w:rPr>
        <w:t>s</w:t>
      </w:r>
      <w:r w:rsidR="00CA15F7" w:rsidRPr="00A96CF1">
        <w:rPr>
          <w:rFonts w:ascii="Times New Roman" w:hAnsi="Times New Roman" w:cs="Times New Roman"/>
          <w:sz w:val="24"/>
          <w:szCs w:val="24"/>
        </w:rPr>
        <w:t xml:space="preserve">, it followed that the property ought to be </w:t>
      </w:r>
      <w:r w:rsidR="00DC18B2" w:rsidRPr="00A96CF1">
        <w:rPr>
          <w:rFonts w:ascii="Times New Roman" w:hAnsi="Times New Roman" w:cs="Times New Roman"/>
          <w:sz w:val="24"/>
          <w:szCs w:val="24"/>
        </w:rPr>
        <w:t>transferred</w:t>
      </w:r>
      <w:r w:rsidR="00CA15F7" w:rsidRPr="00A96CF1">
        <w:rPr>
          <w:rFonts w:ascii="Times New Roman" w:hAnsi="Times New Roman" w:cs="Times New Roman"/>
          <w:sz w:val="24"/>
          <w:szCs w:val="24"/>
        </w:rPr>
        <w:t xml:space="preserve"> to the </w:t>
      </w:r>
      <w:r w:rsidRPr="00A96CF1">
        <w:rPr>
          <w:rFonts w:ascii="Times New Roman" w:hAnsi="Times New Roman" w:cs="Times New Roman"/>
          <w:sz w:val="24"/>
          <w:szCs w:val="24"/>
        </w:rPr>
        <w:t>second</w:t>
      </w:r>
      <w:r w:rsidR="00CA15F7" w:rsidRPr="00A96CF1">
        <w:rPr>
          <w:rFonts w:ascii="Times New Roman" w:hAnsi="Times New Roman" w:cs="Times New Roman"/>
          <w:sz w:val="24"/>
          <w:szCs w:val="24"/>
        </w:rPr>
        <w:t xml:space="preserve"> respondent. It was further argued that ordering a transfer of the property to the</w:t>
      </w:r>
      <w:r w:rsidR="00DC18B2" w:rsidRPr="00A96CF1">
        <w:rPr>
          <w:rFonts w:ascii="Times New Roman" w:hAnsi="Times New Roman" w:cs="Times New Roman"/>
          <w:sz w:val="24"/>
          <w:szCs w:val="24"/>
        </w:rPr>
        <w:t xml:space="preserve"> appellant would be tantamount </w:t>
      </w:r>
      <w:r w:rsidR="00CA15F7" w:rsidRPr="00A96CF1">
        <w:rPr>
          <w:rFonts w:ascii="Times New Roman" w:hAnsi="Times New Roman" w:cs="Times New Roman"/>
          <w:sz w:val="24"/>
          <w:szCs w:val="24"/>
        </w:rPr>
        <w:t xml:space="preserve">to creating a contract between the appellant and the </w:t>
      </w:r>
      <w:r w:rsidRPr="00A96CF1">
        <w:rPr>
          <w:rFonts w:ascii="Times New Roman" w:hAnsi="Times New Roman" w:cs="Times New Roman"/>
          <w:sz w:val="24"/>
          <w:szCs w:val="24"/>
        </w:rPr>
        <w:t>first</w:t>
      </w:r>
      <w:r w:rsidR="00CA15F7" w:rsidRPr="00A96CF1">
        <w:rPr>
          <w:rFonts w:ascii="Times New Roman" w:hAnsi="Times New Roman" w:cs="Times New Roman"/>
          <w:sz w:val="24"/>
          <w:szCs w:val="24"/>
        </w:rPr>
        <w:t xml:space="preserve"> respondent</w:t>
      </w:r>
      <w:r w:rsidR="00DC18B2" w:rsidRPr="00A96CF1">
        <w:rPr>
          <w:rFonts w:ascii="Times New Roman" w:hAnsi="Times New Roman" w:cs="Times New Roman"/>
          <w:sz w:val="24"/>
          <w:szCs w:val="24"/>
        </w:rPr>
        <w:t xml:space="preserve"> </w:t>
      </w:r>
      <w:r w:rsidR="00F44E36">
        <w:rPr>
          <w:rFonts w:ascii="Times New Roman" w:hAnsi="Times New Roman" w:cs="Times New Roman"/>
          <w:sz w:val="24"/>
          <w:szCs w:val="24"/>
        </w:rPr>
        <w:t>where</w:t>
      </w:r>
      <w:r w:rsidR="00DC18B2" w:rsidRPr="00A96CF1">
        <w:rPr>
          <w:rFonts w:ascii="Times New Roman" w:hAnsi="Times New Roman" w:cs="Times New Roman"/>
          <w:sz w:val="24"/>
          <w:szCs w:val="24"/>
        </w:rPr>
        <w:t xml:space="preserve"> none existed. I</w:t>
      </w:r>
      <w:r w:rsidR="006E3C51" w:rsidRPr="00A96CF1">
        <w:rPr>
          <w:rFonts w:ascii="Times New Roman" w:hAnsi="Times New Roman" w:cs="Times New Roman"/>
          <w:sz w:val="24"/>
          <w:szCs w:val="24"/>
        </w:rPr>
        <w:t xml:space="preserve">t was also contended that </w:t>
      </w:r>
      <w:r w:rsidRPr="00A96CF1">
        <w:rPr>
          <w:rFonts w:ascii="Times New Roman" w:hAnsi="Times New Roman" w:cs="Times New Roman"/>
          <w:sz w:val="24"/>
          <w:szCs w:val="24"/>
        </w:rPr>
        <w:t>such an</w:t>
      </w:r>
      <w:r w:rsidR="00DC18B2" w:rsidRPr="00A96CF1">
        <w:rPr>
          <w:rFonts w:ascii="Times New Roman" w:hAnsi="Times New Roman" w:cs="Times New Roman"/>
          <w:sz w:val="24"/>
          <w:szCs w:val="24"/>
        </w:rPr>
        <w:t xml:space="preserve"> order</w:t>
      </w:r>
      <w:r w:rsidR="006E3C51" w:rsidRPr="00A96CF1">
        <w:rPr>
          <w:rFonts w:ascii="Times New Roman" w:hAnsi="Times New Roman" w:cs="Times New Roman"/>
          <w:sz w:val="24"/>
          <w:szCs w:val="24"/>
        </w:rPr>
        <w:t xml:space="preserve"> to</w:t>
      </w:r>
      <w:r w:rsidR="00DC18B2" w:rsidRPr="00A96CF1">
        <w:rPr>
          <w:rFonts w:ascii="Times New Roman" w:hAnsi="Times New Roman" w:cs="Times New Roman"/>
          <w:sz w:val="24"/>
          <w:szCs w:val="24"/>
        </w:rPr>
        <w:t xml:space="preserve"> transfer to the appellant would be tantamount to ordering specific performance, which remedy was not available to the appellant because he had fail</w:t>
      </w:r>
      <w:r w:rsidR="00322C85">
        <w:rPr>
          <w:rFonts w:ascii="Times New Roman" w:hAnsi="Times New Roman" w:cs="Times New Roman"/>
          <w:sz w:val="24"/>
          <w:szCs w:val="24"/>
        </w:rPr>
        <w:t xml:space="preserve">ed to fulfil his </w:t>
      </w:r>
      <w:r w:rsidR="00DC18B2" w:rsidRPr="00A96CF1">
        <w:rPr>
          <w:rFonts w:ascii="Times New Roman" w:hAnsi="Times New Roman" w:cs="Times New Roman"/>
          <w:sz w:val="24"/>
          <w:szCs w:val="24"/>
        </w:rPr>
        <w:t>contractual obligations</w:t>
      </w:r>
      <w:r w:rsidR="00214094" w:rsidRPr="00A96CF1">
        <w:rPr>
          <w:rFonts w:ascii="Times New Roman" w:hAnsi="Times New Roman" w:cs="Times New Roman"/>
          <w:sz w:val="24"/>
          <w:szCs w:val="24"/>
        </w:rPr>
        <w:t>, a factor which eventually led to the cancellation of the agreement</w:t>
      </w:r>
      <w:r w:rsidR="00DC18B2" w:rsidRPr="00A96CF1">
        <w:rPr>
          <w:rFonts w:ascii="Times New Roman" w:hAnsi="Times New Roman" w:cs="Times New Roman"/>
          <w:sz w:val="24"/>
          <w:szCs w:val="24"/>
        </w:rPr>
        <w:t>.</w:t>
      </w:r>
    </w:p>
    <w:p w14:paraId="0B92C82F" w14:textId="77777777" w:rsidR="003813DA" w:rsidRDefault="003813DA" w:rsidP="00322C85">
      <w:pPr>
        <w:pStyle w:val="ListParagraph"/>
        <w:spacing w:line="480" w:lineRule="auto"/>
        <w:jc w:val="both"/>
        <w:rPr>
          <w:rFonts w:ascii="Times New Roman" w:hAnsi="Times New Roman" w:cs="Times New Roman"/>
          <w:sz w:val="24"/>
          <w:szCs w:val="24"/>
        </w:rPr>
      </w:pPr>
    </w:p>
    <w:p w14:paraId="110FC0F3" w14:textId="6BC9F013" w:rsidR="00F84515" w:rsidRPr="00A96CF1" w:rsidRDefault="005679D9" w:rsidP="00322C85">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T</w:t>
      </w:r>
      <w:r w:rsidR="00DC18B2" w:rsidRPr="00A96CF1">
        <w:rPr>
          <w:rFonts w:ascii="Times New Roman" w:hAnsi="Times New Roman" w:cs="Times New Roman"/>
          <w:sz w:val="24"/>
          <w:szCs w:val="24"/>
        </w:rPr>
        <w:t xml:space="preserve">he appellant argued that the court ought to order transfer of the property to </w:t>
      </w:r>
      <w:r w:rsidRPr="00A96CF1">
        <w:rPr>
          <w:rFonts w:ascii="Times New Roman" w:hAnsi="Times New Roman" w:cs="Times New Roman"/>
          <w:sz w:val="24"/>
          <w:szCs w:val="24"/>
        </w:rPr>
        <w:t>him,</w:t>
      </w:r>
      <w:r w:rsidR="00DC18B2" w:rsidRPr="00A96CF1">
        <w:rPr>
          <w:rFonts w:ascii="Times New Roman" w:hAnsi="Times New Roman" w:cs="Times New Roman"/>
          <w:sz w:val="24"/>
          <w:szCs w:val="24"/>
        </w:rPr>
        <w:t xml:space="preserve"> coupled with an order for specific performance as the appellant had paid the purchase price by depositing the balance into the account of the </w:t>
      </w:r>
      <w:r w:rsidRPr="00A96CF1">
        <w:rPr>
          <w:rFonts w:ascii="Times New Roman" w:hAnsi="Times New Roman" w:cs="Times New Roman"/>
          <w:sz w:val="24"/>
          <w:szCs w:val="24"/>
        </w:rPr>
        <w:t>first</w:t>
      </w:r>
      <w:r w:rsidR="00DC18B2" w:rsidRPr="00A96CF1">
        <w:rPr>
          <w:rFonts w:ascii="Times New Roman" w:hAnsi="Times New Roman" w:cs="Times New Roman"/>
          <w:sz w:val="24"/>
          <w:szCs w:val="24"/>
        </w:rPr>
        <w:t xml:space="preserve"> respondent’s legal practitioners</w:t>
      </w:r>
      <w:r w:rsidRPr="00A96CF1">
        <w:rPr>
          <w:rFonts w:ascii="Times New Roman" w:hAnsi="Times New Roman" w:cs="Times New Roman"/>
          <w:sz w:val="24"/>
          <w:szCs w:val="24"/>
        </w:rPr>
        <w:t>’ trust account</w:t>
      </w:r>
      <w:r w:rsidR="00DC18B2" w:rsidRPr="00A96CF1">
        <w:rPr>
          <w:rFonts w:ascii="Times New Roman" w:hAnsi="Times New Roman" w:cs="Times New Roman"/>
          <w:sz w:val="24"/>
          <w:szCs w:val="24"/>
        </w:rPr>
        <w:t xml:space="preserve">. </w:t>
      </w:r>
    </w:p>
    <w:p w14:paraId="236B24DB" w14:textId="77777777" w:rsidR="003813DA" w:rsidRDefault="003813DA" w:rsidP="00322C85">
      <w:pPr>
        <w:pStyle w:val="ListParagraph"/>
        <w:spacing w:line="480" w:lineRule="auto"/>
        <w:jc w:val="both"/>
        <w:rPr>
          <w:rFonts w:ascii="Times New Roman" w:hAnsi="Times New Roman" w:cs="Times New Roman"/>
          <w:sz w:val="24"/>
          <w:szCs w:val="24"/>
        </w:rPr>
      </w:pPr>
    </w:p>
    <w:p w14:paraId="696C8BFE" w14:textId="0FAC2312" w:rsidR="00DC18B2" w:rsidRPr="00A96CF1" w:rsidRDefault="00DC18B2" w:rsidP="00322C85">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The court found that by his own admission, the appellant breached the</w:t>
      </w:r>
      <w:r w:rsidR="00F84515" w:rsidRPr="00A96CF1">
        <w:rPr>
          <w:rFonts w:ascii="Times New Roman" w:hAnsi="Times New Roman" w:cs="Times New Roman"/>
          <w:sz w:val="24"/>
          <w:szCs w:val="24"/>
        </w:rPr>
        <w:t xml:space="preserve"> sale</w:t>
      </w:r>
      <w:r w:rsidRPr="00A96CF1">
        <w:rPr>
          <w:rFonts w:ascii="Times New Roman" w:hAnsi="Times New Roman" w:cs="Times New Roman"/>
          <w:sz w:val="24"/>
          <w:szCs w:val="24"/>
        </w:rPr>
        <w:t xml:space="preserve"> agreement and was not entitled to specific performance. </w:t>
      </w:r>
      <w:r w:rsidR="00BE03BE" w:rsidRPr="00A96CF1">
        <w:rPr>
          <w:rFonts w:ascii="Times New Roman" w:hAnsi="Times New Roman" w:cs="Times New Roman"/>
          <w:sz w:val="24"/>
          <w:szCs w:val="24"/>
        </w:rPr>
        <w:t xml:space="preserve">It noted that the appellant’s </w:t>
      </w:r>
      <w:r w:rsidRPr="00A96CF1">
        <w:rPr>
          <w:rFonts w:ascii="Times New Roman" w:hAnsi="Times New Roman" w:cs="Times New Roman"/>
          <w:sz w:val="24"/>
          <w:szCs w:val="24"/>
        </w:rPr>
        <w:t xml:space="preserve">attempt at remedying the breach was not accepted by the </w:t>
      </w:r>
      <w:r w:rsidR="00BE03BE" w:rsidRPr="00A96CF1">
        <w:rPr>
          <w:rFonts w:ascii="Times New Roman" w:hAnsi="Times New Roman" w:cs="Times New Roman"/>
          <w:sz w:val="24"/>
          <w:szCs w:val="24"/>
        </w:rPr>
        <w:t>first</w:t>
      </w:r>
      <w:r w:rsidRPr="00A96CF1">
        <w:rPr>
          <w:rFonts w:ascii="Times New Roman" w:hAnsi="Times New Roman" w:cs="Times New Roman"/>
          <w:sz w:val="24"/>
          <w:szCs w:val="24"/>
        </w:rPr>
        <w:t xml:space="preserve"> respondent and</w:t>
      </w:r>
      <w:r w:rsidR="00BE03BE" w:rsidRPr="00A96CF1">
        <w:rPr>
          <w:rFonts w:ascii="Times New Roman" w:hAnsi="Times New Roman" w:cs="Times New Roman"/>
          <w:sz w:val="24"/>
          <w:szCs w:val="24"/>
        </w:rPr>
        <w:t xml:space="preserve"> that</w:t>
      </w:r>
      <w:r w:rsidRPr="00A96CF1">
        <w:rPr>
          <w:rFonts w:ascii="Times New Roman" w:hAnsi="Times New Roman" w:cs="Times New Roman"/>
          <w:sz w:val="24"/>
          <w:szCs w:val="24"/>
        </w:rPr>
        <w:t xml:space="preserve"> a party c</w:t>
      </w:r>
      <w:r w:rsidR="00BE03BE" w:rsidRPr="00A96CF1">
        <w:rPr>
          <w:rFonts w:ascii="Times New Roman" w:hAnsi="Times New Roman" w:cs="Times New Roman"/>
          <w:sz w:val="24"/>
          <w:szCs w:val="24"/>
        </w:rPr>
        <w:t>an</w:t>
      </w:r>
      <w:r w:rsidRPr="00A96CF1">
        <w:rPr>
          <w:rFonts w:ascii="Times New Roman" w:hAnsi="Times New Roman" w:cs="Times New Roman"/>
          <w:sz w:val="24"/>
          <w:szCs w:val="24"/>
        </w:rPr>
        <w:t>not</w:t>
      </w:r>
      <w:r w:rsidR="00BE03BE" w:rsidRPr="00A96CF1">
        <w:rPr>
          <w:rFonts w:ascii="Times New Roman" w:hAnsi="Times New Roman" w:cs="Times New Roman"/>
          <w:sz w:val="24"/>
          <w:szCs w:val="24"/>
        </w:rPr>
        <w:t>,</w:t>
      </w:r>
      <w:r w:rsidRPr="00A96CF1">
        <w:rPr>
          <w:rFonts w:ascii="Times New Roman" w:hAnsi="Times New Roman" w:cs="Times New Roman"/>
          <w:sz w:val="24"/>
          <w:szCs w:val="24"/>
        </w:rPr>
        <w:t xml:space="preserve"> after a breach</w:t>
      </w:r>
      <w:r w:rsidR="00BE03BE" w:rsidRPr="00A96CF1">
        <w:rPr>
          <w:rFonts w:ascii="Times New Roman" w:hAnsi="Times New Roman" w:cs="Times New Roman"/>
          <w:sz w:val="24"/>
          <w:szCs w:val="24"/>
        </w:rPr>
        <w:t>,</w:t>
      </w:r>
      <w:r w:rsidRPr="00A96CF1">
        <w:rPr>
          <w:rFonts w:ascii="Times New Roman" w:hAnsi="Times New Roman" w:cs="Times New Roman"/>
          <w:sz w:val="24"/>
          <w:szCs w:val="24"/>
        </w:rPr>
        <w:t xml:space="preserve"> make a unilateral payment</w:t>
      </w:r>
      <w:r w:rsidR="00886894">
        <w:rPr>
          <w:rFonts w:ascii="Times New Roman" w:hAnsi="Times New Roman" w:cs="Times New Roman"/>
          <w:sz w:val="24"/>
          <w:szCs w:val="24"/>
        </w:rPr>
        <w:t xml:space="preserve"> </w:t>
      </w:r>
      <w:r w:rsidR="00214094" w:rsidRPr="00A96CF1">
        <w:rPr>
          <w:rFonts w:ascii="Times New Roman" w:hAnsi="Times New Roman" w:cs="Times New Roman"/>
          <w:sz w:val="24"/>
          <w:szCs w:val="24"/>
        </w:rPr>
        <w:t xml:space="preserve">way outside the </w:t>
      </w:r>
      <w:r w:rsidR="00886894">
        <w:rPr>
          <w:rFonts w:ascii="Times New Roman" w:hAnsi="Times New Roman" w:cs="Times New Roman"/>
          <w:sz w:val="24"/>
          <w:szCs w:val="24"/>
        </w:rPr>
        <w:t>stipulated time frame,</w:t>
      </w:r>
      <w:r w:rsidRPr="00A96CF1">
        <w:rPr>
          <w:rFonts w:ascii="Times New Roman" w:hAnsi="Times New Roman" w:cs="Times New Roman"/>
          <w:sz w:val="24"/>
          <w:szCs w:val="24"/>
        </w:rPr>
        <w:t xml:space="preserve"> hoping </w:t>
      </w:r>
      <w:r w:rsidRPr="00A96CF1">
        <w:rPr>
          <w:rFonts w:ascii="Times New Roman" w:hAnsi="Times New Roman" w:cs="Times New Roman"/>
          <w:sz w:val="24"/>
          <w:szCs w:val="24"/>
        </w:rPr>
        <w:lastRenderedPageBreak/>
        <w:t xml:space="preserve">to remedy the breach. It found that the </w:t>
      </w:r>
      <w:r w:rsidR="00BE03BE" w:rsidRPr="00A96CF1">
        <w:rPr>
          <w:rFonts w:ascii="Times New Roman" w:hAnsi="Times New Roman" w:cs="Times New Roman"/>
          <w:sz w:val="24"/>
          <w:szCs w:val="24"/>
        </w:rPr>
        <w:t xml:space="preserve">second </w:t>
      </w:r>
      <w:r w:rsidRPr="00A96CF1">
        <w:rPr>
          <w:rFonts w:ascii="Times New Roman" w:hAnsi="Times New Roman" w:cs="Times New Roman"/>
          <w:sz w:val="24"/>
          <w:szCs w:val="24"/>
        </w:rPr>
        <w:t>respondent was entitled to specific performance for the reason that in terms of the agreed facts</w:t>
      </w:r>
      <w:r w:rsidR="00214094" w:rsidRPr="00A96CF1">
        <w:rPr>
          <w:rFonts w:ascii="Times New Roman" w:hAnsi="Times New Roman" w:cs="Times New Roman"/>
          <w:sz w:val="24"/>
          <w:szCs w:val="24"/>
        </w:rPr>
        <w:t xml:space="preserve"> he</w:t>
      </w:r>
      <w:r w:rsidRPr="00A96CF1">
        <w:rPr>
          <w:rFonts w:ascii="Times New Roman" w:hAnsi="Times New Roman" w:cs="Times New Roman"/>
          <w:sz w:val="24"/>
          <w:szCs w:val="24"/>
        </w:rPr>
        <w:t xml:space="preserve"> </w:t>
      </w:r>
      <w:r w:rsidR="00214094" w:rsidRPr="00A96CF1">
        <w:rPr>
          <w:rFonts w:ascii="Times New Roman" w:hAnsi="Times New Roman" w:cs="Times New Roman"/>
          <w:sz w:val="24"/>
          <w:szCs w:val="24"/>
        </w:rPr>
        <w:t>(</w:t>
      </w:r>
      <w:r w:rsidRPr="00A96CF1">
        <w:rPr>
          <w:rFonts w:ascii="Times New Roman" w:hAnsi="Times New Roman" w:cs="Times New Roman"/>
          <w:sz w:val="24"/>
          <w:szCs w:val="24"/>
        </w:rPr>
        <w:t xml:space="preserve">the </w:t>
      </w:r>
      <w:r w:rsidR="00214094" w:rsidRPr="00A96CF1">
        <w:rPr>
          <w:rFonts w:ascii="Times New Roman" w:hAnsi="Times New Roman" w:cs="Times New Roman"/>
          <w:sz w:val="24"/>
          <w:szCs w:val="24"/>
        </w:rPr>
        <w:t>second respondent)</w:t>
      </w:r>
      <w:r w:rsidRPr="00A96CF1">
        <w:rPr>
          <w:rFonts w:ascii="Times New Roman" w:hAnsi="Times New Roman" w:cs="Times New Roman"/>
          <w:sz w:val="24"/>
          <w:szCs w:val="24"/>
        </w:rPr>
        <w:t xml:space="preserve"> agreed and undertook to pay the full prescribed purchase price</w:t>
      </w:r>
      <w:r w:rsidR="00D16D29" w:rsidRPr="00A96CF1">
        <w:rPr>
          <w:rFonts w:ascii="Times New Roman" w:hAnsi="Times New Roman" w:cs="Times New Roman"/>
          <w:sz w:val="24"/>
          <w:szCs w:val="24"/>
        </w:rPr>
        <w:t xml:space="preserve"> and proceeded to do so</w:t>
      </w:r>
      <w:r w:rsidRPr="00A96CF1">
        <w:rPr>
          <w:rFonts w:ascii="Times New Roman" w:hAnsi="Times New Roman" w:cs="Times New Roman"/>
          <w:sz w:val="24"/>
          <w:szCs w:val="24"/>
        </w:rPr>
        <w:t xml:space="preserve"> </w:t>
      </w:r>
      <w:r w:rsidR="00BE03BE" w:rsidRPr="00A96CF1">
        <w:rPr>
          <w:rFonts w:ascii="Times New Roman" w:hAnsi="Times New Roman" w:cs="Times New Roman"/>
          <w:sz w:val="24"/>
          <w:szCs w:val="24"/>
        </w:rPr>
        <w:t>in compliance with the terms of the agreement</w:t>
      </w:r>
      <w:r w:rsidRPr="00A96CF1">
        <w:rPr>
          <w:rFonts w:ascii="Times New Roman" w:hAnsi="Times New Roman" w:cs="Times New Roman"/>
          <w:sz w:val="24"/>
          <w:szCs w:val="24"/>
        </w:rPr>
        <w:t xml:space="preserve">. Therefore, transfer of the property was to be done in favour of the </w:t>
      </w:r>
      <w:r w:rsidR="00BE03BE" w:rsidRPr="00A96CF1">
        <w:rPr>
          <w:rFonts w:ascii="Times New Roman" w:hAnsi="Times New Roman" w:cs="Times New Roman"/>
          <w:sz w:val="24"/>
          <w:szCs w:val="24"/>
        </w:rPr>
        <w:t>second</w:t>
      </w:r>
      <w:r w:rsidRPr="00A96CF1">
        <w:rPr>
          <w:rFonts w:ascii="Times New Roman" w:hAnsi="Times New Roman" w:cs="Times New Roman"/>
          <w:sz w:val="24"/>
          <w:szCs w:val="24"/>
        </w:rPr>
        <w:t xml:space="preserve"> respondent. </w:t>
      </w:r>
    </w:p>
    <w:p w14:paraId="5EAB8529" w14:textId="77777777" w:rsidR="003813DA" w:rsidRDefault="003813DA" w:rsidP="00322C85">
      <w:pPr>
        <w:pStyle w:val="ListParagraph"/>
        <w:spacing w:line="480" w:lineRule="auto"/>
        <w:ind w:left="993"/>
        <w:jc w:val="both"/>
        <w:rPr>
          <w:rFonts w:ascii="Times New Roman" w:hAnsi="Times New Roman" w:cs="Times New Roman"/>
          <w:sz w:val="24"/>
          <w:szCs w:val="24"/>
        </w:rPr>
      </w:pPr>
    </w:p>
    <w:p w14:paraId="04436F43" w14:textId="26EAAB2D" w:rsidR="00DC18B2" w:rsidRPr="00A96CF1" w:rsidRDefault="00DC18B2" w:rsidP="00322C85">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In the result, 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w:t>
      </w:r>
      <w:r w:rsidR="00FA4652" w:rsidRPr="00A96CF1">
        <w:rPr>
          <w:rFonts w:ascii="Times New Roman" w:hAnsi="Times New Roman" w:cs="Times New Roman"/>
          <w:sz w:val="24"/>
          <w:szCs w:val="24"/>
        </w:rPr>
        <w:t xml:space="preserve">issued an </w:t>
      </w:r>
      <w:r w:rsidRPr="00A96CF1">
        <w:rPr>
          <w:rFonts w:ascii="Times New Roman" w:hAnsi="Times New Roman" w:cs="Times New Roman"/>
          <w:sz w:val="24"/>
          <w:szCs w:val="24"/>
        </w:rPr>
        <w:t>order</w:t>
      </w:r>
      <w:r w:rsidR="00FA4652" w:rsidRPr="00A96CF1">
        <w:rPr>
          <w:rFonts w:ascii="Times New Roman" w:hAnsi="Times New Roman" w:cs="Times New Roman"/>
          <w:sz w:val="24"/>
          <w:szCs w:val="24"/>
        </w:rPr>
        <w:t xml:space="preserve"> in the following terms</w:t>
      </w:r>
      <w:r w:rsidRPr="00A96CF1">
        <w:rPr>
          <w:rFonts w:ascii="Times New Roman" w:hAnsi="Times New Roman" w:cs="Times New Roman"/>
          <w:sz w:val="24"/>
          <w:szCs w:val="24"/>
        </w:rPr>
        <w:t>:</w:t>
      </w:r>
    </w:p>
    <w:p w14:paraId="2A10049B" w14:textId="61D20E02" w:rsidR="00DC18B2" w:rsidRPr="00A96CF1" w:rsidRDefault="00DC18B2" w:rsidP="00322C85">
      <w:pPr>
        <w:pStyle w:val="ListParagraph"/>
        <w:numPr>
          <w:ilvl w:val="0"/>
          <w:numId w:val="9"/>
        </w:numPr>
        <w:spacing w:line="480" w:lineRule="auto"/>
        <w:ind w:left="1418" w:hanging="284"/>
        <w:jc w:val="both"/>
        <w:rPr>
          <w:rFonts w:ascii="Times New Roman" w:hAnsi="Times New Roman" w:cs="Times New Roman"/>
          <w:sz w:val="24"/>
          <w:szCs w:val="24"/>
        </w:rPr>
      </w:pPr>
      <w:r w:rsidRPr="00A96CF1">
        <w:rPr>
          <w:rFonts w:ascii="Times New Roman" w:hAnsi="Times New Roman" w:cs="Times New Roman"/>
          <w:sz w:val="24"/>
          <w:szCs w:val="24"/>
        </w:rPr>
        <w:t>The cancellation of the agreement of sale en</w:t>
      </w:r>
      <w:r w:rsidR="00547C7A" w:rsidRPr="00A96CF1">
        <w:rPr>
          <w:rFonts w:ascii="Times New Roman" w:hAnsi="Times New Roman" w:cs="Times New Roman"/>
          <w:sz w:val="24"/>
          <w:szCs w:val="24"/>
        </w:rPr>
        <w:t>tered into between the plaintiff (</w:t>
      </w:r>
      <w:r w:rsidR="006814A9" w:rsidRPr="00A96CF1">
        <w:rPr>
          <w:rFonts w:ascii="Times New Roman" w:hAnsi="Times New Roman" w:cs="Times New Roman"/>
          <w:sz w:val="24"/>
          <w:szCs w:val="24"/>
        </w:rPr>
        <w:t>first</w:t>
      </w:r>
      <w:r w:rsidR="00547C7A" w:rsidRPr="00A96CF1">
        <w:rPr>
          <w:rFonts w:ascii="Times New Roman" w:hAnsi="Times New Roman" w:cs="Times New Roman"/>
          <w:sz w:val="24"/>
          <w:szCs w:val="24"/>
        </w:rPr>
        <w:t xml:space="preserve"> respondent in</w:t>
      </w:r>
      <w:r w:rsidR="000238C6" w:rsidRPr="00A96CF1">
        <w:rPr>
          <w:rFonts w:ascii="Times New Roman" w:hAnsi="Times New Roman" w:cs="Times New Roman"/>
          <w:sz w:val="24"/>
          <w:szCs w:val="24"/>
        </w:rPr>
        <w:t xml:space="preserve"> this appeal</w:t>
      </w:r>
      <w:r w:rsidR="00547C7A" w:rsidRPr="00A96CF1">
        <w:rPr>
          <w:rFonts w:ascii="Times New Roman" w:hAnsi="Times New Roman" w:cs="Times New Roman"/>
          <w:sz w:val="24"/>
          <w:szCs w:val="24"/>
        </w:rPr>
        <w:t xml:space="preserve">) </w:t>
      </w:r>
      <w:r w:rsidRPr="00A96CF1">
        <w:rPr>
          <w:rFonts w:ascii="Times New Roman" w:hAnsi="Times New Roman" w:cs="Times New Roman"/>
          <w:sz w:val="24"/>
          <w:szCs w:val="24"/>
        </w:rPr>
        <w:t>and the</w:t>
      </w:r>
      <w:r w:rsidR="003813DA">
        <w:rPr>
          <w:rFonts w:ascii="Times New Roman" w:hAnsi="Times New Roman" w:cs="Times New Roman"/>
          <w:sz w:val="24"/>
          <w:szCs w:val="24"/>
        </w:rPr>
        <w:t xml:space="preserve"> first</w:t>
      </w:r>
      <w:r w:rsidR="00547C7A" w:rsidRPr="00A96CF1">
        <w:rPr>
          <w:rFonts w:ascii="Times New Roman" w:hAnsi="Times New Roman" w:cs="Times New Roman"/>
          <w:sz w:val="24"/>
          <w:szCs w:val="24"/>
        </w:rPr>
        <w:t xml:space="preserve"> defendant</w:t>
      </w:r>
      <w:r w:rsidRPr="00A96CF1">
        <w:rPr>
          <w:rFonts w:ascii="Times New Roman" w:hAnsi="Times New Roman" w:cs="Times New Roman"/>
          <w:sz w:val="24"/>
          <w:szCs w:val="24"/>
        </w:rPr>
        <w:t xml:space="preserve"> </w:t>
      </w:r>
      <w:r w:rsidR="00547C7A" w:rsidRPr="00A96CF1">
        <w:rPr>
          <w:rFonts w:ascii="Times New Roman" w:hAnsi="Times New Roman" w:cs="Times New Roman"/>
          <w:sz w:val="24"/>
          <w:szCs w:val="24"/>
        </w:rPr>
        <w:t>(</w:t>
      </w:r>
      <w:r w:rsidR="00E72255"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w:t>
      </w:r>
      <w:r w:rsidR="00547C7A" w:rsidRPr="00A96CF1">
        <w:rPr>
          <w:rFonts w:ascii="Times New Roman" w:hAnsi="Times New Roman" w:cs="Times New Roman"/>
          <w:sz w:val="24"/>
          <w:szCs w:val="24"/>
        </w:rPr>
        <w:t>in</w:t>
      </w:r>
      <w:r w:rsidR="000238C6" w:rsidRPr="00A96CF1">
        <w:rPr>
          <w:rFonts w:ascii="Times New Roman" w:hAnsi="Times New Roman" w:cs="Times New Roman"/>
          <w:sz w:val="24"/>
          <w:szCs w:val="24"/>
        </w:rPr>
        <w:t xml:space="preserve"> this appeal</w:t>
      </w:r>
      <w:r w:rsidR="00547C7A" w:rsidRPr="00A96CF1">
        <w:rPr>
          <w:rFonts w:ascii="Times New Roman" w:hAnsi="Times New Roman" w:cs="Times New Roman"/>
          <w:sz w:val="24"/>
          <w:szCs w:val="24"/>
        </w:rPr>
        <w:t xml:space="preserve">) </w:t>
      </w:r>
      <w:r w:rsidRPr="00A96CF1">
        <w:rPr>
          <w:rFonts w:ascii="Times New Roman" w:hAnsi="Times New Roman" w:cs="Times New Roman"/>
          <w:sz w:val="24"/>
          <w:szCs w:val="24"/>
        </w:rPr>
        <w:t>in respect of a property known as Stand number 6505 Bulawayo Township of Stand 6541A Bulawayo Township situate in the District of Bulawayo measuring 3109 square metres, D.T 2749/84 is confirmed.</w:t>
      </w:r>
    </w:p>
    <w:p w14:paraId="438D68AE" w14:textId="68CC71D6" w:rsidR="00DC18B2" w:rsidRPr="00A96CF1" w:rsidRDefault="00DC18B2" w:rsidP="00322C85">
      <w:pPr>
        <w:pStyle w:val="ListParagraph"/>
        <w:numPr>
          <w:ilvl w:val="0"/>
          <w:numId w:val="9"/>
        </w:numPr>
        <w:spacing w:line="480" w:lineRule="auto"/>
        <w:ind w:left="1418"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w:t>
      </w:r>
      <w:r w:rsidR="00F44E36" w:rsidRPr="00A96CF1">
        <w:rPr>
          <w:rFonts w:ascii="Times New Roman" w:hAnsi="Times New Roman" w:cs="Times New Roman"/>
          <w:sz w:val="24"/>
          <w:szCs w:val="24"/>
        </w:rPr>
        <w:t>plaintiff shall</w:t>
      </w:r>
      <w:r w:rsidRPr="00A96CF1">
        <w:rPr>
          <w:rFonts w:ascii="Times New Roman" w:hAnsi="Times New Roman" w:cs="Times New Roman"/>
          <w:sz w:val="24"/>
          <w:szCs w:val="24"/>
        </w:rPr>
        <w:t xml:space="preserve"> transfer the property being Stand number 6505 Bulawayo Township of Stand 6541A Bulawayo Township situate in the District of Bulawayo measuring 3109 square metres, D.T 2749/84</w:t>
      </w:r>
      <w:r w:rsidR="003813DA">
        <w:rPr>
          <w:rFonts w:ascii="Times New Roman" w:hAnsi="Times New Roman" w:cs="Times New Roman"/>
          <w:sz w:val="24"/>
          <w:szCs w:val="24"/>
        </w:rPr>
        <w:t xml:space="preserve"> to the second </w:t>
      </w:r>
      <w:r w:rsidR="00547C7A" w:rsidRPr="00A96CF1">
        <w:rPr>
          <w:rFonts w:ascii="Times New Roman" w:hAnsi="Times New Roman" w:cs="Times New Roman"/>
          <w:sz w:val="24"/>
          <w:szCs w:val="24"/>
        </w:rPr>
        <w:t>defendant (</w:t>
      </w:r>
      <w:r w:rsidR="00B15423" w:rsidRPr="00A96CF1">
        <w:rPr>
          <w:rFonts w:ascii="Times New Roman" w:hAnsi="Times New Roman" w:cs="Times New Roman"/>
          <w:sz w:val="24"/>
          <w:szCs w:val="24"/>
        </w:rPr>
        <w:t>second</w:t>
      </w:r>
      <w:r w:rsidR="00547C7A" w:rsidRPr="00A96CF1">
        <w:rPr>
          <w:rFonts w:ascii="Times New Roman" w:hAnsi="Times New Roman" w:cs="Times New Roman"/>
          <w:sz w:val="24"/>
          <w:szCs w:val="24"/>
        </w:rPr>
        <w:t xml:space="preserve"> respondent in</w:t>
      </w:r>
      <w:r w:rsidR="00233C88" w:rsidRPr="00A96CF1">
        <w:rPr>
          <w:rFonts w:ascii="Times New Roman" w:hAnsi="Times New Roman" w:cs="Times New Roman"/>
          <w:sz w:val="24"/>
          <w:szCs w:val="24"/>
        </w:rPr>
        <w:t xml:space="preserve"> this appeal</w:t>
      </w:r>
      <w:r w:rsidR="00547C7A" w:rsidRPr="00A96CF1">
        <w:rPr>
          <w:rFonts w:ascii="Times New Roman" w:hAnsi="Times New Roman" w:cs="Times New Roman"/>
          <w:sz w:val="24"/>
          <w:szCs w:val="24"/>
        </w:rPr>
        <w:t>) within thirty (3</w:t>
      </w:r>
      <w:r w:rsidR="00886894">
        <w:rPr>
          <w:rFonts w:ascii="Times New Roman" w:hAnsi="Times New Roman" w:cs="Times New Roman"/>
          <w:sz w:val="24"/>
          <w:szCs w:val="24"/>
        </w:rPr>
        <w:t>0</w:t>
      </w:r>
      <w:r w:rsidR="00547C7A" w:rsidRPr="00A96CF1">
        <w:rPr>
          <w:rFonts w:ascii="Times New Roman" w:hAnsi="Times New Roman" w:cs="Times New Roman"/>
          <w:sz w:val="24"/>
          <w:szCs w:val="24"/>
        </w:rPr>
        <w:t>) days of this order.</w:t>
      </w:r>
    </w:p>
    <w:p w14:paraId="3F20E0D4" w14:textId="588650B4" w:rsidR="003813DA" w:rsidRDefault="003813DA" w:rsidP="00322C85">
      <w:pPr>
        <w:pStyle w:val="ListParagraph"/>
        <w:numPr>
          <w:ilvl w:val="0"/>
          <w:numId w:val="9"/>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First</w:t>
      </w:r>
      <w:r w:rsidR="00547C7A" w:rsidRPr="00A96CF1">
        <w:rPr>
          <w:rFonts w:ascii="Times New Roman" w:hAnsi="Times New Roman" w:cs="Times New Roman"/>
          <w:sz w:val="24"/>
          <w:szCs w:val="24"/>
        </w:rPr>
        <w:t xml:space="preserve"> </w:t>
      </w:r>
      <w:r w:rsidR="00F44E36" w:rsidRPr="00A96CF1">
        <w:rPr>
          <w:rFonts w:ascii="Times New Roman" w:hAnsi="Times New Roman" w:cs="Times New Roman"/>
          <w:sz w:val="24"/>
          <w:szCs w:val="24"/>
        </w:rPr>
        <w:t>defendant pays</w:t>
      </w:r>
      <w:r w:rsidR="00547C7A" w:rsidRPr="00A96CF1">
        <w:rPr>
          <w:rFonts w:ascii="Times New Roman" w:hAnsi="Times New Roman" w:cs="Times New Roman"/>
          <w:sz w:val="24"/>
          <w:szCs w:val="24"/>
        </w:rPr>
        <w:t xml:space="preserve"> the costs of suit for </w:t>
      </w:r>
      <w:r w:rsidR="00F44E36" w:rsidRPr="00A96CF1">
        <w:rPr>
          <w:rFonts w:ascii="Times New Roman" w:hAnsi="Times New Roman" w:cs="Times New Roman"/>
          <w:sz w:val="24"/>
          <w:szCs w:val="24"/>
        </w:rPr>
        <w:t xml:space="preserve">plaintiff </w:t>
      </w:r>
      <w:r w:rsidR="00F44E36">
        <w:rPr>
          <w:rFonts w:ascii="Times New Roman" w:hAnsi="Times New Roman" w:cs="Times New Roman"/>
          <w:sz w:val="24"/>
          <w:szCs w:val="24"/>
        </w:rPr>
        <w:t>and</w:t>
      </w:r>
      <w:r>
        <w:rPr>
          <w:rFonts w:ascii="Times New Roman" w:hAnsi="Times New Roman" w:cs="Times New Roman"/>
          <w:sz w:val="24"/>
          <w:szCs w:val="24"/>
        </w:rPr>
        <w:t xml:space="preserve"> second</w:t>
      </w:r>
      <w:r w:rsidR="00886894">
        <w:rPr>
          <w:rFonts w:ascii="Times New Roman" w:hAnsi="Times New Roman" w:cs="Times New Roman"/>
          <w:sz w:val="24"/>
          <w:szCs w:val="24"/>
        </w:rPr>
        <w:t xml:space="preserve"> defendant</w:t>
      </w:r>
      <w:r w:rsidR="00547C7A" w:rsidRPr="00A96CF1">
        <w:rPr>
          <w:rFonts w:ascii="Times New Roman" w:hAnsi="Times New Roman" w:cs="Times New Roman"/>
          <w:sz w:val="24"/>
          <w:szCs w:val="24"/>
        </w:rPr>
        <w:t xml:space="preserve"> on a party and party scale.</w:t>
      </w:r>
    </w:p>
    <w:p w14:paraId="33D2F956" w14:textId="77777777" w:rsidR="00322C85" w:rsidRPr="00322C85" w:rsidRDefault="00322C85" w:rsidP="00322C85">
      <w:pPr>
        <w:pStyle w:val="ListParagraph"/>
        <w:spacing w:after="0" w:line="480" w:lineRule="auto"/>
        <w:ind w:left="1418"/>
        <w:jc w:val="both"/>
        <w:rPr>
          <w:rFonts w:ascii="Times New Roman" w:hAnsi="Times New Roman" w:cs="Times New Roman"/>
          <w:sz w:val="24"/>
          <w:szCs w:val="24"/>
        </w:rPr>
      </w:pPr>
    </w:p>
    <w:p w14:paraId="444CC6A2" w14:textId="1FCF9197" w:rsidR="00547C7A" w:rsidRPr="00A96CF1" w:rsidRDefault="00547C7A" w:rsidP="00322C85">
      <w:pPr>
        <w:pStyle w:val="ListParagraph"/>
        <w:numPr>
          <w:ilvl w:val="0"/>
          <w:numId w:val="15"/>
        </w:numPr>
        <w:spacing w:after="0"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 xml:space="preserve">Aggrieved by the decision of 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the appellant has noted this appeal on the following grounds of appeal</w:t>
      </w:r>
      <w:r w:rsidR="00B16BDE" w:rsidRPr="00A96CF1">
        <w:rPr>
          <w:rFonts w:ascii="Times New Roman" w:hAnsi="Times New Roman" w:cs="Times New Roman"/>
          <w:sz w:val="24"/>
          <w:szCs w:val="24"/>
        </w:rPr>
        <w:t>.</w:t>
      </w:r>
    </w:p>
    <w:p w14:paraId="64F5BE0D" w14:textId="77777777" w:rsidR="003813DA" w:rsidRDefault="003813DA" w:rsidP="00322C85">
      <w:pPr>
        <w:spacing w:after="0" w:line="360" w:lineRule="auto"/>
        <w:jc w:val="both"/>
        <w:rPr>
          <w:rFonts w:ascii="Times New Roman" w:hAnsi="Times New Roman" w:cs="Times New Roman"/>
          <w:b/>
          <w:sz w:val="24"/>
          <w:szCs w:val="24"/>
        </w:rPr>
      </w:pPr>
    </w:p>
    <w:p w14:paraId="506CFF2E" w14:textId="77777777" w:rsidR="00BC1BAA" w:rsidRPr="00832224" w:rsidRDefault="00BC1BAA" w:rsidP="00322C85">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GROUNDS OF APPEAL</w:t>
      </w:r>
    </w:p>
    <w:p w14:paraId="008668BF" w14:textId="51328774" w:rsidR="00802219" w:rsidRPr="00A96CF1" w:rsidRDefault="00E13D9A" w:rsidP="00322C85">
      <w:pPr>
        <w:pStyle w:val="ListParagraph"/>
        <w:numPr>
          <w:ilvl w:val="0"/>
          <w:numId w:val="1"/>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erred in law in finding that the agreement of sale in instalments over stand 6505 Bulawayo township of Stand 6541A Bulawayo Township (the property) between </w:t>
      </w:r>
      <w:r w:rsidR="00355FC5" w:rsidRPr="00A96CF1">
        <w:rPr>
          <w:rFonts w:ascii="Times New Roman" w:hAnsi="Times New Roman" w:cs="Times New Roman"/>
          <w:sz w:val="24"/>
          <w:szCs w:val="24"/>
        </w:rPr>
        <w:t xml:space="preserve">appellant </w:t>
      </w:r>
      <w:r w:rsidR="003813DA">
        <w:rPr>
          <w:rFonts w:ascii="Times New Roman" w:hAnsi="Times New Roman" w:cs="Times New Roman"/>
          <w:sz w:val="24"/>
          <w:szCs w:val="24"/>
        </w:rPr>
        <w:t xml:space="preserve">and first </w:t>
      </w:r>
      <w:r w:rsidRPr="00A96CF1">
        <w:rPr>
          <w:rFonts w:ascii="Times New Roman" w:hAnsi="Times New Roman" w:cs="Times New Roman"/>
          <w:sz w:val="24"/>
          <w:szCs w:val="24"/>
        </w:rPr>
        <w:t>respondent was lawfully terminated.</w:t>
      </w:r>
    </w:p>
    <w:p w14:paraId="3F6D237B" w14:textId="78815F85" w:rsidR="00E13D9A" w:rsidRPr="00A96CF1" w:rsidRDefault="00E13D9A" w:rsidP="00322C85">
      <w:pPr>
        <w:pStyle w:val="ListParagraph"/>
        <w:numPr>
          <w:ilvl w:val="0"/>
          <w:numId w:val="1"/>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lastRenderedPageBreak/>
        <w:t xml:space="preserve">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misdirected itself in law in finding that service of notice to remedy a breach in the instalment sale of la</w:t>
      </w:r>
      <w:r w:rsidR="00886894">
        <w:rPr>
          <w:rFonts w:ascii="Times New Roman" w:hAnsi="Times New Roman" w:cs="Times New Roman"/>
          <w:sz w:val="24"/>
          <w:szCs w:val="24"/>
        </w:rPr>
        <w:t xml:space="preserve">nd over the property on one </w:t>
      </w:r>
      <w:proofErr w:type="spellStart"/>
      <w:r w:rsidR="00886894">
        <w:rPr>
          <w:rFonts w:ascii="Times New Roman" w:hAnsi="Times New Roman" w:cs="Times New Roman"/>
          <w:sz w:val="24"/>
          <w:szCs w:val="24"/>
        </w:rPr>
        <w:t>Mr.</w:t>
      </w:r>
      <w:r w:rsidRPr="00A96CF1">
        <w:rPr>
          <w:rFonts w:ascii="Times New Roman" w:hAnsi="Times New Roman" w:cs="Times New Roman"/>
          <w:sz w:val="24"/>
          <w:szCs w:val="24"/>
        </w:rPr>
        <w:t>Ncube</w:t>
      </w:r>
      <w:proofErr w:type="spellEnd"/>
      <w:r w:rsidRPr="00A96CF1">
        <w:rPr>
          <w:rFonts w:ascii="Times New Roman" w:hAnsi="Times New Roman" w:cs="Times New Roman"/>
          <w:sz w:val="24"/>
          <w:szCs w:val="24"/>
        </w:rPr>
        <w:t>, a gardener was competent se</w:t>
      </w:r>
      <w:r w:rsidR="007124CD">
        <w:rPr>
          <w:rFonts w:ascii="Times New Roman" w:hAnsi="Times New Roman" w:cs="Times New Roman"/>
          <w:sz w:val="24"/>
          <w:szCs w:val="24"/>
        </w:rPr>
        <w:t>rvice as contemplated in s</w:t>
      </w:r>
      <w:r w:rsidRPr="00A96CF1">
        <w:rPr>
          <w:rFonts w:ascii="Times New Roman" w:hAnsi="Times New Roman" w:cs="Times New Roman"/>
          <w:sz w:val="24"/>
          <w:szCs w:val="24"/>
        </w:rPr>
        <w:t xml:space="preserve"> 8 (2) (3) of the Contractual Penalties Act [</w:t>
      </w:r>
      <w:r w:rsidRPr="00A96CF1">
        <w:rPr>
          <w:rFonts w:ascii="Times New Roman" w:hAnsi="Times New Roman" w:cs="Times New Roman"/>
          <w:i/>
          <w:sz w:val="24"/>
          <w:szCs w:val="24"/>
        </w:rPr>
        <w:t>Chapter 8:04</w:t>
      </w:r>
      <w:r w:rsidRPr="00A96CF1">
        <w:rPr>
          <w:rFonts w:ascii="Times New Roman" w:hAnsi="Times New Roman" w:cs="Times New Roman"/>
          <w:sz w:val="24"/>
          <w:szCs w:val="24"/>
        </w:rPr>
        <w:t>].</w:t>
      </w:r>
    </w:p>
    <w:p w14:paraId="58F6F316" w14:textId="7A8E1F38" w:rsidR="00E13D9A" w:rsidRPr="00A96CF1" w:rsidRDefault="00E13D9A" w:rsidP="00322C85">
      <w:pPr>
        <w:pStyle w:val="ListParagraph"/>
        <w:numPr>
          <w:ilvl w:val="0"/>
          <w:numId w:val="1"/>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A fortiori, 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erred in law in finding that the </w:t>
      </w:r>
      <w:r w:rsidR="00355FC5" w:rsidRPr="00A96CF1">
        <w:rPr>
          <w:rFonts w:ascii="Times New Roman" w:hAnsi="Times New Roman" w:cs="Times New Roman"/>
          <w:sz w:val="24"/>
          <w:szCs w:val="24"/>
        </w:rPr>
        <w:t xml:space="preserve">appellant </w:t>
      </w:r>
      <w:r w:rsidRPr="00A96CF1">
        <w:rPr>
          <w:rFonts w:ascii="Times New Roman" w:hAnsi="Times New Roman" w:cs="Times New Roman"/>
          <w:sz w:val="24"/>
          <w:szCs w:val="24"/>
        </w:rPr>
        <w:t xml:space="preserve">was properly placed in </w:t>
      </w:r>
      <w:r w:rsidRPr="00A96CF1">
        <w:rPr>
          <w:rFonts w:ascii="Times New Roman" w:hAnsi="Times New Roman" w:cs="Times New Roman"/>
          <w:i/>
          <w:sz w:val="24"/>
          <w:szCs w:val="24"/>
        </w:rPr>
        <w:t>mora</w:t>
      </w:r>
      <w:r w:rsidR="007124CD">
        <w:rPr>
          <w:rFonts w:ascii="Times New Roman" w:hAnsi="Times New Roman" w:cs="Times New Roman"/>
          <w:sz w:val="24"/>
          <w:szCs w:val="24"/>
        </w:rPr>
        <w:t xml:space="preserve"> by the respondent</w:t>
      </w:r>
      <w:r w:rsidRPr="00A96CF1">
        <w:rPr>
          <w:rFonts w:ascii="Times New Roman" w:hAnsi="Times New Roman" w:cs="Times New Roman"/>
          <w:sz w:val="24"/>
          <w:szCs w:val="24"/>
        </w:rPr>
        <w:t>.</w:t>
      </w:r>
    </w:p>
    <w:p w14:paraId="14D86A49" w14:textId="7D09C316" w:rsidR="00E13D9A" w:rsidRPr="00A96CF1" w:rsidRDefault="00E13D9A" w:rsidP="00322C85">
      <w:pPr>
        <w:pStyle w:val="ListParagraph"/>
        <w:numPr>
          <w:ilvl w:val="0"/>
          <w:numId w:val="1"/>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er</w:t>
      </w:r>
      <w:r w:rsidR="007124CD">
        <w:rPr>
          <w:rFonts w:ascii="Times New Roman" w:hAnsi="Times New Roman" w:cs="Times New Roman"/>
          <w:sz w:val="24"/>
          <w:szCs w:val="24"/>
        </w:rPr>
        <w:t xml:space="preserve">red in law in finding that the first </w:t>
      </w:r>
      <w:r w:rsidRPr="00A96CF1">
        <w:rPr>
          <w:rFonts w:ascii="Times New Roman" w:hAnsi="Times New Roman" w:cs="Times New Roman"/>
          <w:sz w:val="24"/>
          <w:szCs w:val="24"/>
        </w:rPr>
        <w:t xml:space="preserve">respondent as seller in the instalment sale, clearly and unambiguously communicated its election to cancel the sale to the </w:t>
      </w:r>
      <w:r w:rsidR="00355FC5" w:rsidRPr="00A96CF1">
        <w:rPr>
          <w:rFonts w:ascii="Times New Roman" w:hAnsi="Times New Roman" w:cs="Times New Roman"/>
          <w:sz w:val="24"/>
          <w:szCs w:val="24"/>
        </w:rPr>
        <w:t xml:space="preserve">appellant </w:t>
      </w:r>
      <w:r w:rsidRPr="00A96CF1">
        <w:rPr>
          <w:rFonts w:ascii="Times New Roman" w:hAnsi="Times New Roman" w:cs="Times New Roman"/>
          <w:sz w:val="24"/>
          <w:szCs w:val="24"/>
        </w:rPr>
        <w:t>as purchaser.</w:t>
      </w:r>
    </w:p>
    <w:p w14:paraId="4D723D73" w14:textId="77777777" w:rsidR="00E13D9A" w:rsidRPr="00A96CF1" w:rsidRDefault="00E13D9A" w:rsidP="00322C85">
      <w:pPr>
        <w:pStyle w:val="ListParagraph"/>
        <w:numPr>
          <w:ilvl w:val="0"/>
          <w:numId w:val="1"/>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erred in law in finding that the rescission of judgment granted in </w:t>
      </w:r>
      <w:r w:rsidR="00355FC5" w:rsidRPr="00A96CF1">
        <w:rPr>
          <w:rFonts w:ascii="Times New Roman" w:hAnsi="Times New Roman" w:cs="Times New Roman"/>
          <w:sz w:val="24"/>
          <w:szCs w:val="24"/>
        </w:rPr>
        <w:t>appellant’s</w:t>
      </w:r>
      <w:r w:rsidRPr="00A96CF1">
        <w:rPr>
          <w:rFonts w:ascii="Times New Roman" w:hAnsi="Times New Roman" w:cs="Times New Roman"/>
          <w:sz w:val="24"/>
          <w:szCs w:val="24"/>
        </w:rPr>
        <w:t xml:space="preserve"> favour in HC 1576/18 on the 22</w:t>
      </w:r>
      <w:r w:rsidRPr="00A96CF1">
        <w:rPr>
          <w:rFonts w:ascii="Times New Roman" w:hAnsi="Times New Roman" w:cs="Times New Roman"/>
          <w:sz w:val="24"/>
          <w:szCs w:val="24"/>
          <w:vertAlign w:val="superscript"/>
        </w:rPr>
        <w:t>nd</w:t>
      </w:r>
      <w:r w:rsidRPr="00A96CF1">
        <w:rPr>
          <w:rFonts w:ascii="Times New Roman" w:hAnsi="Times New Roman" w:cs="Times New Roman"/>
          <w:sz w:val="24"/>
          <w:szCs w:val="24"/>
        </w:rPr>
        <w:t xml:space="preserve"> of November 2018 was of ‘no moment’.</w:t>
      </w:r>
    </w:p>
    <w:p w14:paraId="32AC30D5" w14:textId="77777777" w:rsidR="00E13D9A" w:rsidRPr="00A96CF1" w:rsidRDefault="00E13D9A" w:rsidP="00322C85">
      <w:pPr>
        <w:pStyle w:val="ListParagraph"/>
        <w:numPr>
          <w:ilvl w:val="0"/>
          <w:numId w:val="1"/>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erred in law in finding that the </w:t>
      </w:r>
      <w:r w:rsidR="00355FC5" w:rsidRPr="00A96CF1">
        <w:rPr>
          <w:rFonts w:ascii="Times New Roman" w:hAnsi="Times New Roman" w:cs="Times New Roman"/>
          <w:sz w:val="24"/>
          <w:szCs w:val="24"/>
        </w:rPr>
        <w:t>appellant</w:t>
      </w:r>
      <w:r w:rsidRPr="00A96CF1">
        <w:rPr>
          <w:rFonts w:ascii="Times New Roman" w:hAnsi="Times New Roman" w:cs="Times New Roman"/>
          <w:sz w:val="24"/>
          <w:szCs w:val="24"/>
        </w:rPr>
        <w:t xml:space="preserve"> was not entitled to the relief of specific performance.</w:t>
      </w:r>
    </w:p>
    <w:p w14:paraId="12DA1CDF" w14:textId="026E1A4A" w:rsidR="00E13D9A" w:rsidRPr="00A96CF1" w:rsidRDefault="00E13D9A" w:rsidP="00322C85">
      <w:pPr>
        <w:pStyle w:val="ListParagraph"/>
        <w:numPr>
          <w:ilvl w:val="0"/>
          <w:numId w:val="1"/>
        </w:numPr>
        <w:spacing w:after="0"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erred in law in ordering transfer of the property into</w:t>
      </w:r>
      <w:r w:rsidR="00480F6A">
        <w:rPr>
          <w:rFonts w:ascii="Times New Roman" w:hAnsi="Times New Roman" w:cs="Times New Roman"/>
          <w:sz w:val="24"/>
          <w:szCs w:val="24"/>
        </w:rPr>
        <w:t xml:space="preserve"> the second respondent’s name </w:t>
      </w:r>
      <w:r w:rsidRPr="00A96CF1">
        <w:rPr>
          <w:rFonts w:ascii="Times New Roman" w:hAnsi="Times New Roman" w:cs="Times New Roman"/>
          <w:sz w:val="24"/>
          <w:szCs w:val="24"/>
        </w:rPr>
        <w:t>in circumstances where a clear material dispute of fact existed as to the identity of the propert</w:t>
      </w:r>
      <w:r w:rsidR="007124CD">
        <w:rPr>
          <w:rFonts w:ascii="Times New Roman" w:hAnsi="Times New Roman" w:cs="Times New Roman"/>
          <w:sz w:val="24"/>
          <w:szCs w:val="24"/>
        </w:rPr>
        <w:t xml:space="preserve">y sold to him by the first </w:t>
      </w:r>
      <w:r w:rsidRPr="00A96CF1">
        <w:rPr>
          <w:rFonts w:ascii="Times New Roman" w:hAnsi="Times New Roman" w:cs="Times New Roman"/>
          <w:sz w:val="24"/>
          <w:szCs w:val="24"/>
        </w:rPr>
        <w:t>respondent.</w:t>
      </w:r>
    </w:p>
    <w:p w14:paraId="0F98952F" w14:textId="77777777" w:rsidR="007124CD" w:rsidRDefault="007124CD" w:rsidP="00322C85">
      <w:pPr>
        <w:spacing w:after="0" w:line="480" w:lineRule="auto"/>
        <w:jc w:val="both"/>
        <w:rPr>
          <w:rFonts w:ascii="Times New Roman" w:hAnsi="Times New Roman" w:cs="Times New Roman"/>
          <w:b/>
          <w:sz w:val="24"/>
          <w:szCs w:val="24"/>
        </w:rPr>
      </w:pPr>
    </w:p>
    <w:p w14:paraId="5492410C" w14:textId="77777777" w:rsidR="00E13D9A" w:rsidRPr="00832224" w:rsidRDefault="00E13D9A" w:rsidP="00322C85">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RELIEF SOUGHT</w:t>
      </w:r>
    </w:p>
    <w:p w14:paraId="09D63F61" w14:textId="77777777" w:rsidR="00E13D9A" w:rsidRPr="00A96CF1" w:rsidRDefault="00E13D9A" w:rsidP="00322C85">
      <w:pPr>
        <w:spacing w:after="0" w:line="480" w:lineRule="auto"/>
        <w:jc w:val="both"/>
        <w:rPr>
          <w:rFonts w:ascii="Times New Roman" w:hAnsi="Times New Roman" w:cs="Times New Roman"/>
          <w:sz w:val="24"/>
          <w:szCs w:val="24"/>
        </w:rPr>
      </w:pPr>
      <w:r w:rsidRPr="00A96CF1">
        <w:rPr>
          <w:rFonts w:ascii="Times New Roman" w:hAnsi="Times New Roman" w:cs="Times New Roman"/>
          <w:b/>
          <w:sz w:val="24"/>
          <w:szCs w:val="24"/>
        </w:rPr>
        <w:t>WHEREFORE</w:t>
      </w:r>
      <w:r w:rsidRPr="00A96CF1">
        <w:rPr>
          <w:rFonts w:ascii="Times New Roman" w:hAnsi="Times New Roman" w:cs="Times New Roman"/>
          <w:sz w:val="24"/>
          <w:szCs w:val="24"/>
        </w:rPr>
        <w:t xml:space="preserve"> the </w:t>
      </w:r>
      <w:r w:rsidR="006E3C51" w:rsidRPr="00A96CF1">
        <w:rPr>
          <w:rFonts w:ascii="Times New Roman" w:hAnsi="Times New Roman" w:cs="Times New Roman"/>
          <w:sz w:val="24"/>
          <w:szCs w:val="24"/>
        </w:rPr>
        <w:t xml:space="preserve">appellant </w:t>
      </w:r>
      <w:r w:rsidRPr="00A96CF1">
        <w:rPr>
          <w:rFonts w:ascii="Times New Roman" w:hAnsi="Times New Roman" w:cs="Times New Roman"/>
          <w:sz w:val="24"/>
          <w:szCs w:val="24"/>
        </w:rPr>
        <w:t>prays for the following relief:</w:t>
      </w:r>
    </w:p>
    <w:p w14:paraId="7B4A33CB" w14:textId="77777777" w:rsidR="00E13D9A" w:rsidRPr="00A96CF1" w:rsidRDefault="00E13D9A" w:rsidP="00322C85">
      <w:pPr>
        <w:pStyle w:val="ListParagraph"/>
        <w:numPr>
          <w:ilvl w:val="0"/>
          <w:numId w:val="2"/>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The instant appeal succeeds.</w:t>
      </w:r>
    </w:p>
    <w:p w14:paraId="68B1DE7E" w14:textId="77777777" w:rsidR="00E13D9A" w:rsidRPr="00A96CF1" w:rsidRDefault="00E13D9A" w:rsidP="00322C85">
      <w:pPr>
        <w:pStyle w:val="ListParagraph"/>
        <w:numPr>
          <w:ilvl w:val="0"/>
          <w:numId w:val="2"/>
        </w:numPr>
        <w:spacing w:line="480" w:lineRule="auto"/>
        <w:ind w:left="851" w:hanging="284"/>
        <w:jc w:val="both"/>
        <w:rPr>
          <w:rFonts w:ascii="Times New Roman" w:hAnsi="Times New Roman" w:cs="Times New Roman"/>
          <w:sz w:val="24"/>
          <w:szCs w:val="24"/>
        </w:rPr>
      </w:pPr>
      <w:r w:rsidRPr="00A96CF1">
        <w:rPr>
          <w:rFonts w:ascii="Times New Roman" w:hAnsi="Times New Roman" w:cs="Times New Roman"/>
          <w:sz w:val="24"/>
          <w:szCs w:val="24"/>
        </w:rPr>
        <w:t xml:space="preserve">The judgment of the court </w:t>
      </w:r>
      <w:r w:rsidRPr="00A96CF1">
        <w:rPr>
          <w:rFonts w:ascii="Times New Roman" w:hAnsi="Times New Roman" w:cs="Times New Roman"/>
          <w:i/>
          <w:sz w:val="24"/>
          <w:szCs w:val="24"/>
        </w:rPr>
        <w:t>a quo</w:t>
      </w:r>
      <w:r w:rsidRPr="00A96CF1">
        <w:rPr>
          <w:rFonts w:ascii="Times New Roman" w:hAnsi="Times New Roman" w:cs="Times New Roman"/>
          <w:sz w:val="24"/>
          <w:szCs w:val="24"/>
        </w:rPr>
        <w:t xml:space="preserve"> is set aside in its entirety and in its place substituted the following-</w:t>
      </w:r>
    </w:p>
    <w:p w14:paraId="0AB16969" w14:textId="77777777" w:rsidR="00BC1BAA" w:rsidRPr="00A96CF1" w:rsidRDefault="00BC1BAA" w:rsidP="00322C85">
      <w:pPr>
        <w:pStyle w:val="ListParagraph"/>
        <w:numPr>
          <w:ilvl w:val="0"/>
          <w:numId w:val="3"/>
        </w:numPr>
        <w:spacing w:line="480" w:lineRule="auto"/>
        <w:ind w:firstLine="54"/>
        <w:jc w:val="both"/>
        <w:rPr>
          <w:rFonts w:ascii="Times New Roman" w:hAnsi="Times New Roman" w:cs="Times New Roman"/>
          <w:sz w:val="24"/>
          <w:szCs w:val="24"/>
        </w:rPr>
      </w:pPr>
      <w:r w:rsidRPr="00A96CF1">
        <w:rPr>
          <w:rFonts w:ascii="Times New Roman" w:hAnsi="Times New Roman" w:cs="Times New Roman"/>
          <w:sz w:val="24"/>
          <w:szCs w:val="24"/>
        </w:rPr>
        <w:t>The plaintiff’s claims be and are hereby dismissed.</w:t>
      </w:r>
    </w:p>
    <w:p w14:paraId="53258842" w14:textId="07FFFB96" w:rsidR="00BC1BAA" w:rsidRPr="00A96CF1" w:rsidRDefault="00BC1BAA" w:rsidP="00322C85">
      <w:pPr>
        <w:pStyle w:val="ListParagraph"/>
        <w:numPr>
          <w:ilvl w:val="0"/>
          <w:numId w:val="3"/>
        </w:numPr>
        <w:spacing w:line="480" w:lineRule="auto"/>
        <w:ind w:left="1418" w:hanging="284"/>
        <w:jc w:val="both"/>
        <w:rPr>
          <w:rFonts w:ascii="Times New Roman" w:hAnsi="Times New Roman" w:cs="Times New Roman"/>
          <w:sz w:val="24"/>
          <w:szCs w:val="24"/>
        </w:rPr>
      </w:pPr>
      <w:r w:rsidRPr="00A96CF1">
        <w:rPr>
          <w:rFonts w:ascii="Times New Roman" w:hAnsi="Times New Roman" w:cs="Times New Roman"/>
          <w:sz w:val="24"/>
          <w:szCs w:val="24"/>
        </w:rPr>
        <w:t>The plainti</w:t>
      </w:r>
      <w:r w:rsidR="007124CD">
        <w:rPr>
          <w:rFonts w:ascii="Times New Roman" w:hAnsi="Times New Roman" w:cs="Times New Roman"/>
          <w:sz w:val="24"/>
          <w:szCs w:val="24"/>
        </w:rPr>
        <w:t>ff is ordered to transfer into first</w:t>
      </w:r>
      <w:r w:rsidRPr="00A96CF1">
        <w:rPr>
          <w:rFonts w:ascii="Times New Roman" w:hAnsi="Times New Roman" w:cs="Times New Roman"/>
          <w:sz w:val="24"/>
          <w:szCs w:val="24"/>
        </w:rPr>
        <w:t xml:space="preserve"> defendants’ names stand number 6505 Bulawayo township of Stand 6541A Bulawayo Township situate in the </w:t>
      </w:r>
      <w:r w:rsidRPr="00A96CF1">
        <w:rPr>
          <w:rFonts w:ascii="Times New Roman" w:hAnsi="Times New Roman" w:cs="Times New Roman"/>
          <w:sz w:val="24"/>
          <w:szCs w:val="24"/>
        </w:rPr>
        <w:lastRenderedPageBreak/>
        <w:t>district of Bulawayo measuring 3109 square meters held under deed of transfer 2749/84 within 30 days of this order.</w:t>
      </w:r>
    </w:p>
    <w:p w14:paraId="61E91EC5" w14:textId="44685343" w:rsidR="00BC1BAA" w:rsidRPr="00A96CF1" w:rsidRDefault="007124CD" w:rsidP="00322C85">
      <w:pPr>
        <w:pStyle w:val="ListParagraph"/>
        <w:numPr>
          <w:ilvl w:val="0"/>
          <w:numId w:val="3"/>
        </w:numPr>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plaintiff and second </w:t>
      </w:r>
      <w:r w:rsidR="00BC1BAA" w:rsidRPr="00A96CF1">
        <w:rPr>
          <w:rFonts w:ascii="Times New Roman" w:hAnsi="Times New Roman" w:cs="Times New Roman"/>
          <w:sz w:val="24"/>
          <w:szCs w:val="24"/>
        </w:rPr>
        <w:t>defendant are to pay the cost of suit, jointly and severally the one paying the other to be absolved on an attorney and client scale.</w:t>
      </w:r>
    </w:p>
    <w:p w14:paraId="474E60C1" w14:textId="124E27E0" w:rsidR="00BC1BAA" w:rsidRPr="00A96CF1" w:rsidRDefault="007124CD" w:rsidP="00322C85">
      <w:pPr>
        <w:pStyle w:val="ListParagraph"/>
        <w:numPr>
          <w:ilvl w:val="0"/>
          <w:numId w:val="2"/>
        </w:numPr>
        <w:spacing w:after="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The first</w:t>
      </w:r>
      <w:r w:rsidR="00BC1BAA" w:rsidRPr="00A96CF1">
        <w:rPr>
          <w:rFonts w:ascii="Times New Roman" w:hAnsi="Times New Roman" w:cs="Times New Roman"/>
          <w:sz w:val="24"/>
          <w:szCs w:val="24"/>
        </w:rPr>
        <w:t xml:space="preserve"> and </w:t>
      </w:r>
      <w:r w:rsidR="00480F6A">
        <w:rPr>
          <w:rFonts w:ascii="Times New Roman" w:hAnsi="Times New Roman" w:cs="Times New Roman"/>
          <w:sz w:val="24"/>
          <w:szCs w:val="24"/>
        </w:rPr>
        <w:t xml:space="preserve">second respondents </w:t>
      </w:r>
      <w:r w:rsidR="00BC1BAA" w:rsidRPr="00A96CF1">
        <w:rPr>
          <w:rFonts w:ascii="Times New Roman" w:hAnsi="Times New Roman" w:cs="Times New Roman"/>
          <w:sz w:val="24"/>
          <w:szCs w:val="24"/>
        </w:rPr>
        <w:t>are to pay the costs of this appeal, jointly and severally the one paying the other to be absolved.”</w:t>
      </w:r>
    </w:p>
    <w:p w14:paraId="3B732BE8" w14:textId="77777777" w:rsidR="007124CD" w:rsidRDefault="007124CD" w:rsidP="00322C85">
      <w:pPr>
        <w:spacing w:after="0" w:line="480" w:lineRule="auto"/>
        <w:jc w:val="both"/>
        <w:rPr>
          <w:rFonts w:ascii="Times New Roman" w:hAnsi="Times New Roman" w:cs="Times New Roman"/>
          <w:b/>
          <w:sz w:val="24"/>
          <w:szCs w:val="24"/>
        </w:rPr>
      </w:pPr>
    </w:p>
    <w:p w14:paraId="4E9FD642" w14:textId="363D6ECA" w:rsidR="000D430B" w:rsidRPr="00832224" w:rsidRDefault="000D430B" w:rsidP="007470D6">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SUBMISSIONS BEFORE THIS COURT.</w:t>
      </w:r>
    </w:p>
    <w:p w14:paraId="13F245AE" w14:textId="464B7233" w:rsidR="00A504D6" w:rsidRPr="00832224" w:rsidRDefault="00A504D6" w:rsidP="007470D6">
      <w:pPr>
        <w:spacing w:after="0" w:line="480" w:lineRule="auto"/>
        <w:jc w:val="both"/>
        <w:rPr>
          <w:rFonts w:ascii="Times New Roman" w:hAnsi="Times New Roman" w:cs="Times New Roman"/>
          <w:b/>
          <w:bCs/>
          <w:sz w:val="24"/>
          <w:szCs w:val="24"/>
        </w:rPr>
      </w:pPr>
      <w:r w:rsidRPr="00832224">
        <w:rPr>
          <w:rFonts w:ascii="Times New Roman" w:hAnsi="Times New Roman" w:cs="Times New Roman"/>
          <w:b/>
          <w:bCs/>
          <w:sz w:val="24"/>
          <w:szCs w:val="24"/>
        </w:rPr>
        <w:t>Appellant’s Submissions</w:t>
      </w:r>
      <w:r w:rsidR="007E1643" w:rsidRPr="00832224">
        <w:rPr>
          <w:rFonts w:ascii="Times New Roman" w:hAnsi="Times New Roman" w:cs="Times New Roman"/>
          <w:b/>
          <w:bCs/>
          <w:sz w:val="24"/>
          <w:szCs w:val="24"/>
        </w:rPr>
        <w:t>:</w:t>
      </w:r>
    </w:p>
    <w:p w14:paraId="63355898" w14:textId="78F49D64" w:rsidR="000D430B" w:rsidRPr="00A96CF1" w:rsidRDefault="000D430B"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Mr. </w:t>
      </w:r>
      <w:r w:rsidRPr="00A96CF1">
        <w:rPr>
          <w:rFonts w:ascii="Times New Roman" w:hAnsi="Times New Roman" w:cs="Times New Roman"/>
          <w:bCs/>
          <w:i/>
          <w:iCs/>
          <w:sz w:val="24"/>
          <w:szCs w:val="24"/>
        </w:rPr>
        <w:t>Nyoni</w:t>
      </w:r>
      <w:r w:rsidRPr="00A96CF1">
        <w:rPr>
          <w:rFonts w:ascii="Times New Roman" w:hAnsi="Times New Roman" w:cs="Times New Roman"/>
          <w:bCs/>
          <w:sz w:val="24"/>
          <w:szCs w:val="24"/>
        </w:rPr>
        <w:t>, for the ap</w:t>
      </w:r>
      <w:r w:rsidR="007124CD">
        <w:rPr>
          <w:rFonts w:ascii="Times New Roman" w:hAnsi="Times New Roman" w:cs="Times New Roman"/>
          <w:bCs/>
          <w:sz w:val="24"/>
          <w:szCs w:val="24"/>
        </w:rPr>
        <w:t>pellant, submitted before this C</w:t>
      </w:r>
      <w:r w:rsidRPr="00A96CF1">
        <w:rPr>
          <w:rFonts w:ascii="Times New Roman" w:hAnsi="Times New Roman" w:cs="Times New Roman"/>
          <w:bCs/>
          <w:sz w:val="24"/>
          <w:szCs w:val="24"/>
        </w:rPr>
        <w:t xml:space="preserve">ourt, </w:t>
      </w:r>
      <w:r w:rsidRPr="00A96CF1">
        <w:rPr>
          <w:rFonts w:ascii="Times New Roman" w:hAnsi="Times New Roman" w:cs="Times New Roman"/>
          <w:bCs/>
          <w:i/>
          <w:iCs/>
          <w:sz w:val="24"/>
          <w:szCs w:val="24"/>
        </w:rPr>
        <w:t>inter alia</w:t>
      </w:r>
      <w:r w:rsidRPr="00A96CF1">
        <w:rPr>
          <w:rFonts w:ascii="Times New Roman" w:hAnsi="Times New Roman" w:cs="Times New Roman"/>
          <w:bCs/>
          <w:sz w:val="24"/>
          <w:szCs w:val="24"/>
        </w:rPr>
        <w:t xml:space="preserve">, that </w:t>
      </w:r>
      <w:r w:rsidR="00DE18F5">
        <w:rPr>
          <w:rFonts w:ascii="Times New Roman" w:hAnsi="Times New Roman" w:cs="Times New Roman"/>
          <w:bCs/>
          <w:sz w:val="24"/>
          <w:szCs w:val="24"/>
        </w:rPr>
        <w:t>it is now accepted that</w:t>
      </w:r>
      <w:r w:rsidR="00D4116C" w:rsidRPr="00A96CF1">
        <w:rPr>
          <w:rFonts w:ascii="Times New Roman" w:hAnsi="Times New Roman" w:cs="Times New Roman"/>
          <w:bCs/>
          <w:sz w:val="24"/>
          <w:szCs w:val="24"/>
        </w:rPr>
        <w:t xml:space="preserve"> courts</w:t>
      </w:r>
      <w:r w:rsidR="00811BA4" w:rsidRPr="00A96CF1">
        <w:rPr>
          <w:rFonts w:ascii="Times New Roman" w:hAnsi="Times New Roman" w:cs="Times New Roman"/>
          <w:bCs/>
          <w:sz w:val="24"/>
          <w:szCs w:val="24"/>
        </w:rPr>
        <w:t xml:space="preserve"> interpret the provisions of s 8 strictly and in that regard, cited </w:t>
      </w:r>
      <w:proofErr w:type="spellStart"/>
      <w:r w:rsidR="00811BA4" w:rsidRPr="007124CD">
        <w:rPr>
          <w:rFonts w:ascii="Times New Roman" w:hAnsi="Times New Roman" w:cs="Times New Roman"/>
          <w:bCs/>
          <w:i/>
          <w:iCs/>
          <w:sz w:val="24"/>
          <w:szCs w:val="24"/>
        </w:rPr>
        <w:t>Washaya</w:t>
      </w:r>
      <w:proofErr w:type="spellEnd"/>
      <w:r w:rsidR="00811BA4" w:rsidRPr="007124CD">
        <w:rPr>
          <w:rFonts w:ascii="Times New Roman" w:hAnsi="Times New Roman" w:cs="Times New Roman"/>
          <w:bCs/>
          <w:i/>
          <w:iCs/>
          <w:sz w:val="24"/>
          <w:szCs w:val="24"/>
        </w:rPr>
        <w:t xml:space="preserve"> &amp; Anor v </w:t>
      </w:r>
      <w:proofErr w:type="spellStart"/>
      <w:r w:rsidR="00811BA4" w:rsidRPr="007124CD">
        <w:rPr>
          <w:rFonts w:ascii="Times New Roman" w:hAnsi="Times New Roman" w:cs="Times New Roman"/>
          <w:bCs/>
          <w:i/>
          <w:iCs/>
          <w:sz w:val="24"/>
          <w:szCs w:val="24"/>
        </w:rPr>
        <w:t>Makebreak</w:t>
      </w:r>
      <w:proofErr w:type="spellEnd"/>
      <w:r w:rsidR="00811BA4" w:rsidRPr="007124CD">
        <w:rPr>
          <w:rFonts w:ascii="Times New Roman" w:hAnsi="Times New Roman" w:cs="Times New Roman"/>
          <w:bCs/>
          <w:i/>
          <w:iCs/>
          <w:sz w:val="24"/>
          <w:szCs w:val="24"/>
        </w:rPr>
        <w:t xml:space="preserve"> Trading (Pvt) Ltd</w:t>
      </w:r>
      <w:r w:rsidR="00811BA4" w:rsidRPr="00A96CF1">
        <w:rPr>
          <w:rFonts w:ascii="Times New Roman" w:hAnsi="Times New Roman" w:cs="Times New Roman"/>
          <w:bCs/>
          <w:i/>
          <w:iCs/>
          <w:sz w:val="24"/>
          <w:szCs w:val="24"/>
        </w:rPr>
        <w:t xml:space="preserve"> </w:t>
      </w:r>
      <w:r w:rsidR="00811BA4" w:rsidRPr="00A96CF1">
        <w:rPr>
          <w:rFonts w:ascii="Times New Roman" w:hAnsi="Times New Roman" w:cs="Times New Roman"/>
          <w:bCs/>
          <w:sz w:val="24"/>
          <w:szCs w:val="24"/>
        </w:rPr>
        <w:t>SC</w:t>
      </w:r>
      <w:r w:rsidR="007378A1">
        <w:rPr>
          <w:rFonts w:ascii="Times New Roman" w:hAnsi="Times New Roman" w:cs="Times New Roman"/>
          <w:bCs/>
          <w:sz w:val="24"/>
          <w:szCs w:val="24"/>
        </w:rPr>
        <w:t xml:space="preserve"> </w:t>
      </w:r>
      <w:r w:rsidR="00811BA4" w:rsidRPr="00A96CF1">
        <w:rPr>
          <w:rFonts w:ascii="Times New Roman" w:hAnsi="Times New Roman" w:cs="Times New Roman"/>
          <w:bCs/>
          <w:sz w:val="24"/>
          <w:szCs w:val="24"/>
        </w:rPr>
        <w:t>163/21 where a shortfall of one day in the notice period was ruled to amount to non-compliance with the requirements of the section.</w:t>
      </w:r>
      <w:r w:rsidR="00D4116C" w:rsidRPr="00A96CF1">
        <w:rPr>
          <w:rFonts w:ascii="Times New Roman" w:hAnsi="Times New Roman" w:cs="Times New Roman"/>
          <w:bCs/>
          <w:sz w:val="24"/>
          <w:szCs w:val="24"/>
        </w:rPr>
        <w:t xml:space="preserve"> </w:t>
      </w:r>
      <w:r w:rsidRPr="00A96CF1">
        <w:rPr>
          <w:rFonts w:ascii="Times New Roman" w:hAnsi="Times New Roman" w:cs="Times New Roman"/>
          <w:bCs/>
          <w:sz w:val="24"/>
          <w:szCs w:val="24"/>
        </w:rPr>
        <w:t xml:space="preserve"> </w:t>
      </w:r>
      <w:r w:rsidR="00811BA4" w:rsidRPr="00A96CF1">
        <w:rPr>
          <w:rFonts w:ascii="Times New Roman" w:hAnsi="Times New Roman" w:cs="Times New Roman"/>
          <w:bCs/>
          <w:sz w:val="24"/>
          <w:szCs w:val="24"/>
        </w:rPr>
        <w:t xml:space="preserve">He further submitted that the Act requires personal service on the purchaser and that </w:t>
      </w:r>
      <w:r w:rsidR="00811BA4" w:rsidRPr="007470D6">
        <w:rPr>
          <w:rFonts w:ascii="Times New Roman" w:hAnsi="Times New Roman" w:cs="Times New Roman"/>
          <w:bCs/>
          <w:iCs/>
          <w:sz w:val="24"/>
          <w:szCs w:val="24"/>
        </w:rPr>
        <w:t>in</w:t>
      </w:r>
      <w:r w:rsidR="00811BA4" w:rsidRPr="00A96CF1">
        <w:rPr>
          <w:rFonts w:ascii="Times New Roman" w:hAnsi="Times New Roman" w:cs="Times New Roman"/>
          <w:bCs/>
          <w:i/>
          <w:iCs/>
          <w:sz w:val="24"/>
          <w:szCs w:val="24"/>
        </w:rPr>
        <w:t xml:space="preserve"> </w:t>
      </w:r>
      <w:proofErr w:type="spellStart"/>
      <w:r w:rsidR="00811BA4" w:rsidRPr="00A96CF1">
        <w:rPr>
          <w:rFonts w:ascii="Times New Roman" w:hAnsi="Times New Roman" w:cs="Times New Roman"/>
          <w:bCs/>
          <w:i/>
          <w:iCs/>
          <w:sz w:val="24"/>
          <w:szCs w:val="24"/>
        </w:rPr>
        <w:t>casu</w:t>
      </w:r>
      <w:proofErr w:type="spellEnd"/>
      <w:r w:rsidR="00811BA4" w:rsidRPr="00A96CF1">
        <w:rPr>
          <w:rFonts w:ascii="Times New Roman" w:hAnsi="Times New Roman" w:cs="Times New Roman"/>
          <w:bCs/>
          <w:sz w:val="24"/>
          <w:szCs w:val="24"/>
        </w:rPr>
        <w:t xml:space="preserve">, there was no personal service on the appellant as the purchaser. The </w:t>
      </w:r>
      <w:r w:rsidRPr="00A96CF1">
        <w:rPr>
          <w:rFonts w:ascii="Times New Roman" w:hAnsi="Times New Roman" w:cs="Times New Roman"/>
          <w:bCs/>
          <w:sz w:val="24"/>
          <w:szCs w:val="24"/>
        </w:rPr>
        <w:t>appellant’s gardener was not a nominated person and service on him was therefore not in compliance with s 8 of the Act. He further submitted that s 40 of the Interpretation Act only becomes relevant and applicable where the provisions of an Act are not clear or the Act does not stipulate how service of document</w:t>
      </w:r>
      <w:r w:rsidR="00811BA4" w:rsidRPr="00A96CF1">
        <w:rPr>
          <w:rFonts w:ascii="Times New Roman" w:hAnsi="Times New Roman" w:cs="Times New Roman"/>
          <w:bCs/>
          <w:sz w:val="24"/>
          <w:szCs w:val="24"/>
        </w:rPr>
        <w:t>s</w:t>
      </w:r>
      <w:r w:rsidRPr="00A96CF1">
        <w:rPr>
          <w:rFonts w:ascii="Times New Roman" w:hAnsi="Times New Roman" w:cs="Times New Roman"/>
          <w:bCs/>
          <w:sz w:val="24"/>
          <w:szCs w:val="24"/>
        </w:rPr>
        <w:t xml:space="preserve"> is to be effected.</w:t>
      </w:r>
      <w:r w:rsidR="000E3994" w:rsidRPr="00A96CF1">
        <w:rPr>
          <w:rFonts w:ascii="Times New Roman" w:hAnsi="Times New Roman" w:cs="Times New Roman"/>
          <w:bCs/>
          <w:sz w:val="24"/>
          <w:szCs w:val="24"/>
        </w:rPr>
        <w:t xml:space="preserve"> S</w:t>
      </w:r>
      <w:r w:rsidR="007124CD">
        <w:rPr>
          <w:rFonts w:ascii="Times New Roman" w:hAnsi="Times New Roman" w:cs="Times New Roman"/>
          <w:bCs/>
          <w:sz w:val="24"/>
          <w:szCs w:val="24"/>
        </w:rPr>
        <w:t>ection</w:t>
      </w:r>
      <w:r w:rsidR="000E3994" w:rsidRPr="00A96CF1">
        <w:rPr>
          <w:rFonts w:ascii="Times New Roman" w:hAnsi="Times New Roman" w:cs="Times New Roman"/>
          <w:bCs/>
          <w:sz w:val="24"/>
          <w:szCs w:val="24"/>
        </w:rPr>
        <w:t xml:space="preserve"> 8 of the Contractual Penalties Act being clear in its provision, </w:t>
      </w:r>
      <w:r w:rsidR="00262BF3" w:rsidRPr="00A96CF1">
        <w:rPr>
          <w:rFonts w:ascii="Times New Roman" w:hAnsi="Times New Roman" w:cs="Times New Roman"/>
          <w:bCs/>
          <w:sz w:val="24"/>
          <w:szCs w:val="24"/>
        </w:rPr>
        <w:t xml:space="preserve">it follows that </w:t>
      </w:r>
      <w:r w:rsidR="000E3994" w:rsidRPr="00A96CF1">
        <w:rPr>
          <w:rFonts w:ascii="Times New Roman" w:hAnsi="Times New Roman" w:cs="Times New Roman"/>
          <w:bCs/>
          <w:sz w:val="24"/>
          <w:szCs w:val="24"/>
        </w:rPr>
        <w:t>s 40 of the Interpretation Act has no role to play.</w:t>
      </w:r>
    </w:p>
    <w:p w14:paraId="0F59D11B" w14:textId="77777777" w:rsidR="007124CD" w:rsidRDefault="007124CD" w:rsidP="007470D6">
      <w:pPr>
        <w:pStyle w:val="ListParagraph"/>
        <w:spacing w:line="480" w:lineRule="auto"/>
        <w:jc w:val="both"/>
        <w:rPr>
          <w:rFonts w:ascii="Times New Roman" w:hAnsi="Times New Roman" w:cs="Times New Roman"/>
          <w:bCs/>
          <w:sz w:val="24"/>
          <w:szCs w:val="24"/>
        </w:rPr>
      </w:pPr>
    </w:p>
    <w:p w14:paraId="43601B9F" w14:textId="34CA4A05" w:rsidR="006B1965" w:rsidRPr="00A96CF1" w:rsidRDefault="006B1965"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It was also contended by Mr </w:t>
      </w:r>
      <w:r w:rsidRPr="00A96CF1">
        <w:rPr>
          <w:rFonts w:ascii="Times New Roman" w:hAnsi="Times New Roman" w:cs="Times New Roman"/>
          <w:bCs/>
          <w:i/>
          <w:iCs/>
          <w:sz w:val="24"/>
          <w:szCs w:val="24"/>
        </w:rPr>
        <w:t>Nyoni</w:t>
      </w:r>
      <w:r w:rsidRPr="00A96CF1">
        <w:rPr>
          <w:rFonts w:ascii="Times New Roman" w:hAnsi="Times New Roman" w:cs="Times New Roman"/>
          <w:bCs/>
          <w:sz w:val="24"/>
          <w:szCs w:val="24"/>
        </w:rPr>
        <w:t xml:space="preserve"> that there was “</w:t>
      </w:r>
      <w:r w:rsidRPr="00A96CF1">
        <w:rPr>
          <w:rFonts w:ascii="Times New Roman" w:hAnsi="Times New Roman" w:cs="Times New Roman"/>
          <w:bCs/>
          <w:i/>
          <w:iCs/>
          <w:sz w:val="24"/>
          <w:szCs w:val="24"/>
        </w:rPr>
        <w:t>a serious dispute of fact</w:t>
      </w:r>
      <w:r w:rsidRPr="00A96CF1">
        <w:rPr>
          <w:rFonts w:ascii="Times New Roman" w:hAnsi="Times New Roman" w:cs="Times New Roman"/>
          <w:bCs/>
          <w:sz w:val="24"/>
          <w:szCs w:val="24"/>
        </w:rPr>
        <w:t xml:space="preserve">” in that the initial and the second agreements related to two different properties. Thus, the appellant purchased a different property from that purchased by the second respondent.  </w:t>
      </w:r>
    </w:p>
    <w:p w14:paraId="00EE8A6C" w14:textId="77777777" w:rsidR="00415E06" w:rsidRDefault="00443DD5" w:rsidP="007470D6">
      <w:pPr>
        <w:pStyle w:val="ListParagraph"/>
        <w:numPr>
          <w:ilvl w:val="0"/>
          <w:numId w:val="15"/>
        </w:numPr>
        <w:spacing w:line="480" w:lineRule="auto"/>
        <w:ind w:left="567" w:hanging="709"/>
        <w:jc w:val="both"/>
        <w:rPr>
          <w:rFonts w:ascii="Times New Roman" w:hAnsi="Times New Roman" w:cs="Times New Roman"/>
          <w:bCs/>
          <w:sz w:val="24"/>
          <w:szCs w:val="24"/>
        </w:rPr>
      </w:pPr>
      <w:r w:rsidRPr="00A96CF1">
        <w:rPr>
          <w:rFonts w:ascii="Times New Roman" w:hAnsi="Times New Roman" w:cs="Times New Roman"/>
          <w:bCs/>
          <w:sz w:val="24"/>
          <w:szCs w:val="24"/>
        </w:rPr>
        <w:lastRenderedPageBreak/>
        <w:t xml:space="preserve">Counsel conceded that the appellant did not make payments in accordance with the </w:t>
      </w:r>
      <w:r w:rsidR="00D25B59" w:rsidRPr="00A96CF1">
        <w:rPr>
          <w:rFonts w:ascii="Times New Roman" w:hAnsi="Times New Roman" w:cs="Times New Roman"/>
          <w:bCs/>
          <w:sz w:val="24"/>
          <w:szCs w:val="24"/>
        </w:rPr>
        <w:t>agreement of sale. To be specific, counsel’s response to the court’s question as to whether the appellant had paid in accordance with the agreement</w:t>
      </w:r>
      <w:r w:rsidR="00262BF3" w:rsidRPr="00A96CF1">
        <w:rPr>
          <w:rFonts w:ascii="Times New Roman" w:hAnsi="Times New Roman" w:cs="Times New Roman"/>
          <w:bCs/>
          <w:sz w:val="24"/>
          <w:szCs w:val="24"/>
        </w:rPr>
        <w:t>,</w:t>
      </w:r>
      <w:r w:rsidR="00D25B59" w:rsidRPr="00A96CF1">
        <w:rPr>
          <w:rFonts w:ascii="Times New Roman" w:hAnsi="Times New Roman" w:cs="Times New Roman"/>
          <w:bCs/>
          <w:sz w:val="24"/>
          <w:szCs w:val="24"/>
        </w:rPr>
        <w:t xml:space="preserve"> was “</w:t>
      </w:r>
      <w:r w:rsidR="00D25B59" w:rsidRPr="00A96CF1">
        <w:rPr>
          <w:rFonts w:ascii="Times New Roman" w:hAnsi="Times New Roman" w:cs="Times New Roman"/>
          <w:bCs/>
          <w:i/>
          <w:iCs/>
          <w:sz w:val="24"/>
          <w:szCs w:val="24"/>
        </w:rPr>
        <w:t xml:space="preserve">He defaulted. </w:t>
      </w:r>
      <w:r w:rsidR="00D25B59" w:rsidRPr="00A96CF1">
        <w:rPr>
          <w:rFonts w:ascii="Times New Roman" w:hAnsi="Times New Roman" w:cs="Times New Roman"/>
          <w:i/>
          <w:iCs/>
          <w:sz w:val="24"/>
          <w:szCs w:val="24"/>
        </w:rPr>
        <w:t>That is why he was given the notice</w:t>
      </w:r>
      <w:r w:rsidR="00D25B59" w:rsidRPr="00A96CF1">
        <w:rPr>
          <w:rFonts w:ascii="Times New Roman" w:hAnsi="Times New Roman" w:cs="Times New Roman"/>
          <w:bCs/>
          <w:i/>
          <w:iCs/>
          <w:sz w:val="24"/>
          <w:szCs w:val="24"/>
        </w:rPr>
        <w:t>, but subsequently he tendered the payment.</w:t>
      </w:r>
      <w:r w:rsidR="00D25B59" w:rsidRPr="00A96CF1">
        <w:rPr>
          <w:rFonts w:ascii="Times New Roman" w:hAnsi="Times New Roman" w:cs="Times New Roman"/>
          <w:bCs/>
          <w:sz w:val="24"/>
          <w:szCs w:val="24"/>
        </w:rPr>
        <w:t>”</w:t>
      </w:r>
    </w:p>
    <w:p w14:paraId="081FD12B" w14:textId="77777777" w:rsidR="00415E06" w:rsidRPr="00415E06" w:rsidRDefault="00415E06" w:rsidP="007470D6">
      <w:pPr>
        <w:pStyle w:val="ListParagraph"/>
        <w:spacing w:line="480" w:lineRule="auto"/>
        <w:rPr>
          <w:rFonts w:ascii="Times New Roman" w:hAnsi="Times New Roman" w:cs="Times New Roman"/>
          <w:bCs/>
          <w:sz w:val="24"/>
          <w:szCs w:val="24"/>
        </w:rPr>
      </w:pPr>
    </w:p>
    <w:p w14:paraId="77C6A5CA" w14:textId="2567191D" w:rsidR="00415E06" w:rsidRDefault="00415E06" w:rsidP="007470D6">
      <w:pPr>
        <w:pStyle w:val="ListParagraph"/>
        <w:numPr>
          <w:ilvl w:val="0"/>
          <w:numId w:val="15"/>
        </w:numPr>
        <w:spacing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 xml:space="preserve">Note may be taken at this juncture that </w:t>
      </w:r>
      <w:r w:rsidR="00284550" w:rsidRPr="00A96CF1">
        <w:rPr>
          <w:rFonts w:ascii="Times New Roman" w:hAnsi="Times New Roman" w:cs="Times New Roman"/>
          <w:sz w:val="24"/>
          <w:szCs w:val="24"/>
        </w:rPr>
        <w:t>the notice given to the appellant to remedy the breach was in August, 2015 and</w:t>
      </w:r>
      <w:r>
        <w:rPr>
          <w:rFonts w:ascii="Times New Roman" w:hAnsi="Times New Roman" w:cs="Times New Roman"/>
          <w:sz w:val="24"/>
          <w:szCs w:val="24"/>
        </w:rPr>
        <w:t xml:space="preserve"> that it</w:t>
      </w:r>
      <w:r w:rsidR="00284550" w:rsidRPr="00A96CF1">
        <w:rPr>
          <w:rFonts w:ascii="Times New Roman" w:hAnsi="Times New Roman" w:cs="Times New Roman"/>
          <w:sz w:val="24"/>
          <w:szCs w:val="24"/>
        </w:rPr>
        <w:t xml:space="preserve"> afforded him 30 days to do so.</w:t>
      </w:r>
      <w:r w:rsidR="00284550" w:rsidRPr="00A96CF1">
        <w:rPr>
          <w:rFonts w:ascii="Times New Roman" w:hAnsi="Times New Roman" w:cs="Times New Roman"/>
          <w:bCs/>
          <w:sz w:val="24"/>
          <w:szCs w:val="24"/>
        </w:rPr>
        <w:t xml:space="preserve"> </w:t>
      </w:r>
      <w:r w:rsidR="00D25B59" w:rsidRPr="00A96CF1">
        <w:rPr>
          <w:rFonts w:ascii="Times New Roman" w:hAnsi="Times New Roman" w:cs="Times New Roman"/>
          <w:bCs/>
          <w:sz w:val="24"/>
          <w:szCs w:val="24"/>
        </w:rPr>
        <w:t xml:space="preserve"> </w:t>
      </w:r>
    </w:p>
    <w:p w14:paraId="2FE29848" w14:textId="77777777" w:rsidR="00415E06" w:rsidRPr="00415E06" w:rsidRDefault="00415E06" w:rsidP="007470D6">
      <w:pPr>
        <w:pStyle w:val="ListParagraph"/>
        <w:spacing w:line="480" w:lineRule="auto"/>
        <w:rPr>
          <w:rFonts w:ascii="Times New Roman" w:hAnsi="Times New Roman" w:cs="Times New Roman"/>
          <w:bCs/>
          <w:sz w:val="24"/>
          <w:szCs w:val="24"/>
        </w:rPr>
      </w:pPr>
    </w:p>
    <w:p w14:paraId="4D3B479E" w14:textId="73B44F80" w:rsidR="00443DD5" w:rsidRPr="00A96CF1" w:rsidRDefault="00D25B59"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Counsel also conceded that the appellant did not rectify the breach within the given period. He further</w:t>
      </w:r>
      <w:r w:rsidR="00353CC0" w:rsidRPr="00A96CF1">
        <w:rPr>
          <w:rFonts w:ascii="Times New Roman" w:hAnsi="Times New Roman" w:cs="Times New Roman"/>
          <w:bCs/>
          <w:sz w:val="24"/>
          <w:szCs w:val="24"/>
        </w:rPr>
        <w:t xml:space="preserve"> confirmed that the appellant had subsequently received the summons issued by the first respondent for the confirmation of the cancellation of the agreement of sale and for his eviction. When asked whether the appellant had “reacted” to the summons, counsel made reference to the payment</w:t>
      </w:r>
      <w:r w:rsidR="00D4696D" w:rsidRPr="00A96CF1">
        <w:rPr>
          <w:rFonts w:ascii="Times New Roman" w:hAnsi="Times New Roman" w:cs="Times New Roman"/>
          <w:bCs/>
          <w:sz w:val="24"/>
          <w:szCs w:val="24"/>
        </w:rPr>
        <w:t xml:space="preserve"> of the outstanding balance</w:t>
      </w:r>
      <w:r w:rsidR="00353CC0" w:rsidRPr="00A96CF1">
        <w:rPr>
          <w:rFonts w:ascii="Times New Roman" w:hAnsi="Times New Roman" w:cs="Times New Roman"/>
          <w:bCs/>
          <w:sz w:val="24"/>
          <w:szCs w:val="24"/>
        </w:rPr>
        <w:t xml:space="preserve"> that the appellant purported to make in 2018</w:t>
      </w:r>
      <w:r w:rsidR="00C525DF" w:rsidRPr="00A96CF1">
        <w:rPr>
          <w:rFonts w:ascii="Times New Roman" w:hAnsi="Times New Roman" w:cs="Times New Roman"/>
          <w:bCs/>
          <w:sz w:val="24"/>
          <w:szCs w:val="24"/>
        </w:rPr>
        <w:t xml:space="preserve"> and stated that the said payment was rejected</w:t>
      </w:r>
      <w:r w:rsidR="00353CC0" w:rsidRPr="00A96CF1">
        <w:rPr>
          <w:rFonts w:ascii="Times New Roman" w:hAnsi="Times New Roman" w:cs="Times New Roman"/>
          <w:bCs/>
          <w:sz w:val="24"/>
          <w:szCs w:val="24"/>
        </w:rPr>
        <w:t>.</w:t>
      </w:r>
      <w:r w:rsidR="00284550" w:rsidRPr="00A96CF1">
        <w:rPr>
          <w:rFonts w:ascii="Times New Roman" w:hAnsi="Times New Roman" w:cs="Times New Roman"/>
          <w:bCs/>
          <w:sz w:val="24"/>
          <w:szCs w:val="24"/>
        </w:rPr>
        <w:t xml:space="preserve"> </w:t>
      </w:r>
      <w:r w:rsidR="00415E06">
        <w:rPr>
          <w:rFonts w:ascii="Times New Roman" w:hAnsi="Times New Roman" w:cs="Times New Roman"/>
          <w:bCs/>
          <w:sz w:val="24"/>
          <w:szCs w:val="24"/>
        </w:rPr>
        <w:t>Notably, t</w:t>
      </w:r>
      <w:r w:rsidR="00284550" w:rsidRPr="00A96CF1">
        <w:rPr>
          <w:rFonts w:ascii="Times New Roman" w:hAnsi="Times New Roman" w:cs="Times New Roman"/>
          <w:sz w:val="24"/>
          <w:szCs w:val="24"/>
        </w:rPr>
        <w:t>he summons was issued on 16 February, 2017 while the purported payment was made in December of 2018</w:t>
      </w:r>
      <w:r w:rsidR="00EB67EE" w:rsidRPr="00A96CF1">
        <w:rPr>
          <w:rFonts w:ascii="Times New Roman" w:hAnsi="Times New Roman" w:cs="Times New Roman"/>
          <w:b/>
          <w:sz w:val="24"/>
          <w:szCs w:val="24"/>
        </w:rPr>
        <w:t>.</w:t>
      </w:r>
    </w:p>
    <w:p w14:paraId="360B28F0" w14:textId="77777777" w:rsidR="004E6681" w:rsidRDefault="004E6681" w:rsidP="007470D6">
      <w:pPr>
        <w:pStyle w:val="ListParagraph"/>
        <w:spacing w:line="480" w:lineRule="auto"/>
        <w:jc w:val="both"/>
        <w:rPr>
          <w:rFonts w:ascii="Times New Roman" w:hAnsi="Times New Roman" w:cs="Times New Roman"/>
          <w:bCs/>
          <w:sz w:val="24"/>
          <w:szCs w:val="24"/>
        </w:rPr>
      </w:pPr>
    </w:p>
    <w:p w14:paraId="135BC2A6" w14:textId="071B739A" w:rsidR="004F21C7" w:rsidRPr="00A96CF1" w:rsidRDefault="0050508F" w:rsidP="007470D6">
      <w:pPr>
        <w:pStyle w:val="ListParagraph"/>
        <w:numPr>
          <w:ilvl w:val="0"/>
          <w:numId w:val="15"/>
        </w:numPr>
        <w:spacing w:after="0"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It was also counsel’s submission that the reflected</w:t>
      </w:r>
      <w:r w:rsidR="00262BF3" w:rsidRPr="00A96CF1">
        <w:rPr>
          <w:rFonts w:ascii="Times New Roman" w:hAnsi="Times New Roman" w:cs="Times New Roman"/>
          <w:bCs/>
          <w:sz w:val="24"/>
          <w:szCs w:val="24"/>
        </w:rPr>
        <w:t xml:space="preserve"> or implicit</w:t>
      </w:r>
      <w:r w:rsidRPr="00A96CF1">
        <w:rPr>
          <w:rFonts w:ascii="Times New Roman" w:hAnsi="Times New Roman" w:cs="Times New Roman"/>
          <w:bCs/>
          <w:sz w:val="24"/>
          <w:szCs w:val="24"/>
        </w:rPr>
        <w:t xml:space="preserve"> </w:t>
      </w:r>
      <w:r w:rsidR="004F21C7" w:rsidRPr="00A96CF1">
        <w:rPr>
          <w:rFonts w:ascii="Times New Roman" w:hAnsi="Times New Roman" w:cs="Times New Roman"/>
          <w:bCs/>
          <w:sz w:val="24"/>
          <w:szCs w:val="24"/>
        </w:rPr>
        <w:t>position</w:t>
      </w:r>
      <w:r w:rsidRPr="00A96CF1">
        <w:rPr>
          <w:rFonts w:ascii="Times New Roman" w:hAnsi="Times New Roman" w:cs="Times New Roman"/>
          <w:bCs/>
          <w:sz w:val="24"/>
          <w:szCs w:val="24"/>
        </w:rPr>
        <w:t xml:space="preserve"> in the statement of agreed facts that the property the subject matter of the initial agreement was the same property sold in the second agreement, was </w:t>
      </w:r>
      <w:r w:rsidR="004F21C7" w:rsidRPr="00A96CF1">
        <w:rPr>
          <w:rFonts w:ascii="Times New Roman" w:hAnsi="Times New Roman" w:cs="Times New Roman"/>
          <w:bCs/>
          <w:sz w:val="24"/>
          <w:szCs w:val="24"/>
        </w:rPr>
        <w:t>agreed to</w:t>
      </w:r>
      <w:r w:rsidRPr="00A96CF1">
        <w:rPr>
          <w:rFonts w:ascii="Times New Roman" w:hAnsi="Times New Roman" w:cs="Times New Roman"/>
          <w:bCs/>
          <w:sz w:val="24"/>
          <w:szCs w:val="24"/>
        </w:rPr>
        <w:t xml:space="preserve"> by mistake</w:t>
      </w:r>
      <w:r w:rsidR="00C525DF" w:rsidRPr="00A96CF1">
        <w:rPr>
          <w:rFonts w:ascii="Times New Roman" w:hAnsi="Times New Roman" w:cs="Times New Roman"/>
          <w:bCs/>
          <w:sz w:val="24"/>
          <w:szCs w:val="24"/>
        </w:rPr>
        <w:t xml:space="preserve"> on the appellant’s part</w:t>
      </w:r>
      <w:r w:rsidRPr="00A96CF1">
        <w:rPr>
          <w:rFonts w:ascii="Times New Roman" w:hAnsi="Times New Roman" w:cs="Times New Roman"/>
          <w:bCs/>
          <w:sz w:val="24"/>
          <w:szCs w:val="24"/>
        </w:rPr>
        <w:t xml:space="preserve"> because the two agreements related to two different properties. </w:t>
      </w:r>
      <w:r w:rsidR="004F21C7" w:rsidRPr="00A96CF1">
        <w:rPr>
          <w:rFonts w:ascii="Times New Roman" w:hAnsi="Times New Roman" w:cs="Times New Roman"/>
          <w:bCs/>
          <w:sz w:val="24"/>
          <w:szCs w:val="24"/>
        </w:rPr>
        <w:t xml:space="preserve">He submitted that the issue of the two agreements relating to two different properties was brought to the attention of the court </w:t>
      </w:r>
      <w:r w:rsidR="004F21C7" w:rsidRPr="00A96CF1">
        <w:rPr>
          <w:rFonts w:ascii="Times New Roman" w:hAnsi="Times New Roman" w:cs="Times New Roman"/>
          <w:bCs/>
          <w:i/>
          <w:iCs/>
          <w:sz w:val="24"/>
          <w:szCs w:val="24"/>
        </w:rPr>
        <w:t>a quo</w:t>
      </w:r>
      <w:r w:rsidR="004F21C7" w:rsidRPr="00A96CF1">
        <w:rPr>
          <w:rFonts w:ascii="Times New Roman" w:hAnsi="Times New Roman" w:cs="Times New Roman"/>
          <w:bCs/>
          <w:sz w:val="24"/>
          <w:szCs w:val="24"/>
        </w:rPr>
        <w:t xml:space="preserve"> which ought to have asked for an explanation why it was being asked to </w:t>
      </w:r>
      <w:r w:rsidR="00DE076B" w:rsidRPr="00A96CF1">
        <w:rPr>
          <w:rFonts w:ascii="Times New Roman" w:hAnsi="Times New Roman" w:cs="Times New Roman"/>
          <w:bCs/>
          <w:sz w:val="24"/>
          <w:szCs w:val="24"/>
        </w:rPr>
        <w:t>award</w:t>
      </w:r>
      <w:r w:rsidR="004F21C7" w:rsidRPr="00A96CF1">
        <w:rPr>
          <w:rFonts w:ascii="Times New Roman" w:hAnsi="Times New Roman" w:cs="Times New Roman"/>
          <w:bCs/>
          <w:sz w:val="24"/>
          <w:szCs w:val="24"/>
        </w:rPr>
        <w:t xml:space="preserve"> to the second </w:t>
      </w:r>
      <w:r w:rsidR="00DE076B" w:rsidRPr="00A96CF1">
        <w:rPr>
          <w:rFonts w:ascii="Times New Roman" w:hAnsi="Times New Roman" w:cs="Times New Roman"/>
          <w:bCs/>
          <w:sz w:val="24"/>
          <w:szCs w:val="24"/>
        </w:rPr>
        <w:t>r</w:t>
      </w:r>
      <w:r w:rsidR="004F21C7" w:rsidRPr="00A96CF1">
        <w:rPr>
          <w:rFonts w:ascii="Times New Roman" w:hAnsi="Times New Roman" w:cs="Times New Roman"/>
          <w:bCs/>
          <w:sz w:val="24"/>
          <w:szCs w:val="24"/>
        </w:rPr>
        <w:t xml:space="preserve">espondent property that had been bought by the </w:t>
      </w:r>
      <w:r w:rsidR="004F21C7" w:rsidRPr="00A96CF1">
        <w:rPr>
          <w:rFonts w:ascii="Times New Roman" w:hAnsi="Times New Roman" w:cs="Times New Roman"/>
          <w:bCs/>
          <w:sz w:val="24"/>
          <w:szCs w:val="24"/>
        </w:rPr>
        <w:lastRenderedPageBreak/>
        <w:t>appellant.</w:t>
      </w:r>
      <w:r w:rsidR="007C3449" w:rsidRPr="00A96CF1">
        <w:rPr>
          <w:rFonts w:ascii="Times New Roman" w:hAnsi="Times New Roman" w:cs="Times New Roman"/>
          <w:bCs/>
          <w:sz w:val="24"/>
          <w:szCs w:val="24"/>
        </w:rPr>
        <w:t xml:space="preserve"> He submitted that the court </w:t>
      </w:r>
      <w:r w:rsidR="007C3449" w:rsidRPr="00A96CF1">
        <w:rPr>
          <w:rFonts w:ascii="Times New Roman" w:hAnsi="Times New Roman" w:cs="Times New Roman"/>
          <w:bCs/>
          <w:i/>
          <w:iCs/>
          <w:sz w:val="24"/>
          <w:szCs w:val="24"/>
        </w:rPr>
        <w:t>a quo</w:t>
      </w:r>
      <w:r w:rsidR="007C3449" w:rsidRPr="00A96CF1">
        <w:rPr>
          <w:rFonts w:ascii="Times New Roman" w:hAnsi="Times New Roman" w:cs="Times New Roman"/>
          <w:bCs/>
          <w:sz w:val="24"/>
          <w:szCs w:val="24"/>
        </w:rPr>
        <w:t xml:space="preserve"> ought to have advised that the matter should go to trial.</w:t>
      </w:r>
    </w:p>
    <w:p w14:paraId="1BD23255" w14:textId="77777777" w:rsidR="004E6681" w:rsidRDefault="004E6681" w:rsidP="007470D6">
      <w:pPr>
        <w:spacing w:after="0" w:line="480" w:lineRule="auto"/>
        <w:jc w:val="both"/>
        <w:rPr>
          <w:rFonts w:ascii="Times New Roman" w:hAnsi="Times New Roman" w:cs="Times New Roman"/>
          <w:bCs/>
          <w:sz w:val="24"/>
          <w:szCs w:val="24"/>
          <w:u w:val="single"/>
        </w:rPr>
      </w:pPr>
    </w:p>
    <w:p w14:paraId="62AB9B1F" w14:textId="5768EC90" w:rsidR="00A504D6" w:rsidRPr="00832224" w:rsidRDefault="00A504D6" w:rsidP="007470D6">
      <w:pPr>
        <w:spacing w:after="0" w:line="480" w:lineRule="auto"/>
        <w:jc w:val="both"/>
        <w:rPr>
          <w:rFonts w:ascii="Times New Roman" w:hAnsi="Times New Roman" w:cs="Times New Roman"/>
          <w:b/>
          <w:bCs/>
          <w:sz w:val="24"/>
          <w:szCs w:val="24"/>
        </w:rPr>
      </w:pPr>
      <w:r w:rsidRPr="00832224">
        <w:rPr>
          <w:rFonts w:ascii="Times New Roman" w:hAnsi="Times New Roman" w:cs="Times New Roman"/>
          <w:b/>
          <w:bCs/>
          <w:sz w:val="24"/>
          <w:szCs w:val="24"/>
        </w:rPr>
        <w:t>First</w:t>
      </w:r>
      <w:r w:rsidR="007E1643" w:rsidRPr="00832224">
        <w:rPr>
          <w:rFonts w:ascii="Times New Roman" w:hAnsi="Times New Roman" w:cs="Times New Roman"/>
          <w:b/>
          <w:bCs/>
          <w:sz w:val="24"/>
          <w:szCs w:val="24"/>
        </w:rPr>
        <w:t xml:space="preserve"> Respondent’s Submissions:</w:t>
      </w:r>
    </w:p>
    <w:p w14:paraId="2F93DA28" w14:textId="25C89613" w:rsidR="003D69EA" w:rsidRPr="00A96CF1" w:rsidRDefault="001D6FEF"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For the first respondent, </w:t>
      </w:r>
      <w:r w:rsidR="004F21C7" w:rsidRPr="00A96CF1">
        <w:rPr>
          <w:rFonts w:ascii="Times New Roman" w:hAnsi="Times New Roman" w:cs="Times New Roman"/>
          <w:bCs/>
          <w:sz w:val="24"/>
          <w:szCs w:val="24"/>
        </w:rPr>
        <w:t xml:space="preserve">Mr </w:t>
      </w:r>
      <w:r w:rsidR="004F21C7" w:rsidRPr="00A96CF1">
        <w:rPr>
          <w:rFonts w:ascii="Times New Roman" w:hAnsi="Times New Roman" w:cs="Times New Roman"/>
          <w:bCs/>
          <w:i/>
          <w:iCs/>
          <w:sz w:val="24"/>
          <w:szCs w:val="24"/>
        </w:rPr>
        <w:t>Siziba</w:t>
      </w:r>
      <w:r w:rsidR="004F21C7" w:rsidRPr="00A96CF1">
        <w:rPr>
          <w:rFonts w:ascii="Times New Roman" w:hAnsi="Times New Roman" w:cs="Times New Roman"/>
          <w:bCs/>
          <w:sz w:val="24"/>
          <w:szCs w:val="24"/>
        </w:rPr>
        <w:t>, submitted that</w:t>
      </w:r>
      <w:r w:rsidRPr="00A96CF1">
        <w:rPr>
          <w:rFonts w:ascii="Times New Roman" w:hAnsi="Times New Roman" w:cs="Times New Roman"/>
          <w:bCs/>
          <w:sz w:val="24"/>
          <w:szCs w:val="24"/>
        </w:rPr>
        <w:t xml:space="preserve"> </w:t>
      </w:r>
      <w:r w:rsidR="009438B3" w:rsidRPr="00A96CF1">
        <w:rPr>
          <w:rFonts w:ascii="Times New Roman" w:hAnsi="Times New Roman" w:cs="Times New Roman"/>
          <w:bCs/>
          <w:sz w:val="24"/>
          <w:szCs w:val="24"/>
        </w:rPr>
        <w:t>s 8 of the Act should not be read to be doing away with the provisions of s 40 of the Interpretation Act</w:t>
      </w:r>
      <w:r w:rsidR="004954F5" w:rsidRPr="00A96CF1">
        <w:rPr>
          <w:rFonts w:ascii="Times New Roman" w:hAnsi="Times New Roman" w:cs="Times New Roman"/>
          <w:bCs/>
          <w:sz w:val="24"/>
          <w:szCs w:val="24"/>
        </w:rPr>
        <w:t xml:space="preserve">. </w:t>
      </w:r>
      <w:r w:rsidR="0081664B">
        <w:rPr>
          <w:rFonts w:ascii="Times New Roman" w:hAnsi="Times New Roman" w:cs="Times New Roman"/>
          <w:bCs/>
          <w:sz w:val="24"/>
          <w:szCs w:val="24"/>
        </w:rPr>
        <w:t xml:space="preserve"> </w:t>
      </w:r>
      <w:r w:rsidR="004954F5" w:rsidRPr="00A96CF1">
        <w:rPr>
          <w:rFonts w:ascii="Times New Roman" w:hAnsi="Times New Roman" w:cs="Times New Roman"/>
          <w:bCs/>
          <w:sz w:val="24"/>
          <w:szCs w:val="24"/>
        </w:rPr>
        <w:t>He submitted that this was so because s 8</w:t>
      </w:r>
      <w:r w:rsidR="006A086A">
        <w:rPr>
          <w:rFonts w:ascii="Times New Roman" w:hAnsi="Times New Roman" w:cs="Times New Roman"/>
          <w:bCs/>
          <w:sz w:val="24"/>
          <w:szCs w:val="24"/>
        </w:rPr>
        <w:t xml:space="preserve"> </w:t>
      </w:r>
      <w:r w:rsidR="004954F5" w:rsidRPr="00A96CF1">
        <w:rPr>
          <w:rFonts w:ascii="Times New Roman" w:hAnsi="Times New Roman" w:cs="Times New Roman"/>
          <w:bCs/>
          <w:sz w:val="24"/>
          <w:szCs w:val="24"/>
        </w:rPr>
        <w:t>(3)</w:t>
      </w:r>
      <w:r w:rsidR="00F14724" w:rsidRPr="00A96CF1">
        <w:rPr>
          <w:rFonts w:ascii="Times New Roman" w:hAnsi="Times New Roman" w:cs="Times New Roman"/>
          <w:bCs/>
          <w:sz w:val="24"/>
          <w:szCs w:val="24"/>
        </w:rPr>
        <w:t xml:space="preserve"> states clearly that it is “</w:t>
      </w:r>
      <w:r w:rsidR="004E6681">
        <w:rPr>
          <w:rFonts w:ascii="Times New Roman" w:hAnsi="Times New Roman" w:cs="Times New Roman"/>
          <w:bCs/>
          <w:sz w:val="24"/>
          <w:szCs w:val="24"/>
        </w:rPr>
        <w:t>without derog</w:t>
      </w:r>
      <w:r w:rsidR="007470D6">
        <w:rPr>
          <w:rFonts w:ascii="Times New Roman" w:hAnsi="Times New Roman" w:cs="Times New Roman"/>
          <w:bCs/>
          <w:sz w:val="24"/>
          <w:szCs w:val="24"/>
        </w:rPr>
        <w:t xml:space="preserve">ation from </w:t>
      </w:r>
      <w:r w:rsidR="004E6681">
        <w:rPr>
          <w:rFonts w:ascii="Times New Roman" w:hAnsi="Times New Roman" w:cs="Times New Roman"/>
          <w:bCs/>
          <w:sz w:val="24"/>
          <w:szCs w:val="24"/>
        </w:rPr>
        <w:t>s</w:t>
      </w:r>
      <w:r w:rsidR="00F14724" w:rsidRPr="00A96CF1">
        <w:rPr>
          <w:rFonts w:ascii="Times New Roman" w:hAnsi="Times New Roman" w:cs="Times New Roman"/>
          <w:bCs/>
          <w:sz w:val="24"/>
          <w:szCs w:val="24"/>
        </w:rPr>
        <w:t xml:space="preserve"> 40…” and specifically</w:t>
      </w:r>
      <w:r w:rsidR="004954F5" w:rsidRPr="00A96CF1">
        <w:rPr>
          <w:rFonts w:ascii="Times New Roman" w:hAnsi="Times New Roman" w:cs="Times New Roman"/>
          <w:bCs/>
          <w:sz w:val="24"/>
          <w:szCs w:val="24"/>
        </w:rPr>
        <w:t xml:space="preserve"> provides</w:t>
      </w:r>
      <w:r w:rsidR="003D69EA" w:rsidRPr="00A96CF1">
        <w:rPr>
          <w:rFonts w:ascii="Times New Roman" w:hAnsi="Times New Roman" w:cs="Times New Roman"/>
          <w:bCs/>
          <w:sz w:val="24"/>
          <w:szCs w:val="24"/>
        </w:rPr>
        <w:t xml:space="preserve"> as follows:</w:t>
      </w:r>
    </w:p>
    <w:p w14:paraId="16CC4BB0" w14:textId="69A1E4CA" w:rsidR="008149E9" w:rsidRPr="00A96CF1" w:rsidRDefault="004E6681" w:rsidP="007470D6">
      <w:pPr>
        <w:pStyle w:val="ListParagraph"/>
        <w:spacing w:line="240" w:lineRule="auto"/>
        <w:ind w:left="1276" w:hanging="142"/>
        <w:jc w:val="both"/>
        <w:rPr>
          <w:rFonts w:ascii="Times New Roman" w:hAnsi="Times New Roman" w:cs="Times New Roman"/>
          <w:bCs/>
          <w:sz w:val="24"/>
          <w:szCs w:val="24"/>
        </w:rPr>
      </w:pPr>
      <w:r>
        <w:rPr>
          <w:rFonts w:ascii="Times New Roman" w:hAnsi="Times New Roman" w:cs="Times New Roman"/>
          <w:bCs/>
          <w:sz w:val="24"/>
          <w:szCs w:val="24"/>
        </w:rPr>
        <w:t>“Without derogation from s</w:t>
      </w:r>
      <w:r w:rsidR="003D69EA" w:rsidRPr="00A96CF1">
        <w:rPr>
          <w:rFonts w:ascii="Times New Roman" w:hAnsi="Times New Roman" w:cs="Times New Roman"/>
          <w:bCs/>
          <w:sz w:val="24"/>
          <w:szCs w:val="24"/>
        </w:rPr>
        <w:t xml:space="preserve"> 40 of the Interpretation Act [</w:t>
      </w:r>
      <w:r w:rsidR="003D69EA" w:rsidRPr="00A96CF1">
        <w:rPr>
          <w:rFonts w:ascii="Times New Roman" w:hAnsi="Times New Roman" w:cs="Times New Roman"/>
          <w:bCs/>
          <w:i/>
          <w:iCs/>
          <w:sz w:val="24"/>
          <w:szCs w:val="24"/>
        </w:rPr>
        <w:t>Chapter 1:1</w:t>
      </w:r>
      <w:r w:rsidR="003D69EA" w:rsidRPr="00A96CF1">
        <w:rPr>
          <w:rFonts w:ascii="Times New Roman" w:hAnsi="Times New Roman" w:cs="Times New Roman"/>
          <w:bCs/>
          <w:sz w:val="24"/>
          <w:szCs w:val="24"/>
        </w:rPr>
        <w:t xml:space="preserve">], a notice shall be regarded as </w:t>
      </w:r>
      <w:r w:rsidR="008149E9" w:rsidRPr="00A96CF1">
        <w:rPr>
          <w:rFonts w:ascii="Times New Roman" w:hAnsi="Times New Roman" w:cs="Times New Roman"/>
          <w:bCs/>
          <w:sz w:val="24"/>
          <w:szCs w:val="24"/>
        </w:rPr>
        <w:t>having been duly given to the purchaser for the purposes of subsection (1)-</w:t>
      </w:r>
    </w:p>
    <w:p w14:paraId="08FA8CA4" w14:textId="77777777" w:rsidR="008149E9" w:rsidRPr="00A96CF1" w:rsidRDefault="008149E9" w:rsidP="007470D6">
      <w:pPr>
        <w:pStyle w:val="ListParagraph"/>
        <w:numPr>
          <w:ilvl w:val="0"/>
          <w:numId w:val="22"/>
        </w:numPr>
        <w:spacing w:line="240" w:lineRule="auto"/>
        <w:jc w:val="both"/>
        <w:rPr>
          <w:rFonts w:ascii="Times New Roman" w:hAnsi="Times New Roman" w:cs="Times New Roman"/>
          <w:bCs/>
          <w:sz w:val="24"/>
          <w:szCs w:val="24"/>
        </w:rPr>
      </w:pPr>
      <w:r w:rsidRPr="00A96CF1">
        <w:rPr>
          <w:rFonts w:ascii="Times New Roman" w:hAnsi="Times New Roman" w:cs="Times New Roman"/>
          <w:bCs/>
          <w:sz w:val="24"/>
          <w:szCs w:val="24"/>
        </w:rPr>
        <w:t>if it has been delivered to the purchaser personally or to an agent chosen by the purchaser for the purpose of receiving such notices; or</w:t>
      </w:r>
    </w:p>
    <w:p w14:paraId="2C4FC81C" w14:textId="56D436F3" w:rsidR="006434E1" w:rsidRPr="00A96CF1" w:rsidRDefault="008149E9" w:rsidP="007470D6">
      <w:pPr>
        <w:pStyle w:val="ListParagraph"/>
        <w:numPr>
          <w:ilvl w:val="0"/>
          <w:numId w:val="22"/>
        </w:numPr>
        <w:spacing w:after="0" w:line="240" w:lineRule="auto"/>
        <w:jc w:val="both"/>
        <w:rPr>
          <w:rFonts w:ascii="Times New Roman" w:hAnsi="Times New Roman" w:cs="Times New Roman"/>
          <w:bCs/>
          <w:sz w:val="24"/>
          <w:szCs w:val="24"/>
        </w:rPr>
      </w:pPr>
      <w:r w:rsidRPr="00A96CF1">
        <w:rPr>
          <w:rFonts w:ascii="Times New Roman" w:hAnsi="Times New Roman" w:cs="Times New Roman"/>
          <w:bCs/>
          <w:sz w:val="24"/>
          <w:szCs w:val="24"/>
        </w:rPr>
        <w:t>if it has been posted by registered post to the address chosen by the purchaser</w:t>
      </w:r>
      <w:r w:rsidR="00D07BDD" w:rsidRPr="00A96CF1">
        <w:rPr>
          <w:rFonts w:ascii="Times New Roman" w:hAnsi="Times New Roman" w:cs="Times New Roman"/>
          <w:bCs/>
          <w:sz w:val="24"/>
          <w:szCs w:val="24"/>
        </w:rPr>
        <w:t xml:space="preserve"> for the delivery of correspondence or legal documents relating to</w:t>
      </w:r>
      <w:r w:rsidR="006434E1" w:rsidRPr="00A96CF1">
        <w:rPr>
          <w:rFonts w:ascii="Times New Roman" w:hAnsi="Times New Roman" w:cs="Times New Roman"/>
          <w:bCs/>
          <w:sz w:val="24"/>
          <w:szCs w:val="24"/>
        </w:rPr>
        <w:t xml:space="preserve"> the instalment sale of land concerned or, in the absence thereof, to the purchaser’s usual or last known place of residence or business.</w:t>
      </w:r>
      <w:r w:rsidR="007B5DB5">
        <w:rPr>
          <w:rFonts w:ascii="Times New Roman" w:hAnsi="Times New Roman" w:cs="Times New Roman"/>
          <w:bCs/>
          <w:sz w:val="24"/>
          <w:szCs w:val="24"/>
        </w:rPr>
        <w:t>”</w:t>
      </w:r>
    </w:p>
    <w:p w14:paraId="02D2FC4B" w14:textId="77777777" w:rsidR="004E6681" w:rsidRPr="007470D6" w:rsidRDefault="004E6681" w:rsidP="007470D6">
      <w:pPr>
        <w:spacing w:after="0" w:line="480" w:lineRule="auto"/>
        <w:jc w:val="both"/>
        <w:rPr>
          <w:rFonts w:ascii="Times New Roman" w:hAnsi="Times New Roman" w:cs="Times New Roman"/>
          <w:bCs/>
          <w:sz w:val="24"/>
          <w:szCs w:val="24"/>
        </w:rPr>
      </w:pPr>
    </w:p>
    <w:p w14:paraId="7900D157" w14:textId="7A3428E3" w:rsidR="0050508F" w:rsidRPr="00A96CF1" w:rsidRDefault="007314A3"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Mr </w:t>
      </w:r>
      <w:r w:rsidRPr="00A96CF1">
        <w:rPr>
          <w:rFonts w:ascii="Times New Roman" w:hAnsi="Times New Roman" w:cs="Times New Roman"/>
          <w:bCs/>
          <w:i/>
          <w:iCs/>
          <w:sz w:val="24"/>
          <w:szCs w:val="24"/>
        </w:rPr>
        <w:t>Siziba</w:t>
      </w:r>
      <w:r w:rsidRPr="00A96CF1">
        <w:rPr>
          <w:rFonts w:ascii="Times New Roman" w:hAnsi="Times New Roman" w:cs="Times New Roman"/>
          <w:bCs/>
          <w:sz w:val="24"/>
          <w:szCs w:val="24"/>
        </w:rPr>
        <w:t xml:space="preserve"> submitted that</w:t>
      </w:r>
      <w:r w:rsidR="003E5E9C" w:rsidRPr="00A96CF1">
        <w:rPr>
          <w:rFonts w:ascii="Times New Roman" w:hAnsi="Times New Roman" w:cs="Times New Roman"/>
          <w:bCs/>
          <w:sz w:val="24"/>
          <w:szCs w:val="24"/>
        </w:rPr>
        <w:t xml:space="preserve"> the </w:t>
      </w:r>
      <w:proofErr w:type="spellStart"/>
      <w:r w:rsidR="003E5E9C" w:rsidRPr="00A96CF1">
        <w:rPr>
          <w:rFonts w:ascii="Times New Roman" w:hAnsi="Times New Roman" w:cs="Times New Roman"/>
          <w:bCs/>
          <w:i/>
          <w:iCs/>
          <w:sz w:val="24"/>
          <w:szCs w:val="24"/>
        </w:rPr>
        <w:t>Washaya</w:t>
      </w:r>
      <w:proofErr w:type="spellEnd"/>
      <w:r w:rsidR="003E5E9C" w:rsidRPr="00A96CF1">
        <w:rPr>
          <w:rFonts w:ascii="Times New Roman" w:hAnsi="Times New Roman" w:cs="Times New Roman"/>
          <w:bCs/>
          <w:i/>
          <w:iCs/>
          <w:sz w:val="24"/>
          <w:szCs w:val="24"/>
        </w:rPr>
        <w:t xml:space="preserve"> </w:t>
      </w:r>
      <w:r w:rsidR="003E5E9C" w:rsidRPr="00A96CF1">
        <w:rPr>
          <w:rFonts w:ascii="Times New Roman" w:hAnsi="Times New Roman" w:cs="Times New Roman"/>
          <w:bCs/>
          <w:sz w:val="24"/>
          <w:szCs w:val="24"/>
        </w:rPr>
        <w:t>case (</w:t>
      </w:r>
      <w:r w:rsidR="003E5E9C" w:rsidRPr="00A96CF1">
        <w:rPr>
          <w:rFonts w:ascii="Times New Roman" w:hAnsi="Times New Roman" w:cs="Times New Roman"/>
          <w:bCs/>
          <w:i/>
          <w:iCs/>
          <w:sz w:val="24"/>
          <w:szCs w:val="24"/>
        </w:rPr>
        <w:t>supra</w:t>
      </w:r>
      <w:r w:rsidR="003E5E9C" w:rsidRPr="00A96CF1">
        <w:rPr>
          <w:rFonts w:ascii="Times New Roman" w:hAnsi="Times New Roman" w:cs="Times New Roman"/>
          <w:bCs/>
          <w:sz w:val="24"/>
          <w:szCs w:val="24"/>
        </w:rPr>
        <w:t xml:space="preserve">) cited by the appellant was distinguishable because in that case service was by registered mail and such service is provided for in s 8; there </w:t>
      </w:r>
      <w:r w:rsidR="001154A6" w:rsidRPr="00A96CF1">
        <w:rPr>
          <w:rFonts w:ascii="Times New Roman" w:hAnsi="Times New Roman" w:cs="Times New Roman"/>
          <w:bCs/>
          <w:sz w:val="24"/>
          <w:szCs w:val="24"/>
        </w:rPr>
        <w:t xml:space="preserve">was thus no need to consider s 40 of the Interpretation Act. </w:t>
      </w:r>
      <w:r w:rsidR="006A0DDD">
        <w:rPr>
          <w:rFonts w:ascii="Times New Roman" w:hAnsi="Times New Roman" w:cs="Times New Roman"/>
          <w:bCs/>
          <w:sz w:val="24"/>
          <w:szCs w:val="24"/>
        </w:rPr>
        <w:t xml:space="preserve"> </w:t>
      </w:r>
      <w:r w:rsidR="001154A6" w:rsidRPr="00A96CF1">
        <w:rPr>
          <w:rFonts w:ascii="Times New Roman" w:hAnsi="Times New Roman" w:cs="Times New Roman"/>
          <w:bCs/>
          <w:sz w:val="24"/>
          <w:szCs w:val="24"/>
        </w:rPr>
        <w:t xml:space="preserve">He also submitted that it was incorrect to say, as submitted for the appellant, that s 8 should be read alone </w:t>
      </w:r>
      <w:r w:rsidR="00392016" w:rsidRPr="00A96CF1">
        <w:rPr>
          <w:rFonts w:ascii="Times New Roman" w:hAnsi="Times New Roman" w:cs="Times New Roman"/>
          <w:bCs/>
          <w:sz w:val="24"/>
          <w:szCs w:val="24"/>
        </w:rPr>
        <w:t>to the exclusion of</w:t>
      </w:r>
      <w:r w:rsidR="001154A6" w:rsidRPr="00A96CF1">
        <w:rPr>
          <w:rFonts w:ascii="Times New Roman" w:hAnsi="Times New Roman" w:cs="Times New Roman"/>
          <w:bCs/>
          <w:sz w:val="24"/>
          <w:szCs w:val="24"/>
        </w:rPr>
        <w:t xml:space="preserve"> s 40.  It was counsel’s contention that </w:t>
      </w:r>
      <w:r w:rsidR="001154A6" w:rsidRPr="007470D6">
        <w:rPr>
          <w:rFonts w:ascii="Times New Roman" w:hAnsi="Times New Roman" w:cs="Times New Roman"/>
          <w:bCs/>
          <w:iCs/>
          <w:sz w:val="24"/>
          <w:szCs w:val="24"/>
        </w:rPr>
        <w:t>in</w:t>
      </w:r>
      <w:r w:rsidR="001154A6" w:rsidRPr="00A96CF1">
        <w:rPr>
          <w:rFonts w:ascii="Times New Roman" w:hAnsi="Times New Roman" w:cs="Times New Roman"/>
          <w:bCs/>
          <w:i/>
          <w:iCs/>
          <w:sz w:val="24"/>
          <w:szCs w:val="24"/>
        </w:rPr>
        <w:t xml:space="preserve"> </w:t>
      </w:r>
      <w:proofErr w:type="spellStart"/>
      <w:r w:rsidR="001154A6" w:rsidRPr="00A96CF1">
        <w:rPr>
          <w:rFonts w:ascii="Times New Roman" w:hAnsi="Times New Roman" w:cs="Times New Roman"/>
          <w:bCs/>
          <w:i/>
          <w:iCs/>
          <w:sz w:val="24"/>
          <w:szCs w:val="24"/>
        </w:rPr>
        <w:t>casu</w:t>
      </w:r>
      <w:proofErr w:type="spellEnd"/>
      <w:r w:rsidR="001154A6" w:rsidRPr="00A96CF1">
        <w:rPr>
          <w:rFonts w:ascii="Times New Roman" w:hAnsi="Times New Roman" w:cs="Times New Roman"/>
          <w:bCs/>
          <w:sz w:val="24"/>
          <w:szCs w:val="24"/>
        </w:rPr>
        <w:t xml:space="preserve"> there was effective service and that s 8 was complied with.</w:t>
      </w:r>
    </w:p>
    <w:p w14:paraId="6304E1A1" w14:textId="77777777" w:rsidR="004E6681" w:rsidRDefault="004E6681" w:rsidP="007470D6">
      <w:pPr>
        <w:pStyle w:val="ListParagraph"/>
        <w:spacing w:line="480" w:lineRule="auto"/>
        <w:jc w:val="both"/>
        <w:rPr>
          <w:rFonts w:ascii="Times New Roman" w:hAnsi="Times New Roman" w:cs="Times New Roman"/>
          <w:bCs/>
          <w:sz w:val="24"/>
          <w:szCs w:val="24"/>
        </w:rPr>
      </w:pPr>
    </w:p>
    <w:p w14:paraId="03C7F3D6" w14:textId="78C1DEDA" w:rsidR="00E4042C" w:rsidRPr="00A96CF1" w:rsidRDefault="00FD5289"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With regard to the alleged dispute of fact, counsel argued that</w:t>
      </w:r>
      <w:r w:rsidR="00806D23" w:rsidRPr="00A96CF1">
        <w:rPr>
          <w:rFonts w:ascii="Times New Roman" w:hAnsi="Times New Roman" w:cs="Times New Roman"/>
          <w:bCs/>
          <w:sz w:val="24"/>
          <w:szCs w:val="24"/>
        </w:rPr>
        <w:t xml:space="preserve"> the appellant’s argument would only carry the day where, as in </w:t>
      </w:r>
      <w:proofErr w:type="spellStart"/>
      <w:r w:rsidR="00806D23" w:rsidRPr="00A96CF1">
        <w:rPr>
          <w:rFonts w:ascii="Times New Roman" w:hAnsi="Times New Roman" w:cs="Times New Roman"/>
          <w:bCs/>
          <w:i/>
          <w:iCs/>
          <w:sz w:val="24"/>
          <w:szCs w:val="24"/>
        </w:rPr>
        <w:t>Leathought</w:t>
      </w:r>
      <w:proofErr w:type="spellEnd"/>
      <w:r w:rsidR="00806D23" w:rsidRPr="00A96CF1">
        <w:rPr>
          <w:rFonts w:ascii="Times New Roman" w:hAnsi="Times New Roman" w:cs="Times New Roman"/>
          <w:bCs/>
          <w:i/>
          <w:iCs/>
          <w:sz w:val="24"/>
          <w:szCs w:val="24"/>
        </w:rPr>
        <w:t xml:space="preserve"> Investments (Pvt) Ltd v </w:t>
      </w:r>
      <w:proofErr w:type="spellStart"/>
      <w:r w:rsidR="00806D23" w:rsidRPr="00A96CF1">
        <w:rPr>
          <w:rFonts w:ascii="Times New Roman" w:hAnsi="Times New Roman" w:cs="Times New Roman"/>
          <w:bCs/>
          <w:i/>
          <w:iCs/>
          <w:sz w:val="24"/>
          <w:szCs w:val="24"/>
        </w:rPr>
        <w:t>Chirangano</w:t>
      </w:r>
      <w:proofErr w:type="spellEnd"/>
      <w:r w:rsidR="00806D23" w:rsidRPr="00A96CF1">
        <w:rPr>
          <w:rFonts w:ascii="Times New Roman" w:hAnsi="Times New Roman" w:cs="Times New Roman"/>
          <w:bCs/>
          <w:i/>
          <w:iCs/>
          <w:sz w:val="24"/>
          <w:szCs w:val="24"/>
        </w:rPr>
        <w:t xml:space="preserve"> and O</w:t>
      </w:r>
      <w:r w:rsidR="007470D6">
        <w:rPr>
          <w:rFonts w:ascii="Times New Roman" w:hAnsi="Times New Roman" w:cs="Times New Roman"/>
          <w:bCs/>
          <w:i/>
          <w:iCs/>
          <w:sz w:val="24"/>
          <w:szCs w:val="24"/>
        </w:rPr>
        <w:t>the</w:t>
      </w:r>
      <w:r w:rsidR="00806D23" w:rsidRPr="00A96CF1">
        <w:rPr>
          <w:rFonts w:ascii="Times New Roman" w:hAnsi="Times New Roman" w:cs="Times New Roman"/>
          <w:bCs/>
          <w:i/>
          <w:iCs/>
          <w:sz w:val="24"/>
          <w:szCs w:val="24"/>
        </w:rPr>
        <w:t>rs</w:t>
      </w:r>
      <w:r w:rsidR="00806D23" w:rsidRPr="00A96CF1">
        <w:rPr>
          <w:rFonts w:ascii="Times New Roman" w:hAnsi="Times New Roman" w:cs="Times New Roman"/>
          <w:bCs/>
          <w:sz w:val="24"/>
          <w:szCs w:val="24"/>
        </w:rPr>
        <w:t xml:space="preserve"> SC</w:t>
      </w:r>
      <w:r w:rsidR="004A521D">
        <w:rPr>
          <w:rFonts w:ascii="Times New Roman" w:hAnsi="Times New Roman" w:cs="Times New Roman"/>
          <w:bCs/>
          <w:sz w:val="24"/>
          <w:szCs w:val="24"/>
        </w:rPr>
        <w:t xml:space="preserve"> </w:t>
      </w:r>
      <w:r w:rsidR="00806D23" w:rsidRPr="00A96CF1">
        <w:rPr>
          <w:rFonts w:ascii="Times New Roman" w:hAnsi="Times New Roman" w:cs="Times New Roman"/>
          <w:bCs/>
          <w:sz w:val="24"/>
          <w:szCs w:val="24"/>
        </w:rPr>
        <w:t>60/21, such dispute of fact appears on the face of the statement of agreed facts</w:t>
      </w:r>
      <w:r w:rsidR="004833E0" w:rsidRPr="00A96CF1">
        <w:rPr>
          <w:rFonts w:ascii="Times New Roman" w:hAnsi="Times New Roman" w:cs="Times New Roman"/>
          <w:bCs/>
          <w:sz w:val="24"/>
          <w:szCs w:val="24"/>
        </w:rPr>
        <w:t xml:space="preserve"> </w:t>
      </w:r>
      <w:r w:rsidR="00806D23" w:rsidRPr="00A96CF1">
        <w:rPr>
          <w:rFonts w:ascii="Times New Roman" w:hAnsi="Times New Roman" w:cs="Times New Roman"/>
          <w:bCs/>
          <w:sz w:val="24"/>
          <w:szCs w:val="24"/>
        </w:rPr>
        <w:t>itself and in the pleadings</w:t>
      </w:r>
      <w:r w:rsidR="004833E0" w:rsidRPr="00A96CF1">
        <w:rPr>
          <w:rFonts w:ascii="Times New Roman" w:hAnsi="Times New Roman" w:cs="Times New Roman"/>
          <w:bCs/>
          <w:sz w:val="24"/>
          <w:szCs w:val="24"/>
        </w:rPr>
        <w:t>.</w:t>
      </w:r>
      <w:r w:rsidR="00681F18" w:rsidRPr="00A96CF1">
        <w:rPr>
          <w:rFonts w:ascii="Times New Roman" w:hAnsi="Times New Roman" w:cs="Times New Roman"/>
          <w:bCs/>
          <w:sz w:val="24"/>
          <w:szCs w:val="24"/>
        </w:rPr>
        <w:t xml:space="preserve"> He submitted that </w:t>
      </w:r>
      <w:r w:rsidR="00681F18" w:rsidRPr="007470D6">
        <w:rPr>
          <w:rFonts w:ascii="Times New Roman" w:hAnsi="Times New Roman" w:cs="Times New Roman"/>
          <w:bCs/>
          <w:iCs/>
          <w:sz w:val="24"/>
          <w:szCs w:val="24"/>
        </w:rPr>
        <w:t>in</w:t>
      </w:r>
      <w:r w:rsidR="00681F18" w:rsidRPr="00A96CF1">
        <w:rPr>
          <w:rFonts w:ascii="Times New Roman" w:hAnsi="Times New Roman" w:cs="Times New Roman"/>
          <w:bCs/>
          <w:i/>
          <w:iCs/>
          <w:sz w:val="24"/>
          <w:szCs w:val="24"/>
        </w:rPr>
        <w:t xml:space="preserve"> </w:t>
      </w:r>
      <w:proofErr w:type="spellStart"/>
      <w:r w:rsidR="00681F18" w:rsidRPr="00A96CF1">
        <w:rPr>
          <w:rFonts w:ascii="Times New Roman" w:hAnsi="Times New Roman" w:cs="Times New Roman"/>
          <w:bCs/>
          <w:i/>
          <w:iCs/>
          <w:sz w:val="24"/>
          <w:szCs w:val="24"/>
        </w:rPr>
        <w:t>casu</w:t>
      </w:r>
      <w:proofErr w:type="spellEnd"/>
      <w:r w:rsidR="00681F18" w:rsidRPr="00A96CF1">
        <w:rPr>
          <w:rFonts w:ascii="Times New Roman" w:hAnsi="Times New Roman" w:cs="Times New Roman"/>
          <w:bCs/>
          <w:sz w:val="24"/>
          <w:szCs w:val="24"/>
        </w:rPr>
        <w:t xml:space="preserve">, the parties decided to forgo </w:t>
      </w:r>
      <w:r w:rsidR="00681F18" w:rsidRPr="00A96CF1">
        <w:rPr>
          <w:rFonts w:ascii="Times New Roman" w:hAnsi="Times New Roman" w:cs="Times New Roman"/>
          <w:bCs/>
          <w:sz w:val="24"/>
          <w:szCs w:val="24"/>
        </w:rPr>
        <w:lastRenderedPageBreak/>
        <w:t>preliminary issues and that the real issue</w:t>
      </w:r>
      <w:r w:rsidR="008B3117" w:rsidRPr="00A96CF1">
        <w:rPr>
          <w:rFonts w:ascii="Times New Roman" w:hAnsi="Times New Roman" w:cs="Times New Roman"/>
          <w:bCs/>
          <w:sz w:val="24"/>
          <w:szCs w:val="24"/>
        </w:rPr>
        <w:t xml:space="preserve"> that they</w:t>
      </w:r>
      <w:r w:rsidR="00681F18" w:rsidRPr="00A96CF1">
        <w:rPr>
          <w:rFonts w:ascii="Times New Roman" w:hAnsi="Times New Roman" w:cs="Times New Roman"/>
          <w:bCs/>
          <w:sz w:val="24"/>
          <w:szCs w:val="24"/>
        </w:rPr>
        <w:t xml:space="preserve"> placed before the court was the question – </w:t>
      </w:r>
      <w:r w:rsidR="008B3117" w:rsidRPr="00A96CF1">
        <w:rPr>
          <w:rFonts w:ascii="Times New Roman" w:hAnsi="Times New Roman" w:cs="Times New Roman"/>
          <w:bCs/>
          <w:sz w:val="24"/>
          <w:szCs w:val="24"/>
        </w:rPr>
        <w:t>“</w:t>
      </w:r>
      <w:r w:rsidR="00681F18" w:rsidRPr="00A96CF1">
        <w:rPr>
          <w:rFonts w:ascii="Times New Roman" w:hAnsi="Times New Roman" w:cs="Times New Roman"/>
          <w:bCs/>
          <w:sz w:val="24"/>
          <w:szCs w:val="24"/>
        </w:rPr>
        <w:t>who is entitled to take transfer of the property</w:t>
      </w:r>
      <w:r w:rsidR="008B3117" w:rsidRPr="00A96CF1">
        <w:rPr>
          <w:rFonts w:ascii="Times New Roman" w:hAnsi="Times New Roman" w:cs="Times New Roman"/>
          <w:bCs/>
          <w:sz w:val="24"/>
          <w:szCs w:val="24"/>
        </w:rPr>
        <w:t>?”</w:t>
      </w:r>
      <w:r w:rsidR="00681F18" w:rsidRPr="00A96CF1">
        <w:rPr>
          <w:rFonts w:ascii="Times New Roman" w:hAnsi="Times New Roman" w:cs="Times New Roman"/>
          <w:bCs/>
          <w:sz w:val="24"/>
          <w:szCs w:val="24"/>
        </w:rPr>
        <w:t xml:space="preserve"> Furthermore, the appellant should have followed the proper channels to resile from the </w:t>
      </w:r>
      <w:r w:rsidR="0052384A" w:rsidRPr="00A96CF1">
        <w:rPr>
          <w:rFonts w:ascii="Times New Roman" w:hAnsi="Times New Roman" w:cs="Times New Roman"/>
          <w:bCs/>
          <w:sz w:val="24"/>
          <w:szCs w:val="24"/>
        </w:rPr>
        <w:t>statement of agreed facts.</w:t>
      </w:r>
      <w:r w:rsidR="008B3117" w:rsidRPr="00A96CF1">
        <w:rPr>
          <w:rFonts w:ascii="Times New Roman" w:hAnsi="Times New Roman" w:cs="Times New Roman"/>
          <w:bCs/>
          <w:sz w:val="24"/>
          <w:szCs w:val="24"/>
        </w:rPr>
        <w:t xml:space="preserve"> Without having done so, the appellant must be held to the facts as reflected in the statement of agreed facts.</w:t>
      </w:r>
      <w:r w:rsidR="0052527C" w:rsidRPr="00A96CF1">
        <w:rPr>
          <w:rFonts w:ascii="Times New Roman" w:hAnsi="Times New Roman" w:cs="Times New Roman"/>
          <w:bCs/>
          <w:sz w:val="24"/>
          <w:szCs w:val="24"/>
        </w:rPr>
        <w:t xml:space="preserve"> The issue of the stand number is thus overridden by the statement of agreed facts</w:t>
      </w:r>
      <w:r w:rsidR="00286992" w:rsidRPr="00A96CF1">
        <w:rPr>
          <w:rFonts w:ascii="Times New Roman" w:hAnsi="Times New Roman" w:cs="Times New Roman"/>
          <w:bCs/>
          <w:sz w:val="24"/>
          <w:szCs w:val="24"/>
        </w:rPr>
        <w:t xml:space="preserve"> which the parties signed</w:t>
      </w:r>
      <w:r w:rsidR="008B3117" w:rsidRPr="00A96CF1">
        <w:rPr>
          <w:rFonts w:ascii="Times New Roman" w:hAnsi="Times New Roman" w:cs="Times New Roman"/>
          <w:bCs/>
          <w:sz w:val="24"/>
          <w:szCs w:val="24"/>
        </w:rPr>
        <w:t>. Further to that,</w:t>
      </w:r>
      <w:r w:rsidR="00286992" w:rsidRPr="00A96CF1">
        <w:rPr>
          <w:rFonts w:ascii="Times New Roman" w:hAnsi="Times New Roman" w:cs="Times New Roman"/>
          <w:bCs/>
          <w:sz w:val="24"/>
          <w:szCs w:val="24"/>
        </w:rPr>
        <w:t xml:space="preserve"> after so signing, the appellant had, as agreed, filed a plea in which the issue of the stand number did not arise. The issue only arose during the hearing.  </w:t>
      </w:r>
      <w:r w:rsidR="00B83F22" w:rsidRPr="00A96CF1">
        <w:rPr>
          <w:rFonts w:ascii="Times New Roman" w:hAnsi="Times New Roman" w:cs="Times New Roman"/>
          <w:bCs/>
          <w:sz w:val="24"/>
          <w:szCs w:val="24"/>
        </w:rPr>
        <w:t>He argued that the parties were bound to the facts in the statement of agreed facts and that the court only assists the parties by determining issues of law that arise therefrom.</w:t>
      </w:r>
      <w:r w:rsidR="00522AF4" w:rsidRPr="00A96CF1">
        <w:rPr>
          <w:rFonts w:ascii="Times New Roman" w:hAnsi="Times New Roman" w:cs="Times New Roman"/>
          <w:bCs/>
          <w:sz w:val="24"/>
          <w:szCs w:val="24"/>
        </w:rPr>
        <w:t xml:space="preserve"> The appellant cannot therefore start alleging disputes of fact at the stage where the parties are addressing the court on issues of law.</w:t>
      </w:r>
    </w:p>
    <w:p w14:paraId="02C020FA" w14:textId="6E96E2D3" w:rsidR="00FD5289" w:rsidRPr="00832224" w:rsidRDefault="00E4042C" w:rsidP="007470D6">
      <w:pPr>
        <w:spacing w:after="0" w:line="480" w:lineRule="auto"/>
        <w:jc w:val="both"/>
        <w:rPr>
          <w:rFonts w:ascii="Times New Roman" w:hAnsi="Times New Roman" w:cs="Times New Roman"/>
          <w:b/>
          <w:bCs/>
          <w:sz w:val="24"/>
          <w:szCs w:val="24"/>
        </w:rPr>
      </w:pPr>
      <w:r w:rsidRPr="00832224">
        <w:rPr>
          <w:rFonts w:ascii="Times New Roman" w:hAnsi="Times New Roman" w:cs="Times New Roman"/>
          <w:b/>
          <w:bCs/>
          <w:sz w:val="24"/>
          <w:szCs w:val="24"/>
        </w:rPr>
        <w:t>Second Respondent’s Submissions:</w:t>
      </w:r>
      <w:r w:rsidR="00522AF4" w:rsidRPr="00832224">
        <w:rPr>
          <w:rFonts w:ascii="Times New Roman" w:hAnsi="Times New Roman" w:cs="Times New Roman"/>
          <w:b/>
          <w:bCs/>
          <w:sz w:val="24"/>
          <w:szCs w:val="24"/>
        </w:rPr>
        <w:t xml:space="preserve"> </w:t>
      </w:r>
    </w:p>
    <w:p w14:paraId="707C0310" w14:textId="43FE9A9B" w:rsidR="00E4042C" w:rsidRPr="00A96CF1" w:rsidRDefault="00E4042C" w:rsidP="007470D6">
      <w:pPr>
        <w:pStyle w:val="ListParagraph"/>
        <w:numPr>
          <w:ilvl w:val="0"/>
          <w:numId w:val="15"/>
        </w:numPr>
        <w:spacing w:after="0"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Miss </w:t>
      </w:r>
      <w:proofErr w:type="spellStart"/>
      <w:r w:rsidRPr="00A96CF1">
        <w:rPr>
          <w:rFonts w:ascii="Times New Roman" w:hAnsi="Times New Roman" w:cs="Times New Roman"/>
          <w:bCs/>
          <w:i/>
          <w:iCs/>
          <w:sz w:val="24"/>
          <w:szCs w:val="24"/>
        </w:rPr>
        <w:t>Nyaningwe</w:t>
      </w:r>
      <w:proofErr w:type="spellEnd"/>
      <w:r w:rsidRPr="00A96CF1">
        <w:rPr>
          <w:rFonts w:ascii="Times New Roman" w:hAnsi="Times New Roman" w:cs="Times New Roman"/>
          <w:bCs/>
          <w:sz w:val="24"/>
          <w:szCs w:val="24"/>
        </w:rPr>
        <w:t>, for the second respondent, contended that the question for determination is whether or not the service of the notice of termination on the appellant’s employee was proper service in terms of the law.</w:t>
      </w:r>
      <w:r w:rsidR="00C152FE" w:rsidRPr="00A96CF1">
        <w:rPr>
          <w:rFonts w:ascii="Times New Roman" w:hAnsi="Times New Roman" w:cs="Times New Roman"/>
          <w:bCs/>
          <w:sz w:val="24"/>
          <w:szCs w:val="24"/>
        </w:rPr>
        <w:t xml:space="preserve"> </w:t>
      </w:r>
      <w:r w:rsidR="006A0DDD">
        <w:rPr>
          <w:rFonts w:ascii="Times New Roman" w:hAnsi="Times New Roman" w:cs="Times New Roman"/>
          <w:bCs/>
          <w:sz w:val="24"/>
          <w:szCs w:val="24"/>
        </w:rPr>
        <w:t xml:space="preserve"> </w:t>
      </w:r>
      <w:r w:rsidR="00C152FE" w:rsidRPr="00A96CF1">
        <w:rPr>
          <w:rFonts w:ascii="Times New Roman" w:hAnsi="Times New Roman" w:cs="Times New Roman"/>
          <w:bCs/>
          <w:sz w:val="24"/>
          <w:szCs w:val="24"/>
        </w:rPr>
        <w:t xml:space="preserve">She referred to </w:t>
      </w:r>
      <w:proofErr w:type="spellStart"/>
      <w:r w:rsidR="007470D6">
        <w:rPr>
          <w:rFonts w:ascii="Times New Roman" w:hAnsi="Times New Roman" w:cs="Times New Roman"/>
          <w:bCs/>
          <w:i/>
          <w:iCs/>
          <w:sz w:val="24"/>
          <w:szCs w:val="24"/>
        </w:rPr>
        <w:t>Nenyasha</w:t>
      </w:r>
      <w:proofErr w:type="spellEnd"/>
      <w:r w:rsidR="007470D6">
        <w:rPr>
          <w:rFonts w:ascii="Times New Roman" w:hAnsi="Times New Roman" w:cs="Times New Roman"/>
          <w:bCs/>
          <w:i/>
          <w:iCs/>
          <w:sz w:val="24"/>
          <w:szCs w:val="24"/>
        </w:rPr>
        <w:t xml:space="preserve"> Housing Co</w:t>
      </w:r>
      <w:r w:rsidR="004D5DEE">
        <w:rPr>
          <w:rFonts w:ascii="Times New Roman" w:hAnsi="Times New Roman" w:cs="Times New Roman"/>
          <w:bCs/>
          <w:i/>
          <w:iCs/>
          <w:sz w:val="24"/>
          <w:szCs w:val="24"/>
        </w:rPr>
        <w:t>-</w:t>
      </w:r>
      <w:r w:rsidR="00C152FE" w:rsidRPr="00A96CF1">
        <w:rPr>
          <w:rFonts w:ascii="Times New Roman" w:hAnsi="Times New Roman" w:cs="Times New Roman"/>
          <w:bCs/>
          <w:i/>
          <w:iCs/>
          <w:sz w:val="24"/>
          <w:szCs w:val="24"/>
        </w:rPr>
        <w:t>op v Violine Sibanda</w:t>
      </w:r>
      <w:r w:rsidR="00C152FE" w:rsidRPr="00A96CF1">
        <w:rPr>
          <w:rFonts w:ascii="Times New Roman" w:hAnsi="Times New Roman" w:cs="Times New Roman"/>
          <w:bCs/>
          <w:sz w:val="24"/>
          <w:szCs w:val="24"/>
        </w:rPr>
        <w:t xml:space="preserve"> </w:t>
      </w:r>
      <w:r w:rsidR="00DE18F5">
        <w:rPr>
          <w:rFonts w:ascii="Times New Roman" w:hAnsi="Times New Roman" w:cs="Times New Roman"/>
          <w:bCs/>
          <w:sz w:val="24"/>
          <w:szCs w:val="24"/>
        </w:rPr>
        <w:t xml:space="preserve">2019 (3) </w:t>
      </w:r>
      <w:r w:rsidR="00E953A4">
        <w:rPr>
          <w:rFonts w:ascii="Times New Roman" w:hAnsi="Times New Roman" w:cs="Times New Roman"/>
          <w:bCs/>
          <w:sz w:val="24"/>
          <w:szCs w:val="24"/>
        </w:rPr>
        <w:t>ZLR</w:t>
      </w:r>
      <w:r w:rsidR="00DE18F5">
        <w:rPr>
          <w:rFonts w:ascii="Times New Roman" w:hAnsi="Times New Roman" w:cs="Times New Roman"/>
          <w:bCs/>
          <w:sz w:val="24"/>
          <w:szCs w:val="24"/>
        </w:rPr>
        <w:t xml:space="preserve"> 9</w:t>
      </w:r>
      <w:r w:rsidR="006A086A">
        <w:rPr>
          <w:rFonts w:ascii="Times New Roman" w:hAnsi="Times New Roman" w:cs="Times New Roman"/>
          <w:bCs/>
          <w:sz w:val="24"/>
          <w:szCs w:val="24"/>
        </w:rPr>
        <w:t xml:space="preserve"> (H)</w:t>
      </w:r>
      <w:r w:rsidR="00DE18F5">
        <w:rPr>
          <w:rFonts w:ascii="Times New Roman" w:hAnsi="Times New Roman" w:cs="Times New Roman"/>
          <w:bCs/>
          <w:sz w:val="24"/>
          <w:szCs w:val="24"/>
        </w:rPr>
        <w:t xml:space="preserve"> </w:t>
      </w:r>
      <w:r w:rsidR="00E953A4">
        <w:rPr>
          <w:rFonts w:ascii="Times New Roman" w:hAnsi="Times New Roman" w:cs="Times New Roman"/>
          <w:bCs/>
          <w:sz w:val="24"/>
          <w:szCs w:val="24"/>
        </w:rPr>
        <w:t>at</w:t>
      </w:r>
      <w:r w:rsidR="00DE18F5">
        <w:rPr>
          <w:rFonts w:ascii="Times New Roman" w:hAnsi="Times New Roman" w:cs="Times New Roman"/>
          <w:bCs/>
          <w:sz w:val="24"/>
          <w:szCs w:val="24"/>
        </w:rPr>
        <w:t xml:space="preserve"> 12</w:t>
      </w:r>
      <w:r w:rsidR="00E953A4">
        <w:rPr>
          <w:rFonts w:ascii="Times New Roman" w:hAnsi="Times New Roman" w:cs="Times New Roman"/>
          <w:bCs/>
          <w:sz w:val="24"/>
          <w:szCs w:val="24"/>
        </w:rPr>
        <w:t>H</w:t>
      </w:r>
      <w:r w:rsidR="00DE18F5">
        <w:rPr>
          <w:rFonts w:ascii="Times New Roman" w:hAnsi="Times New Roman" w:cs="Times New Roman"/>
          <w:bCs/>
          <w:sz w:val="24"/>
          <w:szCs w:val="24"/>
        </w:rPr>
        <w:t xml:space="preserve"> – 13</w:t>
      </w:r>
      <w:r w:rsidR="00E953A4">
        <w:rPr>
          <w:rFonts w:ascii="Times New Roman" w:hAnsi="Times New Roman" w:cs="Times New Roman"/>
          <w:bCs/>
          <w:sz w:val="24"/>
          <w:szCs w:val="24"/>
        </w:rPr>
        <w:t>A</w:t>
      </w:r>
      <w:r w:rsidR="0093551B" w:rsidRPr="00A96CF1">
        <w:rPr>
          <w:rFonts w:ascii="Times New Roman" w:hAnsi="Times New Roman" w:cs="Times New Roman"/>
          <w:bCs/>
          <w:sz w:val="24"/>
          <w:szCs w:val="24"/>
        </w:rPr>
        <w:t xml:space="preserve"> where the court stated as follows</w:t>
      </w:r>
      <w:r w:rsidR="00B32EC6">
        <w:rPr>
          <w:rFonts w:ascii="Times New Roman" w:hAnsi="Times New Roman" w:cs="Times New Roman"/>
          <w:bCs/>
          <w:sz w:val="24"/>
          <w:szCs w:val="24"/>
        </w:rPr>
        <w:t xml:space="preserve">, </w:t>
      </w:r>
      <w:r w:rsidR="00B32EC6" w:rsidRPr="00B32EC6">
        <w:rPr>
          <w:rFonts w:ascii="Times New Roman" w:hAnsi="Times New Roman" w:cs="Times New Roman"/>
          <w:bCs/>
          <w:i/>
          <w:sz w:val="24"/>
          <w:szCs w:val="24"/>
        </w:rPr>
        <w:t>inter alia</w:t>
      </w:r>
      <w:r w:rsidR="0093551B" w:rsidRPr="00A96CF1">
        <w:rPr>
          <w:rFonts w:ascii="Times New Roman" w:hAnsi="Times New Roman" w:cs="Times New Roman"/>
          <w:bCs/>
          <w:sz w:val="24"/>
          <w:szCs w:val="24"/>
        </w:rPr>
        <w:t>:</w:t>
      </w:r>
    </w:p>
    <w:p w14:paraId="4B21C13B" w14:textId="344E5DBB" w:rsidR="0093551B" w:rsidRPr="00A96CF1" w:rsidRDefault="0093551B" w:rsidP="007470D6">
      <w:pPr>
        <w:pStyle w:val="ListParagraph"/>
        <w:spacing w:after="0" w:line="240" w:lineRule="auto"/>
        <w:ind w:left="1440"/>
        <w:jc w:val="both"/>
        <w:rPr>
          <w:rFonts w:ascii="Times New Roman" w:hAnsi="Times New Roman" w:cs="Times New Roman"/>
          <w:b/>
          <w:sz w:val="24"/>
          <w:szCs w:val="24"/>
        </w:rPr>
      </w:pPr>
      <w:r w:rsidRPr="00A96CF1">
        <w:rPr>
          <w:rFonts w:ascii="Times New Roman" w:hAnsi="Times New Roman" w:cs="Times New Roman"/>
          <w:bCs/>
          <w:sz w:val="24"/>
          <w:szCs w:val="24"/>
        </w:rPr>
        <w:t>“</w:t>
      </w:r>
      <w:r w:rsidR="00773C17" w:rsidRPr="00A96CF1">
        <w:rPr>
          <w:rFonts w:ascii="Times New Roman" w:hAnsi="Times New Roman" w:cs="Times New Roman"/>
          <w:bCs/>
          <w:sz w:val="24"/>
          <w:szCs w:val="24"/>
        </w:rPr>
        <w:t xml:space="preserve">The notice </w:t>
      </w:r>
      <w:r w:rsidR="008C3986" w:rsidRPr="00A96CF1">
        <w:rPr>
          <w:rFonts w:ascii="Times New Roman" w:hAnsi="Times New Roman" w:cs="Times New Roman"/>
          <w:bCs/>
          <w:sz w:val="24"/>
          <w:szCs w:val="24"/>
        </w:rPr>
        <w:t>(</w:t>
      </w:r>
      <w:r w:rsidR="00773C17" w:rsidRPr="00A96CF1">
        <w:rPr>
          <w:rFonts w:ascii="Times New Roman" w:hAnsi="Times New Roman" w:cs="Times New Roman"/>
          <w:bCs/>
          <w:sz w:val="24"/>
          <w:szCs w:val="24"/>
        </w:rPr>
        <w:t>to</w:t>
      </w:r>
      <w:r w:rsidR="008C3986" w:rsidRPr="00A96CF1">
        <w:rPr>
          <w:rFonts w:ascii="Times New Roman" w:hAnsi="Times New Roman" w:cs="Times New Roman"/>
          <w:bCs/>
          <w:sz w:val="24"/>
          <w:szCs w:val="24"/>
        </w:rPr>
        <w:t>) (sic)</w:t>
      </w:r>
      <w:r w:rsidR="00773C17" w:rsidRPr="00A96CF1">
        <w:rPr>
          <w:rFonts w:ascii="Times New Roman" w:hAnsi="Times New Roman" w:cs="Times New Roman"/>
          <w:bCs/>
          <w:sz w:val="24"/>
          <w:szCs w:val="24"/>
        </w:rPr>
        <w:t xml:space="preserve"> must be in writing as stipulated in s 8</w:t>
      </w:r>
      <w:r w:rsidR="007470D6">
        <w:rPr>
          <w:rFonts w:ascii="Times New Roman" w:hAnsi="Times New Roman" w:cs="Times New Roman"/>
          <w:bCs/>
          <w:sz w:val="24"/>
          <w:szCs w:val="24"/>
        </w:rPr>
        <w:t xml:space="preserve"> </w:t>
      </w:r>
      <w:r w:rsidR="00773C17" w:rsidRPr="00A96CF1">
        <w:rPr>
          <w:rFonts w:ascii="Times New Roman" w:hAnsi="Times New Roman" w:cs="Times New Roman"/>
          <w:bCs/>
          <w:sz w:val="24"/>
          <w:szCs w:val="24"/>
        </w:rPr>
        <w:t>(2)</w:t>
      </w:r>
      <w:r w:rsidR="007470D6">
        <w:rPr>
          <w:rFonts w:ascii="Times New Roman" w:hAnsi="Times New Roman" w:cs="Times New Roman"/>
          <w:bCs/>
          <w:sz w:val="24"/>
          <w:szCs w:val="24"/>
        </w:rPr>
        <w:t xml:space="preserve"> </w:t>
      </w:r>
      <w:r w:rsidR="00773C17" w:rsidRPr="00A96CF1">
        <w:rPr>
          <w:rFonts w:ascii="Times New Roman" w:hAnsi="Times New Roman" w:cs="Times New Roman"/>
          <w:bCs/>
          <w:sz w:val="24"/>
          <w:szCs w:val="24"/>
        </w:rPr>
        <w:t>(a) of the Act. The procedure to be followed by the seller entails</w:t>
      </w:r>
      <w:r w:rsidR="0035682C" w:rsidRPr="00A96CF1">
        <w:rPr>
          <w:rFonts w:ascii="Times New Roman" w:hAnsi="Times New Roman" w:cs="Times New Roman"/>
          <w:bCs/>
          <w:sz w:val="24"/>
          <w:szCs w:val="24"/>
        </w:rPr>
        <w:t xml:space="preserve"> him giving notice to rectify, discontinue or remedy the breach, followed by the institution of proceedings. The mischief behind this provision is to offer protection to purchasers in instalment sales.</w:t>
      </w:r>
      <w:r w:rsidR="009C1333" w:rsidRPr="00A96CF1">
        <w:rPr>
          <w:rFonts w:ascii="Times New Roman" w:hAnsi="Times New Roman" w:cs="Times New Roman"/>
          <w:bCs/>
          <w:sz w:val="24"/>
          <w:szCs w:val="24"/>
        </w:rPr>
        <w:t xml:space="preserve">”  </w:t>
      </w:r>
    </w:p>
    <w:p w14:paraId="5F981BA4" w14:textId="77777777" w:rsidR="009C00DD" w:rsidRPr="007470D6" w:rsidRDefault="009C00DD" w:rsidP="007470D6">
      <w:pPr>
        <w:spacing w:after="0" w:line="480" w:lineRule="auto"/>
        <w:jc w:val="both"/>
        <w:rPr>
          <w:rFonts w:ascii="Times New Roman" w:hAnsi="Times New Roman" w:cs="Times New Roman"/>
          <w:bCs/>
          <w:sz w:val="24"/>
          <w:szCs w:val="24"/>
        </w:rPr>
      </w:pPr>
    </w:p>
    <w:p w14:paraId="6B4D8D44" w14:textId="25E91863" w:rsidR="00E569DD" w:rsidRPr="00A96CF1" w:rsidRDefault="00E569DD"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Counsel highlighted that the appellant conceded that he saw the notice of termination</w:t>
      </w:r>
      <w:r w:rsidR="008C3986" w:rsidRPr="00A96CF1">
        <w:rPr>
          <w:rFonts w:ascii="Times New Roman" w:hAnsi="Times New Roman" w:cs="Times New Roman"/>
          <w:bCs/>
          <w:sz w:val="24"/>
          <w:szCs w:val="24"/>
        </w:rPr>
        <w:t xml:space="preserve">. Counsel also </w:t>
      </w:r>
      <w:r w:rsidRPr="00A96CF1">
        <w:rPr>
          <w:rFonts w:ascii="Times New Roman" w:hAnsi="Times New Roman" w:cs="Times New Roman"/>
          <w:bCs/>
          <w:sz w:val="24"/>
          <w:szCs w:val="24"/>
        </w:rPr>
        <w:t xml:space="preserve">observed that </w:t>
      </w:r>
      <w:r w:rsidR="00EB1417" w:rsidRPr="00A96CF1">
        <w:rPr>
          <w:rFonts w:ascii="Times New Roman" w:hAnsi="Times New Roman" w:cs="Times New Roman"/>
          <w:bCs/>
          <w:sz w:val="24"/>
          <w:szCs w:val="24"/>
        </w:rPr>
        <w:t>t</w:t>
      </w:r>
      <w:r w:rsidRPr="00A96CF1">
        <w:rPr>
          <w:rFonts w:ascii="Times New Roman" w:hAnsi="Times New Roman" w:cs="Times New Roman"/>
          <w:bCs/>
          <w:sz w:val="24"/>
          <w:szCs w:val="24"/>
        </w:rPr>
        <w:t>he</w:t>
      </w:r>
      <w:r w:rsidR="00EB1417" w:rsidRPr="00A96CF1">
        <w:rPr>
          <w:rFonts w:ascii="Times New Roman" w:hAnsi="Times New Roman" w:cs="Times New Roman"/>
          <w:bCs/>
          <w:sz w:val="24"/>
          <w:szCs w:val="24"/>
        </w:rPr>
        <w:t xml:space="preserve"> appellant</w:t>
      </w:r>
      <w:r w:rsidRPr="00A96CF1">
        <w:rPr>
          <w:rFonts w:ascii="Times New Roman" w:hAnsi="Times New Roman" w:cs="Times New Roman"/>
          <w:bCs/>
          <w:sz w:val="24"/>
          <w:szCs w:val="24"/>
        </w:rPr>
        <w:t xml:space="preserve"> was subse</w:t>
      </w:r>
      <w:r w:rsidR="007470D6">
        <w:rPr>
          <w:rFonts w:ascii="Times New Roman" w:hAnsi="Times New Roman" w:cs="Times New Roman"/>
          <w:bCs/>
          <w:sz w:val="24"/>
          <w:szCs w:val="24"/>
        </w:rPr>
        <w:t xml:space="preserve">quently served with summons for </w:t>
      </w:r>
      <w:r w:rsidRPr="00A96CF1">
        <w:rPr>
          <w:rFonts w:ascii="Times New Roman" w:hAnsi="Times New Roman" w:cs="Times New Roman"/>
          <w:bCs/>
          <w:sz w:val="24"/>
          <w:szCs w:val="24"/>
        </w:rPr>
        <w:t>cancellation but did not do anything about it.</w:t>
      </w:r>
    </w:p>
    <w:p w14:paraId="55C31CC5" w14:textId="03AF7588" w:rsidR="00E569DD" w:rsidRPr="00A96CF1" w:rsidRDefault="00E569DD" w:rsidP="007470D6">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lastRenderedPageBreak/>
        <w:t xml:space="preserve">Miss </w:t>
      </w:r>
      <w:proofErr w:type="spellStart"/>
      <w:r w:rsidRPr="00A96CF1">
        <w:rPr>
          <w:rFonts w:ascii="Times New Roman" w:hAnsi="Times New Roman" w:cs="Times New Roman"/>
          <w:bCs/>
          <w:i/>
          <w:iCs/>
          <w:sz w:val="24"/>
          <w:szCs w:val="24"/>
        </w:rPr>
        <w:t>Nyaningwe</w:t>
      </w:r>
      <w:proofErr w:type="spellEnd"/>
      <w:r w:rsidRPr="00A96CF1">
        <w:rPr>
          <w:rFonts w:ascii="Times New Roman" w:hAnsi="Times New Roman" w:cs="Times New Roman"/>
          <w:bCs/>
          <w:sz w:val="24"/>
          <w:szCs w:val="24"/>
        </w:rPr>
        <w:t xml:space="preserve"> argued that s 8 does not require personal service on the purchaser. She contended that </w:t>
      </w:r>
      <w:r w:rsidR="00D60B00" w:rsidRPr="00A96CF1">
        <w:rPr>
          <w:rFonts w:ascii="Times New Roman" w:hAnsi="Times New Roman" w:cs="Times New Roman"/>
          <w:bCs/>
          <w:sz w:val="24"/>
          <w:szCs w:val="24"/>
        </w:rPr>
        <w:t>s 8</w:t>
      </w:r>
      <w:r w:rsidR="007470D6">
        <w:rPr>
          <w:rFonts w:ascii="Times New Roman" w:hAnsi="Times New Roman" w:cs="Times New Roman"/>
          <w:bCs/>
          <w:sz w:val="24"/>
          <w:szCs w:val="24"/>
        </w:rPr>
        <w:t xml:space="preserve"> </w:t>
      </w:r>
      <w:r w:rsidR="00D60B00" w:rsidRPr="00A96CF1">
        <w:rPr>
          <w:rFonts w:ascii="Times New Roman" w:hAnsi="Times New Roman" w:cs="Times New Roman"/>
          <w:bCs/>
          <w:sz w:val="24"/>
          <w:szCs w:val="24"/>
        </w:rPr>
        <w:t>(3) gives the seller the option to either deliver personally or on a nominated agent of the purchaser or to post by registered post.</w:t>
      </w:r>
      <w:r w:rsidR="00C95BCA" w:rsidRPr="00A96CF1">
        <w:rPr>
          <w:rFonts w:ascii="Times New Roman" w:hAnsi="Times New Roman" w:cs="Times New Roman"/>
          <w:bCs/>
          <w:sz w:val="24"/>
          <w:szCs w:val="24"/>
        </w:rPr>
        <w:t xml:space="preserve"> She contended that </w:t>
      </w:r>
      <w:r w:rsidR="00C95BCA" w:rsidRPr="007470D6">
        <w:rPr>
          <w:rFonts w:ascii="Times New Roman" w:hAnsi="Times New Roman" w:cs="Times New Roman"/>
          <w:bCs/>
          <w:iCs/>
          <w:sz w:val="24"/>
          <w:szCs w:val="24"/>
        </w:rPr>
        <w:t>in</w:t>
      </w:r>
      <w:r w:rsidR="00C95BCA" w:rsidRPr="00A96CF1">
        <w:rPr>
          <w:rFonts w:ascii="Times New Roman" w:hAnsi="Times New Roman" w:cs="Times New Roman"/>
          <w:bCs/>
          <w:i/>
          <w:iCs/>
          <w:sz w:val="24"/>
          <w:szCs w:val="24"/>
        </w:rPr>
        <w:t xml:space="preserve"> </w:t>
      </w:r>
      <w:proofErr w:type="spellStart"/>
      <w:r w:rsidR="00C95BCA" w:rsidRPr="00A96CF1">
        <w:rPr>
          <w:rFonts w:ascii="Times New Roman" w:hAnsi="Times New Roman" w:cs="Times New Roman"/>
          <w:bCs/>
          <w:i/>
          <w:iCs/>
          <w:sz w:val="24"/>
          <w:szCs w:val="24"/>
        </w:rPr>
        <w:t>casu</w:t>
      </w:r>
      <w:proofErr w:type="spellEnd"/>
      <w:r w:rsidR="00C95BCA" w:rsidRPr="00A96CF1">
        <w:rPr>
          <w:rFonts w:ascii="Times New Roman" w:hAnsi="Times New Roman" w:cs="Times New Roman"/>
          <w:bCs/>
          <w:sz w:val="24"/>
          <w:szCs w:val="24"/>
        </w:rPr>
        <w:t xml:space="preserve"> the appellant was served effectively in that the notice was served on a responsible person at his usual address in accordance with</w:t>
      </w:r>
      <w:r w:rsidR="009E22DE" w:rsidRPr="00A96CF1">
        <w:rPr>
          <w:rFonts w:ascii="Times New Roman" w:hAnsi="Times New Roman" w:cs="Times New Roman"/>
          <w:bCs/>
          <w:sz w:val="24"/>
          <w:szCs w:val="24"/>
        </w:rPr>
        <w:t xml:space="preserve"> the</w:t>
      </w:r>
      <w:r w:rsidR="00C95BCA" w:rsidRPr="00A96CF1">
        <w:rPr>
          <w:rFonts w:ascii="Times New Roman" w:hAnsi="Times New Roman" w:cs="Times New Roman"/>
          <w:bCs/>
          <w:sz w:val="24"/>
          <w:szCs w:val="24"/>
        </w:rPr>
        <w:t xml:space="preserve"> terms of s 40</w:t>
      </w:r>
      <w:r w:rsidR="007470D6">
        <w:rPr>
          <w:rFonts w:ascii="Times New Roman" w:hAnsi="Times New Roman" w:cs="Times New Roman"/>
          <w:bCs/>
          <w:sz w:val="24"/>
          <w:szCs w:val="24"/>
        </w:rPr>
        <w:t xml:space="preserve"> </w:t>
      </w:r>
      <w:r w:rsidR="00C95BCA" w:rsidRPr="00A96CF1">
        <w:rPr>
          <w:rFonts w:ascii="Times New Roman" w:hAnsi="Times New Roman" w:cs="Times New Roman"/>
          <w:bCs/>
          <w:sz w:val="24"/>
          <w:szCs w:val="24"/>
        </w:rPr>
        <w:t>(2)</w:t>
      </w:r>
      <w:r w:rsidR="007470D6">
        <w:rPr>
          <w:rFonts w:ascii="Times New Roman" w:hAnsi="Times New Roman" w:cs="Times New Roman"/>
          <w:bCs/>
          <w:sz w:val="24"/>
          <w:szCs w:val="24"/>
        </w:rPr>
        <w:t xml:space="preserve"> </w:t>
      </w:r>
      <w:r w:rsidR="00C95BCA" w:rsidRPr="00A96CF1">
        <w:rPr>
          <w:rFonts w:ascii="Times New Roman" w:hAnsi="Times New Roman" w:cs="Times New Roman"/>
          <w:bCs/>
          <w:sz w:val="24"/>
          <w:szCs w:val="24"/>
        </w:rPr>
        <w:t>(c)</w:t>
      </w:r>
      <w:r w:rsidR="00EB79AC">
        <w:rPr>
          <w:rFonts w:ascii="Times New Roman" w:hAnsi="Times New Roman" w:cs="Times New Roman"/>
          <w:bCs/>
          <w:sz w:val="24"/>
          <w:szCs w:val="24"/>
        </w:rPr>
        <w:t xml:space="preserve"> of the Interpretation </w:t>
      </w:r>
      <w:r w:rsidR="007F0215">
        <w:rPr>
          <w:rFonts w:ascii="Times New Roman" w:hAnsi="Times New Roman" w:cs="Times New Roman"/>
          <w:bCs/>
          <w:sz w:val="24"/>
          <w:szCs w:val="24"/>
        </w:rPr>
        <w:t>Act.</w:t>
      </w:r>
    </w:p>
    <w:p w14:paraId="06E07F42" w14:textId="77777777" w:rsidR="009C00DD" w:rsidRDefault="009C00DD" w:rsidP="007470D6">
      <w:pPr>
        <w:pStyle w:val="ListParagraph"/>
        <w:spacing w:line="480" w:lineRule="auto"/>
        <w:jc w:val="both"/>
        <w:rPr>
          <w:rFonts w:ascii="Times New Roman" w:hAnsi="Times New Roman" w:cs="Times New Roman"/>
          <w:bCs/>
          <w:sz w:val="24"/>
          <w:szCs w:val="24"/>
        </w:rPr>
      </w:pPr>
    </w:p>
    <w:p w14:paraId="6D7EC23E" w14:textId="7F3F211A" w:rsidR="009C00DD" w:rsidRDefault="00C95BCA" w:rsidP="00647699">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On the alleged dispute of fact, counsel submitted that there was no merit in the allegation as the parties are all in agreement that the stand in issue is Stand No. 6505. She further highlighted that the court </w:t>
      </w:r>
      <w:r w:rsidRPr="00A96CF1">
        <w:rPr>
          <w:rFonts w:ascii="Times New Roman" w:hAnsi="Times New Roman" w:cs="Times New Roman"/>
          <w:bCs/>
          <w:i/>
          <w:iCs/>
          <w:sz w:val="24"/>
          <w:szCs w:val="24"/>
        </w:rPr>
        <w:t>a quo</w:t>
      </w:r>
      <w:r w:rsidRPr="00A96CF1">
        <w:rPr>
          <w:rFonts w:ascii="Times New Roman" w:hAnsi="Times New Roman" w:cs="Times New Roman"/>
          <w:bCs/>
          <w:sz w:val="24"/>
          <w:szCs w:val="24"/>
        </w:rPr>
        <w:t xml:space="preserve"> held that the validity of the agreement of sale between the </w:t>
      </w:r>
      <w:r w:rsidR="009E22DE" w:rsidRPr="00A96CF1">
        <w:rPr>
          <w:rFonts w:ascii="Times New Roman" w:hAnsi="Times New Roman" w:cs="Times New Roman"/>
          <w:bCs/>
          <w:sz w:val="24"/>
          <w:szCs w:val="24"/>
        </w:rPr>
        <w:t xml:space="preserve">first respondent and the second respondent </w:t>
      </w:r>
      <w:r w:rsidRPr="00A96CF1">
        <w:rPr>
          <w:rFonts w:ascii="Times New Roman" w:hAnsi="Times New Roman" w:cs="Times New Roman"/>
          <w:bCs/>
          <w:sz w:val="24"/>
          <w:szCs w:val="24"/>
        </w:rPr>
        <w:t xml:space="preserve">is not an issue that the </w:t>
      </w:r>
      <w:r w:rsidR="009E22DE" w:rsidRPr="00A96CF1">
        <w:rPr>
          <w:rFonts w:ascii="Times New Roman" w:hAnsi="Times New Roman" w:cs="Times New Roman"/>
          <w:bCs/>
          <w:sz w:val="24"/>
          <w:szCs w:val="24"/>
        </w:rPr>
        <w:t>appellant</w:t>
      </w:r>
      <w:r w:rsidRPr="00A96CF1">
        <w:rPr>
          <w:rFonts w:ascii="Times New Roman" w:hAnsi="Times New Roman" w:cs="Times New Roman"/>
          <w:bCs/>
          <w:sz w:val="24"/>
          <w:szCs w:val="24"/>
        </w:rPr>
        <w:t xml:space="preserve"> should concern himself about; his matter does not turn on whether the second agreement was valid or not.</w:t>
      </w:r>
    </w:p>
    <w:p w14:paraId="5CD1EDD7" w14:textId="77777777" w:rsidR="006A0DDD" w:rsidRPr="006A0DDD" w:rsidRDefault="006A0DDD" w:rsidP="006A0DDD">
      <w:pPr>
        <w:pStyle w:val="ListParagraph"/>
        <w:rPr>
          <w:rFonts w:ascii="Times New Roman" w:hAnsi="Times New Roman" w:cs="Times New Roman"/>
          <w:bCs/>
          <w:sz w:val="24"/>
          <w:szCs w:val="24"/>
        </w:rPr>
      </w:pPr>
    </w:p>
    <w:p w14:paraId="428AAB14" w14:textId="77777777" w:rsidR="006A0DDD" w:rsidRPr="00647699" w:rsidRDefault="006A0DDD" w:rsidP="006A0DDD">
      <w:pPr>
        <w:pStyle w:val="ListParagraph"/>
        <w:spacing w:after="0" w:line="240" w:lineRule="auto"/>
        <w:ind w:left="567"/>
        <w:jc w:val="both"/>
        <w:rPr>
          <w:rFonts w:ascii="Times New Roman" w:hAnsi="Times New Roman" w:cs="Times New Roman"/>
          <w:bCs/>
          <w:sz w:val="24"/>
          <w:szCs w:val="24"/>
        </w:rPr>
      </w:pPr>
    </w:p>
    <w:p w14:paraId="73F885A3" w14:textId="01DFB60D" w:rsidR="00F54011" w:rsidRPr="00A96CF1" w:rsidRDefault="00F54011" w:rsidP="00647699">
      <w:pPr>
        <w:pStyle w:val="ListParagraph"/>
        <w:numPr>
          <w:ilvl w:val="0"/>
          <w:numId w:val="15"/>
        </w:numPr>
        <w:spacing w:after="0"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Counsel contended that the appellant was not genuine in pursuing the appeal but was merely frustrating the other parties and causing unnecessary delay in the finalisation of the matter. She further highlighted that the appellant had reoccupied the property and was benefitting from it and urged the court to dismiss the appeal with costs.</w:t>
      </w:r>
    </w:p>
    <w:p w14:paraId="6BDD549C" w14:textId="77777777" w:rsidR="009C00DD" w:rsidRDefault="009C00DD" w:rsidP="00647699">
      <w:pPr>
        <w:spacing w:after="0" w:line="360" w:lineRule="auto"/>
        <w:jc w:val="both"/>
        <w:rPr>
          <w:rFonts w:ascii="Times New Roman" w:hAnsi="Times New Roman" w:cs="Times New Roman"/>
          <w:b/>
          <w:sz w:val="24"/>
          <w:szCs w:val="24"/>
        </w:rPr>
      </w:pPr>
    </w:p>
    <w:p w14:paraId="24E2A940" w14:textId="46192B53" w:rsidR="00355FC5" w:rsidRPr="00832224" w:rsidRDefault="00355FC5" w:rsidP="00647699">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ISSUES FOR DETERMINATION</w:t>
      </w:r>
      <w:r w:rsidR="003B37D0" w:rsidRPr="00832224">
        <w:rPr>
          <w:rFonts w:ascii="Times New Roman" w:hAnsi="Times New Roman" w:cs="Times New Roman"/>
          <w:b/>
          <w:sz w:val="24"/>
          <w:szCs w:val="24"/>
        </w:rPr>
        <w:t xml:space="preserve"> BY THIS COURT</w:t>
      </w:r>
      <w:r w:rsidRPr="00832224">
        <w:rPr>
          <w:rFonts w:ascii="Times New Roman" w:hAnsi="Times New Roman" w:cs="Times New Roman"/>
          <w:b/>
          <w:sz w:val="24"/>
          <w:szCs w:val="24"/>
        </w:rPr>
        <w:t>.</w:t>
      </w:r>
    </w:p>
    <w:p w14:paraId="514E368E" w14:textId="10105BA4" w:rsidR="003B37D0" w:rsidRPr="00A96CF1" w:rsidRDefault="003B37D0" w:rsidP="00647699">
      <w:pPr>
        <w:pStyle w:val="ListParagraph"/>
        <w:numPr>
          <w:ilvl w:val="0"/>
          <w:numId w:val="15"/>
        </w:numPr>
        <w:spacing w:line="480" w:lineRule="auto"/>
        <w:ind w:left="567" w:hanging="567"/>
        <w:jc w:val="both"/>
        <w:rPr>
          <w:rFonts w:ascii="Times New Roman" w:hAnsi="Times New Roman" w:cs="Times New Roman"/>
          <w:bCs/>
          <w:sz w:val="24"/>
          <w:szCs w:val="24"/>
        </w:rPr>
      </w:pPr>
      <w:r w:rsidRPr="00A96CF1">
        <w:rPr>
          <w:rFonts w:ascii="Times New Roman" w:hAnsi="Times New Roman" w:cs="Times New Roman"/>
          <w:bCs/>
          <w:sz w:val="24"/>
          <w:szCs w:val="24"/>
        </w:rPr>
        <w:t xml:space="preserve">Considering the grounds of appeal as well as the submissions made before this </w:t>
      </w:r>
      <w:r w:rsidR="009C00DD">
        <w:rPr>
          <w:rFonts w:ascii="Times New Roman" w:hAnsi="Times New Roman" w:cs="Times New Roman"/>
          <w:bCs/>
          <w:sz w:val="24"/>
          <w:szCs w:val="24"/>
        </w:rPr>
        <w:t>C</w:t>
      </w:r>
      <w:r w:rsidRPr="00A96CF1">
        <w:rPr>
          <w:rFonts w:ascii="Times New Roman" w:hAnsi="Times New Roman" w:cs="Times New Roman"/>
          <w:bCs/>
          <w:sz w:val="24"/>
          <w:szCs w:val="24"/>
        </w:rPr>
        <w:t xml:space="preserve">ourt, the following issues </w:t>
      </w:r>
      <w:r w:rsidR="009E22DE" w:rsidRPr="00A96CF1">
        <w:rPr>
          <w:rFonts w:ascii="Times New Roman" w:hAnsi="Times New Roman" w:cs="Times New Roman"/>
          <w:bCs/>
          <w:sz w:val="24"/>
          <w:szCs w:val="24"/>
        </w:rPr>
        <w:t>emerge</w:t>
      </w:r>
      <w:r w:rsidRPr="00A96CF1">
        <w:rPr>
          <w:rFonts w:ascii="Times New Roman" w:hAnsi="Times New Roman" w:cs="Times New Roman"/>
          <w:bCs/>
          <w:sz w:val="24"/>
          <w:szCs w:val="24"/>
        </w:rPr>
        <w:t xml:space="preserve"> for determination:</w:t>
      </w:r>
    </w:p>
    <w:p w14:paraId="2683CDA0" w14:textId="05FC57F4" w:rsidR="00355FC5" w:rsidRPr="00A96CF1" w:rsidRDefault="00355FC5" w:rsidP="00647699">
      <w:pPr>
        <w:pStyle w:val="ListParagraph"/>
        <w:numPr>
          <w:ilvl w:val="0"/>
          <w:numId w:val="10"/>
        </w:numPr>
        <w:spacing w:line="480" w:lineRule="auto"/>
        <w:ind w:hanging="306"/>
        <w:jc w:val="both"/>
        <w:rPr>
          <w:rFonts w:ascii="Times New Roman" w:hAnsi="Times New Roman" w:cs="Times New Roman"/>
          <w:b/>
          <w:sz w:val="24"/>
          <w:szCs w:val="24"/>
        </w:rPr>
      </w:pPr>
      <w:r w:rsidRPr="00A96CF1">
        <w:rPr>
          <w:rFonts w:ascii="Times New Roman" w:hAnsi="Times New Roman" w:cs="Times New Roman"/>
          <w:b/>
          <w:sz w:val="24"/>
          <w:szCs w:val="24"/>
        </w:rPr>
        <w:t>Whether or not service</w:t>
      </w:r>
      <w:r w:rsidR="003E2388" w:rsidRPr="00A96CF1">
        <w:rPr>
          <w:rFonts w:ascii="Times New Roman" w:hAnsi="Times New Roman" w:cs="Times New Roman"/>
          <w:b/>
          <w:sz w:val="24"/>
          <w:szCs w:val="24"/>
        </w:rPr>
        <w:t xml:space="preserve"> on the appellant’s gardener</w:t>
      </w:r>
      <w:r w:rsidR="0091758F" w:rsidRPr="00A96CF1">
        <w:rPr>
          <w:rFonts w:ascii="Times New Roman" w:hAnsi="Times New Roman" w:cs="Times New Roman"/>
          <w:b/>
          <w:sz w:val="24"/>
          <w:szCs w:val="24"/>
        </w:rPr>
        <w:t>,</w:t>
      </w:r>
      <w:r w:rsidRPr="00A96CF1">
        <w:rPr>
          <w:rFonts w:ascii="Times New Roman" w:hAnsi="Times New Roman" w:cs="Times New Roman"/>
          <w:b/>
          <w:sz w:val="24"/>
          <w:szCs w:val="24"/>
        </w:rPr>
        <w:t xml:space="preserve"> of</w:t>
      </w:r>
      <w:r w:rsidR="003E2388" w:rsidRPr="00A96CF1">
        <w:rPr>
          <w:rFonts w:ascii="Times New Roman" w:hAnsi="Times New Roman" w:cs="Times New Roman"/>
          <w:b/>
          <w:sz w:val="24"/>
          <w:szCs w:val="24"/>
        </w:rPr>
        <w:t xml:space="preserve"> the</w:t>
      </w:r>
      <w:r w:rsidRPr="00A96CF1">
        <w:rPr>
          <w:rFonts w:ascii="Times New Roman" w:hAnsi="Times New Roman" w:cs="Times New Roman"/>
          <w:b/>
          <w:sz w:val="24"/>
          <w:szCs w:val="24"/>
        </w:rPr>
        <w:t xml:space="preserve"> notice to remedy the breach</w:t>
      </w:r>
      <w:r w:rsidR="003E2388" w:rsidRPr="00A96CF1">
        <w:rPr>
          <w:rFonts w:ascii="Times New Roman" w:hAnsi="Times New Roman" w:cs="Times New Roman"/>
          <w:b/>
          <w:sz w:val="24"/>
          <w:szCs w:val="24"/>
        </w:rPr>
        <w:t>,</w:t>
      </w:r>
      <w:r w:rsidRPr="00A96CF1">
        <w:rPr>
          <w:rFonts w:ascii="Times New Roman" w:hAnsi="Times New Roman" w:cs="Times New Roman"/>
          <w:b/>
          <w:sz w:val="24"/>
          <w:szCs w:val="24"/>
        </w:rPr>
        <w:t xml:space="preserve"> was proper service.</w:t>
      </w:r>
    </w:p>
    <w:p w14:paraId="297430A5" w14:textId="77777777" w:rsidR="00355FC5" w:rsidRPr="00A96CF1" w:rsidRDefault="00355FC5" w:rsidP="00647699">
      <w:pPr>
        <w:pStyle w:val="ListParagraph"/>
        <w:numPr>
          <w:ilvl w:val="0"/>
          <w:numId w:val="10"/>
        </w:numPr>
        <w:spacing w:after="0" w:line="480" w:lineRule="auto"/>
        <w:ind w:hanging="306"/>
        <w:jc w:val="both"/>
        <w:rPr>
          <w:rFonts w:ascii="Times New Roman" w:hAnsi="Times New Roman" w:cs="Times New Roman"/>
          <w:b/>
          <w:sz w:val="24"/>
          <w:szCs w:val="24"/>
        </w:rPr>
      </w:pPr>
      <w:r w:rsidRPr="00A96CF1">
        <w:rPr>
          <w:rFonts w:ascii="Times New Roman" w:hAnsi="Times New Roman" w:cs="Times New Roman"/>
          <w:b/>
          <w:sz w:val="24"/>
          <w:szCs w:val="24"/>
        </w:rPr>
        <w:t>Whether or not the appellant was entitled to specific performance.</w:t>
      </w:r>
    </w:p>
    <w:p w14:paraId="517521DA" w14:textId="77777777" w:rsidR="009C00DD" w:rsidRDefault="009C00DD" w:rsidP="00647699">
      <w:pPr>
        <w:spacing w:after="0" w:line="480" w:lineRule="auto"/>
        <w:jc w:val="both"/>
        <w:rPr>
          <w:rFonts w:ascii="Times New Roman" w:hAnsi="Times New Roman" w:cs="Times New Roman"/>
          <w:b/>
          <w:sz w:val="24"/>
          <w:szCs w:val="24"/>
        </w:rPr>
      </w:pPr>
    </w:p>
    <w:p w14:paraId="5745067F" w14:textId="492C0046" w:rsidR="009C00DD" w:rsidRPr="00647699" w:rsidRDefault="00355FC5" w:rsidP="00647699">
      <w:pPr>
        <w:spacing w:after="0" w:line="480" w:lineRule="auto"/>
        <w:jc w:val="both"/>
        <w:rPr>
          <w:rFonts w:ascii="Times New Roman" w:hAnsi="Times New Roman" w:cs="Times New Roman"/>
          <w:b/>
          <w:sz w:val="24"/>
          <w:szCs w:val="24"/>
        </w:rPr>
      </w:pPr>
      <w:r w:rsidRPr="00832224">
        <w:rPr>
          <w:rFonts w:ascii="Times New Roman" w:hAnsi="Times New Roman" w:cs="Times New Roman"/>
          <w:b/>
          <w:sz w:val="24"/>
          <w:szCs w:val="24"/>
        </w:rPr>
        <w:lastRenderedPageBreak/>
        <w:t>APPLICATION OF THE LAW TO THE FACTS.</w:t>
      </w:r>
    </w:p>
    <w:p w14:paraId="2A47FB23" w14:textId="36A659D6" w:rsidR="00766254" w:rsidRPr="00832224" w:rsidRDefault="00766254" w:rsidP="00647699">
      <w:pPr>
        <w:spacing w:line="480" w:lineRule="auto"/>
        <w:jc w:val="both"/>
        <w:rPr>
          <w:rFonts w:ascii="Times New Roman" w:hAnsi="Times New Roman" w:cs="Times New Roman"/>
          <w:b/>
          <w:sz w:val="24"/>
          <w:szCs w:val="24"/>
        </w:rPr>
      </w:pPr>
      <w:r w:rsidRPr="00832224">
        <w:rPr>
          <w:rFonts w:ascii="Times New Roman" w:hAnsi="Times New Roman" w:cs="Times New Roman"/>
          <w:b/>
          <w:sz w:val="24"/>
          <w:szCs w:val="24"/>
        </w:rPr>
        <w:t>Whether or not service</w:t>
      </w:r>
      <w:r w:rsidR="0091758F" w:rsidRPr="00832224">
        <w:rPr>
          <w:rFonts w:ascii="Times New Roman" w:hAnsi="Times New Roman" w:cs="Times New Roman"/>
          <w:b/>
          <w:sz w:val="24"/>
          <w:szCs w:val="24"/>
        </w:rPr>
        <w:t xml:space="preserve"> on the appellant’s gardener,</w:t>
      </w:r>
      <w:r w:rsidRPr="00832224">
        <w:rPr>
          <w:rFonts w:ascii="Times New Roman" w:hAnsi="Times New Roman" w:cs="Times New Roman"/>
          <w:b/>
          <w:sz w:val="24"/>
          <w:szCs w:val="24"/>
        </w:rPr>
        <w:t xml:space="preserve"> of notice to remedy the breach</w:t>
      </w:r>
      <w:r w:rsidR="0091758F" w:rsidRPr="00832224">
        <w:rPr>
          <w:rFonts w:ascii="Times New Roman" w:hAnsi="Times New Roman" w:cs="Times New Roman"/>
          <w:b/>
          <w:sz w:val="24"/>
          <w:szCs w:val="24"/>
        </w:rPr>
        <w:t>,</w:t>
      </w:r>
      <w:r w:rsidRPr="00832224">
        <w:rPr>
          <w:rFonts w:ascii="Times New Roman" w:hAnsi="Times New Roman" w:cs="Times New Roman"/>
          <w:b/>
          <w:sz w:val="24"/>
          <w:szCs w:val="24"/>
        </w:rPr>
        <w:t xml:space="preserve"> was proper service.</w:t>
      </w:r>
    </w:p>
    <w:p w14:paraId="11209F3F" w14:textId="78C18840" w:rsidR="0034303E" w:rsidRPr="00A96CF1" w:rsidRDefault="0044373E" w:rsidP="00647699">
      <w:pPr>
        <w:pStyle w:val="ListParagraph"/>
        <w:numPr>
          <w:ilvl w:val="0"/>
          <w:numId w:val="15"/>
        </w:numPr>
        <w:spacing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t>What emerges from the appellant’s first</w:t>
      </w:r>
      <w:r w:rsidR="00355FC5" w:rsidRPr="00A96CF1">
        <w:rPr>
          <w:rFonts w:ascii="Times New Roman" w:hAnsi="Times New Roman" w:cs="Times New Roman"/>
          <w:sz w:val="24"/>
          <w:szCs w:val="24"/>
        </w:rPr>
        <w:t xml:space="preserve"> ground of appeal </w:t>
      </w:r>
      <w:r w:rsidRPr="00A96CF1">
        <w:rPr>
          <w:rFonts w:ascii="Times New Roman" w:hAnsi="Times New Roman" w:cs="Times New Roman"/>
          <w:sz w:val="24"/>
          <w:szCs w:val="24"/>
        </w:rPr>
        <w:t xml:space="preserve">is that he </w:t>
      </w:r>
      <w:r w:rsidR="00355FC5" w:rsidRPr="00A96CF1">
        <w:rPr>
          <w:rFonts w:ascii="Times New Roman" w:hAnsi="Times New Roman" w:cs="Times New Roman"/>
          <w:sz w:val="24"/>
          <w:szCs w:val="24"/>
        </w:rPr>
        <w:t xml:space="preserve">holds the view that the court </w:t>
      </w:r>
      <w:r w:rsidR="00355FC5" w:rsidRPr="00A96CF1">
        <w:rPr>
          <w:rFonts w:ascii="Times New Roman" w:hAnsi="Times New Roman" w:cs="Times New Roman"/>
          <w:i/>
          <w:sz w:val="24"/>
          <w:szCs w:val="24"/>
        </w:rPr>
        <w:t>a quo</w:t>
      </w:r>
      <w:r w:rsidR="00355FC5" w:rsidRPr="00A96CF1">
        <w:rPr>
          <w:rFonts w:ascii="Times New Roman" w:hAnsi="Times New Roman" w:cs="Times New Roman"/>
          <w:sz w:val="24"/>
          <w:szCs w:val="24"/>
        </w:rPr>
        <w:t xml:space="preserve"> erred in law in finding that the</w:t>
      </w:r>
      <w:r w:rsidR="0034303E" w:rsidRPr="00A96CF1">
        <w:rPr>
          <w:rFonts w:ascii="Times New Roman" w:hAnsi="Times New Roman" w:cs="Times New Roman"/>
          <w:sz w:val="24"/>
          <w:szCs w:val="24"/>
        </w:rPr>
        <w:t xml:space="preserve"> instalment sale</w:t>
      </w:r>
      <w:r w:rsidR="00355FC5" w:rsidRPr="00A96CF1">
        <w:rPr>
          <w:rFonts w:ascii="Times New Roman" w:hAnsi="Times New Roman" w:cs="Times New Roman"/>
          <w:sz w:val="24"/>
          <w:szCs w:val="24"/>
        </w:rPr>
        <w:t xml:space="preserve"> agreement </w:t>
      </w:r>
      <w:r w:rsidR="00124D4B" w:rsidRPr="00A96CF1">
        <w:rPr>
          <w:rFonts w:ascii="Times New Roman" w:hAnsi="Times New Roman" w:cs="Times New Roman"/>
          <w:sz w:val="24"/>
          <w:szCs w:val="24"/>
        </w:rPr>
        <w:t xml:space="preserve">of </w:t>
      </w:r>
      <w:r w:rsidR="00355FC5" w:rsidRPr="00A96CF1">
        <w:rPr>
          <w:rFonts w:ascii="Times New Roman" w:hAnsi="Times New Roman" w:cs="Times New Roman"/>
          <w:sz w:val="24"/>
          <w:szCs w:val="24"/>
        </w:rPr>
        <w:t>the property</w:t>
      </w:r>
      <w:r w:rsidR="0034303E" w:rsidRPr="00A96CF1">
        <w:rPr>
          <w:rFonts w:ascii="Times New Roman" w:hAnsi="Times New Roman" w:cs="Times New Roman"/>
          <w:sz w:val="24"/>
          <w:szCs w:val="24"/>
        </w:rPr>
        <w:t>,</w:t>
      </w:r>
      <w:r w:rsidR="00355FC5" w:rsidRPr="00A96CF1">
        <w:rPr>
          <w:rFonts w:ascii="Times New Roman" w:hAnsi="Times New Roman" w:cs="Times New Roman"/>
          <w:sz w:val="24"/>
          <w:szCs w:val="24"/>
        </w:rPr>
        <w:t xml:space="preserve"> between </w:t>
      </w:r>
      <w:r w:rsidRPr="00A96CF1">
        <w:rPr>
          <w:rFonts w:ascii="Times New Roman" w:hAnsi="Times New Roman" w:cs="Times New Roman"/>
          <w:sz w:val="24"/>
          <w:szCs w:val="24"/>
        </w:rPr>
        <w:t>him</w:t>
      </w:r>
      <w:r w:rsidR="00355FC5" w:rsidRPr="00A96CF1">
        <w:rPr>
          <w:rFonts w:ascii="Times New Roman" w:hAnsi="Times New Roman" w:cs="Times New Roman"/>
          <w:sz w:val="24"/>
          <w:szCs w:val="24"/>
        </w:rPr>
        <w:t xml:space="preserve"> and</w:t>
      </w:r>
      <w:r w:rsidRPr="00A96CF1">
        <w:rPr>
          <w:rFonts w:ascii="Times New Roman" w:hAnsi="Times New Roman" w:cs="Times New Roman"/>
          <w:sz w:val="24"/>
          <w:szCs w:val="24"/>
        </w:rPr>
        <w:t xml:space="preserve"> the first</w:t>
      </w:r>
      <w:r w:rsidR="00355FC5" w:rsidRPr="00A96CF1">
        <w:rPr>
          <w:rFonts w:ascii="Times New Roman" w:hAnsi="Times New Roman" w:cs="Times New Roman"/>
          <w:sz w:val="24"/>
          <w:szCs w:val="24"/>
        </w:rPr>
        <w:t xml:space="preserve"> respondent was lawfully terminated.</w:t>
      </w:r>
      <w:r w:rsidR="00377817" w:rsidRPr="00A96CF1">
        <w:rPr>
          <w:rFonts w:ascii="Times New Roman" w:hAnsi="Times New Roman" w:cs="Times New Roman"/>
          <w:sz w:val="24"/>
          <w:szCs w:val="24"/>
        </w:rPr>
        <w:t xml:space="preserve"> What is also clear from a perusal of its judgment is that the court </w:t>
      </w:r>
      <w:r w:rsidR="00377817" w:rsidRPr="00A96CF1">
        <w:rPr>
          <w:rFonts w:ascii="Times New Roman" w:hAnsi="Times New Roman" w:cs="Times New Roman"/>
          <w:i/>
          <w:iCs/>
          <w:sz w:val="24"/>
          <w:szCs w:val="24"/>
        </w:rPr>
        <w:t>a quo</w:t>
      </w:r>
      <w:r w:rsidR="00377817" w:rsidRPr="00A96CF1">
        <w:rPr>
          <w:rFonts w:ascii="Times New Roman" w:hAnsi="Times New Roman" w:cs="Times New Roman"/>
          <w:sz w:val="24"/>
          <w:szCs w:val="24"/>
        </w:rPr>
        <w:t xml:space="preserve"> came to the now impugned conclusion</w:t>
      </w:r>
      <w:r w:rsidR="00355FC5" w:rsidRPr="00A96CF1">
        <w:rPr>
          <w:rFonts w:ascii="Times New Roman" w:hAnsi="Times New Roman" w:cs="Times New Roman"/>
          <w:sz w:val="24"/>
          <w:szCs w:val="24"/>
        </w:rPr>
        <w:t xml:space="preserve"> </w:t>
      </w:r>
      <w:r w:rsidR="00377817" w:rsidRPr="00A96CF1">
        <w:rPr>
          <w:rFonts w:ascii="Times New Roman" w:hAnsi="Times New Roman" w:cs="Times New Roman"/>
          <w:sz w:val="24"/>
          <w:szCs w:val="24"/>
        </w:rPr>
        <w:t>on the basis</w:t>
      </w:r>
      <w:r w:rsidR="00355FC5" w:rsidRPr="00A96CF1">
        <w:rPr>
          <w:rFonts w:ascii="Times New Roman" w:hAnsi="Times New Roman" w:cs="Times New Roman"/>
          <w:sz w:val="24"/>
          <w:szCs w:val="24"/>
        </w:rPr>
        <w:t xml:space="preserve"> that </w:t>
      </w:r>
      <w:r w:rsidR="00BE390C" w:rsidRPr="00A96CF1">
        <w:rPr>
          <w:rFonts w:ascii="Times New Roman" w:hAnsi="Times New Roman" w:cs="Times New Roman"/>
          <w:sz w:val="24"/>
          <w:szCs w:val="24"/>
        </w:rPr>
        <w:t>the appellant was served with the notice to remedy the breach through his gardener</w:t>
      </w:r>
      <w:r w:rsidR="006E3C51" w:rsidRPr="00A96CF1">
        <w:rPr>
          <w:rFonts w:ascii="Times New Roman" w:hAnsi="Times New Roman" w:cs="Times New Roman"/>
          <w:sz w:val="24"/>
          <w:szCs w:val="24"/>
        </w:rPr>
        <w:t xml:space="preserve"> at his given address of service</w:t>
      </w:r>
      <w:r w:rsidR="00BE390C" w:rsidRPr="00A96CF1">
        <w:rPr>
          <w:rFonts w:ascii="Times New Roman" w:hAnsi="Times New Roman" w:cs="Times New Roman"/>
          <w:sz w:val="24"/>
          <w:szCs w:val="24"/>
        </w:rPr>
        <w:t xml:space="preserve">. The court </w:t>
      </w:r>
      <w:r w:rsidR="00BE390C" w:rsidRPr="00A96CF1">
        <w:rPr>
          <w:rFonts w:ascii="Times New Roman" w:hAnsi="Times New Roman" w:cs="Times New Roman"/>
          <w:i/>
          <w:sz w:val="24"/>
          <w:szCs w:val="24"/>
        </w:rPr>
        <w:t>a quo</w:t>
      </w:r>
      <w:r w:rsidR="009C00DD">
        <w:rPr>
          <w:rFonts w:ascii="Times New Roman" w:hAnsi="Times New Roman" w:cs="Times New Roman"/>
          <w:sz w:val="24"/>
          <w:szCs w:val="24"/>
        </w:rPr>
        <w:t xml:space="preserve"> relied on s</w:t>
      </w:r>
      <w:r w:rsidR="00BE390C" w:rsidRPr="00A96CF1">
        <w:rPr>
          <w:rFonts w:ascii="Times New Roman" w:hAnsi="Times New Roman" w:cs="Times New Roman"/>
          <w:sz w:val="24"/>
          <w:szCs w:val="24"/>
        </w:rPr>
        <w:t xml:space="preserve"> 8 of the Contractual </w:t>
      </w:r>
      <w:r w:rsidR="00AB5E62" w:rsidRPr="00A96CF1">
        <w:rPr>
          <w:rFonts w:ascii="Times New Roman" w:hAnsi="Times New Roman" w:cs="Times New Roman"/>
          <w:sz w:val="24"/>
          <w:szCs w:val="24"/>
        </w:rPr>
        <w:t>Penalties Act</w:t>
      </w:r>
      <w:r w:rsidR="009C00DD">
        <w:rPr>
          <w:rFonts w:ascii="Times New Roman" w:hAnsi="Times New Roman" w:cs="Times New Roman"/>
          <w:sz w:val="24"/>
          <w:szCs w:val="24"/>
        </w:rPr>
        <w:t xml:space="preserve"> as read with s</w:t>
      </w:r>
      <w:r w:rsidR="0034303E" w:rsidRPr="00A96CF1">
        <w:rPr>
          <w:rFonts w:ascii="Times New Roman" w:hAnsi="Times New Roman" w:cs="Times New Roman"/>
          <w:sz w:val="24"/>
          <w:szCs w:val="24"/>
        </w:rPr>
        <w:t xml:space="preserve"> 40</w:t>
      </w:r>
      <w:r w:rsidR="005F0152">
        <w:rPr>
          <w:rFonts w:ascii="Times New Roman" w:hAnsi="Times New Roman" w:cs="Times New Roman"/>
          <w:sz w:val="24"/>
          <w:szCs w:val="24"/>
        </w:rPr>
        <w:t xml:space="preserve"> </w:t>
      </w:r>
      <w:r w:rsidR="0034303E" w:rsidRPr="00A96CF1">
        <w:rPr>
          <w:rFonts w:ascii="Times New Roman" w:hAnsi="Times New Roman" w:cs="Times New Roman"/>
          <w:sz w:val="24"/>
          <w:szCs w:val="24"/>
        </w:rPr>
        <w:t>(2)</w:t>
      </w:r>
      <w:r w:rsidR="005F0152">
        <w:rPr>
          <w:rFonts w:ascii="Times New Roman" w:hAnsi="Times New Roman" w:cs="Times New Roman"/>
          <w:sz w:val="24"/>
          <w:szCs w:val="24"/>
        </w:rPr>
        <w:t xml:space="preserve"> </w:t>
      </w:r>
      <w:r w:rsidR="0034303E" w:rsidRPr="00A96CF1">
        <w:rPr>
          <w:rFonts w:ascii="Times New Roman" w:hAnsi="Times New Roman" w:cs="Times New Roman"/>
          <w:sz w:val="24"/>
          <w:szCs w:val="24"/>
        </w:rPr>
        <w:t>(c) of the Interpretation Act. It stated in para 26 as follows:</w:t>
      </w:r>
    </w:p>
    <w:p w14:paraId="635E3963" w14:textId="7F57B29C" w:rsidR="0034303E" w:rsidRPr="00A96CF1" w:rsidRDefault="0034303E" w:rsidP="00647699">
      <w:pPr>
        <w:pStyle w:val="ListParagraph"/>
        <w:spacing w:after="0" w:line="240" w:lineRule="auto"/>
        <w:ind w:left="1276" w:hanging="142"/>
        <w:jc w:val="both"/>
        <w:rPr>
          <w:rFonts w:ascii="Times New Roman" w:hAnsi="Times New Roman" w:cs="Times New Roman"/>
          <w:sz w:val="24"/>
          <w:szCs w:val="24"/>
        </w:rPr>
      </w:pPr>
      <w:r w:rsidRPr="00A96CF1">
        <w:rPr>
          <w:rFonts w:ascii="Times New Roman" w:hAnsi="Times New Roman" w:cs="Times New Roman"/>
          <w:sz w:val="24"/>
          <w:szCs w:val="24"/>
        </w:rPr>
        <w:t>“</w:t>
      </w:r>
      <w:r w:rsidR="00B33917" w:rsidRPr="00A96CF1">
        <w:rPr>
          <w:rFonts w:ascii="Times New Roman" w:hAnsi="Times New Roman" w:cs="Times New Roman"/>
          <w:sz w:val="24"/>
          <w:szCs w:val="24"/>
        </w:rPr>
        <w:t xml:space="preserve">26. </w:t>
      </w:r>
      <w:r w:rsidRPr="00A96CF1">
        <w:rPr>
          <w:rFonts w:ascii="Times New Roman" w:hAnsi="Times New Roman" w:cs="Times New Roman"/>
          <w:sz w:val="24"/>
          <w:szCs w:val="24"/>
        </w:rPr>
        <w:t>The written notice, drawing the attention of the first defendant as the purchaser to breach of the agreement and calling upon him to rectify the breach within thirty days of service of the notice on him failing which the cancellation of the agreement would follow, was served on him in terms of section 8 of the Contractual Penalties Act as read with section 40(2)(c) of the Interpretation Act, in that it was served  by leaving it with his worker at his usual or last-known place of abode</w:t>
      </w:r>
      <w:r w:rsidR="00BF07D1" w:rsidRPr="00A96CF1">
        <w:rPr>
          <w:rFonts w:ascii="Times New Roman" w:hAnsi="Times New Roman" w:cs="Times New Roman"/>
          <w:sz w:val="24"/>
          <w:szCs w:val="24"/>
        </w:rPr>
        <w:t xml:space="preserve"> which he provided in the agreement.”</w:t>
      </w:r>
    </w:p>
    <w:p w14:paraId="7B6D3BFC" w14:textId="17AB03D4" w:rsidR="009C00DD" w:rsidRPr="00647699" w:rsidRDefault="009C00DD" w:rsidP="00647699">
      <w:pPr>
        <w:spacing w:after="0" w:line="480" w:lineRule="auto"/>
        <w:jc w:val="both"/>
        <w:rPr>
          <w:rFonts w:ascii="Times New Roman" w:hAnsi="Times New Roman" w:cs="Times New Roman"/>
          <w:sz w:val="24"/>
          <w:szCs w:val="24"/>
        </w:rPr>
      </w:pPr>
    </w:p>
    <w:p w14:paraId="267A47C8" w14:textId="28A33167" w:rsidR="00355FC5" w:rsidRPr="00A96CF1" w:rsidRDefault="00BF07D1" w:rsidP="00647699">
      <w:pPr>
        <w:pStyle w:val="ListParagraph"/>
        <w:numPr>
          <w:ilvl w:val="0"/>
          <w:numId w:val="15"/>
        </w:numPr>
        <w:spacing w:line="360" w:lineRule="auto"/>
        <w:ind w:left="714" w:hanging="357"/>
        <w:jc w:val="both"/>
        <w:rPr>
          <w:rFonts w:ascii="Times New Roman" w:hAnsi="Times New Roman" w:cs="Times New Roman"/>
          <w:sz w:val="24"/>
          <w:szCs w:val="24"/>
        </w:rPr>
      </w:pPr>
      <w:r w:rsidRPr="00A96CF1">
        <w:rPr>
          <w:rFonts w:ascii="Times New Roman" w:hAnsi="Times New Roman" w:cs="Times New Roman"/>
          <w:sz w:val="24"/>
          <w:szCs w:val="24"/>
        </w:rPr>
        <w:t>S</w:t>
      </w:r>
      <w:r w:rsidR="009C00DD">
        <w:rPr>
          <w:rFonts w:ascii="Times New Roman" w:hAnsi="Times New Roman" w:cs="Times New Roman"/>
          <w:sz w:val="24"/>
          <w:szCs w:val="24"/>
        </w:rPr>
        <w:t>ection</w:t>
      </w:r>
      <w:r w:rsidRPr="00A96CF1">
        <w:rPr>
          <w:rFonts w:ascii="Times New Roman" w:hAnsi="Times New Roman" w:cs="Times New Roman"/>
          <w:sz w:val="24"/>
          <w:szCs w:val="24"/>
        </w:rPr>
        <w:t xml:space="preserve"> 8 of the Act </w:t>
      </w:r>
      <w:r w:rsidR="00377817" w:rsidRPr="00A96CF1">
        <w:rPr>
          <w:rFonts w:ascii="Times New Roman" w:hAnsi="Times New Roman" w:cs="Times New Roman"/>
          <w:sz w:val="24"/>
          <w:szCs w:val="24"/>
        </w:rPr>
        <w:t>provides as follows</w:t>
      </w:r>
      <w:r w:rsidR="00AB5E62" w:rsidRPr="00A96CF1">
        <w:rPr>
          <w:rFonts w:ascii="Times New Roman" w:hAnsi="Times New Roman" w:cs="Times New Roman"/>
          <w:sz w:val="24"/>
          <w:szCs w:val="24"/>
        </w:rPr>
        <w:t>:</w:t>
      </w:r>
    </w:p>
    <w:p w14:paraId="3C2083DF" w14:textId="739B6D3E" w:rsidR="00AB5E62" w:rsidRPr="00A96CF1" w:rsidRDefault="00403701" w:rsidP="00647699">
      <w:pPr>
        <w:pStyle w:val="LG-section"/>
        <w:spacing w:line="240" w:lineRule="auto"/>
        <w:ind w:left="720" w:firstLine="414"/>
        <w:rPr>
          <w:rFonts w:ascii="Times New Roman" w:hAnsi="Times New Roman"/>
          <w:sz w:val="24"/>
          <w:szCs w:val="24"/>
        </w:rPr>
      </w:pPr>
      <w:r w:rsidRPr="00A96CF1">
        <w:rPr>
          <w:rFonts w:ascii="Times New Roman" w:hAnsi="Times New Roman"/>
          <w:b w:val="0"/>
          <w:sz w:val="24"/>
          <w:szCs w:val="24"/>
        </w:rPr>
        <w:t xml:space="preserve">  </w:t>
      </w:r>
      <w:r w:rsidR="003E3398" w:rsidRPr="00A96CF1">
        <w:rPr>
          <w:rFonts w:ascii="Times New Roman" w:hAnsi="Times New Roman"/>
          <w:b w:val="0"/>
          <w:bCs/>
          <w:sz w:val="24"/>
          <w:szCs w:val="24"/>
        </w:rPr>
        <w:t xml:space="preserve">  </w:t>
      </w:r>
      <w:r w:rsidR="00AB5E62" w:rsidRPr="00A96CF1">
        <w:rPr>
          <w:rFonts w:ascii="Times New Roman" w:hAnsi="Times New Roman"/>
          <w:sz w:val="24"/>
          <w:szCs w:val="24"/>
        </w:rPr>
        <w:tab/>
      </w:r>
      <w:r w:rsidR="00746809" w:rsidRPr="00A96CF1">
        <w:rPr>
          <w:rFonts w:ascii="Times New Roman" w:hAnsi="Times New Roman"/>
          <w:sz w:val="24"/>
          <w:szCs w:val="24"/>
        </w:rPr>
        <w:t>“</w:t>
      </w:r>
      <w:r w:rsidR="006A0DDD">
        <w:rPr>
          <w:rFonts w:ascii="Times New Roman" w:hAnsi="Times New Roman"/>
          <w:sz w:val="24"/>
          <w:szCs w:val="24"/>
        </w:rPr>
        <w:t>8 Restriction</w:t>
      </w:r>
      <w:r w:rsidR="00AB5E62" w:rsidRPr="00A96CF1">
        <w:rPr>
          <w:rFonts w:ascii="Times New Roman" w:hAnsi="Times New Roman"/>
          <w:sz w:val="24"/>
          <w:szCs w:val="24"/>
        </w:rPr>
        <w:t xml:space="preserve"> of sellers’ rights</w:t>
      </w:r>
    </w:p>
    <w:p w14:paraId="466FCF0A" w14:textId="77777777" w:rsidR="00AB5E62" w:rsidRPr="00A96CF1" w:rsidRDefault="00AB5E62" w:rsidP="00647699">
      <w:pPr>
        <w:pStyle w:val="LG-para3"/>
        <w:spacing w:line="240" w:lineRule="auto"/>
        <w:ind w:left="1843" w:hanging="403"/>
        <w:rPr>
          <w:sz w:val="24"/>
          <w:szCs w:val="24"/>
        </w:rPr>
      </w:pPr>
      <w:r w:rsidRPr="00A96CF1">
        <w:rPr>
          <w:sz w:val="24"/>
          <w:szCs w:val="24"/>
        </w:rPr>
        <w:t>(1)  No seller under an instalment sale of land may, on account of any breach of contract by the purchaser—</w:t>
      </w:r>
    </w:p>
    <w:p w14:paraId="07EB1F82" w14:textId="77777777" w:rsidR="00F87335" w:rsidRPr="006A0DDD" w:rsidRDefault="009C00DD" w:rsidP="00647699">
      <w:pPr>
        <w:pStyle w:val="LG-a-"/>
        <w:tabs>
          <w:tab w:val="clear" w:pos="454"/>
          <w:tab w:val="left" w:pos="1134"/>
          <w:tab w:val="left" w:pos="2694"/>
        </w:tabs>
        <w:spacing w:line="240" w:lineRule="auto"/>
        <w:ind w:left="2160" w:hanging="1876"/>
        <w:rPr>
          <w:sz w:val="24"/>
          <w:szCs w:val="24"/>
        </w:rPr>
      </w:pPr>
      <w:r>
        <w:rPr>
          <w:sz w:val="24"/>
          <w:szCs w:val="24"/>
        </w:rPr>
        <w:tab/>
      </w:r>
      <w:r>
        <w:rPr>
          <w:sz w:val="24"/>
          <w:szCs w:val="24"/>
        </w:rPr>
        <w:tab/>
      </w:r>
      <w:r w:rsidR="00AB5E62" w:rsidRPr="006A0DDD">
        <w:rPr>
          <w:sz w:val="24"/>
          <w:szCs w:val="24"/>
        </w:rPr>
        <w:t>(a)</w:t>
      </w:r>
      <w:r w:rsidR="00AB5E62" w:rsidRPr="006A0DDD">
        <w:rPr>
          <w:sz w:val="24"/>
          <w:szCs w:val="24"/>
        </w:rPr>
        <w:tab/>
        <w:t xml:space="preserve">enforce a penalty stipulation or a provision for the accelerated </w:t>
      </w:r>
      <w:r w:rsidRPr="006A0DDD">
        <w:rPr>
          <w:sz w:val="24"/>
          <w:szCs w:val="24"/>
        </w:rPr>
        <w:t xml:space="preserve">                                                                   </w:t>
      </w:r>
      <w:r w:rsidR="00F87335" w:rsidRPr="006A0DDD">
        <w:rPr>
          <w:sz w:val="24"/>
          <w:szCs w:val="24"/>
        </w:rPr>
        <w:t xml:space="preserve">                                                </w:t>
      </w:r>
    </w:p>
    <w:p w14:paraId="4A6681FB" w14:textId="2DD6F949" w:rsidR="00AB5E62" w:rsidRPr="006A0DDD" w:rsidRDefault="00F87335" w:rsidP="00647699">
      <w:pPr>
        <w:pStyle w:val="LG-a-"/>
        <w:tabs>
          <w:tab w:val="clear" w:pos="454"/>
          <w:tab w:val="left" w:pos="1134"/>
          <w:tab w:val="left" w:pos="2694"/>
        </w:tabs>
        <w:spacing w:line="240" w:lineRule="auto"/>
        <w:ind w:left="2160" w:hanging="1876"/>
        <w:rPr>
          <w:sz w:val="24"/>
          <w:szCs w:val="24"/>
        </w:rPr>
      </w:pPr>
      <w:r w:rsidRPr="006A0DDD">
        <w:rPr>
          <w:sz w:val="24"/>
          <w:szCs w:val="24"/>
        </w:rPr>
        <w:t xml:space="preserve">                                        </w:t>
      </w:r>
      <w:r w:rsidR="00AB5E62" w:rsidRPr="006A0DDD">
        <w:rPr>
          <w:sz w:val="24"/>
          <w:szCs w:val="24"/>
        </w:rPr>
        <w:t>payment of the purchase price; or</w:t>
      </w:r>
    </w:p>
    <w:p w14:paraId="599561BC" w14:textId="7206A45F" w:rsidR="00AB5E62" w:rsidRPr="006A0DDD" w:rsidRDefault="00AB5E62" w:rsidP="00647699">
      <w:pPr>
        <w:pStyle w:val="LG-a-"/>
        <w:spacing w:line="240" w:lineRule="auto"/>
        <w:rPr>
          <w:sz w:val="24"/>
          <w:szCs w:val="24"/>
        </w:rPr>
      </w:pPr>
      <w:r w:rsidRPr="006A0DDD">
        <w:rPr>
          <w:sz w:val="24"/>
          <w:szCs w:val="24"/>
        </w:rPr>
        <w:tab/>
      </w:r>
      <w:r w:rsidRPr="006A0DDD">
        <w:rPr>
          <w:sz w:val="24"/>
          <w:szCs w:val="24"/>
        </w:rPr>
        <w:tab/>
      </w:r>
      <w:r w:rsidRPr="006A0DDD">
        <w:rPr>
          <w:sz w:val="24"/>
          <w:szCs w:val="24"/>
        </w:rPr>
        <w:tab/>
      </w:r>
      <w:r w:rsidR="00746809" w:rsidRPr="006A0DDD">
        <w:rPr>
          <w:sz w:val="24"/>
          <w:szCs w:val="24"/>
        </w:rPr>
        <w:tab/>
      </w:r>
      <w:r w:rsidR="00746809" w:rsidRPr="006A0DDD">
        <w:rPr>
          <w:sz w:val="24"/>
          <w:szCs w:val="24"/>
        </w:rPr>
        <w:tab/>
      </w:r>
      <w:r w:rsidRPr="006A0DDD">
        <w:rPr>
          <w:sz w:val="24"/>
          <w:szCs w:val="24"/>
        </w:rPr>
        <w:t>(b</w:t>
      </w:r>
      <w:r w:rsidR="00F87335" w:rsidRPr="006A0DDD">
        <w:rPr>
          <w:sz w:val="24"/>
          <w:szCs w:val="24"/>
        </w:rPr>
        <w:t xml:space="preserve">)    </w:t>
      </w:r>
      <w:r w:rsidRPr="006A0DDD">
        <w:rPr>
          <w:sz w:val="24"/>
          <w:szCs w:val="24"/>
        </w:rPr>
        <w:t>terminate the contract; or</w:t>
      </w:r>
    </w:p>
    <w:p w14:paraId="52D3442F" w14:textId="48039C74" w:rsidR="00AB5E62" w:rsidRPr="006A0DDD" w:rsidRDefault="00AB5E62" w:rsidP="00647699">
      <w:pPr>
        <w:pStyle w:val="LG-a-"/>
        <w:spacing w:line="240" w:lineRule="auto"/>
        <w:rPr>
          <w:sz w:val="24"/>
          <w:szCs w:val="24"/>
        </w:rPr>
      </w:pPr>
      <w:r w:rsidRPr="006A0DDD">
        <w:rPr>
          <w:sz w:val="24"/>
          <w:szCs w:val="24"/>
        </w:rPr>
        <w:tab/>
      </w:r>
      <w:r w:rsidRPr="006A0DDD">
        <w:rPr>
          <w:sz w:val="24"/>
          <w:szCs w:val="24"/>
        </w:rPr>
        <w:tab/>
      </w:r>
      <w:r w:rsidRPr="006A0DDD">
        <w:rPr>
          <w:sz w:val="24"/>
          <w:szCs w:val="24"/>
        </w:rPr>
        <w:tab/>
      </w:r>
      <w:r w:rsidR="00746809" w:rsidRPr="006A0DDD">
        <w:rPr>
          <w:sz w:val="24"/>
          <w:szCs w:val="24"/>
        </w:rPr>
        <w:tab/>
      </w:r>
      <w:r w:rsidR="00746809" w:rsidRPr="006A0DDD">
        <w:rPr>
          <w:sz w:val="24"/>
          <w:szCs w:val="24"/>
        </w:rPr>
        <w:tab/>
      </w:r>
      <w:r w:rsidRPr="006A0DDD">
        <w:rPr>
          <w:sz w:val="24"/>
          <w:szCs w:val="24"/>
        </w:rPr>
        <w:t>(c</w:t>
      </w:r>
      <w:r w:rsidR="00F87335" w:rsidRPr="006A0DDD">
        <w:rPr>
          <w:sz w:val="24"/>
          <w:szCs w:val="24"/>
        </w:rPr>
        <w:t xml:space="preserve">)    </w:t>
      </w:r>
      <w:r w:rsidRPr="006A0DDD">
        <w:rPr>
          <w:sz w:val="24"/>
          <w:szCs w:val="24"/>
        </w:rPr>
        <w:t>institute any proceedings for damages;</w:t>
      </w:r>
    </w:p>
    <w:p w14:paraId="0DEBA594" w14:textId="55993A19" w:rsidR="00AB5E62" w:rsidRPr="00A96CF1" w:rsidRDefault="00AB5E62" w:rsidP="00647699">
      <w:pPr>
        <w:pStyle w:val="NormalText"/>
        <w:spacing w:line="240" w:lineRule="auto"/>
        <w:ind w:left="2694"/>
        <w:rPr>
          <w:sz w:val="24"/>
          <w:szCs w:val="24"/>
        </w:rPr>
      </w:pPr>
      <w:r w:rsidRPr="00A96CF1">
        <w:rPr>
          <w:sz w:val="24"/>
          <w:szCs w:val="24"/>
        </w:rPr>
        <w:t xml:space="preserve">unless he has given </w:t>
      </w:r>
      <w:r w:rsidR="00F87335">
        <w:rPr>
          <w:sz w:val="24"/>
          <w:szCs w:val="24"/>
        </w:rPr>
        <w:t>notice in terms of subs</w:t>
      </w:r>
      <w:r w:rsidRPr="00A96CF1">
        <w:rPr>
          <w:sz w:val="24"/>
          <w:szCs w:val="24"/>
        </w:rPr>
        <w:t xml:space="preserve"> (2) and the period of the notice has expired without the breach being remedied, rectified or discontinued, as the case may be.</w:t>
      </w:r>
    </w:p>
    <w:p w14:paraId="243BE4D3" w14:textId="050A0455" w:rsidR="00AB5E62" w:rsidRPr="00A96CF1" w:rsidRDefault="00AB5E62" w:rsidP="00647699">
      <w:pPr>
        <w:pStyle w:val="LG-para3"/>
        <w:spacing w:line="240" w:lineRule="auto"/>
        <w:ind w:left="720" w:firstLine="720"/>
        <w:rPr>
          <w:sz w:val="24"/>
          <w:szCs w:val="24"/>
        </w:rPr>
      </w:pPr>
      <w:r w:rsidRPr="00A96CF1">
        <w:rPr>
          <w:sz w:val="24"/>
          <w:szCs w:val="24"/>
        </w:rPr>
        <w:t>(2)  Notic</w:t>
      </w:r>
      <w:r w:rsidR="00F87335">
        <w:rPr>
          <w:sz w:val="24"/>
          <w:szCs w:val="24"/>
        </w:rPr>
        <w:t>e for the purposes of subs</w:t>
      </w:r>
      <w:r w:rsidRPr="00A96CF1">
        <w:rPr>
          <w:sz w:val="24"/>
          <w:szCs w:val="24"/>
        </w:rPr>
        <w:t xml:space="preserve"> (1) shall—</w:t>
      </w:r>
    </w:p>
    <w:p w14:paraId="28C64620" w14:textId="7C9FEA14" w:rsidR="00AB5E62" w:rsidRPr="006A0DDD" w:rsidRDefault="00AB5E62" w:rsidP="00647699">
      <w:pPr>
        <w:pStyle w:val="LG-a-"/>
        <w:spacing w:line="240" w:lineRule="auto"/>
        <w:rPr>
          <w:sz w:val="24"/>
          <w:szCs w:val="24"/>
        </w:rPr>
      </w:pPr>
      <w:r w:rsidRPr="00A96CF1">
        <w:rPr>
          <w:sz w:val="24"/>
          <w:szCs w:val="24"/>
        </w:rPr>
        <w:tab/>
      </w:r>
      <w:r w:rsidRPr="00A96CF1">
        <w:rPr>
          <w:sz w:val="24"/>
          <w:szCs w:val="24"/>
        </w:rPr>
        <w:tab/>
      </w:r>
      <w:r w:rsidRPr="00A96CF1">
        <w:rPr>
          <w:sz w:val="24"/>
          <w:szCs w:val="24"/>
        </w:rPr>
        <w:tab/>
      </w:r>
      <w:r w:rsidR="00746809" w:rsidRPr="00A96CF1">
        <w:rPr>
          <w:sz w:val="24"/>
          <w:szCs w:val="24"/>
        </w:rPr>
        <w:tab/>
      </w:r>
      <w:r w:rsidR="00746809" w:rsidRPr="00A96CF1">
        <w:rPr>
          <w:sz w:val="24"/>
          <w:szCs w:val="24"/>
        </w:rPr>
        <w:tab/>
      </w:r>
      <w:r w:rsidRPr="006A0DDD">
        <w:rPr>
          <w:sz w:val="24"/>
          <w:szCs w:val="24"/>
        </w:rPr>
        <w:t>(a)</w:t>
      </w:r>
      <w:r w:rsidRPr="006A0DDD">
        <w:rPr>
          <w:sz w:val="24"/>
          <w:szCs w:val="24"/>
        </w:rPr>
        <w:tab/>
        <w:t>be given in writing to the purchaser; and</w:t>
      </w:r>
    </w:p>
    <w:p w14:paraId="597CFA70" w14:textId="507D9A4E" w:rsidR="00A73501" w:rsidRPr="006A0DDD" w:rsidRDefault="00AB5E62" w:rsidP="00647699">
      <w:pPr>
        <w:pStyle w:val="LG-a-"/>
        <w:spacing w:line="240" w:lineRule="auto"/>
        <w:rPr>
          <w:sz w:val="24"/>
          <w:szCs w:val="24"/>
        </w:rPr>
      </w:pPr>
      <w:r w:rsidRPr="006A0DDD">
        <w:rPr>
          <w:sz w:val="24"/>
          <w:szCs w:val="24"/>
        </w:rPr>
        <w:tab/>
      </w:r>
      <w:r w:rsidRPr="006A0DDD">
        <w:rPr>
          <w:sz w:val="24"/>
          <w:szCs w:val="24"/>
        </w:rPr>
        <w:tab/>
      </w:r>
      <w:r w:rsidRPr="006A0DDD">
        <w:rPr>
          <w:sz w:val="24"/>
          <w:szCs w:val="24"/>
        </w:rPr>
        <w:tab/>
      </w:r>
      <w:r w:rsidR="00746809" w:rsidRPr="006A0DDD">
        <w:rPr>
          <w:sz w:val="24"/>
          <w:szCs w:val="24"/>
        </w:rPr>
        <w:tab/>
      </w:r>
      <w:r w:rsidR="00746809" w:rsidRPr="006A0DDD">
        <w:rPr>
          <w:sz w:val="24"/>
          <w:szCs w:val="24"/>
        </w:rPr>
        <w:tab/>
      </w:r>
      <w:r w:rsidRPr="006A0DDD">
        <w:rPr>
          <w:sz w:val="24"/>
          <w:szCs w:val="24"/>
        </w:rPr>
        <w:t>(b)</w:t>
      </w:r>
      <w:r w:rsidRPr="006A0DDD">
        <w:rPr>
          <w:sz w:val="24"/>
          <w:szCs w:val="24"/>
        </w:rPr>
        <w:tab/>
        <w:t>advise the purchaser of the breach concerned; and</w:t>
      </w:r>
    </w:p>
    <w:p w14:paraId="6774B195" w14:textId="77777777" w:rsidR="000863BB" w:rsidRDefault="00A73501" w:rsidP="00647699">
      <w:pPr>
        <w:pStyle w:val="LG-a-"/>
        <w:tabs>
          <w:tab w:val="left" w:pos="2835"/>
          <w:tab w:val="left" w:pos="2977"/>
        </w:tabs>
        <w:spacing w:line="240" w:lineRule="auto"/>
        <w:ind w:left="2160"/>
        <w:rPr>
          <w:sz w:val="24"/>
          <w:szCs w:val="24"/>
        </w:rPr>
      </w:pPr>
      <w:r w:rsidRPr="006A0DDD">
        <w:rPr>
          <w:sz w:val="24"/>
          <w:szCs w:val="24"/>
        </w:rPr>
        <w:tab/>
        <w:t>(c)</w:t>
      </w:r>
      <w:r w:rsidRPr="00A96CF1">
        <w:rPr>
          <w:sz w:val="24"/>
          <w:szCs w:val="24"/>
        </w:rPr>
        <w:t xml:space="preserve"> </w:t>
      </w:r>
      <w:r w:rsidR="00F87335">
        <w:rPr>
          <w:sz w:val="24"/>
          <w:szCs w:val="24"/>
        </w:rPr>
        <w:t xml:space="preserve">   </w:t>
      </w:r>
      <w:r w:rsidR="00F87335">
        <w:rPr>
          <w:sz w:val="24"/>
          <w:szCs w:val="24"/>
        </w:rPr>
        <w:tab/>
        <w:t xml:space="preserve"> </w:t>
      </w:r>
      <w:r w:rsidRPr="00A96CF1">
        <w:rPr>
          <w:sz w:val="24"/>
          <w:szCs w:val="24"/>
        </w:rPr>
        <w:t xml:space="preserve">call </w:t>
      </w:r>
      <w:r w:rsidR="00AB5E62" w:rsidRPr="00A96CF1">
        <w:rPr>
          <w:sz w:val="24"/>
          <w:szCs w:val="24"/>
        </w:rPr>
        <w:t>upon the purchaser to</w:t>
      </w:r>
      <w:r w:rsidR="00F87335">
        <w:rPr>
          <w:sz w:val="24"/>
          <w:szCs w:val="24"/>
        </w:rPr>
        <w:t xml:space="preserve"> remedy, rectify or desist from                               </w:t>
      </w:r>
    </w:p>
    <w:p w14:paraId="60EE16B8" w14:textId="77777777" w:rsidR="000863BB" w:rsidRDefault="000863BB" w:rsidP="00647699">
      <w:pPr>
        <w:pStyle w:val="LG-a-"/>
        <w:tabs>
          <w:tab w:val="left" w:pos="2835"/>
          <w:tab w:val="left" w:pos="2977"/>
        </w:tabs>
        <w:spacing w:line="240" w:lineRule="auto"/>
        <w:ind w:left="2160"/>
        <w:rPr>
          <w:sz w:val="24"/>
          <w:szCs w:val="24"/>
        </w:rPr>
      </w:pPr>
      <w:r>
        <w:rPr>
          <w:sz w:val="24"/>
          <w:szCs w:val="24"/>
        </w:rPr>
        <w:t xml:space="preserve">                    </w:t>
      </w:r>
      <w:r w:rsidR="00AB5E62" w:rsidRPr="00A96CF1">
        <w:rPr>
          <w:sz w:val="24"/>
          <w:szCs w:val="24"/>
        </w:rPr>
        <w:t xml:space="preserve">continuing, as the case may be, the breach concerned within a </w:t>
      </w:r>
      <w:r>
        <w:rPr>
          <w:sz w:val="24"/>
          <w:szCs w:val="24"/>
        </w:rPr>
        <w:t xml:space="preserve"> </w:t>
      </w:r>
    </w:p>
    <w:p w14:paraId="1174BC37" w14:textId="77777777" w:rsidR="000863BB" w:rsidRDefault="000863BB" w:rsidP="00647699">
      <w:pPr>
        <w:pStyle w:val="LG-a-"/>
        <w:tabs>
          <w:tab w:val="left" w:pos="2835"/>
          <w:tab w:val="left" w:pos="2977"/>
        </w:tabs>
        <w:spacing w:line="240" w:lineRule="auto"/>
        <w:ind w:left="2160"/>
        <w:rPr>
          <w:sz w:val="24"/>
          <w:szCs w:val="24"/>
        </w:rPr>
      </w:pPr>
      <w:r>
        <w:rPr>
          <w:sz w:val="24"/>
          <w:szCs w:val="24"/>
        </w:rPr>
        <w:lastRenderedPageBreak/>
        <w:t xml:space="preserve">                    </w:t>
      </w:r>
      <w:r w:rsidR="00AB5E62" w:rsidRPr="00A96CF1">
        <w:rPr>
          <w:sz w:val="24"/>
          <w:szCs w:val="24"/>
        </w:rPr>
        <w:t xml:space="preserve">reasonable period specified in the notice, which period shall not </w:t>
      </w:r>
    </w:p>
    <w:p w14:paraId="2AA07919" w14:textId="34FF02A9" w:rsidR="00AB5E62" w:rsidRPr="00A96CF1" w:rsidRDefault="000863BB" w:rsidP="00647699">
      <w:pPr>
        <w:pStyle w:val="LG-a-"/>
        <w:tabs>
          <w:tab w:val="left" w:pos="2835"/>
          <w:tab w:val="left" w:pos="2977"/>
        </w:tabs>
        <w:spacing w:line="240" w:lineRule="auto"/>
        <w:ind w:left="2160"/>
        <w:rPr>
          <w:sz w:val="24"/>
          <w:szCs w:val="24"/>
        </w:rPr>
      </w:pPr>
      <w:r>
        <w:rPr>
          <w:sz w:val="24"/>
          <w:szCs w:val="24"/>
        </w:rPr>
        <w:t xml:space="preserve">                    </w:t>
      </w:r>
      <w:r w:rsidR="00AB5E62" w:rsidRPr="00A96CF1">
        <w:rPr>
          <w:sz w:val="24"/>
          <w:szCs w:val="24"/>
        </w:rPr>
        <w:t>be less than—</w:t>
      </w:r>
    </w:p>
    <w:p w14:paraId="7265503A" w14:textId="77777777" w:rsidR="00EB3A26" w:rsidRDefault="00AB5E62" w:rsidP="00647699">
      <w:pPr>
        <w:pStyle w:val="LG-i-a"/>
        <w:spacing w:line="240" w:lineRule="auto"/>
        <w:ind w:left="2880" w:hanging="2880"/>
        <w:rPr>
          <w:sz w:val="24"/>
          <w:szCs w:val="24"/>
        </w:rPr>
      </w:pPr>
      <w:r w:rsidRPr="00A96CF1">
        <w:rPr>
          <w:sz w:val="24"/>
          <w:szCs w:val="24"/>
        </w:rPr>
        <w:tab/>
      </w:r>
      <w:r w:rsidR="00A73501" w:rsidRPr="00A96CF1">
        <w:rPr>
          <w:sz w:val="24"/>
          <w:szCs w:val="24"/>
        </w:rPr>
        <w:tab/>
      </w:r>
      <w:r w:rsidR="00746809" w:rsidRPr="00A96CF1">
        <w:rPr>
          <w:sz w:val="24"/>
          <w:szCs w:val="24"/>
        </w:rPr>
        <w:tab/>
      </w:r>
      <w:r w:rsidRPr="00A96CF1">
        <w:rPr>
          <w:sz w:val="24"/>
          <w:szCs w:val="24"/>
        </w:rPr>
        <w:t>(i)</w:t>
      </w:r>
      <w:r w:rsidRPr="00A96CF1">
        <w:rPr>
          <w:sz w:val="24"/>
          <w:szCs w:val="24"/>
        </w:rPr>
        <w:tab/>
        <w:t xml:space="preserve">the period fixed for the purpose in the instalment sale of </w:t>
      </w:r>
      <w:r w:rsidR="00F87335">
        <w:rPr>
          <w:sz w:val="24"/>
          <w:szCs w:val="24"/>
        </w:rPr>
        <w:t xml:space="preserve">   </w:t>
      </w:r>
      <w:r w:rsidR="00EB3A26">
        <w:rPr>
          <w:sz w:val="24"/>
          <w:szCs w:val="24"/>
        </w:rPr>
        <w:t xml:space="preserve"> </w:t>
      </w:r>
    </w:p>
    <w:p w14:paraId="695288D3" w14:textId="785EA639" w:rsidR="00AB5E62" w:rsidRPr="00A96CF1" w:rsidRDefault="00EB3A26" w:rsidP="00647699">
      <w:pPr>
        <w:pStyle w:val="LG-i-a"/>
        <w:spacing w:line="240" w:lineRule="auto"/>
        <w:ind w:left="2880" w:hanging="2880"/>
        <w:rPr>
          <w:sz w:val="24"/>
          <w:szCs w:val="24"/>
        </w:rPr>
      </w:pPr>
      <w:r>
        <w:rPr>
          <w:sz w:val="24"/>
          <w:szCs w:val="24"/>
        </w:rPr>
        <w:t xml:space="preserve">                                                            </w:t>
      </w:r>
      <w:r w:rsidR="00AB5E62" w:rsidRPr="00A96CF1">
        <w:rPr>
          <w:sz w:val="24"/>
          <w:szCs w:val="24"/>
        </w:rPr>
        <w:t>the land concerned; or</w:t>
      </w:r>
    </w:p>
    <w:p w14:paraId="1E57F134" w14:textId="1BE1F217" w:rsidR="00AB5E62" w:rsidRPr="00A96CF1" w:rsidRDefault="00AB5E62" w:rsidP="00647699">
      <w:pPr>
        <w:pStyle w:val="LG-i-a"/>
        <w:spacing w:line="240" w:lineRule="auto"/>
        <w:rPr>
          <w:sz w:val="24"/>
          <w:szCs w:val="24"/>
        </w:rPr>
      </w:pPr>
      <w:r w:rsidRPr="00A96CF1">
        <w:rPr>
          <w:sz w:val="24"/>
          <w:szCs w:val="24"/>
        </w:rPr>
        <w:tab/>
      </w:r>
      <w:r w:rsidR="00A73501" w:rsidRPr="00A96CF1">
        <w:rPr>
          <w:sz w:val="24"/>
          <w:szCs w:val="24"/>
        </w:rPr>
        <w:tab/>
      </w:r>
      <w:r w:rsidR="00746809" w:rsidRPr="00A96CF1">
        <w:rPr>
          <w:sz w:val="24"/>
          <w:szCs w:val="24"/>
        </w:rPr>
        <w:tab/>
      </w:r>
      <w:r w:rsidR="00746809" w:rsidRPr="00A96CF1">
        <w:rPr>
          <w:sz w:val="24"/>
          <w:szCs w:val="24"/>
        </w:rPr>
        <w:tab/>
      </w:r>
      <w:r w:rsidR="00746809" w:rsidRPr="00A96CF1">
        <w:rPr>
          <w:sz w:val="24"/>
          <w:szCs w:val="24"/>
        </w:rPr>
        <w:tab/>
      </w:r>
      <w:r w:rsidR="00A73501" w:rsidRPr="00A96CF1">
        <w:rPr>
          <w:sz w:val="24"/>
          <w:szCs w:val="24"/>
        </w:rPr>
        <w:t>(ii)</w:t>
      </w:r>
      <w:r w:rsidR="00A73501" w:rsidRPr="00A96CF1">
        <w:rPr>
          <w:sz w:val="24"/>
          <w:szCs w:val="24"/>
        </w:rPr>
        <w:tab/>
        <w:t xml:space="preserve">thirty days; </w:t>
      </w:r>
      <w:r w:rsidRPr="00A96CF1">
        <w:rPr>
          <w:sz w:val="24"/>
          <w:szCs w:val="24"/>
        </w:rPr>
        <w:t>whichever is the longer period.</w:t>
      </w:r>
    </w:p>
    <w:p w14:paraId="2ECD169B" w14:textId="77777777" w:rsidR="00AB5E62" w:rsidRPr="00A96CF1" w:rsidRDefault="00AB5E62" w:rsidP="00647699">
      <w:pPr>
        <w:pStyle w:val="LG-para3"/>
        <w:spacing w:line="240" w:lineRule="auto"/>
        <w:ind w:left="1843" w:hanging="403"/>
        <w:rPr>
          <w:sz w:val="24"/>
          <w:szCs w:val="24"/>
        </w:rPr>
      </w:pPr>
      <w:r w:rsidRPr="00A96CF1">
        <w:rPr>
          <w:sz w:val="24"/>
          <w:szCs w:val="24"/>
        </w:rPr>
        <w:t>(3)  Without derogation from section 40 of the Interpretation act [</w:t>
      </w:r>
      <w:r w:rsidRPr="00A96CF1">
        <w:rPr>
          <w:i/>
          <w:sz w:val="24"/>
          <w:szCs w:val="24"/>
        </w:rPr>
        <w:t>Chapter 1:01</w:t>
      </w:r>
      <w:r w:rsidRPr="00A96CF1">
        <w:rPr>
          <w:sz w:val="24"/>
          <w:szCs w:val="24"/>
        </w:rPr>
        <w:t>], a notice shall be regarded as having being duly given to the purchaser for the purposes of subsection (1)—</w:t>
      </w:r>
    </w:p>
    <w:p w14:paraId="3615D64D" w14:textId="77777777" w:rsidR="000863BB" w:rsidRPr="006A0DDD" w:rsidRDefault="00AB5E62" w:rsidP="00647699">
      <w:pPr>
        <w:pStyle w:val="LG-a-"/>
        <w:spacing w:line="240" w:lineRule="auto"/>
        <w:ind w:left="2160" w:hanging="2160"/>
        <w:rPr>
          <w:sz w:val="24"/>
          <w:szCs w:val="24"/>
        </w:rPr>
      </w:pPr>
      <w:r w:rsidRPr="00A96CF1">
        <w:rPr>
          <w:sz w:val="24"/>
          <w:szCs w:val="24"/>
        </w:rPr>
        <w:tab/>
      </w:r>
      <w:r w:rsidR="00A73501" w:rsidRPr="00A96CF1">
        <w:rPr>
          <w:sz w:val="24"/>
          <w:szCs w:val="24"/>
        </w:rPr>
        <w:tab/>
      </w:r>
      <w:r w:rsidR="00A73501" w:rsidRPr="00A96CF1">
        <w:rPr>
          <w:sz w:val="24"/>
          <w:szCs w:val="24"/>
        </w:rPr>
        <w:tab/>
      </w:r>
      <w:r w:rsidRPr="006A0DDD">
        <w:rPr>
          <w:sz w:val="24"/>
          <w:szCs w:val="24"/>
        </w:rPr>
        <w:t>(a)</w:t>
      </w:r>
      <w:r w:rsidRPr="006A0DDD">
        <w:rPr>
          <w:sz w:val="24"/>
          <w:szCs w:val="24"/>
        </w:rPr>
        <w:tab/>
        <w:t>if it has been delivered to the purc</w:t>
      </w:r>
      <w:r w:rsidR="00F87335" w:rsidRPr="006A0DDD">
        <w:rPr>
          <w:sz w:val="24"/>
          <w:szCs w:val="24"/>
        </w:rPr>
        <w:t xml:space="preserve">haser personally or to an agent           </w:t>
      </w:r>
    </w:p>
    <w:p w14:paraId="7C75C60D" w14:textId="77777777" w:rsidR="003F68CB" w:rsidRPr="006A0DDD" w:rsidRDefault="000863BB" w:rsidP="00647699">
      <w:pPr>
        <w:pStyle w:val="LG-a-"/>
        <w:spacing w:line="240" w:lineRule="auto"/>
        <w:ind w:left="2160" w:hanging="2160"/>
        <w:rPr>
          <w:sz w:val="24"/>
          <w:szCs w:val="24"/>
        </w:rPr>
      </w:pPr>
      <w:r w:rsidRPr="006A0DDD">
        <w:rPr>
          <w:sz w:val="24"/>
          <w:szCs w:val="24"/>
        </w:rPr>
        <w:t xml:space="preserve">                                               </w:t>
      </w:r>
      <w:r w:rsidR="00AB5E62" w:rsidRPr="006A0DDD">
        <w:rPr>
          <w:sz w:val="24"/>
          <w:szCs w:val="24"/>
        </w:rPr>
        <w:t xml:space="preserve">chosen by the purchaser for the purpose of receiving such notices; </w:t>
      </w:r>
    </w:p>
    <w:p w14:paraId="1550E4A0" w14:textId="20E0F6F1" w:rsidR="007A0D97" w:rsidRPr="006A0DDD" w:rsidRDefault="003F68CB" w:rsidP="00647699">
      <w:pPr>
        <w:pStyle w:val="LG-a-"/>
        <w:spacing w:line="240" w:lineRule="auto"/>
        <w:ind w:left="2160" w:hanging="2160"/>
        <w:rPr>
          <w:sz w:val="24"/>
          <w:szCs w:val="24"/>
        </w:rPr>
      </w:pPr>
      <w:r w:rsidRPr="006A0DDD">
        <w:rPr>
          <w:sz w:val="24"/>
          <w:szCs w:val="24"/>
        </w:rPr>
        <w:t xml:space="preserve">                                                </w:t>
      </w:r>
      <w:r w:rsidR="00AB5E62" w:rsidRPr="006A0DDD">
        <w:rPr>
          <w:sz w:val="24"/>
          <w:szCs w:val="24"/>
        </w:rPr>
        <w:t>or</w:t>
      </w:r>
    </w:p>
    <w:p w14:paraId="0D19A5C9" w14:textId="77777777" w:rsidR="003F68CB" w:rsidRDefault="00AB5E62" w:rsidP="00647699">
      <w:pPr>
        <w:pStyle w:val="LG-a-"/>
        <w:spacing w:line="240" w:lineRule="auto"/>
        <w:ind w:left="2160" w:hanging="2160"/>
        <w:rPr>
          <w:sz w:val="24"/>
          <w:szCs w:val="24"/>
        </w:rPr>
      </w:pPr>
      <w:r w:rsidRPr="006A0DDD">
        <w:rPr>
          <w:sz w:val="24"/>
          <w:szCs w:val="24"/>
        </w:rPr>
        <w:tab/>
      </w:r>
      <w:r w:rsidR="00A73501" w:rsidRPr="006A0DDD">
        <w:rPr>
          <w:sz w:val="24"/>
          <w:szCs w:val="24"/>
        </w:rPr>
        <w:tab/>
      </w:r>
      <w:r w:rsidR="00A73501" w:rsidRPr="006A0DDD">
        <w:rPr>
          <w:sz w:val="24"/>
          <w:szCs w:val="24"/>
        </w:rPr>
        <w:tab/>
      </w:r>
      <w:r w:rsidRPr="006A0DDD">
        <w:rPr>
          <w:sz w:val="24"/>
          <w:szCs w:val="24"/>
        </w:rPr>
        <w:t>(b)</w:t>
      </w:r>
      <w:r w:rsidRPr="00A96CF1">
        <w:rPr>
          <w:sz w:val="24"/>
          <w:szCs w:val="24"/>
        </w:rPr>
        <w:tab/>
        <w:t xml:space="preserve">if it has been posted by registered post to the address chosen by </w:t>
      </w:r>
    </w:p>
    <w:p w14:paraId="2BB8E559" w14:textId="716E4292" w:rsidR="003F68CB" w:rsidRDefault="003F68CB" w:rsidP="00647699">
      <w:pPr>
        <w:pStyle w:val="LG-a-"/>
        <w:spacing w:line="240" w:lineRule="auto"/>
        <w:ind w:left="2160" w:hanging="2160"/>
        <w:rPr>
          <w:sz w:val="24"/>
          <w:szCs w:val="24"/>
        </w:rPr>
      </w:pPr>
      <w:r>
        <w:rPr>
          <w:sz w:val="24"/>
          <w:szCs w:val="24"/>
        </w:rPr>
        <w:t xml:space="preserve">                                               </w:t>
      </w:r>
      <w:r w:rsidR="00647699">
        <w:rPr>
          <w:sz w:val="24"/>
          <w:szCs w:val="24"/>
        </w:rPr>
        <w:t xml:space="preserve"> </w:t>
      </w:r>
      <w:r w:rsidR="00AB5E62" w:rsidRPr="00A96CF1">
        <w:rPr>
          <w:sz w:val="24"/>
          <w:szCs w:val="24"/>
        </w:rPr>
        <w:t xml:space="preserve">the purchaser for the delivery of correspondence or legal </w:t>
      </w:r>
      <w:r>
        <w:rPr>
          <w:sz w:val="24"/>
          <w:szCs w:val="24"/>
        </w:rPr>
        <w:t xml:space="preserve">     </w:t>
      </w:r>
    </w:p>
    <w:p w14:paraId="649AEB47" w14:textId="63959F5A" w:rsidR="00AB5E62" w:rsidRPr="00A96CF1" w:rsidRDefault="003F68CB" w:rsidP="00647699">
      <w:pPr>
        <w:pStyle w:val="LG-a-"/>
        <w:spacing w:line="240" w:lineRule="auto"/>
        <w:ind w:left="2835" w:hanging="2835"/>
        <w:rPr>
          <w:sz w:val="24"/>
          <w:szCs w:val="24"/>
        </w:rPr>
      </w:pPr>
      <w:r>
        <w:rPr>
          <w:sz w:val="24"/>
          <w:szCs w:val="24"/>
        </w:rPr>
        <w:t xml:space="preserve">                                              </w:t>
      </w:r>
      <w:r w:rsidR="00647699">
        <w:rPr>
          <w:sz w:val="24"/>
          <w:szCs w:val="24"/>
        </w:rPr>
        <w:t xml:space="preserve">  </w:t>
      </w:r>
      <w:r w:rsidR="00AB5E62" w:rsidRPr="00A96CF1">
        <w:rPr>
          <w:sz w:val="24"/>
          <w:szCs w:val="24"/>
        </w:rPr>
        <w:t xml:space="preserve">documents relating to the instalment sale of land concerned </w:t>
      </w:r>
      <w:proofErr w:type="gramStart"/>
      <w:r w:rsidR="00AB5E62" w:rsidRPr="00A96CF1">
        <w:rPr>
          <w:sz w:val="24"/>
          <w:szCs w:val="24"/>
        </w:rPr>
        <w:t xml:space="preserve">or, </w:t>
      </w:r>
      <w:r w:rsidR="00647699">
        <w:rPr>
          <w:sz w:val="24"/>
          <w:szCs w:val="24"/>
        </w:rPr>
        <w:t xml:space="preserve">  </w:t>
      </w:r>
      <w:proofErr w:type="gramEnd"/>
      <w:r w:rsidR="00647699">
        <w:rPr>
          <w:sz w:val="24"/>
          <w:szCs w:val="24"/>
        </w:rPr>
        <w:t xml:space="preserve">      in </w:t>
      </w:r>
      <w:r w:rsidR="00AB5E62" w:rsidRPr="00A96CF1">
        <w:rPr>
          <w:sz w:val="24"/>
          <w:szCs w:val="24"/>
        </w:rPr>
        <w:t>the absence thereof, to the purchaser’s usual o</w:t>
      </w:r>
      <w:r w:rsidR="00647699">
        <w:rPr>
          <w:sz w:val="24"/>
          <w:szCs w:val="24"/>
        </w:rPr>
        <w:t xml:space="preserve">r last known place </w:t>
      </w:r>
      <w:r w:rsidR="00AB5E62" w:rsidRPr="00A96CF1">
        <w:rPr>
          <w:sz w:val="24"/>
          <w:szCs w:val="24"/>
        </w:rPr>
        <w:t>of residence or business.</w:t>
      </w:r>
      <w:r w:rsidR="00746809" w:rsidRPr="00A96CF1">
        <w:rPr>
          <w:sz w:val="24"/>
          <w:szCs w:val="24"/>
        </w:rPr>
        <w:t>”</w:t>
      </w:r>
    </w:p>
    <w:p w14:paraId="2640E2DA" w14:textId="77777777" w:rsidR="00292E04" w:rsidRPr="00A96CF1" w:rsidRDefault="00292E04" w:rsidP="00647699">
      <w:pPr>
        <w:pStyle w:val="LG-a-"/>
        <w:spacing w:line="240" w:lineRule="auto"/>
        <w:ind w:left="720" w:hanging="720"/>
        <w:rPr>
          <w:sz w:val="24"/>
          <w:szCs w:val="24"/>
        </w:rPr>
      </w:pPr>
    </w:p>
    <w:p w14:paraId="3941C7F0" w14:textId="3F011879" w:rsidR="00B33917" w:rsidRPr="00A96CF1" w:rsidRDefault="00B33917" w:rsidP="006A0DDD">
      <w:pPr>
        <w:pStyle w:val="NormalWeb"/>
        <w:numPr>
          <w:ilvl w:val="0"/>
          <w:numId w:val="15"/>
        </w:numPr>
        <w:shd w:val="clear" w:color="auto" w:fill="FFFFFF"/>
        <w:spacing w:before="0" w:beforeAutospacing="0" w:after="0" w:afterAutospacing="0" w:line="480" w:lineRule="auto"/>
        <w:ind w:left="567" w:hanging="567"/>
        <w:jc w:val="both"/>
      </w:pPr>
      <w:r w:rsidRPr="00A96CF1">
        <w:t>S</w:t>
      </w:r>
      <w:r w:rsidR="00F87335">
        <w:t>ection</w:t>
      </w:r>
      <w:r w:rsidRPr="00A96CF1">
        <w:t xml:space="preserve"> 40 of the Interpretation Act provides as follows:</w:t>
      </w:r>
    </w:p>
    <w:p w14:paraId="2BA01C54" w14:textId="77777777" w:rsidR="00B33917" w:rsidRPr="00A96CF1" w:rsidRDefault="00B33917" w:rsidP="006A0DDD">
      <w:pPr>
        <w:pStyle w:val="NormalWeb"/>
        <w:shd w:val="clear" w:color="auto" w:fill="FFFFFF"/>
        <w:spacing w:before="0" w:beforeAutospacing="0" w:after="0" w:afterAutospacing="0"/>
        <w:ind w:left="720" w:firstLine="414"/>
        <w:jc w:val="both"/>
      </w:pPr>
      <w:r w:rsidRPr="00A96CF1">
        <w:rPr>
          <w:b/>
          <w:bCs/>
        </w:rPr>
        <w:t>“40 Service of documents</w:t>
      </w:r>
    </w:p>
    <w:p w14:paraId="208099A3" w14:textId="0092BA31" w:rsidR="00F87335" w:rsidRDefault="00B33917" w:rsidP="00647699">
      <w:pPr>
        <w:pStyle w:val="NormalWeb"/>
        <w:shd w:val="clear" w:color="auto" w:fill="FFFFFF"/>
        <w:spacing w:before="0" w:beforeAutospacing="0" w:after="165" w:afterAutospacing="0"/>
        <w:ind w:left="1560" w:hanging="426"/>
        <w:jc w:val="both"/>
        <w:rPr>
          <w:shd w:val="clear" w:color="auto" w:fill="FFFFFF"/>
        </w:rPr>
      </w:pPr>
      <w:r w:rsidRPr="00A96CF1">
        <w:t>“(1) Where an enactment authorises or requires a document to be served by post, and where the word ‘serve’ or any of the words ‘give’, ‘deliver’ or ‘send’ or any other word is used, the service of the document may be effected by prepaying, registering and posting an envelope addressed to the person on whom the document is to be served at his usual or last-known place of abode or business, and containing such document, and, unless the contrary is proved, the document shall be deemed to have been served at the time at which such envelope would have been delivered in the ordinary course of post.”</w:t>
      </w:r>
    </w:p>
    <w:p w14:paraId="17FD9137" w14:textId="77777777" w:rsidR="00F87335" w:rsidRDefault="00F87335" w:rsidP="00F87335">
      <w:pPr>
        <w:pStyle w:val="NormalWeb"/>
        <w:shd w:val="clear" w:color="auto" w:fill="FFFFFF"/>
        <w:spacing w:before="0" w:beforeAutospacing="0" w:after="165" w:afterAutospacing="0" w:line="360" w:lineRule="auto"/>
        <w:ind w:left="720"/>
        <w:jc w:val="both"/>
        <w:rPr>
          <w:shd w:val="clear" w:color="auto" w:fill="FFFFFF"/>
        </w:rPr>
      </w:pPr>
    </w:p>
    <w:p w14:paraId="6525D52D" w14:textId="468886FF" w:rsidR="0003597A" w:rsidRPr="00A96CF1" w:rsidRDefault="0093416A" w:rsidP="00647699">
      <w:pPr>
        <w:pStyle w:val="NormalWeb"/>
        <w:numPr>
          <w:ilvl w:val="0"/>
          <w:numId w:val="15"/>
        </w:numPr>
        <w:shd w:val="clear" w:color="auto" w:fill="FFFFFF"/>
        <w:spacing w:before="0" w:beforeAutospacing="0" w:after="0" w:afterAutospacing="0" w:line="480" w:lineRule="auto"/>
        <w:ind w:left="567" w:hanging="567"/>
        <w:jc w:val="both"/>
        <w:rPr>
          <w:shd w:val="clear" w:color="auto" w:fill="FFFFFF"/>
        </w:rPr>
      </w:pPr>
      <w:r w:rsidRPr="00A96CF1">
        <w:rPr>
          <w:shd w:val="clear" w:color="auto" w:fill="FFFFFF"/>
        </w:rPr>
        <w:t xml:space="preserve">On this issue, the court </w:t>
      </w:r>
      <w:r w:rsidRPr="00A96CF1">
        <w:rPr>
          <w:i/>
          <w:iCs/>
          <w:shd w:val="clear" w:color="auto" w:fill="FFFFFF"/>
        </w:rPr>
        <w:t>a quo</w:t>
      </w:r>
      <w:r w:rsidRPr="00A96CF1">
        <w:rPr>
          <w:shd w:val="clear" w:color="auto" w:fill="FFFFFF"/>
        </w:rPr>
        <w:t xml:space="preserve"> </w:t>
      </w:r>
      <w:r w:rsidR="00AA4AAB" w:rsidRPr="00A96CF1">
        <w:rPr>
          <w:shd w:val="clear" w:color="auto" w:fill="FFFFFF"/>
        </w:rPr>
        <w:t>not</w:t>
      </w:r>
      <w:r w:rsidRPr="00A96CF1">
        <w:rPr>
          <w:shd w:val="clear" w:color="auto" w:fill="FFFFFF"/>
        </w:rPr>
        <w:t>ed the following a</w:t>
      </w:r>
      <w:r w:rsidR="00716198" w:rsidRPr="00A96CF1">
        <w:rPr>
          <w:shd w:val="clear" w:color="auto" w:fill="FFFFFF"/>
        </w:rPr>
        <w:t xml:space="preserve">t </w:t>
      </w:r>
      <w:r w:rsidR="0003597A" w:rsidRPr="00A96CF1">
        <w:rPr>
          <w:shd w:val="clear" w:color="auto" w:fill="FFFFFF"/>
        </w:rPr>
        <w:t>para 6</w:t>
      </w:r>
      <w:r w:rsidR="004E5B2B" w:rsidRPr="00A96CF1">
        <w:rPr>
          <w:shd w:val="clear" w:color="auto" w:fill="FFFFFF"/>
        </w:rPr>
        <w:t xml:space="preserve"> of its judgment</w:t>
      </w:r>
      <w:r w:rsidR="0003597A" w:rsidRPr="00A96CF1">
        <w:rPr>
          <w:shd w:val="clear" w:color="auto" w:fill="FFFFFF"/>
        </w:rPr>
        <w:t>:</w:t>
      </w:r>
    </w:p>
    <w:p w14:paraId="118A9B31" w14:textId="0D70508A" w:rsidR="00F87335" w:rsidRDefault="0003597A" w:rsidP="00647699">
      <w:pPr>
        <w:pStyle w:val="NormalWeb"/>
        <w:shd w:val="clear" w:color="auto" w:fill="FFFFFF"/>
        <w:spacing w:before="0" w:beforeAutospacing="0" w:after="0" w:afterAutospacing="0"/>
        <w:ind w:left="1276" w:hanging="142"/>
        <w:jc w:val="both"/>
        <w:rPr>
          <w:shd w:val="clear" w:color="auto" w:fill="FFFFFF"/>
        </w:rPr>
      </w:pPr>
      <w:r w:rsidRPr="00A96CF1">
        <w:rPr>
          <w:shd w:val="clear" w:color="auto" w:fill="FFFFFF"/>
        </w:rPr>
        <w:t>“… Counsel submitted that 1st defendant does not dispute that</w:t>
      </w:r>
      <w:r w:rsidR="004F18C5" w:rsidRPr="00A96CF1">
        <w:rPr>
          <w:shd w:val="clear" w:color="auto" w:fill="FFFFFF"/>
        </w:rPr>
        <w:t xml:space="preserve"> the notice of cancellation of the agreement was served on his gardener on the 12 August 2015. What was disputed was that </w:t>
      </w:r>
      <w:r w:rsidR="00AA4AAB" w:rsidRPr="00A96CF1">
        <w:rPr>
          <w:shd w:val="clear" w:color="auto" w:fill="FFFFFF"/>
        </w:rPr>
        <w:t>the return of service did not relate to the service of the notice of cancellation.”</w:t>
      </w:r>
    </w:p>
    <w:p w14:paraId="6FAABCA0" w14:textId="77777777" w:rsidR="00F87335" w:rsidRDefault="00F87335" w:rsidP="00647699">
      <w:pPr>
        <w:pStyle w:val="NormalWeb"/>
        <w:shd w:val="clear" w:color="auto" w:fill="FFFFFF"/>
        <w:spacing w:before="0" w:beforeAutospacing="0" w:after="0" w:afterAutospacing="0" w:line="480" w:lineRule="auto"/>
        <w:jc w:val="both"/>
        <w:rPr>
          <w:shd w:val="clear" w:color="auto" w:fill="FFFFFF"/>
        </w:rPr>
      </w:pPr>
    </w:p>
    <w:p w14:paraId="45498CBD" w14:textId="4E52E437" w:rsidR="0020572C" w:rsidRPr="00A96CF1" w:rsidRDefault="0020572C" w:rsidP="00647699">
      <w:pPr>
        <w:pStyle w:val="NormalWeb"/>
        <w:numPr>
          <w:ilvl w:val="0"/>
          <w:numId w:val="15"/>
        </w:numPr>
        <w:shd w:val="clear" w:color="auto" w:fill="FFFFFF"/>
        <w:spacing w:before="0" w:beforeAutospacing="0" w:after="0" w:afterAutospacing="0" w:line="480" w:lineRule="auto"/>
        <w:ind w:left="567" w:hanging="567"/>
        <w:jc w:val="both"/>
        <w:rPr>
          <w:shd w:val="clear" w:color="auto" w:fill="FFFFFF"/>
        </w:rPr>
      </w:pPr>
      <w:r w:rsidRPr="00A96CF1">
        <w:rPr>
          <w:shd w:val="clear" w:color="auto" w:fill="FFFFFF"/>
        </w:rPr>
        <w:t xml:space="preserve">The court </w:t>
      </w:r>
      <w:r w:rsidRPr="00A96CF1">
        <w:rPr>
          <w:i/>
          <w:shd w:val="clear" w:color="auto" w:fill="FFFFFF"/>
        </w:rPr>
        <w:t>a quo</w:t>
      </w:r>
      <w:r w:rsidRPr="00A96CF1">
        <w:rPr>
          <w:shd w:val="clear" w:color="auto" w:fill="FFFFFF"/>
        </w:rPr>
        <w:t xml:space="preserve"> pertinently repeated this observation in para 11 where it stated as follows:</w:t>
      </w:r>
    </w:p>
    <w:p w14:paraId="4B395F04" w14:textId="5B3CB878" w:rsidR="0020572C" w:rsidRPr="00A96CF1" w:rsidRDefault="00E45A7E" w:rsidP="00647699">
      <w:pPr>
        <w:pStyle w:val="NormalWeb"/>
        <w:shd w:val="clear" w:color="auto" w:fill="FFFFFF"/>
        <w:spacing w:before="0" w:beforeAutospacing="0" w:after="0" w:afterAutospacing="0"/>
        <w:ind w:left="1276" w:hanging="142"/>
        <w:jc w:val="both"/>
        <w:rPr>
          <w:shd w:val="clear" w:color="auto" w:fill="FFFFFF"/>
        </w:rPr>
      </w:pPr>
      <w:r>
        <w:rPr>
          <w:shd w:val="clear" w:color="auto" w:fill="FFFFFF"/>
        </w:rPr>
        <w:t>“first</w:t>
      </w:r>
      <w:r w:rsidR="0020572C" w:rsidRPr="00A96CF1">
        <w:rPr>
          <w:shd w:val="clear" w:color="auto" w:fill="FFFFFF"/>
        </w:rPr>
        <w:t xml:space="preserve"> defendant agreed that the notice of termination of the initial agreeme</w:t>
      </w:r>
      <w:r>
        <w:rPr>
          <w:shd w:val="clear" w:color="auto" w:fill="FFFFFF"/>
        </w:rPr>
        <w:t xml:space="preserve">nt of sale was served upon the first </w:t>
      </w:r>
      <w:r w:rsidR="0020572C" w:rsidRPr="00A96CF1">
        <w:rPr>
          <w:shd w:val="clear" w:color="auto" w:fill="FFFFFF"/>
        </w:rPr>
        <w:t>defendant at No. 43Aberdeen Road, Fortunes Gate, Bulawayo on the 12</w:t>
      </w:r>
      <w:r w:rsidR="0020572C" w:rsidRPr="00A96CF1">
        <w:rPr>
          <w:shd w:val="clear" w:color="auto" w:fill="FFFFFF"/>
          <w:vertAlign w:val="superscript"/>
        </w:rPr>
        <w:t>th</w:t>
      </w:r>
      <w:r>
        <w:rPr>
          <w:shd w:val="clear" w:color="auto" w:fill="FFFFFF"/>
        </w:rPr>
        <w:t xml:space="preserve"> August 2015, on the first defendant’s worker. </w:t>
      </w:r>
      <w:r w:rsidR="005F0152">
        <w:rPr>
          <w:shd w:val="clear" w:color="auto" w:fill="FFFFFF"/>
        </w:rPr>
        <w:t xml:space="preserve">First </w:t>
      </w:r>
      <w:r w:rsidR="005F0152" w:rsidRPr="00A96CF1">
        <w:rPr>
          <w:shd w:val="clear" w:color="auto" w:fill="FFFFFF"/>
        </w:rPr>
        <w:t>defendant</w:t>
      </w:r>
      <w:r w:rsidR="0020572C" w:rsidRPr="00A96CF1">
        <w:rPr>
          <w:shd w:val="clear" w:color="auto" w:fill="FFFFFF"/>
        </w:rPr>
        <w:t xml:space="preserve"> is bound by the statement of facts. In his submissions</w:t>
      </w:r>
      <w:r>
        <w:rPr>
          <w:shd w:val="clear" w:color="auto" w:fill="FFFFFF"/>
        </w:rPr>
        <w:t xml:space="preserve"> Mr </w:t>
      </w:r>
      <w:proofErr w:type="spellStart"/>
      <w:r w:rsidRPr="00EB79AC">
        <w:rPr>
          <w:i/>
          <w:iCs/>
          <w:shd w:val="clear" w:color="auto" w:fill="FFFFFF"/>
        </w:rPr>
        <w:t>Ndubiwa</w:t>
      </w:r>
      <w:proofErr w:type="spellEnd"/>
      <w:r>
        <w:rPr>
          <w:shd w:val="clear" w:color="auto" w:fill="FFFFFF"/>
        </w:rPr>
        <w:t xml:space="preserve"> contended that the first </w:t>
      </w:r>
      <w:r w:rsidR="0020572C" w:rsidRPr="00A96CF1">
        <w:rPr>
          <w:shd w:val="clear" w:color="auto" w:fill="FFFFFF"/>
        </w:rPr>
        <w:t xml:space="preserve">defendant does not dispute that the notice of cancellation of the agreement was served on his gardener on the 12 August 2015. What was disputed was that the return of service did not relate to the service of the notice of cancellation.”  </w:t>
      </w:r>
    </w:p>
    <w:p w14:paraId="0E734D05" w14:textId="77777777" w:rsidR="00E45A7E" w:rsidRDefault="00E45A7E" w:rsidP="00647699">
      <w:pPr>
        <w:pStyle w:val="NormalWeb"/>
        <w:shd w:val="clear" w:color="auto" w:fill="FFFFFF"/>
        <w:spacing w:before="0" w:beforeAutospacing="0" w:after="0" w:afterAutospacing="0" w:line="480" w:lineRule="auto"/>
        <w:ind w:left="720"/>
        <w:jc w:val="both"/>
        <w:rPr>
          <w:shd w:val="clear" w:color="auto" w:fill="FFFFFF"/>
        </w:rPr>
      </w:pPr>
    </w:p>
    <w:p w14:paraId="53B02CC8" w14:textId="146B8F87" w:rsidR="00716198" w:rsidRPr="00A96CF1" w:rsidRDefault="0003597A" w:rsidP="006A0DDD">
      <w:pPr>
        <w:pStyle w:val="NormalWeb"/>
        <w:numPr>
          <w:ilvl w:val="0"/>
          <w:numId w:val="15"/>
        </w:numPr>
        <w:shd w:val="clear" w:color="auto" w:fill="FFFFFF"/>
        <w:spacing w:before="0" w:beforeAutospacing="0" w:after="0" w:afterAutospacing="0" w:line="480" w:lineRule="auto"/>
        <w:ind w:left="567" w:hanging="567"/>
        <w:jc w:val="both"/>
        <w:rPr>
          <w:shd w:val="clear" w:color="auto" w:fill="FFFFFF"/>
        </w:rPr>
      </w:pPr>
      <w:r w:rsidRPr="00A96CF1">
        <w:rPr>
          <w:shd w:val="clear" w:color="auto" w:fill="FFFFFF"/>
        </w:rPr>
        <w:lastRenderedPageBreak/>
        <w:t>I</w:t>
      </w:r>
      <w:r w:rsidR="00BD6015" w:rsidRPr="00A96CF1">
        <w:rPr>
          <w:shd w:val="clear" w:color="auto" w:fill="FFFFFF"/>
        </w:rPr>
        <w:t>n its analysis and in disposing of the issue, the court</w:t>
      </w:r>
      <w:r w:rsidRPr="00A96CF1">
        <w:rPr>
          <w:shd w:val="clear" w:color="auto" w:fill="FFFFFF"/>
        </w:rPr>
        <w:t xml:space="preserve"> further stated at </w:t>
      </w:r>
      <w:r w:rsidR="00716198" w:rsidRPr="00A96CF1">
        <w:rPr>
          <w:shd w:val="clear" w:color="auto" w:fill="FFFFFF"/>
        </w:rPr>
        <w:t>paras 25</w:t>
      </w:r>
      <w:r w:rsidR="00BD6015" w:rsidRPr="00A96CF1">
        <w:rPr>
          <w:shd w:val="clear" w:color="auto" w:fill="FFFFFF"/>
        </w:rPr>
        <w:t>, 26 and 27</w:t>
      </w:r>
      <w:r w:rsidR="00716198" w:rsidRPr="00A96CF1">
        <w:rPr>
          <w:shd w:val="clear" w:color="auto" w:fill="FFFFFF"/>
        </w:rPr>
        <w:t xml:space="preserve"> of its judgment:</w:t>
      </w:r>
    </w:p>
    <w:p w14:paraId="28B2DB89" w14:textId="706C5EA7" w:rsidR="00716198" w:rsidRPr="00A96CF1" w:rsidRDefault="00716198" w:rsidP="006A0DDD">
      <w:pPr>
        <w:pStyle w:val="NormalWeb"/>
        <w:shd w:val="clear" w:color="auto" w:fill="FFFFFF"/>
        <w:spacing w:before="0" w:beforeAutospacing="0" w:after="0" w:afterAutospacing="0"/>
        <w:ind w:left="1559" w:hanging="425"/>
        <w:jc w:val="both"/>
        <w:rPr>
          <w:shd w:val="clear" w:color="auto" w:fill="FFFFFF"/>
        </w:rPr>
      </w:pPr>
      <w:r w:rsidRPr="00A96CF1">
        <w:rPr>
          <w:shd w:val="clear" w:color="auto" w:fill="FFFFFF"/>
        </w:rPr>
        <w:t>“25. In determining whether service of the notice was valid service, the court is required to tease out the intentio</w:t>
      </w:r>
      <w:r w:rsidR="00E45A7E">
        <w:rPr>
          <w:shd w:val="clear" w:color="auto" w:fill="FFFFFF"/>
        </w:rPr>
        <w:t>n, purpose or context of s</w:t>
      </w:r>
      <w:r w:rsidRPr="00A96CF1">
        <w:rPr>
          <w:shd w:val="clear" w:color="auto" w:fill="FFFFFF"/>
        </w:rPr>
        <w:t xml:space="preserve"> 8(3)(b) of the Contractual Penalties Act. </w:t>
      </w:r>
      <w:r w:rsidRPr="00A96CF1">
        <w:rPr>
          <w:bCs/>
          <w:shd w:val="clear" w:color="auto" w:fill="FFFFFF"/>
        </w:rPr>
        <w:t>Its purpose is to make provision for effective service of a written notice of breach of the agreement of sale.</w:t>
      </w:r>
      <w:r w:rsidR="00E45A7E">
        <w:rPr>
          <w:shd w:val="clear" w:color="auto" w:fill="FFFFFF"/>
        </w:rPr>
        <w:t xml:space="preserve"> In the agreement of sale first</w:t>
      </w:r>
      <w:r w:rsidRPr="00A96CF1">
        <w:rPr>
          <w:shd w:val="clear" w:color="auto" w:fill="FFFFFF"/>
        </w:rPr>
        <w:t xml:space="preserve"> defendant provided his address as number 43 Aberdeen Road, Fortunes Gate, Bulawayo. That is the address where the notice of termination of the agreement was served. The agreement does not specify the manner of service of a written not</w:t>
      </w:r>
      <w:r w:rsidR="00E45A7E">
        <w:rPr>
          <w:shd w:val="clear" w:color="auto" w:fill="FFFFFF"/>
        </w:rPr>
        <w:t xml:space="preserve">ice in the case of breach. The first </w:t>
      </w:r>
      <w:r w:rsidRPr="00A96CF1">
        <w:rPr>
          <w:shd w:val="clear" w:color="auto" w:fill="FFFFFF"/>
        </w:rPr>
        <w:t xml:space="preserve">defendant accepts that the notice was indeed delivered, but contends that it was not delivered in terms of the provisions of the </w:t>
      </w:r>
      <w:r w:rsidR="00E45A7E">
        <w:rPr>
          <w:shd w:val="clear" w:color="auto" w:fill="FFFFFF"/>
        </w:rPr>
        <w:t xml:space="preserve">law. </w:t>
      </w:r>
      <w:r w:rsidR="00E45A7E" w:rsidRPr="00D97A83">
        <w:rPr>
          <w:b/>
          <w:bCs/>
          <w:shd w:val="clear" w:color="auto" w:fill="FFFFFF"/>
        </w:rPr>
        <w:t xml:space="preserve">The position taken by the first </w:t>
      </w:r>
      <w:r w:rsidRPr="00D97A83">
        <w:rPr>
          <w:b/>
          <w:bCs/>
          <w:shd w:val="clear" w:color="auto" w:fill="FFFFFF"/>
        </w:rPr>
        <w:t xml:space="preserve">defendant is tantamount to saying “yes” the notice was delivered and I saw it, but it did not come to me </w:t>
      </w:r>
      <w:r w:rsidRPr="00D97A83">
        <w:rPr>
          <w:b/>
          <w:bCs/>
          <w:i/>
          <w:iCs/>
          <w:shd w:val="clear" w:color="auto" w:fill="FFFFFF"/>
        </w:rPr>
        <w:t>via</w:t>
      </w:r>
      <w:r w:rsidRPr="00D97A83">
        <w:rPr>
          <w:b/>
          <w:bCs/>
          <w:shd w:val="clear" w:color="auto" w:fill="FFFFFF"/>
        </w:rPr>
        <w:t xml:space="preserve"> the correct route.</w:t>
      </w:r>
      <w:r w:rsidRPr="00A96CF1">
        <w:rPr>
          <w:shd w:val="clear" w:color="auto" w:fill="FFFFFF"/>
        </w:rPr>
        <w:t xml:space="preserve"> Such a position is unattainable</w:t>
      </w:r>
      <w:r w:rsidR="00D97A83">
        <w:rPr>
          <w:shd w:val="clear" w:color="auto" w:fill="FFFFFF"/>
        </w:rPr>
        <w:t xml:space="preserve"> (sic)</w:t>
      </w:r>
      <w:r w:rsidRPr="00A96CF1">
        <w:rPr>
          <w:shd w:val="clear" w:color="auto" w:fill="FFFFFF"/>
        </w:rPr>
        <w:t xml:space="preserve"> (un</w:t>
      </w:r>
      <w:r w:rsidR="00D97A83">
        <w:rPr>
          <w:shd w:val="clear" w:color="auto" w:fill="FFFFFF"/>
        </w:rPr>
        <w:t>te</w:t>
      </w:r>
      <w:r w:rsidRPr="00A96CF1">
        <w:rPr>
          <w:shd w:val="clear" w:color="auto" w:fill="FFFFFF"/>
        </w:rPr>
        <w:t>nable</w:t>
      </w:r>
      <w:r w:rsidR="00DE3D9B" w:rsidRPr="00A96CF1">
        <w:rPr>
          <w:shd w:val="clear" w:color="auto" w:fill="FFFFFF"/>
        </w:rPr>
        <w:t>?</w:t>
      </w:r>
      <w:r w:rsidRPr="00A96CF1">
        <w:rPr>
          <w:shd w:val="clear" w:color="auto" w:fill="FFFFFF"/>
        </w:rPr>
        <w:t xml:space="preserve">). </w:t>
      </w:r>
      <w:r w:rsidRPr="00A96CF1">
        <w:rPr>
          <w:bCs/>
          <w:shd w:val="clear" w:color="auto" w:fill="FFFFFF"/>
        </w:rPr>
        <w:t>What the law requires is the effective service of the notice,</w:t>
      </w:r>
      <w:r w:rsidRPr="00A96CF1">
        <w:rPr>
          <w:shd w:val="clear" w:color="auto" w:fill="FFFFFF"/>
        </w:rPr>
        <w:t xml:space="preserve"> and leaving it with his worker amounts to effective service.</w:t>
      </w:r>
      <w:r w:rsidR="00BD4880" w:rsidRPr="00A96CF1">
        <w:rPr>
          <w:shd w:val="clear" w:color="auto" w:fill="FFFFFF"/>
        </w:rPr>
        <w:t xml:space="preserve"> (the emphasis is added)</w:t>
      </w:r>
    </w:p>
    <w:p w14:paraId="47C5C08F" w14:textId="77777777" w:rsidR="00715C45" w:rsidRDefault="00715C45" w:rsidP="00715C45">
      <w:pPr>
        <w:pStyle w:val="NormalWeb"/>
        <w:shd w:val="clear" w:color="auto" w:fill="FFFFFF"/>
        <w:spacing w:before="0" w:beforeAutospacing="0" w:after="0" w:afterAutospacing="0" w:line="360" w:lineRule="auto"/>
        <w:ind w:left="1560" w:hanging="284"/>
        <w:jc w:val="both"/>
        <w:rPr>
          <w:shd w:val="clear" w:color="auto" w:fill="FFFFFF"/>
        </w:rPr>
      </w:pPr>
    </w:p>
    <w:p w14:paraId="0B35D0C8" w14:textId="26414DC1" w:rsidR="00DE3D9B" w:rsidRPr="00A96CF1" w:rsidRDefault="009F60BB" w:rsidP="00715C45">
      <w:pPr>
        <w:pStyle w:val="NormalWeb"/>
        <w:shd w:val="clear" w:color="auto" w:fill="FFFFFF"/>
        <w:spacing w:before="0" w:beforeAutospacing="0"/>
        <w:ind w:left="1560" w:hanging="284"/>
        <w:jc w:val="both"/>
        <w:rPr>
          <w:shd w:val="clear" w:color="auto" w:fill="FFFFFF"/>
        </w:rPr>
      </w:pPr>
      <w:r w:rsidRPr="00A96CF1">
        <w:rPr>
          <w:shd w:val="clear" w:color="auto" w:fill="FFFFFF"/>
        </w:rPr>
        <w:t>26.</w:t>
      </w:r>
      <w:r w:rsidR="00716198" w:rsidRPr="00A96CF1">
        <w:rPr>
          <w:shd w:val="clear" w:color="auto" w:fill="FFFFFF"/>
        </w:rPr>
        <w:t>The written notice</w:t>
      </w:r>
      <w:r w:rsidR="00E45A7E">
        <w:rPr>
          <w:shd w:val="clear" w:color="auto" w:fill="FFFFFF"/>
        </w:rPr>
        <w:t xml:space="preserve">, drawing the attention of the first </w:t>
      </w:r>
      <w:r w:rsidR="00716198" w:rsidRPr="00A96CF1">
        <w:rPr>
          <w:shd w:val="clear" w:color="auto" w:fill="FFFFFF"/>
        </w:rPr>
        <w:t xml:space="preserve">defendant as the purchaser </w:t>
      </w:r>
      <w:r w:rsidR="00E45A7E">
        <w:rPr>
          <w:shd w:val="clear" w:color="auto" w:fill="FFFFFF"/>
        </w:rPr>
        <w:t xml:space="preserve">  </w:t>
      </w:r>
      <w:r w:rsidR="00716198" w:rsidRPr="00A96CF1">
        <w:rPr>
          <w:shd w:val="clear" w:color="auto" w:fill="FFFFFF"/>
        </w:rPr>
        <w:t>to breach of the agreement and calling upon him to rectify the breach within thirty days of service of the notice on him failing which cancellation of the agreement would follow, was s</w:t>
      </w:r>
      <w:r w:rsidR="00E45A7E">
        <w:rPr>
          <w:shd w:val="clear" w:color="auto" w:fill="FFFFFF"/>
        </w:rPr>
        <w:t>erved on him in terms of s</w:t>
      </w:r>
      <w:r w:rsidR="00716198" w:rsidRPr="00A96CF1">
        <w:rPr>
          <w:shd w:val="clear" w:color="auto" w:fill="FFFFFF"/>
        </w:rPr>
        <w:t xml:space="preserve"> 8 of the Contractual Pe</w:t>
      </w:r>
      <w:r w:rsidR="00E45A7E">
        <w:rPr>
          <w:shd w:val="clear" w:color="auto" w:fill="FFFFFF"/>
        </w:rPr>
        <w:t>nalties Act as read with s</w:t>
      </w:r>
      <w:r w:rsidR="00716198" w:rsidRPr="00A96CF1">
        <w:rPr>
          <w:shd w:val="clear" w:color="auto" w:fill="FFFFFF"/>
        </w:rPr>
        <w:t xml:space="preserve"> 40(2)(c) of the Interpretation Act, in that it was served by leaving it with his worker at his usual or last-known place of abode which he provided in the agreement.</w:t>
      </w:r>
    </w:p>
    <w:p w14:paraId="39D61E6C" w14:textId="5392F778" w:rsidR="00F73D23" w:rsidRPr="002950D0" w:rsidRDefault="00E45A7E" w:rsidP="00715C45">
      <w:pPr>
        <w:pStyle w:val="NormalWeb"/>
        <w:shd w:val="clear" w:color="auto" w:fill="FFFFFF"/>
        <w:spacing w:before="0" w:beforeAutospacing="0" w:after="0" w:afterAutospacing="0"/>
        <w:ind w:left="1560" w:hanging="284"/>
        <w:jc w:val="both"/>
        <w:rPr>
          <w:iCs/>
        </w:rPr>
      </w:pPr>
      <w:r>
        <w:rPr>
          <w:shd w:val="clear" w:color="auto" w:fill="FFFFFF"/>
        </w:rPr>
        <w:t xml:space="preserve"> 27</w:t>
      </w:r>
      <w:r w:rsidR="00B95609">
        <w:rPr>
          <w:shd w:val="clear" w:color="auto" w:fill="FFFFFF"/>
        </w:rPr>
        <w:t>.</w:t>
      </w:r>
      <w:r w:rsidR="00B95609" w:rsidRPr="00A96CF1">
        <w:rPr>
          <w:shd w:val="clear" w:color="auto" w:fill="FFFFFF"/>
        </w:rPr>
        <w:t xml:space="preserve"> The</w:t>
      </w:r>
      <w:r w:rsidR="00DE3D9B" w:rsidRPr="00A96CF1">
        <w:rPr>
          <w:shd w:val="clear" w:color="auto" w:fill="FFFFFF"/>
        </w:rPr>
        <w:t xml:space="preserve"> notice of cancellation clearly specif</w:t>
      </w:r>
      <w:r>
        <w:rPr>
          <w:shd w:val="clear" w:color="auto" w:fill="FFFFFF"/>
        </w:rPr>
        <w:t xml:space="preserve">ied that first </w:t>
      </w:r>
      <w:r w:rsidR="00DE3D9B" w:rsidRPr="00A96CF1">
        <w:rPr>
          <w:shd w:val="clear" w:color="auto" w:fill="FFFFFF"/>
        </w:rPr>
        <w:t>defendant had breached the agreement of sale by failing to pay the instalments. He was given thirty days’ notice calculated from the 1</w:t>
      </w:r>
      <w:r w:rsidR="00DE3D9B" w:rsidRPr="00A96CF1">
        <w:rPr>
          <w:shd w:val="clear" w:color="auto" w:fill="FFFFFF"/>
          <w:vertAlign w:val="superscript"/>
        </w:rPr>
        <w:t>st</w:t>
      </w:r>
      <w:r w:rsidR="00DE3D9B" w:rsidRPr="00A96CF1">
        <w:rPr>
          <w:shd w:val="clear" w:color="auto" w:fill="FFFFFF"/>
        </w:rPr>
        <w:t xml:space="preserve"> August 2015 to remedy the breach by settling the amount due. The notice specified that failure to settle the amount within thirty days shall lead to an automatic cancellation of the agreement of </w:t>
      </w:r>
      <w:r>
        <w:rPr>
          <w:shd w:val="clear" w:color="auto" w:fill="FFFFFF"/>
        </w:rPr>
        <w:t xml:space="preserve">sale. First </w:t>
      </w:r>
      <w:r w:rsidR="00DE3D9B" w:rsidRPr="00A96CF1">
        <w:rPr>
          <w:shd w:val="clear" w:color="auto" w:fill="FFFFFF"/>
        </w:rPr>
        <w:t>defendant did not comply with the notice of cancellation, and he unilaterally deposits to the plaintiff’s legal practitioners trust account the balance of the purchase price almost three years after the deadline of the 1</w:t>
      </w:r>
      <w:r w:rsidR="00DE3D9B" w:rsidRPr="00A96CF1">
        <w:rPr>
          <w:shd w:val="clear" w:color="auto" w:fill="FFFFFF"/>
          <w:vertAlign w:val="superscript"/>
        </w:rPr>
        <w:t>st</w:t>
      </w:r>
      <w:r w:rsidR="00DE3D9B" w:rsidRPr="00A96CF1">
        <w:rPr>
          <w:shd w:val="clear" w:color="auto" w:fill="FFFFFF"/>
        </w:rPr>
        <w:t xml:space="preserve"> Septem</w:t>
      </w:r>
      <w:r>
        <w:rPr>
          <w:shd w:val="clear" w:color="auto" w:fill="FFFFFF"/>
        </w:rPr>
        <w:t>ber 2015. On 19 May 2017, this C</w:t>
      </w:r>
      <w:r w:rsidR="00DE3D9B" w:rsidRPr="00A96CF1">
        <w:rPr>
          <w:shd w:val="clear" w:color="auto" w:fill="FFFFFF"/>
        </w:rPr>
        <w:t>ourt confirmed the cancellation of the agreement of sale between plaintiff and first defendant, and while the order was extant, the property was sold to</w:t>
      </w:r>
      <w:r>
        <w:rPr>
          <w:shd w:val="clear" w:color="auto" w:fill="FFFFFF"/>
        </w:rPr>
        <w:t xml:space="preserve"> the second</w:t>
      </w:r>
      <w:r w:rsidR="00DE3D9B" w:rsidRPr="00A96CF1">
        <w:rPr>
          <w:shd w:val="clear" w:color="auto" w:fill="FFFFFF"/>
        </w:rPr>
        <w:t xml:space="preserve"> defendant. That on the 22</w:t>
      </w:r>
      <w:r w:rsidR="00DE3D9B" w:rsidRPr="00A96CF1">
        <w:rPr>
          <w:shd w:val="clear" w:color="auto" w:fill="FFFFFF"/>
          <w:vertAlign w:val="superscript"/>
        </w:rPr>
        <w:t>nd</w:t>
      </w:r>
      <w:r w:rsidR="00DE3D9B" w:rsidRPr="00A96CF1">
        <w:rPr>
          <w:shd w:val="clear" w:color="auto" w:fill="FFFFFF"/>
        </w:rPr>
        <w:t xml:space="preserve"> November</w:t>
      </w:r>
      <w:r w:rsidR="008E5908" w:rsidRPr="00A96CF1">
        <w:rPr>
          <w:shd w:val="clear" w:color="auto" w:fill="FFFFFF"/>
        </w:rPr>
        <w:t xml:space="preserve"> 2018 the order confirming cancellation of the agreement was rescinded is of no moment. </w:t>
      </w:r>
      <w:proofErr w:type="gramStart"/>
      <w:r w:rsidR="008E5908" w:rsidRPr="00A96CF1">
        <w:rPr>
          <w:shd w:val="clear" w:color="auto" w:fill="FFFFFF"/>
        </w:rPr>
        <w:t>Therefore</w:t>
      </w:r>
      <w:proofErr w:type="gramEnd"/>
      <w:r w:rsidR="008E5908" w:rsidRPr="00A96CF1">
        <w:rPr>
          <w:shd w:val="clear" w:color="auto" w:fill="FFFFFF"/>
        </w:rPr>
        <w:t xml:space="preserve"> the issue whether the agree</w:t>
      </w:r>
      <w:r>
        <w:rPr>
          <w:shd w:val="clear" w:color="auto" w:fill="FFFFFF"/>
        </w:rPr>
        <w:t xml:space="preserve">ment between the plaintiff and first </w:t>
      </w:r>
      <w:r w:rsidR="008E5908" w:rsidRPr="00A96CF1">
        <w:rPr>
          <w:shd w:val="clear" w:color="auto" w:fill="FFFFFF"/>
        </w:rPr>
        <w:t xml:space="preserve">defendant was lawfully terminated is answered </w:t>
      </w:r>
      <w:r>
        <w:rPr>
          <w:shd w:val="clear" w:color="auto" w:fill="FFFFFF"/>
        </w:rPr>
        <w:t xml:space="preserve">in favour of the plaintiff and second </w:t>
      </w:r>
      <w:r w:rsidR="008E5908" w:rsidRPr="00A96CF1">
        <w:rPr>
          <w:shd w:val="clear" w:color="auto" w:fill="FFFFFF"/>
        </w:rPr>
        <w:t>defendant.</w:t>
      </w:r>
      <w:r w:rsidR="00716198" w:rsidRPr="00A96CF1">
        <w:rPr>
          <w:shd w:val="clear" w:color="auto" w:fill="FFFFFF"/>
        </w:rPr>
        <w:t>”</w:t>
      </w:r>
      <w:r w:rsidR="00246AEC" w:rsidRPr="00A96CF1">
        <w:rPr>
          <w:i/>
          <w:shd w:val="clear" w:color="auto" w:fill="FFFFFF"/>
        </w:rPr>
        <w:t xml:space="preserve"> </w:t>
      </w:r>
    </w:p>
    <w:p w14:paraId="13FE73B7" w14:textId="77777777" w:rsidR="00715C45" w:rsidRDefault="00715C45" w:rsidP="00715C45">
      <w:pPr>
        <w:pStyle w:val="NormalWeb"/>
        <w:shd w:val="clear" w:color="auto" w:fill="FFFFFF"/>
        <w:spacing w:before="0" w:beforeAutospacing="0" w:after="0" w:afterAutospacing="0" w:line="480" w:lineRule="auto"/>
        <w:ind w:left="567"/>
        <w:jc w:val="both"/>
      </w:pPr>
    </w:p>
    <w:p w14:paraId="2F08508F" w14:textId="63F4AD67" w:rsidR="009361C9" w:rsidRDefault="00EA3FA6" w:rsidP="00715C45">
      <w:pPr>
        <w:pStyle w:val="NormalWeb"/>
        <w:numPr>
          <w:ilvl w:val="0"/>
          <w:numId w:val="15"/>
        </w:numPr>
        <w:shd w:val="clear" w:color="auto" w:fill="FFFFFF"/>
        <w:spacing w:before="0" w:beforeAutospacing="0" w:after="0" w:afterAutospacing="0" w:line="480" w:lineRule="auto"/>
        <w:ind w:left="567" w:hanging="709"/>
        <w:jc w:val="both"/>
      </w:pPr>
      <w:r w:rsidRPr="00A96CF1">
        <w:t xml:space="preserve">The court </w:t>
      </w:r>
      <w:r w:rsidRPr="00A96CF1">
        <w:rPr>
          <w:i/>
          <w:iCs/>
        </w:rPr>
        <w:t>a quo</w:t>
      </w:r>
      <w:r w:rsidRPr="00A96CF1">
        <w:t xml:space="preserve">’s summation, analysis and conclusion cannot, in my view, be said to be devoid of soundness. They exude a clear and lucid examination of the evidence that was </w:t>
      </w:r>
      <w:r w:rsidRPr="00A96CF1">
        <w:lastRenderedPageBreak/>
        <w:t xml:space="preserve">placed before it in the form of the statement of agreed facts as well as an application of the law to those facts that accords with sense and logic. </w:t>
      </w:r>
      <w:r w:rsidR="00D76EB0" w:rsidRPr="00A96CF1">
        <w:t xml:space="preserve"> </w:t>
      </w:r>
    </w:p>
    <w:p w14:paraId="3CAD39C9" w14:textId="77777777" w:rsidR="009361C9" w:rsidRDefault="009361C9" w:rsidP="00715C45">
      <w:pPr>
        <w:pStyle w:val="NormalWeb"/>
        <w:shd w:val="clear" w:color="auto" w:fill="FFFFFF"/>
        <w:spacing w:before="0" w:beforeAutospacing="0" w:after="0" w:afterAutospacing="0" w:line="480" w:lineRule="auto"/>
        <w:ind w:left="720"/>
        <w:jc w:val="both"/>
      </w:pPr>
    </w:p>
    <w:p w14:paraId="224B99CB" w14:textId="344E3379" w:rsidR="00292E04" w:rsidRPr="00A96CF1" w:rsidRDefault="00292E04" w:rsidP="00715C45">
      <w:pPr>
        <w:pStyle w:val="NormalWeb"/>
        <w:numPr>
          <w:ilvl w:val="0"/>
          <w:numId w:val="15"/>
        </w:numPr>
        <w:shd w:val="clear" w:color="auto" w:fill="FFFFFF"/>
        <w:spacing w:before="0" w:beforeAutospacing="0" w:after="0" w:afterAutospacing="0" w:line="480" w:lineRule="auto"/>
        <w:ind w:left="567" w:hanging="567"/>
        <w:jc w:val="both"/>
      </w:pPr>
      <w:r w:rsidRPr="00A96CF1">
        <w:t>In </w:t>
      </w:r>
      <w:proofErr w:type="spellStart"/>
      <w:r w:rsidRPr="00A96CF1">
        <w:rPr>
          <w:rStyle w:val="Emphasis"/>
        </w:rPr>
        <w:t>Nenyasha</w:t>
      </w:r>
      <w:proofErr w:type="spellEnd"/>
      <w:r w:rsidRPr="00A96CF1">
        <w:rPr>
          <w:rStyle w:val="Emphasis"/>
        </w:rPr>
        <w:t xml:space="preserve"> Housing Co-operative </w:t>
      </w:r>
      <w:r w:rsidRPr="00A96CF1">
        <w:t>v</w:t>
      </w:r>
      <w:r w:rsidRPr="00A96CF1">
        <w:rPr>
          <w:rStyle w:val="Emphasis"/>
        </w:rPr>
        <w:t> Violine Sibanda</w:t>
      </w:r>
      <w:r w:rsidRPr="00A96CF1">
        <w:rPr>
          <w:b/>
          <w:i/>
        </w:rPr>
        <w:t> </w:t>
      </w:r>
      <w:r w:rsidRPr="00A96CF1">
        <w:t>HH</w:t>
      </w:r>
      <w:r w:rsidRPr="00A96CF1">
        <w:rPr>
          <w:b/>
          <w:i/>
        </w:rPr>
        <w:t xml:space="preserve"> </w:t>
      </w:r>
      <w:r w:rsidR="00D735E4" w:rsidRPr="00A96CF1">
        <w:t>456/</w:t>
      </w:r>
      <w:r w:rsidRPr="00A96CF1">
        <w:t xml:space="preserve">19 at </w:t>
      </w:r>
      <w:r w:rsidR="00403701" w:rsidRPr="00A96CF1">
        <w:t>p</w:t>
      </w:r>
      <w:r w:rsidRPr="00A96CF1">
        <w:t xml:space="preserve"> </w:t>
      </w:r>
      <w:r w:rsidR="00932CAA" w:rsidRPr="00A96CF1">
        <w:t>3</w:t>
      </w:r>
      <w:r w:rsidR="00403701" w:rsidRPr="00A96CF1">
        <w:t xml:space="preserve"> of the judgment</w:t>
      </w:r>
      <w:r w:rsidR="003E3398" w:rsidRPr="00A96CF1">
        <w:t>, the</w:t>
      </w:r>
      <w:r w:rsidRPr="00A96CF1">
        <w:t xml:space="preserve"> court</w:t>
      </w:r>
      <w:r w:rsidR="00B8162D" w:rsidRPr="00A96CF1">
        <w:t xml:space="preserve"> stated the following in respect</w:t>
      </w:r>
      <w:r w:rsidRPr="00A96CF1">
        <w:t xml:space="preserve"> of s 8 of the Act</w:t>
      </w:r>
      <w:r w:rsidR="00932CAA" w:rsidRPr="00A96CF1">
        <w:t>:</w:t>
      </w:r>
    </w:p>
    <w:p w14:paraId="5968B82D" w14:textId="77777777" w:rsidR="00403701" w:rsidRPr="00A96CF1" w:rsidRDefault="00292E04" w:rsidP="00715C45">
      <w:pPr>
        <w:pStyle w:val="NormalWeb"/>
        <w:shd w:val="clear" w:color="auto" w:fill="FFFFFF"/>
        <w:spacing w:before="0" w:beforeAutospacing="0"/>
        <w:ind w:left="1276" w:hanging="142"/>
        <w:jc w:val="both"/>
      </w:pPr>
      <w:r w:rsidRPr="00A96CF1">
        <w:t>“An instalment sale is defined as a sale agreement which requires that payment of the purchase price be made</w:t>
      </w:r>
      <w:r w:rsidR="00403701" w:rsidRPr="00A96CF1">
        <w:t xml:space="preserve"> in three or more instalments</w:t>
      </w:r>
      <w:r w:rsidRPr="00A96CF1">
        <w:t xml:space="preserve"> by way of deposit and two or more instalments with transfer of the property which is subject of the sale being transferred after full payment of the purchase price …</w:t>
      </w:r>
      <w:r w:rsidR="00403701" w:rsidRPr="00A96CF1">
        <w:t xml:space="preserve"> </w:t>
      </w:r>
      <w:r w:rsidRPr="00A96CF1">
        <w:t xml:space="preserve"> </w:t>
      </w:r>
    </w:p>
    <w:p w14:paraId="07803756" w14:textId="71A9A362" w:rsidR="00932CAA" w:rsidRPr="00A96CF1" w:rsidRDefault="00932CAA" w:rsidP="00715C45">
      <w:pPr>
        <w:pStyle w:val="NormalWeb"/>
        <w:shd w:val="clear" w:color="auto" w:fill="FFFFFF"/>
        <w:spacing w:before="0" w:beforeAutospacing="0" w:after="0" w:afterAutospacing="0"/>
        <w:ind w:left="567" w:hanging="567"/>
        <w:jc w:val="both"/>
      </w:pPr>
      <w:r w:rsidRPr="00A96CF1">
        <w:t xml:space="preserve">    </w:t>
      </w:r>
      <w:r w:rsidRPr="00A96CF1">
        <w:tab/>
      </w:r>
      <w:r w:rsidR="00DA31C6">
        <w:t xml:space="preserve">   </w:t>
      </w:r>
      <w:r w:rsidRPr="00A96CF1">
        <w:t>It further stated at pp 4-5:</w:t>
      </w:r>
    </w:p>
    <w:p w14:paraId="56550535" w14:textId="5691F1F0" w:rsidR="009361C9" w:rsidRDefault="00292E04" w:rsidP="00715C45">
      <w:pPr>
        <w:pStyle w:val="NormalWeb"/>
        <w:shd w:val="clear" w:color="auto" w:fill="FFFFFF"/>
        <w:spacing w:before="0" w:beforeAutospacing="0"/>
        <w:ind w:left="1276"/>
        <w:jc w:val="both"/>
      </w:pPr>
      <w:r w:rsidRPr="00A96CF1">
        <w:t xml:space="preserve">The procedure to be followed by the seller entails him giving notice to rectify, discontinue or remedy the breach, followed by the institution of proceedings. </w:t>
      </w:r>
      <w:r w:rsidRPr="00A96CF1">
        <w:rPr>
          <w:bCs/>
          <w:u w:val="single"/>
        </w:rPr>
        <w:t>The mischief behind this provision is to offer protection to purchasers in instalment sales. Where a purchaser in an instalment sale is in breach of the terms of the agreement, he is afforded an opportunity to rectify, discontinue or remedy the breach before proceedings for cancellation of the instalment sale are commenced. Where he is in breach and is able to remedy the breach within the time specified in the notice, the need to cancel the sale falls away. Failure to give a purchaser notice to rectify, discontinue or remedy the breach renders the proceedings for cancellation of the contract a nullity…..</w:t>
      </w:r>
      <w:r w:rsidRPr="00A96CF1">
        <w:rPr>
          <w:b/>
        </w:rPr>
        <w:t>”</w:t>
      </w:r>
      <w:r w:rsidR="00BD4880" w:rsidRPr="00A96CF1">
        <w:rPr>
          <w:b/>
        </w:rPr>
        <w:t xml:space="preserve"> </w:t>
      </w:r>
      <w:r w:rsidR="00BD4880" w:rsidRPr="00A96CF1">
        <w:t xml:space="preserve">(the </w:t>
      </w:r>
      <w:r w:rsidR="002230A6" w:rsidRPr="00A96CF1">
        <w:t>und</w:t>
      </w:r>
      <w:r w:rsidR="00BD4880" w:rsidRPr="00A96CF1">
        <w:t>e</w:t>
      </w:r>
      <w:r w:rsidR="002230A6" w:rsidRPr="00A96CF1">
        <w:t>rlining</w:t>
      </w:r>
      <w:r w:rsidR="00BD4880" w:rsidRPr="00A96CF1">
        <w:t xml:space="preserve"> is added)</w:t>
      </w:r>
    </w:p>
    <w:p w14:paraId="36ED21DE" w14:textId="77777777" w:rsidR="006B6453" w:rsidRPr="009361C9" w:rsidRDefault="006B6453" w:rsidP="00715C45">
      <w:pPr>
        <w:pStyle w:val="NormalWeb"/>
        <w:shd w:val="clear" w:color="auto" w:fill="FFFFFF"/>
        <w:spacing w:before="0" w:beforeAutospacing="0"/>
        <w:ind w:left="1276"/>
        <w:jc w:val="both"/>
      </w:pPr>
    </w:p>
    <w:p w14:paraId="4BDC7031" w14:textId="163C2C11" w:rsidR="00844C3F" w:rsidRPr="00A96CF1" w:rsidRDefault="00BD4880" w:rsidP="00715C45">
      <w:pPr>
        <w:pStyle w:val="NormalWeb"/>
        <w:numPr>
          <w:ilvl w:val="0"/>
          <w:numId w:val="15"/>
        </w:numPr>
        <w:shd w:val="clear" w:color="auto" w:fill="FFFFFF"/>
        <w:spacing w:before="0" w:beforeAutospacing="0" w:after="0" w:afterAutospacing="0" w:line="480" w:lineRule="auto"/>
        <w:ind w:left="567" w:hanging="567"/>
        <w:jc w:val="both"/>
      </w:pPr>
      <w:r w:rsidRPr="00715C45">
        <w:rPr>
          <w:shd w:val="clear" w:color="auto" w:fill="FFFFFF"/>
        </w:rPr>
        <w:t>In</w:t>
      </w:r>
      <w:r w:rsidRPr="00A96CF1">
        <w:rPr>
          <w:i/>
          <w:shd w:val="clear" w:color="auto" w:fill="FFFFFF"/>
        </w:rPr>
        <w:t xml:space="preserve"> </w:t>
      </w:r>
      <w:proofErr w:type="spellStart"/>
      <w:r w:rsidRPr="00A96CF1">
        <w:rPr>
          <w:i/>
          <w:shd w:val="clear" w:color="auto" w:fill="FFFFFF"/>
        </w:rPr>
        <w:t>casu</w:t>
      </w:r>
      <w:proofErr w:type="spellEnd"/>
      <w:r w:rsidRPr="00A96CF1">
        <w:rPr>
          <w:i/>
          <w:shd w:val="clear" w:color="auto" w:fill="FFFFFF"/>
        </w:rPr>
        <w:t xml:space="preserve">, </w:t>
      </w:r>
      <w:r w:rsidRPr="00A96CF1">
        <w:rPr>
          <w:shd w:val="clear" w:color="auto" w:fill="FFFFFF"/>
        </w:rPr>
        <w:t>t</w:t>
      </w:r>
      <w:r w:rsidRPr="00A96CF1">
        <w:t>he appellant provided his address of service as number 43 Aberdeen Road, Fortunes Gate, Bulawayo.</w:t>
      </w:r>
      <w:r w:rsidR="001926B9" w:rsidRPr="00A96CF1">
        <w:t xml:space="preserve"> It was noted that the initial agreement did not stipulate the manner in which service of a written notice was to be effected.</w:t>
      </w:r>
      <w:r w:rsidRPr="00A96CF1">
        <w:t xml:space="preserve"> </w:t>
      </w:r>
      <w:r w:rsidR="001926B9" w:rsidRPr="00A96CF1">
        <w:t>However, t</w:t>
      </w:r>
      <w:r w:rsidRPr="00A96CF1">
        <w:t>he court found</w:t>
      </w:r>
      <w:r w:rsidR="00844C3F" w:rsidRPr="00A96CF1">
        <w:t>, as supported by the Sheriff’s return of service,</w:t>
      </w:r>
      <w:r w:rsidRPr="00A96CF1">
        <w:t xml:space="preserve"> that </w:t>
      </w:r>
      <w:r w:rsidR="001926B9" w:rsidRPr="00A96CF1">
        <w:t>service of the notice of breach and of termination</w:t>
      </w:r>
      <w:r w:rsidRPr="00A96CF1">
        <w:t xml:space="preserve"> was</w:t>
      </w:r>
      <w:r w:rsidR="002F2DC7" w:rsidRPr="00A96CF1">
        <w:t xml:space="preserve"> made</w:t>
      </w:r>
      <w:r w:rsidR="001926B9" w:rsidRPr="00A96CF1">
        <w:t xml:space="preserve"> at</w:t>
      </w:r>
      <w:r w:rsidRPr="00A96CF1">
        <w:t xml:space="preserve"> the</w:t>
      </w:r>
      <w:r w:rsidR="001926B9" w:rsidRPr="00A96CF1">
        <w:t xml:space="preserve"> appellant’s given</w:t>
      </w:r>
      <w:r w:rsidRPr="00A96CF1">
        <w:t xml:space="preserve"> address.</w:t>
      </w:r>
      <w:r w:rsidR="002F2DC7" w:rsidRPr="00A96CF1">
        <w:t xml:space="preserve"> In doing so it relied on the cited provisions of the Act and the Interpretation Act.</w:t>
      </w:r>
      <w:r w:rsidR="00844C3F" w:rsidRPr="00A96CF1">
        <w:t xml:space="preserve"> The court </w:t>
      </w:r>
      <w:r w:rsidR="00844C3F" w:rsidRPr="00A96CF1">
        <w:rPr>
          <w:i/>
        </w:rPr>
        <w:t>a quo</w:t>
      </w:r>
      <w:r w:rsidR="00844C3F" w:rsidRPr="00A96CF1">
        <w:t>’s finding that service of the notice on the gardener was proper service on the appellant, is in accord with the appellant’s own admission that he saw the notice. This goes to show the effectiveness of the service.</w:t>
      </w:r>
      <w:r w:rsidR="00AD66CC" w:rsidRPr="00A96CF1">
        <w:t xml:space="preserve"> The purpose of the pertinent legislation was therefore served. The appellant’s attempt three years later to purport to rectify the breach also confirms the same considering that no other or second notice</w:t>
      </w:r>
      <w:r w:rsidRPr="00A96CF1">
        <w:t xml:space="preserve"> </w:t>
      </w:r>
      <w:r w:rsidR="00AD66CC" w:rsidRPr="00A96CF1">
        <w:t xml:space="preserve">was served on him and he did not at any stage </w:t>
      </w:r>
      <w:r w:rsidR="00AD66CC" w:rsidRPr="00A96CF1">
        <w:lastRenderedPageBreak/>
        <w:t xml:space="preserve">complain that the notice had come to his attention belatedly. His expectation for the first respondent to accept his attempted or purported rectification of the </w:t>
      </w:r>
      <w:r w:rsidR="00C05567" w:rsidRPr="00A96CF1">
        <w:t xml:space="preserve">breach three years later amounts to an exhibition of lack of seriousness; the same lack of seriousness that is also exhibited by the concession that when he was served with summons he did not take the appropriate action. The claim that the service of the summons is what led him to make the payment that he did three years later does not accord with common sense or with the recorded sequence of events. He made the alleged attempt to supposedly rectify his breach </w:t>
      </w:r>
      <w:r w:rsidR="001926B9" w:rsidRPr="00A96CF1">
        <w:t>way after the deadline stipulated in the notice and also after the confirmation of the cancellation of the sale. That was a vain transaction on his part and could not salvage the self-inflicted consequence of the cancellation that was now a reality.</w:t>
      </w:r>
    </w:p>
    <w:p w14:paraId="60D3230A" w14:textId="77777777" w:rsidR="009361C9" w:rsidRPr="009361C9" w:rsidRDefault="009361C9" w:rsidP="00715C45">
      <w:pPr>
        <w:pStyle w:val="NormalWeb"/>
        <w:shd w:val="clear" w:color="auto" w:fill="FFFFFF"/>
        <w:spacing w:before="0" w:beforeAutospacing="0" w:after="0" w:afterAutospacing="0" w:line="480" w:lineRule="auto"/>
        <w:ind w:left="720"/>
        <w:jc w:val="both"/>
      </w:pPr>
    </w:p>
    <w:p w14:paraId="3B5080E3" w14:textId="210AF829" w:rsidR="003752FF" w:rsidRPr="00A96CF1" w:rsidRDefault="00CC33F3" w:rsidP="00715C45">
      <w:pPr>
        <w:pStyle w:val="NormalWeb"/>
        <w:numPr>
          <w:ilvl w:val="0"/>
          <w:numId w:val="15"/>
        </w:numPr>
        <w:shd w:val="clear" w:color="auto" w:fill="FFFFFF"/>
        <w:spacing w:before="0" w:beforeAutospacing="0" w:after="0" w:afterAutospacing="0" w:line="480" w:lineRule="auto"/>
        <w:ind w:left="567" w:hanging="567"/>
        <w:jc w:val="both"/>
      </w:pPr>
      <w:r w:rsidRPr="00A96CF1">
        <w:rPr>
          <w:shd w:val="clear" w:color="auto" w:fill="FFFFFF"/>
        </w:rPr>
        <w:t>I opine that w</w:t>
      </w:r>
      <w:r w:rsidR="003752FF" w:rsidRPr="00A96CF1">
        <w:rPr>
          <w:shd w:val="clear" w:color="auto" w:fill="FFFFFF"/>
        </w:rPr>
        <w:t>here</w:t>
      </w:r>
      <w:r w:rsidRPr="00A96CF1">
        <w:rPr>
          <w:shd w:val="clear" w:color="auto" w:fill="FFFFFF"/>
        </w:rPr>
        <w:t>, as happened in this case,</w:t>
      </w:r>
      <w:r w:rsidR="003752FF" w:rsidRPr="00A96CF1">
        <w:rPr>
          <w:shd w:val="clear" w:color="auto" w:fill="FFFFFF"/>
        </w:rPr>
        <w:t xml:space="preserve"> a party to a contract has chosen an address as </w:t>
      </w:r>
      <w:r w:rsidRPr="00A96CF1">
        <w:rPr>
          <w:shd w:val="clear" w:color="auto" w:fill="FFFFFF"/>
        </w:rPr>
        <w:t xml:space="preserve">his or her or its </w:t>
      </w:r>
      <w:proofErr w:type="spellStart"/>
      <w:r w:rsidR="003752FF" w:rsidRPr="00A96CF1">
        <w:rPr>
          <w:i/>
          <w:iCs/>
          <w:shd w:val="clear" w:color="auto" w:fill="FFFFFF"/>
        </w:rPr>
        <w:t>domicilium</w:t>
      </w:r>
      <w:proofErr w:type="spellEnd"/>
      <w:r w:rsidR="003752FF" w:rsidRPr="00A96CF1">
        <w:rPr>
          <w:i/>
          <w:iCs/>
          <w:shd w:val="clear" w:color="auto" w:fill="FFFFFF"/>
        </w:rPr>
        <w:t> </w:t>
      </w:r>
      <w:proofErr w:type="spellStart"/>
      <w:r w:rsidR="003752FF" w:rsidRPr="00A96CF1">
        <w:rPr>
          <w:i/>
          <w:iCs/>
          <w:shd w:val="clear" w:color="auto" w:fill="FFFFFF"/>
        </w:rPr>
        <w:t>citandi</w:t>
      </w:r>
      <w:proofErr w:type="spellEnd"/>
      <w:r w:rsidR="003752FF" w:rsidRPr="00A96CF1">
        <w:rPr>
          <w:shd w:val="clear" w:color="auto" w:fill="FFFFFF"/>
        </w:rPr>
        <w:t> where service of documents or correspondence on matters relating to the contract should be effected</w:t>
      </w:r>
      <w:r w:rsidR="00766254" w:rsidRPr="00A96CF1">
        <w:rPr>
          <w:shd w:val="clear" w:color="auto" w:fill="FFFFFF"/>
        </w:rPr>
        <w:t xml:space="preserve">, compliance by the other party with the procedure prescribed for service of notices under law would constitute effective service of such document regardless of who receives the notice. </w:t>
      </w:r>
      <w:r w:rsidR="008A46A3" w:rsidRPr="00A96CF1">
        <w:rPr>
          <w:shd w:val="clear" w:color="auto" w:fill="FFFFFF"/>
        </w:rPr>
        <w:t>The</w:t>
      </w:r>
      <w:r w:rsidR="00633824" w:rsidRPr="00A96CF1">
        <w:rPr>
          <w:shd w:val="clear" w:color="auto" w:fill="FFFFFF"/>
        </w:rPr>
        <w:t xml:space="preserve"> contention by the</w:t>
      </w:r>
      <w:r w:rsidR="00766254" w:rsidRPr="00A96CF1">
        <w:rPr>
          <w:shd w:val="clear" w:color="auto" w:fill="FFFFFF"/>
        </w:rPr>
        <w:t xml:space="preserve"> appellant </w:t>
      </w:r>
      <w:r w:rsidR="00633824" w:rsidRPr="00A96CF1">
        <w:rPr>
          <w:shd w:val="clear" w:color="auto" w:fill="FFFFFF"/>
        </w:rPr>
        <w:t xml:space="preserve">in this matter </w:t>
      </w:r>
      <w:r w:rsidR="00766254" w:rsidRPr="00A96CF1">
        <w:rPr>
          <w:shd w:val="clear" w:color="auto" w:fill="FFFFFF"/>
        </w:rPr>
        <w:t xml:space="preserve">that the service on his gardener who resides at his chosen </w:t>
      </w:r>
      <w:proofErr w:type="spellStart"/>
      <w:r w:rsidR="00766254" w:rsidRPr="00A96CF1">
        <w:rPr>
          <w:i/>
          <w:shd w:val="clear" w:color="auto" w:fill="FFFFFF"/>
        </w:rPr>
        <w:t>domicilium</w:t>
      </w:r>
      <w:proofErr w:type="spellEnd"/>
      <w:r w:rsidR="00766254" w:rsidRPr="00A96CF1">
        <w:rPr>
          <w:i/>
          <w:shd w:val="clear" w:color="auto" w:fill="FFFFFF"/>
        </w:rPr>
        <w:t xml:space="preserve"> </w:t>
      </w:r>
      <w:proofErr w:type="spellStart"/>
      <w:r w:rsidR="00766254" w:rsidRPr="00A96CF1">
        <w:rPr>
          <w:i/>
          <w:shd w:val="clear" w:color="auto" w:fill="FFFFFF"/>
        </w:rPr>
        <w:t>citandi</w:t>
      </w:r>
      <w:proofErr w:type="spellEnd"/>
      <w:r w:rsidR="00766254" w:rsidRPr="00A96CF1">
        <w:rPr>
          <w:shd w:val="clear" w:color="auto" w:fill="FFFFFF"/>
        </w:rPr>
        <w:t xml:space="preserve"> did not constitute proper service</w:t>
      </w:r>
      <w:r w:rsidR="00633824" w:rsidRPr="00A96CF1">
        <w:rPr>
          <w:shd w:val="clear" w:color="auto" w:fill="FFFFFF"/>
        </w:rPr>
        <w:t>, cannot</w:t>
      </w:r>
      <w:r w:rsidR="002F2DC7" w:rsidRPr="00A96CF1">
        <w:rPr>
          <w:shd w:val="clear" w:color="auto" w:fill="FFFFFF"/>
        </w:rPr>
        <w:t>, on the</w:t>
      </w:r>
      <w:r w:rsidR="005A5611">
        <w:rPr>
          <w:shd w:val="clear" w:color="auto" w:fill="FFFFFF"/>
        </w:rPr>
        <w:t xml:space="preserve"> particular</w:t>
      </w:r>
      <w:r w:rsidR="002F2DC7" w:rsidRPr="00A96CF1">
        <w:rPr>
          <w:shd w:val="clear" w:color="auto" w:fill="FFFFFF"/>
        </w:rPr>
        <w:t xml:space="preserve"> facts of this matter,</w:t>
      </w:r>
      <w:r w:rsidR="00633824" w:rsidRPr="00A96CF1">
        <w:rPr>
          <w:shd w:val="clear" w:color="auto" w:fill="FFFFFF"/>
        </w:rPr>
        <w:t xml:space="preserve"> succeed</w:t>
      </w:r>
      <w:r w:rsidR="00766254" w:rsidRPr="00A96CF1">
        <w:rPr>
          <w:shd w:val="clear" w:color="auto" w:fill="FFFFFF"/>
        </w:rPr>
        <w:t>.</w:t>
      </w:r>
      <w:r w:rsidR="003752FF" w:rsidRPr="00A96CF1">
        <w:rPr>
          <w:shd w:val="clear" w:color="auto" w:fill="FFFFFF"/>
        </w:rPr>
        <w:t xml:space="preserve"> </w:t>
      </w:r>
      <w:r w:rsidR="002F2DC7" w:rsidRPr="00A96CF1">
        <w:rPr>
          <w:shd w:val="clear" w:color="auto" w:fill="FFFFFF"/>
        </w:rPr>
        <w:t>Th</w:t>
      </w:r>
      <w:r w:rsidR="005A5611">
        <w:rPr>
          <w:shd w:val="clear" w:color="auto" w:fill="FFFFFF"/>
        </w:rPr>
        <w:t>is is particularly so consid</w:t>
      </w:r>
      <w:r w:rsidR="002F2DC7" w:rsidRPr="00A96CF1">
        <w:rPr>
          <w:shd w:val="clear" w:color="auto" w:fill="FFFFFF"/>
        </w:rPr>
        <w:t>e</w:t>
      </w:r>
      <w:r w:rsidR="005A5611">
        <w:rPr>
          <w:shd w:val="clear" w:color="auto" w:fill="FFFFFF"/>
        </w:rPr>
        <w:t>ring the very important fact that the</w:t>
      </w:r>
      <w:r w:rsidR="002F2DC7" w:rsidRPr="00A96CF1">
        <w:rPr>
          <w:shd w:val="clear" w:color="auto" w:fill="FFFFFF"/>
        </w:rPr>
        <w:t xml:space="preserve"> appellant accepted that he saw the notice. Apparently, he took no action merely because the notice had not been handed to him personally, even though he saw the notice. </w:t>
      </w:r>
      <w:r w:rsidR="005A5611">
        <w:rPr>
          <w:shd w:val="clear" w:color="auto" w:fill="FFFFFF"/>
        </w:rPr>
        <w:t xml:space="preserve">It is my considered opinion that to allow the appellant to successfully hide behind strict compliance with the Contractual Penalties Act would, on the particular facts of this matter, make a mockery of the </w:t>
      </w:r>
      <w:r w:rsidR="002F7714">
        <w:rPr>
          <w:shd w:val="clear" w:color="auto" w:fill="FFFFFF"/>
        </w:rPr>
        <w:t xml:space="preserve">purpose of the provision in issue, as captured in para 40 above. It would create a situation where a party who has had the requisite notice brought to his attention, can opt </w:t>
      </w:r>
      <w:r w:rsidR="002F7714">
        <w:rPr>
          <w:shd w:val="clear" w:color="auto" w:fill="FFFFFF"/>
        </w:rPr>
        <w:lastRenderedPageBreak/>
        <w:t xml:space="preserve">to hide behind a finger and not take the necessary remedial action, to the detriment of the giver of the notice. It is quite conspicuous that in </w:t>
      </w:r>
      <w:proofErr w:type="spellStart"/>
      <w:r w:rsidR="002F7714" w:rsidRPr="002F7714">
        <w:rPr>
          <w:i/>
          <w:iCs/>
          <w:shd w:val="clear" w:color="auto" w:fill="FFFFFF"/>
        </w:rPr>
        <w:t>casu</w:t>
      </w:r>
      <w:proofErr w:type="spellEnd"/>
      <w:r w:rsidR="002F7714">
        <w:rPr>
          <w:shd w:val="clear" w:color="auto" w:fill="FFFFFF"/>
        </w:rPr>
        <w:t>,</w:t>
      </w:r>
      <w:r w:rsidR="003752FF" w:rsidRPr="00A96CF1">
        <w:rPr>
          <w:shd w:val="clear" w:color="auto" w:fill="FFFFFF"/>
        </w:rPr>
        <w:t> </w:t>
      </w:r>
      <w:r w:rsidR="002F7714">
        <w:rPr>
          <w:shd w:val="clear" w:color="auto" w:fill="FFFFFF"/>
        </w:rPr>
        <w:t xml:space="preserve">the appellant purported to remedy his breach three years after the notice to remedy admittedly came to his attention. This was in circumstances where no subsequent notice was served on him and the agreed time frame for the payment of the purchase price had long expired. The protection that the Act gives to purchasers </w:t>
      </w:r>
      <w:r w:rsidR="008A5DCE">
        <w:rPr>
          <w:shd w:val="clear" w:color="auto" w:fill="FFFFFF"/>
        </w:rPr>
        <w:t>does not afford the appellant the liberty to ignore a notice that has come to his attention and only act on it when it suits him, in this case three years later</w:t>
      </w:r>
      <w:r w:rsidR="00410CA6">
        <w:rPr>
          <w:shd w:val="clear" w:color="auto" w:fill="FFFFFF"/>
        </w:rPr>
        <w:t>.</w:t>
      </w:r>
    </w:p>
    <w:p w14:paraId="378F065B" w14:textId="77777777" w:rsidR="009361C9" w:rsidRDefault="009361C9" w:rsidP="009361C9">
      <w:pPr>
        <w:pStyle w:val="NormalWeb"/>
        <w:shd w:val="clear" w:color="auto" w:fill="FFFFFF"/>
        <w:spacing w:before="0" w:beforeAutospacing="0" w:after="0" w:afterAutospacing="0" w:line="360" w:lineRule="auto"/>
        <w:ind w:left="720"/>
        <w:jc w:val="both"/>
        <w:rPr>
          <w:shd w:val="clear" w:color="auto" w:fill="FFFFFF"/>
        </w:rPr>
      </w:pPr>
    </w:p>
    <w:p w14:paraId="0F1C5112" w14:textId="77777777" w:rsidR="00715C45" w:rsidRDefault="003D67EE" w:rsidP="00715C45">
      <w:pPr>
        <w:pStyle w:val="NormalWeb"/>
        <w:numPr>
          <w:ilvl w:val="0"/>
          <w:numId w:val="15"/>
        </w:numPr>
        <w:shd w:val="clear" w:color="auto" w:fill="FFFFFF"/>
        <w:spacing w:before="0" w:beforeAutospacing="0" w:after="0" w:afterAutospacing="0" w:line="480" w:lineRule="auto"/>
        <w:ind w:left="567" w:hanging="567"/>
        <w:jc w:val="both"/>
        <w:rPr>
          <w:shd w:val="clear" w:color="auto" w:fill="FFFFFF"/>
        </w:rPr>
      </w:pPr>
      <w:r w:rsidRPr="00A96CF1">
        <w:rPr>
          <w:shd w:val="clear" w:color="auto" w:fill="FFFFFF"/>
        </w:rPr>
        <w:t xml:space="preserve">The court </w:t>
      </w:r>
      <w:r w:rsidRPr="00A96CF1">
        <w:rPr>
          <w:i/>
          <w:iCs/>
          <w:shd w:val="clear" w:color="auto" w:fill="FFFFFF"/>
        </w:rPr>
        <w:t>a quo</w:t>
      </w:r>
      <w:r w:rsidRPr="00A96CF1">
        <w:rPr>
          <w:shd w:val="clear" w:color="auto" w:fill="FFFFFF"/>
        </w:rPr>
        <w:t xml:space="preserve"> did not misdirect itself in the approach that it took and in arriving at the finding that the appellant was properly served with the notice that was served on his gardener at his chosen </w:t>
      </w:r>
      <w:proofErr w:type="spellStart"/>
      <w:r w:rsidRPr="00A96CF1">
        <w:rPr>
          <w:i/>
          <w:iCs/>
          <w:shd w:val="clear" w:color="auto" w:fill="FFFFFF"/>
        </w:rPr>
        <w:t>domicilium</w:t>
      </w:r>
      <w:proofErr w:type="spellEnd"/>
      <w:r w:rsidRPr="00A96CF1">
        <w:rPr>
          <w:shd w:val="clear" w:color="auto" w:fill="FFFFFF"/>
        </w:rPr>
        <w:t>. A contrary finding would have resulted in an untenable situation where the appellant</w:t>
      </w:r>
      <w:r w:rsidR="00A568E3" w:rsidRPr="00A96CF1">
        <w:rPr>
          <w:shd w:val="clear" w:color="auto" w:fill="FFFFFF"/>
        </w:rPr>
        <w:t>,</w:t>
      </w:r>
      <w:r w:rsidRPr="00A96CF1">
        <w:rPr>
          <w:shd w:val="clear" w:color="auto" w:fill="FFFFFF"/>
        </w:rPr>
        <w:t xml:space="preserve"> having admittedly seen the notice, would evade the consequences of his failure to heed such notice and comply or rectify the defect by hiding behind </w:t>
      </w:r>
      <w:r w:rsidR="00A568E3" w:rsidRPr="00A96CF1">
        <w:rPr>
          <w:shd w:val="clear" w:color="auto" w:fill="FFFFFF"/>
        </w:rPr>
        <w:t>a</w:t>
      </w:r>
      <w:r w:rsidRPr="00A96CF1">
        <w:rPr>
          <w:shd w:val="clear" w:color="auto" w:fill="FFFFFF"/>
        </w:rPr>
        <w:t xml:space="preserve"> finger</w:t>
      </w:r>
      <w:r w:rsidR="00A568E3" w:rsidRPr="00A96CF1">
        <w:rPr>
          <w:shd w:val="clear" w:color="auto" w:fill="FFFFFF"/>
        </w:rPr>
        <w:t xml:space="preserve">. The court </w:t>
      </w:r>
      <w:r w:rsidR="00A568E3" w:rsidRPr="00A96CF1">
        <w:rPr>
          <w:i/>
          <w:iCs/>
          <w:shd w:val="clear" w:color="auto" w:fill="FFFFFF"/>
        </w:rPr>
        <w:t>a quo</w:t>
      </w:r>
      <w:r w:rsidR="00A568E3" w:rsidRPr="00A96CF1">
        <w:rPr>
          <w:shd w:val="clear" w:color="auto" w:fill="FFFFFF"/>
        </w:rPr>
        <w:t xml:space="preserve"> did n</w:t>
      </w:r>
      <w:r w:rsidR="009361C9">
        <w:rPr>
          <w:shd w:val="clear" w:color="auto" w:fill="FFFFFF"/>
        </w:rPr>
        <w:t>ot avail him such relief. This C</w:t>
      </w:r>
      <w:r w:rsidR="00A568E3" w:rsidRPr="00A96CF1">
        <w:rPr>
          <w:shd w:val="clear" w:color="auto" w:fill="FFFFFF"/>
        </w:rPr>
        <w:t>ourt sees no justification for interfering with the court a</w:t>
      </w:r>
      <w:r w:rsidR="00A568E3" w:rsidRPr="00A96CF1">
        <w:rPr>
          <w:i/>
          <w:iCs/>
          <w:shd w:val="clear" w:color="auto" w:fill="FFFFFF"/>
        </w:rPr>
        <w:t xml:space="preserve"> quo</w:t>
      </w:r>
      <w:r w:rsidR="00A568E3" w:rsidRPr="00A96CF1">
        <w:rPr>
          <w:shd w:val="clear" w:color="auto" w:fill="FFFFFF"/>
        </w:rPr>
        <w:t>’s factual findings and resultant determination of the issue.</w:t>
      </w:r>
    </w:p>
    <w:p w14:paraId="1DB3271F" w14:textId="4C5ED44A" w:rsidR="004730E3" w:rsidRPr="00715C45" w:rsidRDefault="00716198" w:rsidP="00715C45">
      <w:pPr>
        <w:pStyle w:val="NormalWeb"/>
        <w:shd w:val="clear" w:color="auto" w:fill="FFFFFF"/>
        <w:spacing w:before="0" w:beforeAutospacing="0" w:after="0" w:afterAutospacing="0" w:line="480" w:lineRule="auto"/>
        <w:jc w:val="both"/>
        <w:rPr>
          <w:shd w:val="clear" w:color="auto" w:fill="FFFFFF"/>
        </w:rPr>
      </w:pPr>
      <w:r w:rsidRPr="00715C45">
        <w:rPr>
          <w:shd w:val="clear" w:color="auto" w:fill="FFFFFF"/>
        </w:rPr>
        <w:t xml:space="preserve"> </w:t>
      </w:r>
    </w:p>
    <w:p w14:paraId="1A6D5551" w14:textId="44F0FC02" w:rsidR="00766254" w:rsidRPr="00A96CF1" w:rsidRDefault="00766254" w:rsidP="00993C02">
      <w:pPr>
        <w:pStyle w:val="NormalWeb"/>
        <w:numPr>
          <w:ilvl w:val="0"/>
          <w:numId w:val="15"/>
        </w:numPr>
        <w:shd w:val="clear" w:color="auto" w:fill="FFFFFF"/>
        <w:tabs>
          <w:tab w:val="left" w:pos="1985"/>
        </w:tabs>
        <w:spacing w:before="0" w:beforeAutospacing="0" w:after="0" w:afterAutospacing="0" w:line="480" w:lineRule="auto"/>
        <w:ind w:left="567" w:hanging="567"/>
        <w:jc w:val="both"/>
        <w:rPr>
          <w:shd w:val="clear" w:color="auto" w:fill="FFFFFF"/>
        </w:rPr>
      </w:pPr>
      <w:r w:rsidRPr="00A96CF1">
        <w:rPr>
          <w:shd w:val="clear" w:color="auto" w:fill="FFFFFF"/>
        </w:rPr>
        <w:t xml:space="preserve">Having found that the notice was properly served on the appellant, it therefore follows that the agreement between the appellant and the </w:t>
      </w:r>
      <w:r w:rsidR="00403701" w:rsidRPr="00A96CF1">
        <w:rPr>
          <w:shd w:val="clear" w:color="auto" w:fill="FFFFFF"/>
        </w:rPr>
        <w:t>first</w:t>
      </w:r>
      <w:r w:rsidRPr="00A96CF1">
        <w:rPr>
          <w:shd w:val="clear" w:color="auto" w:fill="FFFFFF"/>
        </w:rPr>
        <w:t xml:space="preserve"> respondent was properly terminated. The appellant was served with the notice which placed </w:t>
      </w:r>
      <w:r w:rsidR="00403701" w:rsidRPr="00A96CF1">
        <w:rPr>
          <w:shd w:val="clear" w:color="auto" w:fill="FFFFFF"/>
        </w:rPr>
        <w:t xml:space="preserve">him </w:t>
      </w:r>
      <w:r w:rsidRPr="00A96CF1">
        <w:rPr>
          <w:shd w:val="clear" w:color="auto" w:fill="FFFFFF"/>
        </w:rPr>
        <w:t xml:space="preserve">in </w:t>
      </w:r>
      <w:r w:rsidRPr="00A96CF1">
        <w:rPr>
          <w:i/>
          <w:shd w:val="clear" w:color="auto" w:fill="FFFFFF"/>
        </w:rPr>
        <w:t>mora</w:t>
      </w:r>
      <w:r w:rsidRPr="00A96CF1">
        <w:rPr>
          <w:shd w:val="clear" w:color="auto" w:fill="FFFFFF"/>
        </w:rPr>
        <w:t>. The appellant however failed to remedy the breach within the timeframe stipulated by the</w:t>
      </w:r>
      <w:r w:rsidR="00292E04" w:rsidRPr="00A96CF1">
        <w:rPr>
          <w:shd w:val="clear" w:color="auto" w:fill="FFFFFF"/>
        </w:rPr>
        <w:t xml:space="preserve"> </w:t>
      </w:r>
      <w:r w:rsidR="00403701" w:rsidRPr="00A96CF1">
        <w:rPr>
          <w:shd w:val="clear" w:color="auto" w:fill="FFFFFF"/>
        </w:rPr>
        <w:t>notice. T</w:t>
      </w:r>
      <w:r w:rsidRPr="00A96CF1">
        <w:rPr>
          <w:shd w:val="clear" w:color="auto" w:fill="FFFFFF"/>
        </w:rPr>
        <w:t xml:space="preserve">he agreement of sale </w:t>
      </w:r>
      <w:r w:rsidR="00403701" w:rsidRPr="00A96CF1">
        <w:rPr>
          <w:shd w:val="clear" w:color="auto" w:fill="FFFFFF"/>
        </w:rPr>
        <w:t>having been</w:t>
      </w:r>
      <w:r w:rsidRPr="00A96CF1">
        <w:rPr>
          <w:shd w:val="clear" w:color="auto" w:fill="FFFFFF"/>
        </w:rPr>
        <w:t xml:space="preserve"> properly terminated</w:t>
      </w:r>
      <w:r w:rsidR="00403701" w:rsidRPr="00A96CF1">
        <w:rPr>
          <w:shd w:val="clear" w:color="auto" w:fill="FFFFFF"/>
        </w:rPr>
        <w:t>,</w:t>
      </w:r>
      <w:r w:rsidRPr="00A96CF1">
        <w:rPr>
          <w:shd w:val="clear" w:color="auto" w:fill="FFFFFF"/>
        </w:rPr>
        <w:t xml:space="preserve"> the appellant’s 1</w:t>
      </w:r>
      <w:r w:rsidRPr="00A96CF1">
        <w:rPr>
          <w:shd w:val="clear" w:color="auto" w:fill="FFFFFF"/>
          <w:vertAlign w:val="superscript"/>
        </w:rPr>
        <w:t>st</w:t>
      </w:r>
      <w:r w:rsidR="000C120F" w:rsidRPr="00A96CF1">
        <w:rPr>
          <w:shd w:val="clear" w:color="auto" w:fill="FFFFFF"/>
        </w:rPr>
        <w:t>, 2</w:t>
      </w:r>
      <w:r w:rsidR="000C120F" w:rsidRPr="00A96CF1">
        <w:rPr>
          <w:shd w:val="clear" w:color="auto" w:fill="FFFFFF"/>
          <w:vertAlign w:val="superscript"/>
        </w:rPr>
        <w:t>nd</w:t>
      </w:r>
      <w:r w:rsidR="000C120F" w:rsidRPr="00A96CF1">
        <w:rPr>
          <w:shd w:val="clear" w:color="auto" w:fill="FFFFFF"/>
        </w:rPr>
        <w:t>, 3</w:t>
      </w:r>
      <w:r w:rsidR="000C120F" w:rsidRPr="00A96CF1">
        <w:rPr>
          <w:shd w:val="clear" w:color="auto" w:fill="FFFFFF"/>
          <w:vertAlign w:val="superscript"/>
        </w:rPr>
        <w:t xml:space="preserve">rd </w:t>
      </w:r>
      <w:r w:rsidR="000C120F" w:rsidRPr="00A96CF1">
        <w:rPr>
          <w:shd w:val="clear" w:color="auto" w:fill="FFFFFF"/>
        </w:rPr>
        <w:t>and 4</w:t>
      </w:r>
      <w:r w:rsidR="000C120F" w:rsidRPr="00A96CF1">
        <w:rPr>
          <w:shd w:val="clear" w:color="auto" w:fill="FFFFFF"/>
          <w:vertAlign w:val="superscript"/>
        </w:rPr>
        <w:t>th</w:t>
      </w:r>
      <w:r w:rsidR="000C120F" w:rsidRPr="00A96CF1">
        <w:rPr>
          <w:shd w:val="clear" w:color="auto" w:fill="FFFFFF"/>
        </w:rPr>
        <w:t xml:space="preserve"> </w:t>
      </w:r>
      <w:r w:rsidRPr="00A96CF1">
        <w:rPr>
          <w:shd w:val="clear" w:color="auto" w:fill="FFFFFF"/>
        </w:rPr>
        <w:t>ground</w:t>
      </w:r>
      <w:r w:rsidR="000C120F" w:rsidRPr="00A96CF1">
        <w:rPr>
          <w:shd w:val="clear" w:color="auto" w:fill="FFFFFF"/>
        </w:rPr>
        <w:t>s</w:t>
      </w:r>
      <w:r w:rsidRPr="00A96CF1">
        <w:rPr>
          <w:shd w:val="clear" w:color="auto" w:fill="FFFFFF"/>
        </w:rPr>
        <w:t xml:space="preserve"> of appeal</w:t>
      </w:r>
      <w:r w:rsidR="00403701" w:rsidRPr="00A96CF1">
        <w:rPr>
          <w:shd w:val="clear" w:color="auto" w:fill="FFFFFF"/>
        </w:rPr>
        <w:t xml:space="preserve"> therefore lack</w:t>
      </w:r>
      <w:r w:rsidRPr="00A96CF1">
        <w:rPr>
          <w:shd w:val="clear" w:color="auto" w:fill="FFFFFF"/>
        </w:rPr>
        <w:t xml:space="preserve"> merit.</w:t>
      </w:r>
    </w:p>
    <w:p w14:paraId="6A6B970C" w14:textId="77777777" w:rsidR="009361C9" w:rsidRDefault="009361C9" w:rsidP="00993C02">
      <w:pPr>
        <w:spacing w:after="0" w:line="360" w:lineRule="auto"/>
        <w:ind w:left="360"/>
        <w:jc w:val="both"/>
        <w:rPr>
          <w:rFonts w:ascii="Times New Roman" w:hAnsi="Times New Roman" w:cs="Times New Roman"/>
          <w:b/>
          <w:sz w:val="24"/>
          <w:szCs w:val="24"/>
        </w:rPr>
      </w:pPr>
    </w:p>
    <w:p w14:paraId="6F6EB786" w14:textId="77777777" w:rsidR="000C120F" w:rsidRPr="00A96CF1" w:rsidRDefault="00766254" w:rsidP="00993C02">
      <w:pPr>
        <w:spacing w:after="0" w:line="480" w:lineRule="auto"/>
        <w:ind w:left="360" w:hanging="360"/>
        <w:jc w:val="both"/>
        <w:rPr>
          <w:rFonts w:ascii="Times New Roman" w:hAnsi="Times New Roman" w:cs="Times New Roman"/>
          <w:b/>
          <w:sz w:val="24"/>
          <w:szCs w:val="24"/>
        </w:rPr>
      </w:pPr>
      <w:r w:rsidRPr="00A96CF1">
        <w:rPr>
          <w:rFonts w:ascii="Times New Roman" w:hAnsi="Times New Roman" w:cs="Times New Roman"/>
          <w:b/>
          <w:sz w:val="24"/>
          <w:szCs w:val="24"/>
        </w:rPr>
        <w:t>Whether or not the appellant was entitled to specific performance.</w:t>
      </w:r>
    </w:p>
    <w:p w14:paraId="05838B3E" w14:textId="4096F16B" w:rsidR="000C120F" w:rsidRPr="00A96CF1" w:rsidRDefault="00403701" w:rsidP="00993C02">
      <w:pPr>
        <w:pStyle w:val="ListParagraph"/>
        <w:numPr>
          <w:ilvl w:val="0"/>
          <w:numId w:val="15"/>
        </w:numPr>
        <w:spacing w:after="0" w:line="480" w:lineRule="auto"/>
        <w:ind w:left="567" w:hanging="567"/>
        <w:jc w:val="both"/>
        <w:rPr>
          <w:rFonts w:ascii="Times New Roman" w:hAnsi="Times New Roman" w:cs="Times New Roman"/>
          <w:sz w:val="24"/>
          <w:szCs w:val="24"/>
        </w:rPr>
      </w:pPr>
      <w:r w:rsidRPr="00A96CF1">
        <w:rPr>
          <w:rFonts w:ascii="Times New Roman" w:hAnsi="Times New Roman" w:cs="Times New Roman"/>
          <w:sz w:val="24"/>
          <w:szCs w:val="24"/>
        </w:rPr>
        <w:lastRenderedPageBreak/>
        <w:t>In his sixth ground of appeal, t</w:t>
      </w:r>
      <w:r w:rsidR="000C120F" w:rsidRPr="00A96CF1">
        <w:rPr>
          <w:rFonts w:ascii="Times New Roman" w:hAnsi="Times New Roman" w:cs="Times New Roman"/>
          <w:sz w:val="24"/>
          <w:szCs w:val="24"/>
        </w:rPr>
        <w:t xml:space="preserve">he appellant </w:t>
      </w:r>
      <w:r w:rsidRPr="00A96CF1">
        <w:rPr>
          <w:rFonts w:ascii="Times New Roman" w:hAnsi="Times New Roman" w:cs="Times New Roman"/>
          <w:sz w:val="24"/>
          <w:szCs w:val="24"/>
        </w:rPr>
        <w:t>contend</w:t>
      </w:r>
      <w:r w:rsidR="000C120F" w:rsidRPr="00A96CF1">
        <w:rPr>
          <w:rFonts w:ascii="Times New Roman" w:hAnsi="Times New Roman" w:cs="Times New Roman"/>
          <w:sz w:val="24"/>
          <w:szCs w:val="24"/>
        </w:rPr>
        <w:t xml:space="preserve">s that the court </w:t>
      </w:r>
      <w:r w:rsidR="000C120F" w:rsidRPr="00A96CF1">
        <w:rPr>
          <w:rFonts w:ascii="Times New Roman" w:hAnsi="Times New Roman" w:cs="Times New Roman"/>
          <w:i/>
          <w:sz w:val="24"/>
          <w:szCs w:val="24"/>
        </w:rPr>
        <w:t>a quo</w:t>
      </w:r>
      <w:r w:rsidR="000C120F" w:rsidRPr="00A96CF1">
        <w:rPr>
          <w:rFonts w:ascii="Times New Roman" w:hAnsi="Times New Roman" w:cs="Times New Roman"/>
          <w:sz w:val="24"/>
          <w:szCs w:val="24"/>
        </w:rPr>
        <w:t xml:space="preserve"> erred in law in finding that he was not entitled to the relief of specific performance. The law on specific performance is settled. By claiming specific performance, the innocent party is asking the court to order the defaulting party to do exactly what he contracted to do or</w:t>
      </w:r>
      <w:r w:rsidRPr="00A96CF1">
        <w:rPr>
          <w:rFonts w:ascii="Times New Roman" w:hAnsi="Times New Roman" w:cs="Times New Roman"/>
          <w:sz w:val="24"/>
          <w:szCs w:val="24"/>
        </w:rPr>
        <w:t>,</w:t>
      </w:r>
      <w:r w:rsidR="000C120F" w:rsidRPr="00A96CF1">
        <w:rPr>
          <w:rFonts w:ascii="Times New Roman" w:hAnsi="Times New Roman" w:cs="Times New Roman"/>
          <w:sz w:val="24"/>
          <w:szCs w:val="24"/>
        </w:rPr>
        <w:t xml:space="preserve"> put differently, to fulfil his contractual obligations. However, specific performance cannot be granted to a party who has not fulfilled</w:t>
      </w:r>
      <w:r w:rsidR="007275F7" w:rsidRPr="00A96CF1">
        <w:rPr>
          <w:rFonts w:ascii="Times New Roman" w:hAnsi="Times New Roman" w:cs="Times New Roman"/>
          <w:sz w:val="24"/>
          <w:szCs w:val="24"/>
        </w:rPr>
        <w:t xml:space="preserve"> or is unwilling and</w:t>
      </w:r>
      <w:r w:rsidR="001C23F4">
        <w:rPr>
          <w:rFonts w:ascii="Times New Roman" w:hAnsi="Times New Roman" w:cs="Times New Roman"/>
          <w:sz w:val="24"/>
          <w:szCs w:val="24"/>
        </w:rPr>
        <w:t xml:space="preserve"> </w:t>
      </w:r>
      <w:r w:rsidR="009D1018">
        <w:rPr>
          <w:rFonts w:ascii="Times New Roman" w:hAnsi="Times New Roman" w:cs="Times New Roman"/>
          <w:sz w:val="24"/>
          <w:szCs w:val="24"/>
        </w:rPr>
        <w:t>is not</w:t>
      </w:r>
      <w:r w:rsidR="007275F7" w:rsidRPr="00A96CF1">
        <w:rPr>
          <w:rFonts w:ascii="Times New Roman" w:hAnsi="Times New Roman" w:cs="Times New Roman"/>
          <w:sz w:val="24"/>
          <w:szCs w:val="24"/>
        </w:rPr>
        <w:t xml:space="preserve"> ready to fulfil</w:t>
      </w:r>
      <w:r w:rsidR="000C120F" w:rsidRPr="00A96CF1">
        <w:rPr>
          <w:rFonts w:ascii="Times New Roman" w:hAnsi="Times New Roman" w:cs="Times New Roman"/>
          <w:sz w:val="24"/>
          <w:szCs w:val="24"/>
        </w:rPr>
        <w:t xml:space="preserve"> his contractual obligations. This point was emphasised by this Court in the case of </w:t>
      </w:r>
      <w:r w:rsidR="000C120F" w:rsidRPr="00A96CF1">
        <w:rPr>
          <w:rFonts w:ascii="Times New Roman" w:hAnsi="Times New Roman" w:cs="Times New Roman"/>
          <w:i/>
          <w:sz w:val="24"/>
          <w:szCs w:val="24"/>
        </w:rPr>
        <w:t>Intercontinental Trading (Pvt) Ltd v Nestle Zimbabwe (Pvt) Ltd</w:t>
      </w:r>
      <w:r w:rsidR="000C120F" w:rsidRPr="00A96CF1">
        <w:rPr>
          <w:rFonts w:ascii="Times New Roman" w:hAnsi="Times New Roman" w:cs="Times New Roman"/>
          <w:b/>
          <w:sz w:val="24"/>
          <w:szCs w:val="24"/>
        </w:rPr>
        <w:t xml:space="preserve"> </w:t>
      </w:r>
      <w:r w:rsidR="000C120F" w:rsidRPr="00A96CF1">
        <w:rPr>
          <w:rFonts w:ascii="Times New Roman" w:hAnsi="Times New Roman" w:cs="Times New Roman"/>
          <w:sz w:val="24"/>
          <w:szCs w:val="24"/>
        </w:rPr>
        <w:t>1993 (1)</w:t>
      </w:r>
      <w:r w:rsidRPr="00A96CF1">
        <w:rPr>
          <w:rFonts w:ascii="Times New Roman" w:hAnsi="Times New Roman" w:cs="Times New Roman"/>
          <w:sz w:val="24"/>
          <w:szCs w:val="24"/>
        </w:rPr>
        <w:t xml:space="preserve"> ZLR</w:t>
      </w:r>
      <w:r w:rsidR="000C120F" w:rsidRPr="00A96CF1">
        <w:rPr>
          <w:rFonts w:ascii="Times New Roman" w:hAnsi="Times New Roman" w:cs="Times New Roman"/>
          <w:sz w:val="24"/>
          <w:szCs w:val="24"/>
        </w:rPr>
        <w:t xml:space="preserve"> 21</w:t>
      </w:r>
      <w:r w:rsidR="00D97A83">
        <w:rPr>
          <w:rFonts w:ascii="Times New Roman" w:hAnsi="Times New Roman" w:cs="Times New Roman"/>
          <w:sz w:val="24"/>
          <w:szCs w:val="24"/>
        </w:rPr>
        <w:t xml:space="preserve"> (S)</w:t>
      </w:r>
      <w:r w:rsidR="000C120F" w:rsidRPr="00A96CF1">
        <w:rPr>
          <w:rFonts w:ascii="Times New Roman" w:hAnsi="Times New Roman" w:cs="Times New Roman"/>
          <w:b/>
          <w:sz w:val="24"/>
          <w:szCs w:val="24"/>
        </w:rPr>
        <w:t xml:space="preserve"> </w:t>
      </w:r>
      <w:r w:rsidR="000C120F" w:rsidRPr="00A96CF1">
        <w:rPr>
          <w:rFonts w:ascii="Times New Roman" w:hAnsi="Times New Roman" w:cs="Times New Roman"/>
          <w:sz w:val="24"/>
          <w:szCs w:val="24"/>
        </w:rPr>
        <w:t>as follows:</w:t>
      </w:r>
    </w:p>
    <w:p w14:paraId="22816ADE" w14:textId="77777777" w:rsidR="000C120F" w:rsidRPr="00A96CF1" w:rsidRDefault="000C120F" w:rsidP="00993C02">
      <w:pPr>
        <w:spacing w:line="240" w:lineRule="auto"/>
        <w:ind w:left="1276" w:hanging="142"/>
        <w:jc w:val="both"/>
        <w:rPr>
          <w:rFonts w:ascii="Times New Roman" w:hAnsi="Times New Roman" w:cs="Times New Roman"/>
          <w:sz w:val="24"/>
          <w:szCs w:val="24"/>
        </w:rPr>
      </w:pPr>
      <w:r w:rsidRPr="00A96CF1">
        <w:rPr>
          <w:rFonts w:ascii="Times New Roman" w:hAnsi="Times New Roman" w:cs="Times New Roman"/>
          <w:sz w:val="24"/>
          <w:szCs w:val="24"/>
        </w:rPr>
        <w:t>“Bef</w:t>
      </w:r>
      <w:r w:rsidR="00292E04" w:rsidRPr="00A96CF1">
        <w:rPr>
          <w:rFonts w:ascii="Times New Roman" w:hAnsi="Times New Roman" w:cs="Times New Roman"/>
          <w:sz w:val="24"/>
          <w:szCs w:val="24"/>
        </w:rPr>
        <w:t>o</w:t>
      </w:r>
      <w:r w:rsidRPr="00A96CF1">
        <w:rPr>
          <w:rFonts w:ascii="Times New Roman" w:hAnsi="Times New Roman" w:cs="Times New Roman"/>
          <w:sz w:val="24"/>
          <w:szCs w:val="24"/>
        </w:rPr>
        <w:t>re I deal with this matter, I think it prudent for the court to remind itself of the correct manner in which the remedy of specific performance should be approached.</w:t>
      </w:r>
    </w:p>
    <w:p w14:paraId="59ED99F8" w14:textId="526F918F" w:rsidR="000C120F" w:rsidRPr="00A96CF1" w:rsidRDefault="000C120F" w:rsidP="00993C02">
      <w:pPr>
        <w:spacing w:line="240" w:lineRule="auto"/>
        <w:ind w:left="1276"/>
        <w:jc w:val="both"/>
        <w:rPr>
          <w:rFonts w:ascii="Times New Roman" w:hAnsi="Times New Roman" w:cs="Times New Roman"/>
          <w:sz w:val="24"/>
          <w:szCs w:val="24"/>
        </w:rPr>
      </w:pPr>
      <w:r w:rsidRPr="00A96CF1">
        <w:rPr>
          <w:rFonts w:ascii="Times New Roman" w:hAnsi="Times New Roman" w:cs="Times New Roman"/>
          <w:sz w:val="24"/>
          <w:szCs w:val="24"/>
        </w:rPr>
        <w:t xml:space="preserve">Historically, it was KOTZE CJ in </w:t>
      </w:r>
      <w:r w:rsidRPr="00A96CF1">
        <w:rPr>
          <w:rFonts w:ascii="Times New Roman" w:hAnsi="Times New Roman" w:cs="Times New Roman"/>
          <w:i/>
          <w:sz w:val="24"/>
          <w:szCs w:val="24"/>
        </w:rPr>
        <w:t>Cohen v Shrines, McHattie &amp; Kind</w:t>
      </w:r>
      <w:r w:rsidRPr="00A96CF1">
        <w:rPr>
          <w:rFonts w:ascii="Times New Roman" w:hAnsi="Times New Roman" w:cs="Times New Roman"/>
          <w:sz w:val="24"/>
          <w:szCs w:val="24"/>
        </w:rPr>
        <w:t xml:space="preserve"> [1882] 1 SAR 41 at 45 who, after consulting authorities, held that Roman-Dutch law clearly recognised the right to a specific performance of a contract, and it is interesting to note that the classic exposition of the rule on specific </w:t>
      </w:r>
      <w:r w:rsidR="00292E04" w:rsidRPr="00A96CF1">
        <w:rPr>
          <w:rFonts w:ascii="Times New Roman" w:hAnsi="Times New Roman" w:cs="Times New Roman"/>
          <w:sz w:val="24"/>
          <w:szCs w:val="24"/>
        </w:rPr>
        <w:t>performance</w:t>
      </w:r>
      <w:r w:rsidRPr="00A96CF1">
        <w:rPr>
          <w:rFonts w:ascii="Times New Roman" w:hAnsi="Times New Roman" w:cs="Times New Roman"/>
          <w:sz w:val="24"/>
          <w:szCs w:val="24"/>
        </w:rPr>
        <w:t xml:space="preserve"> was expressed in a case which arose in the High Court of this country </w:t>
      </w:r>
      <w:r w:rsidR="00292E04" w:rsidRPr="00A96CF1">
        <w:rPr>
          <w:rFonts w:ascii="Times New Roman" w:hAnsi="Times New Roman" w:cs="Times New Roman"/>
          <w:sz w:val="24"/>
          <w:szCs w:val="24"/>
        </w:rPr>
        <w:t>and which came befor</w:t>
      </w:r>
      <w:r w:rsidRPr="00A96CF1">
        <w:rPr>
          <w:rFonts w:ascii="Times New Roman" w:hAnsi="Times New Roman" w:cs="Times New Roman"/>
          <w:sz w:val="24"/>
          <w:szCs w:val="24"/>
        </w:rPr>
        <w:t>e the South African Appel</w:t>
      </w:r>
      <w:r w:rsidR="00292E04" w:rsidRPr="00A96CF1">
        <w:rPr>
          <w:rFonts w:ascii="Times New Roman" w:hAnsi="Times New Roman" w:cs="Times New Roman"/>
          <w:sz w:val="24"/>
          <w:szCs w:val="24"/>
        </w:rPr>
        <w:t>l</w:t>
      </w:r>
      <w:r w:rsidRPr="00A96CF1">
        <w:rPr>
          <w:rFonts w:ascii="Times New Roman" w:hAnsi="Times New Roman" w:cs="Times New Roman"/>
          <w:sz w:val="24"/>
          <w:szCs w:val="24"/>
        </w:rPr>
        <w:t xml:space="preserve">ate Division, namely </w:t>
      </w:r>
      <w:r w:rsidRPr="00A96CF1">
        <w:rPr>
          <w:rFonts w:ascii="Times New Roman" w:hAnsi="Times New Roman" w:cs="Times New Roman"/>
          <w:i/>
          <w:sz w:val="24"/>
          <w:szCs w:val="24"/>
        </w:rPr>
        <w:t>Farmers’ Co-operative Society (Reg) v Berry</w:t>
      </w:r>
      <w:r w:rsidRPr="00A96CF1">
        <w:rPr>
          <w:rFonts w:ascii="Times New Roman" w:hAnsi="Times New Roman" w:cs="Times New Roman"/>
          <w:sz w:val="24"/>
          <w:szCs w:val="24"/>
        </w:rPr>
        <w:t xml:space="preserve"> 1912 AD 343. In that case INNES JA stated at 350;</w:t>
      </w:r>
    </w:p>
    <w:p w14:paraId="0B389856" w14:textId="1D300E91" w:rsidR="000C120F" w:rsidRPr="00A96CF1" w:rsidRDefault="000C120F" w:rsidP="00993C02">
      <w:pPr>
        <w:spacing w:after="0" w:line="240" w:lineRule="auto"/>
        <w:ind w:left="1276"/>
        <w:jc w:val="both"/>
        <w:rPr>
          <w:rFonts w:ascii="Times New Roman" w:hAnsi="Times New Roman" w:cs="Times New Roman"/>
          <w:b/>
          <w:sz w:val="24"/>
          <w:szCs w:val="24"/>
        </w:rPr>
      </w:pPr>
      <w:r w:rsidRPr="00A96CF1">
        <w:rPr>
          <w:rFonts w:ascii="Times New Roman" w:hAnsi="Times New Roman" w:cs="Times New Roman"/>
          <w:sz w:val="24"/>
          <w:szCs w:val="24"/>
        </w:rPr>
        <w:t>‘</w:t>
      </w:r>
      <w:r w:rsidRPr="00A96CF1">
        <w:rPr>
          <w:rFonts w:ascii="Times New Roman" w:hAnsi="Times New Roman" w:cs="Times New Roman"/>
          <w:i/>
          <w:sz w:val="24"/>
          <w:szCs w:val="24"/>
        </w:rPr>
        <w:t>Prima facie</w:t>
      </w:r>
      <w:r w:rsidRPr="00A96CF1">
        <w:rPr>
          <w:rFonts w:ascii="Times New Roman" w:hAnsi="Times New Roman" w:cs="Times New Roman"/>
          <w:sz w:val="24"/>
          <w:szCs w:val="24"/>
        </w:rPr>
        <w:t xml:space="preserve"> every party to a binding agreement who is ready to carry out his own obligation under it has a right to demand from the other party, so far a</w:t>
      </w:r>
      <w:r w:rsidR="00403701" w:rsidRPr="00A96CF1">
        <w:rPr>
          <w:rFonts w:ascii="Times New Roman" w:hAnsi="Times New Roman" w:cs="Times New Roman"/>
          <w:sz w:val="24"/>
          <w:szCs w:val="24"/>
        </w:rPr>
        <w:t>s</w:t>
      </w:r>
      <w:r w:rsidRPr="00A96CF1">
        <w:rPr>
          <w:rFonts w:ascii="Times New Roman" w:hAnsi="Times New Roman" w:cs="Times New Roman"/>
          <w:sz w:val="24"/>
          <w:szCs w:val="24"/>
        </w:rPr>
        <w:t xml:space="preserve"> it is possible, a performance of his undertaking in terms of the contract. As remarked by KOTZE CJ in </w:t>
      </w:r>
      <w:r w:rsidRPr="00A96CF1">
        <w:rPr>
          <w:rFonts w:ascii="Times New Roman" w:hAnsi="Times New Roman" w:cs="Times New Roman"/>
          <w:i/>
          <w:sz w:val="24"/>
          <w:szCs w:val="24"/>
        </w:rPr>
        <w:t>Thompson v Pullinger</w:t>
      </w:r>
      <w:r w:rsidRPr="00A96CF1">
        <w:rPr>
          <w:rFonts w:ascii="Times New Roman" w:hAnsi="Times New Roman" w:cs="Times New Roman"/>
          <w:sz w:val="24"/>
          <w:szCs w:val="24"/>
        </w:rPr>
        <w:t xml:space="preserve"> </w:t>
      </w:r>
      <w:r w:rsidR="00292E04" w:rsidRPr="00A96CF1">
        <w:rPr>
          <w:rFonts w:ascii="Times New Roman" w:hAnsi="Times New Roman" w:cs="Times New Roman"/>
          <w:sz w:val="24"/>
          <w:szCs w:val="24"/>
        </w:rPr>
        <w:t>‘the right of a plaintiff to the specific performance of a contract where the defendant is in a position to do so is beyond all doubt’.”</w:t>
      </w:r>
    </w:p>
    <w:p w14:paraId="096691C5" w14:textId="77777777" w:rsidR="009361C9" w:rsidRDefault="009361C9" w:rsidP="00993C02">
      <w:pPr>
        <w:pStyle w:val="NormalWeb"/>
        <w:shd w:val="clear" w:color="auto" w:fill="FFFFFF"/>
        <w:spacing w:before="0" w:beforeAutospacing="0" w:after="0" w:afterAutospacing="0" w:line="480" w:lineRule="auto"/>
        <w:ind w:left="720"/>
        <w:jc w:val="both"/>
      </w:pPr>
    </w:p>
    <w:p w14:paraId="1538DB89" w14:textId="482C9B5F" w:rsidR="00292E04" w:rsidRPr="00A96CF1" w:rsidRDefault="00292E04" w:rsidP="00993C02">
      <w:pPr>
        <w:pStyle w:val="NormalWeb"/>
        <w:numPr>
          <w:ilvl w:val="0"/>
          <w:numId w:val="15"/>
        </w:numPr>
        <w:shd w:val="clear" w:color="auto" w:fill="FFFFFF"/>
        <w:spacing w:before="0" w:beforeAutospacing="0" w:after="0" w:afterAutospacing="0" w:line="480" w:lineRule="auto"/>
        <w:ind w:left="567" w:hanging="567"/>
        <w:jc w:val="both"/>
      </w:pPr>
      <w:r w:rsidRPr="00A96CF1">
        <w:t xml:space="preserve">An order for specific performance lies </w:t>
      </w:r>
      <w:r w:rsidR="007134A1">
        <w:t>in</w:t>
      </w:r>
      <w:r w:rsidRPr="00A96CF1">
        <w:t xml:space="preserve"> the discretion of the court. </w:t>
      </w:r>
      <w:r w:rsidRPr="002950D0">
        <w:rPr>
          <w:iCs/>
        </w:rPr>
        <w:t>In</w:t>
      </w:r>
      <w:r w:rsidRPr="00A96CF1">
        <w:rPr>
          <w:i/>
        </w:rPr>
        <w:t xml:space="preserve"> Benson v</w:t>
      </w:r>
      <w:r w:rsidRPr="00A96CF1">
        <w:rPr>
          <w:rStyle w:val="Emphasis"/>
          <w:i w:val="0"/>
        </w:rPr>
        <w:t> </w:t>
      </w:r>
      <w:r w:rsidRPr="00A96CF1">
        <w:rPr>
          <w:rStyle w:val="Emphasis"/>
        </w:rPr>
        <w:t>South Africa Mutual Life Assurance Society</w:t>
      </w:r>
      <w:r w:rsidRPr="00A96CF1">
        <w:rPr>
          <w:rStyle w:val="Emphasis"/>
          <w:b/>
          <w:i w:val="0"/>
        </w:rPr>
        <w:t> </w:t>
      </w:r>
      <w:r w:rsidRPr="00A96CF1">
        <w:t>1986 (1) SA 776</w:t>
      </w:r>
      <w:r w:rsidR="002950D0">
        <w:t xml:space="preserve"> </w:t>
      </w:r>
      <w:r w:rsidRPr="00A96CF1">
        <w:t>(A) at 783 C-D</w:t>
      </w:r>
      <w:r w:rsidR="00124D4B" w:rsidRPr="00A96CF1">
        <w:t>,</w:t>
      </w:r>
      <w:r w:rsidRPr="00A96CF1">
        <w:t xml:space="preserve"> it was held that the discretion of the court is</w:t>
      </w:r>
      <w:r w:rsidR="007275F7" w:rsidRPr="00A96CF1">
        <w:t>:</w:t>
      </w:r>
    </w:p>
    <w:p w14:paraId="414AC467" w14:textId="0864994D" w:rsidR="00292E04" w:rsidRPr="00A96CF1" w:rsidRDefault="00292E04" w:rsidP="00993C02">
      <w:pPr>
        <w:pStyle w:val="NormalWeb"/>
        <w:shd w:val="clear" w:color="auto" w:fill="FFFFFF"/>
        <w:spacing w:before="0" w:beforeAutospacing="0" w:after="0" w:afterAutospacing="0"/>
        <w:ind w:left="1276" w:hanging="142"/>
        <w:jc w:val="both"/>
        <w:rPr>
          <w:rStyle w:val="Emphasis"/>
          <w:i w:val="0"/>
        </w:rPr>
      </w:pPr>
      <w:r w:rsidRPr="00A96CF1">
        <w:rPr>
          <w:rStyle w:val="Emphasis"/>
          <w:i w:val="0"/>
        </w:rPr>
        <w:t xml:space="preserve">“[not] … completely unfettered.  It remains, after all, a judicial discretion and </w:t>
      </w:r>
      <w:r w:rsidR="00403701" w:rsidRPr="00A96CF1">
        <w:rPr>
          <w:rStyle w:val="Emphasis"/>
          <w:i w:val="0"/>
        </w:rPr>
        <w:t>from its very nature arises</w:t>
      </w:r>
      <w:r w:rsidRPr="00A96CF1">
        <w:rPr>
          <w:rStyle w:val="Emphasis"/>
          <w:i w:val="0"/>
        </w:rPr>
        <w:t xml:space="preserve"> the requirement that it is not to be exercised capriciously, nor upon a wrong principle (</w:t>
      </w:r>
      <w:r w:rsidRPr="00A96CF1">
        <w:rPr>
          <w:rStyle w:val="Emphasis"/>
        </w:rPr>
        <w:t xml:space="preserve">Ex </w:t>
      </w:r>
      <w:proofErr w:type="spellStart"/>
      <w:r w:rsidRPr="00A96CF1">
        <w:rPr>
          <w:rStyle w:val="Emphasis"/>
        </w:rPr>
        <w:t>parte</w:t>
      </w:r>
      <w:proofErr w:type="spellEnd"/>
      <w:r w:rsidRPr="00A96CF1">
        <w:rPr>
          <w:rStyle w:val="Emphasis"/>
        </w:rPr>
        <w:t xml:space="preserve"> Neethling</w:t>
      </w:r>
      <w:r w:rsidRPr="00A96CF1">
        <w:rPr>
          <w:rStyle w:val="Emphasis"/>
          <w:i w:val="0"/>
        </w:rPr>
        <w:t xml:space="preserve"> (supra at 335)</w:t>
      </w:r>
      <w:r w:rsidR="00403701" w:rsidRPr="00A96CF1">
        <w:rPr>
          <w:rStyle w:val="Emphasis"/>
          <w:b/>
          <w:i w:val="0"/>
        </w:rPr>
        <w:t>)</w:t>
      </w:r>
      <w:r w:rsidRPr="00A96CF1">
        <w:rPr>
          <w:rStyle w:val="Emphasis"/>
          <w:i w:val="0"/>
        </w:rPr>
        <w:t xml:space="preserve">.  It is aimed at preventing an injustice – for cases do arise where justice demands that a plaintiff be denied his right to performance – and the basic principle thus is that the order which the court makes should not produce an unjust result which will be the case, </w:t>
      </w:r>
      <w:r w:rsidRPr="00A96CF1">
        <w:rPr>
          <w:rStyle w:val="Emphasis"/>
          <w:i w:val="0"/>
        </w:rPr>
        <w:lastRenderedPageBreak/>
        <w:t>e.g. if, in the particular circumstances, the order will operate unduly harshly on the defendant.”</w:t>
      </w:r>
    </w:p>
    <w:p w14:paraId="03953899" w14:textId="77777777" w:rsidR="00D4462A" w:rsidRDefault="00D4462A" w:rsidP="00993C02">
      <w:pPr>
        <w:pStyle w:val="ListParagraph"/>
        <w:spacing w:after="0" w:line="480" w:lineRule="auto"/>
        <w:jc w:val="both"/>
        <w:rPr>
          <w:rStyle w:val="Emphasis"/>
          <w:rFonts w:ascii="Times New Roman" w:hAnsi="Times New Roman" w:cs="Times New Roman"/>
          <w:i w:val="0"/>
          <w:sz w:val="24"/>
          <w:szCs w:val="24"/>
        </w:rPr>
      </w:pPr>
    </w:p>
    <w:p w14:paraId="6C5D6EA5" w14:textId="0813C1D1" w:rsidR="005112DA" w:rsidRPr="00A96CF1" w:rsidRDefault="00BE5D9B" w:rsidP="00993C02">
      <w:pPr>
        <w:pStyle w:val="ListParagraph"/>
        <w:numPr>
          <w:ilvl w:val="0"/>
          <w:numId w:val="15"/>
        </w:numPr>
        <w:spacing w:line="480" w:lineRule="auto"/>
        <w:ind w:left="567" w:hanging="567"/>
        <w:jc w:val="both"/>
        <w:rPr>
          <w:rStyle w:val="Emphasis"/>
          <w:rFonts w:ascii="Times New Roman" w:hAnsi="Times New Roman" w:cs="Times New Roman"/>
          <w:i w:val="0"/>
          <w:sz w:val="24"/>
          <w:szCs w:val="24"/>
        </w:rPr>
      </w:pPr>
      <w:r w:rsidRPr="00A96CF1">
        <w:rPr>
          <w:rStyle w:val="Emphasis"/>
          <w:rFonts w:ascii="Times New Roman" w:hAnsi="Times New Roman" w:cs="Times New Roman"/>
          <w:i w:val="0"/>
          <w:sz w:val="24"/>
          <w:szCs w:val="24"/>
        </w:rPr>
        <w:t>In</w:t>
      </w:r>
      <w:r w:rsidR="00403701" w:rsidRPr="00A96CF1">
        <w:rPr>
          <w:rStyle w:val="Emphasis"/>
          <w:rFonts w:ascii="Times New Roman" w:hAnsi="Times New Roman" w:cs="Times New Roman"/>
          <w:i w:val="0"/>
          <w:sz w:val="24"/>
          <w:szCs w:val="24"/>
        </w:rPr>
        <w:t xml:space="preserve"> </w:t>
      </w:r>
      <w:r w:rsidR="00403701" w:rsidRPr="00A96CF1">
        <w:rPr>
          <w:rStyle w:val="Emphasis"/>
          <w:rFonts w:ascii="Times New Roman" w:hAnsi="Times New Roman" w:cs="Times New Roman"/>
          <w:bCs/>
          <w:i w:val="0"/>
          <w:sz w:val="24"/>
          <w:szCs w:val="24"/>
        </w:rPr>
        <w:t>exercising its discretion and in</w:t>
      </w:r>
      <w:r w:rsidRPr="00A96CF1">
        <w:rPr>
          <w:rStyle w:val="Emphasis"/>
          <w:rFonts w:ascii="Times New Roman" w:hAnsi="Times New Roman" w:cs="Times New Roman"/>
          <w:i w:val="0"/>
          <w:sz w:val="24"/>
          <w:szCs w:val="24"/>
        </w:rPr>
        <w:t xml:space="preserve"> coming to the conclusion that it did, the court </w:t>
      </w:r>
      <w:r w:rsidRPr="00A96CF1">
        <w:rPr>
          <w:rStyle w:val="Emphasis"/>
          <w:rFonts w:ascii="Times New Roman" w:hAnsi="Times New Roman" w:cs="Times New Roman"/>
          <w:sz w:val="24"/>
          <w:szCs w:val="24"/>
        </w:rPr>
        <w:t>a quo</w:t>
      </w:r>
      <w:r w:rsidRPr="00A96CF1">
        <w:rPr>
          <w:rStyle w:val="Emphasis"/>
          <w:rFonts w:ascii="Times New Roman" w:hAnsi="Times New Roman" w:cs="Times New Roman"/>
          <w:i w:val="0"/>
          <w:sz w:val="24"/>
          <w:szCs w:val="24"/>
        </w:rPr>
        <w:t xml:space="preserve"> stated </w:t>
      </w:r>
      <w:r w:rsidR="005112DA" w:rsidRPr="00A96CF1">
        <w:rPr>
          <w:rStyle w:val="Emphasis"/>
          <w:rFonts w:ascii="Times New Roman" w:hAnsi="Times New Roman" w:cs="Times New Roman"/>
          <w:i w:val="0"/>
          <w:sz w:val="24"/>
          <w:szCs w:val="24"/>
        </w:rPr>
        <w:t xml:space="preserve">that </w:t>
      </w:r>
      <w:r w:rsidRPr="00A96CF1">
        <w:rPr>
          <w:rStyle w:val="Emphasis"/>
          <w:rFonts w:ascii="Times New Roman" w:hAnsi="Times New Roman" w:cs="Times New Roman"/>
          <w:i w:val="0"/>
          <w:sz w:val="24"/>
          <w:szCs w:val="24"/>
        </w:rPr>
        <w:t xml:space="preserve">the general rule is that, </w:t>
      </w:r>
      <w:r w:rsidRPr="00A96CF1">
        <w:rPr>
          <w:rStyle w:val="Emphasis"/>
          <w:rFonts w:ascii="Times New Roman" w:hAnsi="Times New Roman" w:cs="Times New Roman"/>
          <w:sz w:val="24"/>
          <w:szCs w:val="24"/>
        </w:rPr>
        <w:t>prima facie</w:t>
      </w:r>
      <w:r w:rsidRPr="00A96CF1">
        <w:rPr>
          <w:rStyle w:val="Emphasis"/>
          <w:rFonts w:ascii="Times New Roman" w:hAnsi="Times New Roman" w:cs="Times New Roman"/>
          <w:i w:val="0"/>
          <w:sz w:val="24"/>
          <w:szCs w:val="24"/>
        </w:rPr>
        <w:t xml:space="preserve">, every party to a binding agreement who is ready to carry out his own obligation under it has a right to demand the other party, so far as it is possible, to perform its undertaking in terms of the contract. It found that the </w:t>
      </w:r>
      <w:r w:rsidR="00403701" w:rsidRPr="00A96CF1">
        <w:rPr>
          <w:rStyle w:val="Emphasis"/>
          <w:rFonts w:ascii="Times New Roman" w:hAnsi="Times New Roman" w:cs="Times New Roman"/>
          <w:i w:val="0"/>
          <w:sz w:val="24"/>
          <w:szCs w:val="24"/>
        </w:rPr>
        <w:t>second</w:t>
      </w:r>
      <w:r w:rsidRPr="00A96CF1">
        <w:rPr>
          <w:rStyle w:val="Emphasis"/>
          <w:rFonts w:ascii="Times New Roman" w:hAnsi="Times New Roman" w:cs="Times New Roman"/>
          <w:i w:val="0"/>
          <w:sz w:val="24"/>
          <w:szCs w:val="24"/>
        </w:rPr>
        <w:t xml:space="preserve"> respondent was entitled to specific performance </w:t>
      </w:r>
      <w:r w:rsidR="00403701" w:rsidRPr="00A96CF1">
        <w:rPr>
          <w:rStyle w:val="Emphasis"/>
          <w:rFonts w:ascii="Times New Roman" w:hAnsi="Times New Roman" w:cs="Times New Roman"/>
          <w:i w:val="0"/>
          <w:sz w:val="24"/>
          <w:szCs w:val="24"/>
        </w:rPr>
        <w:t>because</w:t>
      </w:r>
      <w:r w:rsidRPr="00A96CF1">
        <w:rPr>
          <w:rStyle w:val="Emphasis"/>
          <w:rFonts w:ascii="Times New Roman" w:hAnsi="Times New Roman" w:cs="Times New Roman"/>
          <w:i w:val="0"/>
          <w:sz w:val="24"/>
          <w:szCs w:val="24"/>
        </w:rPr>
        <w:t xml:space="preserve"> in terms of the agreed facts</w:t>
      </w:r>
      <w:r w:rsidR="00403701" w:rsidRPr="00A96CF1">
        <w:rPr>
          <w:rStyle w:val="Emphasis"/>
          <w:rFonts w:ascii="Times New Roman" w:hAnsi="Times New Roman" w:cs="Times New Roman"/>
          <w:i w:val="0"/>
          <w:sz w:val="24"/>
          <w:szCs w:val="24"/>
        </w:rPr>
        <w:t>,</w:t>
      </w:r>
      <w:r w:rsidRPr="00A96CF1">
        <w:rPr>
          <w:rStyle w:val="Emphasis"/>
          <w:rFonts w:ascii="Times New Roman" w:hAnsi="Times New Roman" w:cs="Times New Roman"/>
          <w:i w:val="0"/>
          <w:sz w:val="24"/>
          <w:szCs w:val="24"/>
        </w:rPr>
        <w:t xml:space="preserve"> the </w:t>
      </w:r>
      <w:r w:rsidR="00403701" w:rsidRPr="00A96CF1">
        <w:rPr>
          <w:rStyle w:val="Emphasis"/>
          <w:rFonts w:ascii="Times New Roman" w:hAnsi="Times New Roman" w:cs="Times New Roman"/>
          <w:i w:val="0"/>
          <w:sz w:val="24"/>
          <w:szCs w:val="24"/>
        </w:rPr>
        <w:t>second</w:t>
      </w:r>
      <w:r w:rsidRPr="00A96CF1">
        <w:rPr>
          <w:rStyle w:val="Emphasis"/>
          <w:rFonts w:ascii="Times New Roman" w:hAnsi="Times New Roman" w:cs="Times New Roman"/>
          <w:i w:val="0"/>
          <w:sz w:val="24"/>
          <w:szCs w:val="24"/>
        </w:rPr>
        <w:t xml:space="preserve"> respondent agreed and undertook to pay the full prescribed purchase price in </w:t>
      </w:r>
      <w:r w:rsidR="00403701" w:rsidRPr="00A96CF1">
        <w:rPr>
          <w:rStyle w:val="Emphasis"/>
          <w:rFonts w:ascii="Times New Roman" w:hAnsi="Times New Roman" w:cs="Times New Roman"/>
          <w:i w:val="0"/>
          <w:sz w:val="24"/>
          <w:szCs w:val="24"/>
        </w:rPr>
        <w:t>respect of the property and</w:t>
      </w:r>
      <w:r w:rsidRPr="00A96CF1">
        <w:rPr>
          <w:rStyle w:val="Emphasis"/>
          <w:rFonts w:ascii="Times New Roman" w:hAnsi="Times New Roman" w:cs="Times New Roman"/>
          <w:i w:val="0"/>
          <w:sz w:val="24"/>
          <w:szCs w:val="24"/>
        </w:rPr>
        <w:t xml:space="preserve"> </w:t>
      </w:r>
      <w:r w:rsidR="00403701" w:rsidRPr="00A96CF1">
        <w:rPr>
          <w:rStyle w:val="Emphasis"/>
          <w:rFonts w:ascii="Times New Roman" w:hAnsi="Times New Roman" w:cs="Times New Roman"/>
          <w:i w:val="0"/>
          <w:sz w:val="24"/>
          <w:szCs w:val="24"/>
        </w:rPr>
        <w:t>he</w:t>
      </w:r>
      <w:r w:rsidRPr="00A96CF1">
        <w:rPr>
          <w:rStyle w:val="Emphasis"/>
          <w:rFonts w:ascii="Times New Roman" w:hAnsi="Times New Roman" w:cs="Times New Roman"/>
          <w:i w:val="0"/>
          <w:sz w:val="24"/>
          <w:szCs w:val="24"/>
        </w:rPr>
        <w:t xml:space="preserve"> met </w:t>
      </w:r>
      <w:r w:rsidR="00403701" w:rsidRPr="00A96CF1">
        <w:rPr>
          <w:rStyle w:val="Emphasis"/>
          <w:rFonts w:ascii="Times New Roman" w:hAnsi="Times New Roman" w:cs="Times New Roman"/>
          <w:i w:val="0"/>
          <w:sz w:val="24"/>
          <w:szCs w:val="24"/>
        </w:rPr>
        <w:t>his</w:t>
      </w:r>
      <w:r w:rsidRPr="00A96CF1">
        <w:rPr>
          <w:rStyle w:val="Emphasis"/>
          <w:rFonts w:ascii="Times New Roman" w:hAnsi="Times New Roman" w:cs="Times New Roman"/>
          <w:i w:val="0"/>
          <w:sz w:val="24"/>
          <w:szCs w:val="24"/>
        </w:rPr>
        <w:t xml:space="preserve"> side of the bargain. </w:t>
      </w:r>
      <w:r w:rsidR="00403701" w:rsidRPr="00A96CF1">
        <w:rPr>
          <w:rStyle w:val="Emphasis"/>
          <w:rFonts w:ascii="Times New Roman" w:hAnsi="Times New Roman" w:cs="Times New Roman"/>
          <w:i w:val="0"/>
          <w:sz w:val="24"/>
          <w:szCs w:val="24"/>
        </w:rPr>
        <w:t xml:space="preserve">On the facts of this matter, as reflected in the statement of agreed facts, </w:t>
      </w:r>
      <w:r w:rsidRPr="00A96CF1">
        <w:rPr>
          <w:rStyle w:val="Emphasis"/>
          <w:rFonts w:ascii="Times New Roman" w:hAnsi="Times New Roman" w:cs="Times New Roman"/>
          <w:i w:val="0"/>
          <w:sz w:val="24"/>
          <w:szCs w:val="24"/>
        </w:rPr>
        <w:t xml:space="preserve">the court </w:t>
      </w:r>
      <w:r w:rsidRPr="00A96CF1">
        <w:rPr>
          <w:rStyle w:val="Emphasis"/>
          <w:rFonts w:ascii="Times New Roman" w:hAnsi="Times New Roman" w:cs="Times New Roman"/>
          <w:sz w:val="24"/>
          <w:szCs w:val="24"/>
        </w:rPr>
        <w:t>a quo</w:t>
      </w:r>
      <w:r w:rsidRPr="00A96CF1">
        <w:rPr>
          <w:rStyle w:val="Emphasis"/>
          <w:rFonts w:ascii="Times New Roman" w:hAnsi="Times New Roman" w:cs="Times New Roman"/>
          <w:i w:val="0"/>
          <w:sz w:val="24"/>
          <w:szCs w:val="24"/>
        </w:rPr>
        <w:t xml:space="preserve"> correctly exercised its discretion in awarding the </w:t>
      </w:r>
      <w:r w:rsidR="00403701" w:rsidRPr="00A96CF1">
        <w:rPr>
          <w:rStyle w:val="Emphasis"/>
          <w:rFonts w:ascii="Times New Roman" w:hAnsi="Times New Roman" w:cs="Times New Roman"/>
          <w:i w:val="0"/>
          <w:sz w:val="24"/>
          <w:szCs w:val="24"/>
        </w:rPr>
        <w:t>second</w:t>
      </w:r>
      <w:r w:rsidRPr="00A96CF1">
        <w:rPr>
          <w:rStyle w:val="Emphasis"/>
          <w:rFonts w:ascii="Times New Roman" w:hAnsi="Times New Roman" w:cs="Times New Roman"/>
          <w:i w:val="0"/>
          <w:sz w:val="24"/>
          <w:szCs w:val="24"/>
        </w:rPr>
        <w:t xml:space="preserve"> respondent specific performance. </w:t>
      </w:r>
    </w:p>
    <w:p w14:paraId="2C88F1CA" w14:textId="77777777" w:rsidR="00D4462A" w:rsidRPr="00D4462A" w:rsidRDefault="00D4462A" w:rsidP="00993C02">
      <w:pPr>
        <w:pStyle w:val="ListParagraph"/>
        <w:spacing w:line="480" w:lineRule="auto"/>
        <w:jc w:val="both"/>
        <w:rPr>
          <w:rStyle w:val="Emphasis"/>
          <w:rFonts w:ascii="Times New Roman" w:hAnsi="Times New Roman" w:cs="Times New Roman"/>
          <w:i w:val="0"/>
          <w:iCs w:val="0"/>
          <w:sz w:val="24"/>
          <w:szCs w:val="24"/>
        </w:rPr>
      </w:pPr>
    </w:p>
    <w:p w14:paraId="576A97DE" w14:textId="094A84B9" w:rsidR="00BE5D9B" w:rsidRPr="00A96CF1" w:rsidRDefault="00403701" w:rsidP="00993C02">
      <w:pPr>
        <w:pStyle w:val="ListParagraph"/>
        <w:numPr>
          <w:ilvl w:val="0"/>
          <w:numId w:val="15"/>
        </w:numPr>
        <w:spacing w:after="0" w:line="480" w:lineRule="auto"/>
        <w:ind w:left="567" w:hanging="567"/>
        <w:jc w:val="both"/>
        <w:rPr>
          <w:rFonts w:ascii="Times New Roman" w:hAnsi="Times New Roman" w:cs="Times New Roman"/>
          <w:sz w:val="24"/>
          <w:szCs w:val="24"/>
        </w:rPr>
      </w:pPr>
      <w:r w:rsidRPr="00A96CF1">
        <w:rPr>
          <w:rStyle w:val="Emphasis"/>
          <w:rFonts w:ascii="Times New Roman" w:hAnsi="Times New Roman" w:cs="Times New Roman"/>
          <w:i w:val="0"/>
          <w:sz w:val="24"/>
          <w:szCs w:val="24"/>
        </w:rPr>
        <w:t xml:space="preserve">On the facts, </w:t>
      </w:r>
      <w:r w:rsidR="005112DA" w:rsidRPr="00A96CF1">
        <w:rPr>
          <w:rStyle w:val="Emphasis"/>
          <w:rFonts w:ascii="Times New Roman" w:hAnsi="Times New Roman" w:cs="Times New Roman"/>
          <w:i w:val="0"/>
          <w:sz w:val="24"/>
          <w:szCs w:val="24"/>
        </w:rPr>
        <w:t>t</w:t>
      </w:r>
      <w:r w:rsidR="00BE5D9B" w:rsidRPr="00A96CF1">
        <w:rPr>
          <w:rStyle w:val="Emphasis"/>
          <w:rFonts w:ascii="Times New Roman" w:hAnsi="Times New Roman" w:cs="Times New Roman"/>
          <w:i w:val="0"/>
          <w:sz w:val="24"/>
          <w:szCs w:val="24"/>
        </w:rPr>
        <w:t xml:space="preserve">o deny the </w:t>
      </w:r>
      <w:r w:rsidRPr="00A96CF1">
        <w:rPr>
          <w:rStyle w:val="Emphasis"/>
          <w:rFonts w:ascii="Times New Roman" w:hAnsi="Times New Roman" w:cs="Times New Roman"/>
          <w:i w:val="0"/>
          <w:sz w:val="24"/>
          <w:szCs w:val="24"/>
        </w:rPr>
        <w:t>second</w:t>
      </w:r>
      <w:r w:rsidR="00BE5D9B" w:rsidRPr="00A96CF1">
        <w:rPr>
          <w:rStyle w:val="Emphasis"/>
          <w:rFonts w:ascii="Times New Roman" w:hAnsi="Times New Roman" w:cs="Times New Roman"/>
          <w:i w:val="0"/>
          <w:sz w:val="24"/>
          <w:szCs w:val="24"/>
        </w:rPr>
        <w:t xml:space="preserve"> respondent specific performance would cause</w:t>
      </w:r>
      <w:r w:rsidRPr="00A96CF1">
        <w:rPr>
          <w:rStyle w:val="Emphasis"/>
          <w:rFonts w:ascii="Times New Roman" w:hAnsi="Times New Roman" w:cs="Times New Roman"/>
          <w:i w:val="0"/>
          <w:sz w:val="24"/>
          <w:szCs w:val="24"/>
        </w:rPr>
        <w:t xml:space="preserve"> him</w:t>
      </w:r>
      <w:r w:rsidR="00BE5D9B" w:rsidRPr="00A96CF1">
        <w:rPr>
          <w:rStyle w:val="Emphasis"/>
          <w:rFonts w:ascii="Times New Roman" w:hAnsi="Times New Roman" w:cs="Times New Roman"/>
          <w:i w:val="0"/>
          <w:sz w:val="24"/>
          <w:szCs w:val="24"/>
        </w:rPr>
        <w:t xml:space="preserve"> undue hardship </w:t>
      </w:r>
      <w:r w:rsidRPr="00A96CF1">
        <w:rPr>
          <w:rStyle w:val="Emphasis"/>
          <w:rFonts w:ascii="Times New Roman" w:hAnsi="Times New Roman" w:cs="Times New Roman"/>
          <w:i w:val="0"/>
          <w:sz w:val="24"/>
          <w:szCs w:val="24"/>
        </w:rPr>
        <w:t>as he</w:t>
      </w:r>
      <w:r w:rsidR="005112DA" w:rsidRPr="00A96CF1">
        <w:rPr>
          <w:rStyle w:val="Emphasis"/>
          <w:rFonts w:ascii="Times New Roman" w:hAnsi="Times New Roman" w:cs="Times New Roman"/>
          <w:i w:val="0"/>
          <w:sz w:val="24"/>
          <w:szCs w:val="24"/>
        </w:rPr>
        <w:t xml:space="preserve"> has already paid the full purchase price</w:t>
      </w:r>
      <w:r w:rsidRPr="00A96CF1">
        <w:rPr>
          <w:rStyle w:val="Emphasis"/>
          <w:rFonts w:ascii="Times New Roman" w:hAnsi="Times New Roman" w:cs="Times New Roman"/>
          <w:i w:val="0"/>
          <w:sz w:val="24"/>
          <w:szCs w:val="24"/>
        </w:rPr>
        <w:t>, and he did so in accordance with the agreed terms of the sale agreement</w:t>
      </w:r>
      <w:r w:rsidR="00BE5D9B" w:rsidRPr="00A96CF1">
        <w:rPr>
          <w:rStyle w:val="Emphasis"/>
          <w:rFonts w:ascii="Times New Roman" w:hAnsi="Times New Roman" w:cs="Times New Roman"/>
          <w:i w:val="0"/>
          <w:sz w:val="24"/>
          <w:szCs w:val="24"/>
        </w:rPr>
        <w:t>.</w:t>
      </w:r>
      <w:r w:rsidR="00124D4B" w:rsidRPr="00A96CF1">
        <w:rPr>
          <w:rStyle w:val="Emphasis"/>
          <w:rFonts w:ascii="Times New Roman" w:hAnsi="Times New Roman" w:cs="Times New Roman"/>
          <w:i w:val="0"/>
          <w:sz w:val="24"/>
          <w:szCs w:val="24"/>
        </w:rPr>
        <w:t xml:space="preserve"> The court </w:t>
      </w:r>
      <w:r w:rsidR="00124D4B" w:rsidRPr="00A96CF1">
        <w:rPr>
          <w:rStyle w:val="Emphasis"/>
          <w:rFonts w:ascii="Times New Roman" w:hAnsi="Times New Roman" w:cs="Times New Roman"/>
          <w:sz w:val="24"/>
          <w:szCs w:val="24"/>
        </w:rPr>
        <w:t>a quo</w:t>
      </w:r>
      <w:r w:rsidR="00124D4B" w:rsidRPr="00A96CF1">
        <w:rPr>
          <w:rStyle w:val="Emphasis"/>
          <w:rFonts w:ascii="Times New Roman" w:hAnsi="Times New Roman" w:cs="Times New Roman"/>
          <w:i w:val="0"/>
          <w:sz w:val="24"/>
          <w:szCs w:val="24"/>
        </w:rPr>
        <w:t xml:space="preserve"> correctly exercised its discretion in finding that the </w:t>
      </w:r>
      <w:r w:rsidRPr="00A96CF1">
        <w:rPr>
          <w:rStyle w:val="Emphasis"/>
          <w:rFonts w:ascii="Times New Roman" w:hAnsi="Times New Roman" w:cs="Times New Roman"/>
          <w:i w:val="0"/>
          <w:sz w:val="24"/>
          <w:szCs w:val="24"/>
        </w:rPr>
        <w:t xml:space="preserve">second </w:t>
      </w:r>
      <w:r w:rsidR="00124D4B" w:rsidRPr="00A96CF1">
        <w:rPr>
          <w:rStyle w:val="Emphasis"/>
          <w:rFonts w:ascii="Times New Roman" w:hAnsi="Times New Roman" w:cs="Times New Roman"/>
          <w:i w:val="0"/>
          <w:sz w:val="24"/>
          <w:szCs w:val="24"/>
        </w:rPr>
        <w:t>respondent was entitled to specific performance. Such discretion cannot be lightly interfered with. In</w:t>
      </w:r>
      <w:r w:rsidR="00BE5D9B" w:rsidRPr="00A96CF1">
        <w:rPr>
          <w:rStyle w:val="Emphasis"/>
          <w:rFonts w:ascii="Times New Roman" w:hAnsi="Times New Roman" w:cs="Times New Roman"/>
          <w:i w:val="0"/>
          <w:sz w:val="24"/>
          <w:szCs w:val="24"/>
        </w:rPr>
        <w:t xml:space="preserve"> </w:t>
      </w:r>
      <w:r w:rsidR="00BE5D9B" w:rsidRPr="00A96CF1">
        <w:rPr>
          <w:rFonts w:ascii="Times New Roman" w:hAnsi="Times New Roman" w:cs="Times New Roman"/>
          <w:i/>
          <w:sz w:val="24"/>
          <w:szCs w:val="24"/>
        </w:rPr>
        <w:t xml:space="preserve">Barros &amp; Anor v </w:t>
      </w:r>
      <w:proofErr w:type="spellStart"/>
      <w:r w:rsidR="00BE5D9B" w:rsidRPr="00A96CF1">
        <w:rPr>
          <w:rFonts w:ascii="Times New Roman" w:hAnsi="Times New Roman" w:cs="Times New Roman"/>
          <w:i/>
          <w:sz w:val="24"/>
          <w:szCs w:val="24"/>
        </w:rPr>
        <w:t>Chimphonda</w:t>
      </w:r>
      <w:proofErr w:type="spellEnd"/>
      <w:r w:rsidRPr="00A96CF1">
        <w:rPr>
          <w:rFonts w:ascii="Times New Roman" w:hAnsi="Times New Roman" w:cs="Times New Roman"/>
          <w:sz w:val="24"/>
          <w:szCs w:val="24"/>
        </w:rPr>
        <w:t xml:space="preserve"> </w:t>
      </w:r>
      <w:r w:rsidR="00766621" w:rsidRPr="00A96CF1">
        <w:rPr>
          <w:rFonts w:ascii="Times New Roman" w:hAnsi="Times New Roman" w:cs="Times New Roman"/>
          <w:sz w:val="24"/>
          <w:szCs w:val="24"/>
        </w:rPr>
        <w:t>1999</w:t>
      </w:r>
      <w:r w:rsidR="00EB67EE" w:rsidRPr="00A96CF1">
        <w:rPr>
          <w:rFonts w:ascii="Times New Roman" w:hAnsi="Times New Roman" w:cs="Times New Roman"/>
          <w:sz w:val="24"/>
          <w:szCs w:val="24"/>
        </w:rPr>
        <w:t xml:space="preserve"> </w:t>
      </w:r>
      <w:r w:rsidR="00766621" w:rsidRPr="00A96CF1">
        <w:rPr>
          <w:rFonts w:ascii="Times New Roman" w:hAnsi="Times New Roman" w:cs="Times New Roman"/>
          <w:sz w:val="24"/>
          <w:szCs w:val="24"/>
        </w:rPr>
        <w:t>(</w:t>
      </w:r>
      <w:r w:rsidR="00EB67EE" w:rsidRPr="00A96CF1">
        <w:rPr>
          <w:rFonts w:ascii="Times New Roman" w:hAnsi="Times New Roman" w:cs="Times New Roman"/>
          <w:sz w:val="24"/>
          <w:szCs w:val="24"/>
        </w:rPr>
        <w:t>1</w:t>
      </w:r>
      <w:r w:rsidR="00766621" w:rsidRPr="00A96CF1">
        <w:rPr>
          <w:rFonts w:ascii="Times New Roman" w:hAnsi="Times New Roman" w:cs="Times New Roman"/>
          <w:sz w:val="24"/>
          <w:szCs w:val="24"/>
        </w:rPr>
        <w:t>) ZLR 58 (S)</w:t>
      </w:r>
      <w:r w:rsidR="00EB67EE" w:rsidRPr="00A96CF1">
        <w:rPr>
          <w:rFonts w:ascii="Times New Roman" w:hAnsi="Times New Roman" w:cs="Times New Roman"/>
          <w:sz w:val="24"/>
          <w:szCs w:val="24"/>
        </w:rPr>
        <w:t xml:space="preserve"> </w:t>
      </w:r>
      <w:r w:rsidR="00BE5D9B" w:rsidRPr="00A96CF1">
        <w:rPr>
          <w:rFonts w:ascii="Times New Roman" w:hAnsi="Times New Roman" w:cs="Times New Roman"/>
          <w:sz w:val="24"/>
          <w:szCs w:val="24"/>
        </w:rPr>
        <w:t>the court held that</w:t>
      </w:r>
      <w:r w:rsidR="00EC7963" w:rsidRPr="00A96CF1">
        <w:rPr>
          <w:rFonts w:ascii="Times New Roman" w:hAnsi="Times New Roman" w:cs="Times New Roman"/>
          <w:sz w:val="24"/>
          <w:szCs w:val="24"/>
        </w:rPr>
        <w:t>:</w:t>
      </w:r>
    </w:p>
    <w:p w14:paraId="2F50F717" w14:textId="224F0723" w:rsidR="00BE5D9B" w:rsidRPr="00A96CF1" w:rsidRDefault="00BE5D9B" w:rsidP="00D4462A">
      <w:pPr>
        <w:spacing w:line="240" w:lineRule="auto"/>
        <w:ind w:left="1276" w:hanging="142"/>
        <w:jc w:val="both"/>
        <w:rPr>
          <w:rFonts w:ascii="Times New Roman" w:hAnsi="Times New Roman" w:cs="Times New Roman"/>
          <w:sz w:val="24"/>
          <w:szCs w:val="24"/>
        </w:rPr>
      </w:pPr>
      <w:r w:rsidRPr="00A96CF1">
        <w:rPr>
          <w:rFonts w:ascii="Times New Roman" w:hAnsi="Times New Roman" w:cs="Times New Roman"/>
          <w:sz w:val="24"/>
          <w:szCs w:val="24"/>
        </w:rPr>
        <w:t>“If the primary court acts upon a wrong principle, if it allows extraneous or irrelevant matters to guide or affect it, if it mistakes the facts, if it does not take into account relevant some consideration, then its determination should be reviewed and the appellate court may exercise its own discretion in substitution, provided always</w:t>
      </w:r>
      <w:r w:rsidR="00403701" w:rsidRPr="00A96CF1">
        <w:rPr>
          <w:rFonts w:ascii="Times New Roman" w:hAnsi="Times New Roman" w:cs="Times New Roman"/>
          <w:sz w:val="24"/>
          <w:szCs w:val="24"/>
        </w:rPr>
        <w:t xml:space="preserve"> (it)</w:t>
      </w:r>
      <w:r w:rsidRPr="00A96CF1">
        <w:rPr>
          <w:rFonts w:ascii="Times New Roman" w:hAnsi="Times New Roman" w:cs="Times New Roman"/>
          <w:sz w:val="24"/>
          <w:szCs w:val="24"/>
        </w:rPr>
        <w:t xml:space="preserve"> has the material</w:t>
      </w:r>
      <w:r w:rsidR="00D4462A">
        <w:rPr>
          <w:rFonts w:ascii="Times New Roman" w:hAnsi="Times New Roman" w:cs="Times New Roman"/>
          <w:sz w:val="24"/>
          <w:szCs w:val="24"/>
        </w:rPr>
        <w:t>s for so doing. In short, this C</w:t>
      </w:r>
      <w:r w:rsidRPr="00A96CF1">
        <w:rPr>
          <w:rFonts w:ascii="Times New Roman" w:hAnsi="Times New Roman" w:cs="Times New Roman"/>
          <w:sz w:val="24"/>
          <w:szCs w:val="24"/>
        </w:rPr>
        <w:t>ourt is not imbued with the same broad discretion as was enjoyed by the trial court.”</w:t>
      </w:r>
    </w:p>
    <w:p w14:paraId="49AF61D8" w14:textId="77777777" w:rsidR="00993C02" w:rsidRDefault="00993C02" w:rsidP="00993C02">
      <w:pPr>
        <w:tabs>
          <w:tab w:val="left" w:pos="567"/>
        </w:tabs>
        <w:spacing w:after="0" w:line="480" w:lineRule="auto"/>
        <w:jc w:val="both"/>
        <w:rPr>
          <w:rFonts w:ascii="Times New Roman" w:hAnsi="Times New Roman" w:cs="Times New Roman"/>
          <w:b/>
          <w:sz w:val="24"/>
          <w:szCs w:val="24"/>
          <w:u w:val="single"/>
        </w:rPr>
      </w:pPr>
    </w:p>
    <w:p w14:paraId="2B04FC6F" w14:textId="73467402" w:rsidR="00403701" w:rsidRPr="00D4462A" w:rsidRDefault="00D4462A" w:rsidP="00993C02">
      <w:pPr>
        <w:spacing w:after="0" w:line="480" w:lineRule="auto"/>
        <w:jc w:val="both"/>
        <w:rPr>
          <w:rFonts w:ascii="Times New Roman" w:hAnsi="Times New Roman" w:cs="Times New Roman"/>
          <w:b/>
          <w:sz w:val="24"/>
          <w:szCs w:val="24"/>
          <w:u w:val="single"/>
        </w:rPr>
      </w:pPr>
      <w:r w:rsidRPr="00D4462A">
        <w:rPr>
          <w:rFonts w:ascii="Times New Roman" w:hAnsi="Times New Roman" w:cs="Times New Roman"/>
          <w:b/>
          <w:sz w:val="24"/>
          <w:szCs w:val="24"/>
          <w:u w:val="single"/>
        </w:rPr>
        <w:t>DISPOSITION</w:t>
      </w:r>
    </w:p>
    <w:p w14:paraId="50240638" w14:textId="40654B30" w:rsidR="00BE5D9B" w:rsidRPr="00A96CF1" w:rsidRDefault="00403701" w:rsidP="00993C02">
      <w:pPr>
        <w:pStyle w:val="NormalWeb"/>
        <w:numPr>
          <w:ilvl w:val="0"/>
          <w:numId w:val="15"/>
        </w:numPr>
        <w:shd w:val="clear" w:color="auto" w:fill="FFFFFF"/>
        <w:spacing w:before="0" w:beforeAutospacing="0" w:after="0" w:afterAutospacing="0" w:line="480" w:lineRule="auto"/>
        <w:ind w:left="567" w:hanging="567"/>
        <w:jc w:val="both"/>
      </w:pPr>
      <w:r w:rsidRPr="00A96CF1">
        <w:t xml:space="preserve">It follows from the above analysis that </w:t>
      </w:r>
      <w:r w:rsidR="00BE5D9B" w:rsidRPr="00A96CF1">
        <w:t xml:space="preserve">the court </w:t>
      </w:r>
      <w:r w:rsidR="00BE5D9B" w:rsidRPr="00A96CF1">
        <w:rPr>
          <w:i/>
        </w:rPr>
        <w:t>a quo</w:t>
      </w:r>
      <w:r w:rsidR="00BE5D9B" w:rsidRPr="00A96CF1">
        <w:t xml:space="preserve"> </w:t>
      </w:r>
      <w:r w:rsidRPr="00A96CF1">
        <w:t xml:space="preserve">having </w:t>
      </w:r>
      <w:r w:rsidR="00BE5D9B" w:rsidRPr="00A96CF1">
        <w:t>correctly exercised its discretion</w:t>
      </w:r>
      <w:r w:rsidRPr="00A96CF1">
        <w:t>,</w:t>
      </w:r>
      <w:r w:rsidR="00BE5D9B" w:rsidRPr="00A96CF1">
        <w:t xml:space="preserve"> the appellant’s </w:t>
      </w:r>
      <w:r w:rsidRPr="00A96CF1">
        <w:t>sixth</w:t>
      </w:r>
      <w:r w:rsidR="00BE5D9B" w:rsidRPr="00A96CF1">
        <w:t xml:space="preserve"> ground of appeal lacks merit and ought to be dismissed.</w:t>
      </w:r>
    </w:p>
    <w:p w14:paraId="0381EEC1" w14:textId="31C7E35A" w:rsidR="009C3B7C" w:rsidRPr="00A96CF1" w:rsidRDefault="00403701" w:rsidP="00993C02">
      <w:pPr>
        <w:pStyle w:val="NormalWeb"/>
        <w:numPr>
          <w:ilvl w:val="0"/>
          <w:numId w:val="15"/>
        </w:numPr>
        <w:shd w:val="clear" w:color="auto" w:fill="FFFFFF"/>
        <w:spacing w:before="0" w:beforeAutospacing="0" w:after="0" w:afterAutospacing="0" w:line="480" w:lineRule="auto"/>
        <w:ind w:left="567" w:hanging="567"/>
        <w:jc w:val="both"/>
      </w:pPr>
      <w:r w:rsidRPr="00A96CF1">
        <w:lastRenderedPageBreak/>
        <w:t>In the final analysis, t</w:t>
      </w:r>
      <w:r w:rsidR="00BE5D9B" w:rsidRPr="00A96CF1">
        <w:t>h</w:t>
      </w:r>
      <w:r w:rsidRPr="00A96CF1">
        <w:t>is</w:t>
      </w:r>
      <w:r w:rsidR="00BE5D9B" w:rsidRPr="00A96CF1">
        <w:t xml:space="preserve"> appeal lacks merit</w:t>
      </w:r>
      <w:r w:rsidRPr="00A96CF1">
        <w:t xml:space="preserve">. </w:t>
      </w:r>
    </w:p>
    <w:p w14:paraId="0187025E" w14:textId="77777777" w:rsidR="00D4462A" w:rsidRDefault="00D4462A" w:rsidP="00993C02">
      <w:pPr>
        <w:pStyle w:val="NormalWeb"/>
        <w:shd w:val="clear" w:color="auto" w:fill="FFFFFF"/>
        <w:tabs>
          <w:tab w:val="left" w:pos="720"/>
        </w:tabs>
        <w:spacing w:before="0" w:beforeAutospacing="0" w:after="0" w:afterAutospacing="0" w:line="360" w:lineRule="auto"/>
        <w:ind w:left="720"/>
        <w:jc w:val="both"/>
      </w:pPr>
    </w:p>
    <w:p w14:paraId="1A28BC8E" w14:textId="503343C4" w:rsidR="00BE5D9B" w:rsidRPr="00A96CF1" w:rsidRDefault="00403701" w:rsidP="00993C02">
      <w:pPr>
        <w:pStyle w:val="NormalWeb"/>
        <w:numPr>
          <w:ilvl w:val="0"/>
          <w:numId w:val="15"/>
        </w:numPr>
        <w:shd w:val="clear" w:color="auto" w:fill="FFFFFF"/>
        <w:spacing w:before="0" w:beforeAutospacing="0" w:line="480" w:lineRule="auto"/>
        <w:ind w:left="567" w:hanging="567"/>
        <w:jc w:val="both"/>
      </w:pPr>
      <w:r w:rsidRPr="00A96CF1">
        <w:t xml:space="preserve">It was for these reasons that the court, after hearing the parties, </w:t>
      </w:r>
      <w:r w:rsidR="00BE5D9B" w:rsidRPr="00A96CF1">
        <w:t>dismissed</w:t>
      </w:r>
      <w:r w:rsidRPr="00A96CF1">
        <w:t xml:space="preserve"> the appeal with costs</w:t>
      </w:r>
      <w:r w:rsidR="00BE5D9B" w:rsidRPr="00A96CF1">
        <w:t>.</w:t>
      </w:r>
    </w:p>
    <w:p w14:paraId="27D65CF1" w14:textId="670365E0" w:rsidR="00BE5D9B" w:rsidRPr="00A96CF1" w:rsidRDefault="00BE5D9B" w:rsidP="00993C02">
      <w:pPr>
        <w:pStyle w:val="NormalWeb"/>
        <w:shd w:val="clear" w:color="auto" w:fill="FFFFFF"/>
        <w:spacing w:before="0" w:beforeAutospacing="0" w:line="480" w:lineRule="auto"/>
        <w:jc w:val="both"/>
        <w:rPr>
          <w:b/>
        </w:rPr>
      </w:pPr>
    </w:p>
    <w:p w14:paraId="1DC2F57E" w14:textId="77777777" w:rsidR="00403701" w:rsidRPr="00A96CF1" w:rsidRDefault="00403701" w:rsidP="00993C02">
      <w:pPr>
        <w:pStyle w:val="NormalWeb"/>
        <w:shd w:val="clear" w:color="auto" w:fill="FFFFFF"/>
        <w:spacing w:before="0" w:beforeAutospacing="0" w:line="480" w:lineRule="auto"/>
        <w:jc w:val="both"/>
        <w:rPr>
          <w:b/>
        </w:rPr>
      </w:pPr>
    </w:p>
    <w:p w14:paraId="5B50A41C" w14:textId="3C760345" w:rsidR="00403701" w:rsidRPr="00A96CF1" w:rsidRDefault="00403701" w:rsidP="006B6453">
      <w:pPr>
        <w:pStyle w:val="NormalWeb"/>
        <w:shd w:val="clear" w:color="auto" w:fill="FFFFFF"/>
        <w:spacing w:before="0" w:beforeAutospacing="0" w:line="480" w:lineRule="auto"/>
        <w:ind w:firstLine="1440"/>
      </w:pPr>
      <w:r w:rsidRPr="00D4462A">
        <w:rPr>
          <w:b/>
        </w:rPr>
        <w:t>GUVAVA JA</w:t>
      </w:r>
      <w:r w:rsidR="00993C02">
        <w:rPr>
          <w:b/>
        </w:rPr>
        <w:tab/>
      </w:r>
      <w:r w:rsidR="00993C02">
        <w:rPr>
          <w:b/>
        </w:rPr>
        <w:tab/>
      </w:r>
      <w:r w:rsidR="00D4462A" w:rsidRPr="006B6453">
        <w:t>:</w:t>
      </w:r>
      <w:r w:rsidRPr="006B6453">
        <w:t xml:space="preserve"> </w:t>
      </w:r>
      <w:r w:rsidR="00D4462A">
        <w:t xml:space="preserve"> </w:t>
      </w:r>
      <w:r w:rsidR="00D4462A">
        <w:tab/>
        <w:t xml:space="preserve">I </w:t>
      </w:r>
      <w:r w:rsidRPr="00A96CF1">
        <w:t>agree</w:t>
      </w:r>
    </w:p>
    <w:p w14:paraId="3FB4AEFF" w14:textId="77777777" w:rsidR="00403701" w:rsidRPr="00A96CF1" w:rsidRDefault="00403701" w:rsidP="00BE5D9B">
      <w:pPr>
        <w:pStyle w:val="NormalWeb"/>
        <w:shd w:val="clear" w:color="auto" w:fill="FFFFFF"/>
        <w:spacing w:before="0" w:beforeAutospacing="0" w:line="360" w:lineRule="auto"/>
        <w:jc w:val="both"/>
      </w:pPr>
    </w:p>
    <w:p w14:paraId="65B85CB8" w14:textId="16684297" w:rsidR="00766254" w:rsidRDefault="00403701" w:rsidP="006B6453">
      <w:pPr>
        <w:pStyle w:val="NormalWeb"/>
        <w:shd w:val="clear" w:color="auto" w:fill="FFFFFF"/>
        <w:spacing w:before="0" w:beforeAutospacing="0" w:line="360" w:lineRule="auto"/>
        <w:ind w:firstLine="1440"/>
        <w:jc w:val="both"/>
      </w:pPr>
      <w:r w:rsidRPr="00D4462A">
        <w:rPr>
          <w:b/>
        </w:rPr>
        <w:t>CHITAKUNYE JA</w:t>
      </w:r>
      <w:r w:rsidRPr="00A96CF1">
        <w:t xml:space="preserve"> </w:t>
      </w:r>
      <w:r w:rsidR="00993C02">
        <w:tab/>
      </w:r>
      <w:r w:rsidR="00D4462A" w:rsidRPr="006B6453">
        <w:t>:</w:t>
      </w:r>
      <w:r w:rsidR="00D4462A">
        <w:tab/>
        <w:t xml:space="preserve">I </w:t>
      </w:r>
      <w:r w:rsidRPr="00A96CF1">
        <w:t>agree</w:t>
      </w:r>
    </w:p>
    <w:p w14:paraId="1BCCF53B" w14:textId="77777777" w:rsidR="00393865" w:rsidRDefault="00393865" w:rsidP="00393865">
      <w:pPr>
        <w:pStyle w:val="NormalWeb"/>
        <w:shd w:val="clear" w:color="auto" w:fill="FFFFFF"/>
        <w:spacing w:before="0" w:beforeAutospacing="0" w:line="360" w:lineRule="auto"/>
        <w:ind w:firstLine="1134"/>
        <w:jc w:val="both"/>
      </w:pPr>
    </w:p>
    <w:p w14:paraId="531AFF7C" w14:textId="77777777" w:rsidR="00D91B16" w:rsidRDefault="00D91B16" w:rsidP="00393865">
      <w:pPr>
        <w:pStyle w:val="NormalWeb"/>
        <w:shd w:val="clear" w:color="auto" w:fill="FFFFFF"/>
        <w:spacing w:before="0" w:beforeAutospacing="0" w:line="360" w:lineRule="auto"/>
        <w:jc w:val="both"/>
        <w:rPr>
          <w:i/>
        </w:rPr>
      </w:pPr>
    </w:p>
    <w:p w14:paraId="179F150A" w14:textId="4E1E2D0B" w:rsidR="00393865" w:rsidRDefault="00393865" w:rsidP="006B6453">
      <w:pPr>
        <w:pStyle w:val="NormalWeb"/>
        <w:shd w:val="clear" w:color="auto" w:fill="FFFFFF"/>
        <w:spacing w:before="0" w:beforeAutospacing="0"/>
        <w:jc w:val="both"/>
      </w:pPr>
      <w:r w:rsidRPr="00731459">
        <w:rPr>
          <w:i/>
        </w:rPr>
        <w:t>Mashayamombe</w:t>
      </w:r>
      <w:r w:rsidR="00731459" w:rsidRPr="00731459">
        <w:rPr>
          <w:i/>
        </w:rPr>
        <w:t xml:space="preserve"> &amp; Co Attorneys</w:t>
      </w:r>
      <w:r w:rsidR="00731459">
        <w:t>, appellant`s legal practitioners</w:t>
      </w:r>
    </w:p>
    <w:p w14:paraId="76B2E306" w14:textId="56B72402" w:rsidR="00731459" w:rsidRDefault="00731459" w:rsidP="006B6453">
      <w:pPr>
        <w:pStyle w:val="NormalWeb"/>
        <w:shd w:val="clear" w:color="auto" w:fill="FFFFFF"/>
        <w:spacing w:before="0" w:beforeAutospacing="0"/>
        <w:jc w:val="both"/>
      </w:pPr>
      <w:proofErr w:type="spellStart"/>
      <w:r w:rsidRPr="00D91B16">
        <w:rPr>
          <w:i/>
        </w:rPr>
        <w:t>Ndove</w:t>
      </w:r>
      <w:proofErr w:type="spellEnd"/>
      <w:r w:rsidRPr="00D91B16">
        <w:rPr>
          <w:i/>
        </w:rPr>
        <w:t xml:space="preserve"> &amp; Associates</w:t>
      </w:r>
      <w:r w:rsidR="001427D6">
        <w:t>, 1</w:t>
      </w:r>
      <w:r w:rsidR="001427D6" w:rsidRPr="001427D6">
        <w:rPr>
          <w:vertAlign w:val="superscript"/>
        </w:rPr>
        <w:t>st</w:t>
      </w:r>
      <w:r w:rsidR="001427D6">
        <w:t xml:space="preserve"> </w:t>
      </w:r>
      <w:r>
        <w:t>respondent`s legal practitioners</w:t>
      </w:r>
    </w:p>
    <w:p w14:paraId="06FD25AB" w14:textId="3561BD34" w:rsidR="00731459" w:rsidRDefault="00731459" w:rsidP="006B6453">
      <w:pPr>
        <w:pStyle w:val="NormalWeb"/>
        <w:shd w:val="clear" w:color="auto" w:fill="FFFFFF"/>
        <w:spacing w:before="0" w:beforeAutospacing="0"/>
        <w:jc w:val="both"/>
      </w:pPr>
      <w:r w:rsidRPr="00D91B16">
        <w:rPr>
          <w:i/>
        </w:rPr>
        <w:t>Webb, Low &amp; Barry</w:t>
      </w:r>
      <w:r w:rsidR="001427D6">
        <w:t>, 2</w:t>
      </w:r>
      <w:r w:rsidR="001427D6" w:rsidRPr="001427D6">
        <w:rPr>
          <w:vertAlign w:val="superscript"/>
        </w:rPr>
        <w:t>nd</w:t>
      </w:r>
      <w:r w:rsidR="001427D6">
        <w:t xml:space="preserve"> </w:t>
      </w:r>
      <w:r>
        <w:t>respondents’ legal practitioner</w:t>
      </w:r>
    </w:p>
    <w:p w14:paraId="7E4BADBD" w14:textId="77777777" w:rsidR="00731459" w:rsidRPr="00393865" w:rsidRDefault="00731459" w:rsidP="00993C02">
      <w:pPr>
        <w:pStyle w:val="NormalWeb"/>
        <w:shd w:val="clear" w:color="auto" w:fill="FFFFFF"/>
        <w:tabs>
          <w:tab w:val="left" w:pos="1134"/>
        </w:tabs>
        <w:spacing w:before="0" w:beforeAutospacing="0" w:line="360" w:lineRule="auto"/>
        <w:jc w:val="both"/>
      </w:pPr>
    </w:p>
    <w:sectPr w:rsidR="00731459" w:rsidRPr="0039386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2F05F" w14:textId="77777777" w:rsidR="00D257E1" w:rsidRDefault="00D257E1" w:rsidP="00BC1BAA">
      <w:pPr>
        <w:spacing w:after="0" w:line="240" w:lineRule="auto"/>
      </w:pPr>
      <w:r>
        <w:separator/>
      </w:r>
    </w:p>
  </w:endnote>
  <w:endnote w:type="continuationSeparator" w:id="0">
    <w:p w14:paraId="101AC7A3" w14:textId="77777777" w:rsidR="00D257E1" w:rsidRDefault="00D257E1" w:rsidP="00BC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0A8ED" w14:textId="77777777" w:rsidR="00D257E1" w:rsidRDefault="00D257E1" w:rsidP="00BC1BAA">
      <w:pPr>
        <w:spacing w:after="0" w:line="240" w:lineRule="auto"/>
      </w:pPr>
      <w:r>
        <w:separator/>
      </w:r>
    </w:p>
  </w:footnote>
  <w:footnote w:type="continuationSeparator" w:id="0">
    <w:p w14:paraId="6AE1A86A" w14:textId="77777777" w:rsidR="00D257E1" w:rsidRDefault="00D257E1" w:rsidP="00BC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915B" w14:textId="4BE49CB2" w:rsidR="008F1538" w:rsidRDefault="008F1538">
    <w:pPr>
      <w:pStyle w:val="Header"/>
    </w:pPr>
    <w:r>
      <w:rPr>
        <w:noProof/>
        <w:lang w:val="en-US"/>
      </w:rPr>
      <mc:AlternateContent>
        <mc:Choice Requires="wps">
          <w:drawing>
            <wp:anchor distT="0" distB="0" distL="114300" distR="114300" simplePos="0" relativeHeight="251660288" behindDoc="0" locked="0" layoutInCell="0" allowOverlap="1" wp14:anchorId="36EB598F" wp14:editId="7DD7A20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6F6FB" w14:textId="673ECDFA" w:rsidR="008F1538" w:rsidRPr="00FB71B4" w:rsidRDefault="00FB71B4">
                          <w:pPr>
                            <w:spacing w:after="0" w:line="240" w:lineRule="auto"/>
                            <w:jc w:val="right"/>
                            <w:rPr>
                              <w:rFonts w:ascii="Times New Roman" w:hAnsi="Times New Roman" w:cs="Times New Roman"/>
                              <w:b/>
                              <w:noProof/>
                              <w:sz w:val="24"/>
                              <w:szCs w:val="24"/>
                              <w:lang w:val="en-US"/>
                            </w:rPr>
                          </w:pPr>
                          <w:r w:rsidRPr="00FB71B4">
                            <w:rPr>
                              <w:rFonts w:ascii="Times New Roman" w:hAnsi="Times New Roman" w:cs="Times New Roman"/>
                              <w:b/>
                              <w:noProof/>
                              <w:sz w:val="24"/>
                              <w:szCs w:val="24"/>
                              <w:lang w:val="en-US"/>
                            </w:rPr>
                            <w:t>Judgment No. 12</w:t>
                          </w:r>
                          <w:r w:rsidR="008F1538" w:rsidRPr="00FB71B4">
                            <w:rPr>
                              <w:rFonts w:ascii="Times New Roman" w:hAnsi="Times New Roman" w:cs="Times New Roman"/>
                              <w:b/>
                              <w:noProof/>
                              <w:sz w:val="24"/>
                              <w:szCs w:val="24"/>
                              <w:lang w:val="en-US"/>
                            </w:rPr>
                            <w:t>/24</w:t>
                          </w:r>
                        </w:p>
                        <w:p w14:paraId="71334725" w14:textId="68007929" w:rsidR="008F1538" w:rsidRPr="00FB71B4" w:rsidRDefault="008F1538">
                          <w:pPr>
                            <w:spacing w:after="0" w:line="240" w:lineRule="auto"/>
                            <w:jc w:val="right"/>
                            <w:rPr>
                              <w:rFonts w:ascii="Times New Roman" w:hAnsi="Times New Roman" w:cs="Times New Roman"/>
                              <w:b/>
                              <w:noProof/>
                              <w:sz w:val="24"/>
                              <w:szCs w:val="24"/>
                              <w:lang w:val="en-US"/>
                            </w:rPr>
                          </w:pPr>
                          <w:r w:rsidRPr="00FB71B4">
                            <w:rPr>
                              <w:rFonts w:ascii="Times New Roman" w:hAnsi="Times New Roman" w:cs="Times New Roman"/>
                              <w:b/>
                              <w:noProof/>
                              <w:sz w:val="24"/>
                              <w:szCs w:val="24"/>
                              <w:lang w:val="en-US"/>
                            </w:rPr>
                            <w:t>Civil Appeal No. SCB 79/22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EB598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B76F6FB" w14:textId="673ECDFA" w:rsidR="008F1538" w:rsidRPr="00FB71B4" w:rsidRDefault="00FB71B4">
                    <w:pPr>
                      <w:spacing w:after="0" w:line="240" w:lineRule="auto"/>
                      <w:jc w:val="right"/>
                      <w:rPr>
                        <w:rFonts w:ascii="Times New Roman" w:hAnsi="Times New Roman" w:cs="Times New Roman"/>
                        <w:b/>
                        <w:noProof/>
                        <w:sz w:val="24"/>
                        <w:szCs w:val="24"/>
                        <w:lang w:val="en-US"/>
                      </w:rPr>
                    </w:pPr>
                    <w:r w:rsidRPr="00FB71B4">
                      <w:rPr>
                        <w:rFonts w:ascii="Times New Roman" w:hAnsi="Times New Roman" w:cs="Times New Roman"/>
                        <w:b/>
                        <w:noProof/>
                        <w:sz w:val="24"/>
                        <w:szCs w:val="24"/>
                        <w:lang w:val="en-US"/>
                      </w:rPr>
                      <w:t>Judgment No. 12</w:t>
                    </w:r>
                    <w:r w:rsidR="008F1538" w:rsidRPr="00FB71B4">
                      <w:rPr>
                        <w:rFonts w:ascii="Times New Roman" w:hAnsi="Times New Roman" w:cs="Times New Roman"/>
                        <w:b/>
                        <w:noProof/>
                        <w:sz w:val="24"/>
                        <w:szCs w:val="24"/>
                        <w:lang w:val="en-US"/>
                      </w:rPr>
                      <w:t>/24</w:t>
                    </w:r>
                  </w:p>
                  <w:p w14:paraId="71334725" w14:textId="68007929" w:rsidR="008F1538" w:rsidRPr="00FB71B4" w:rsidRDefault="008F1538">
                    <w:pPr>
                      <w:spacing w:after="0" w:line="240" w:lineRule="auto"/>
                      <w:jc w:val="right"/>
                      <w:rPr>
                        <w:rFonts w:ascii="Times New Roman" w:hAnsi="Times New Roman" w:cs="Times New Roman"/>
                        <w:b/>
                        <w:noProof/>
                        <w:sz w:val="24"/>
                        <w:szCs w:val="24"/>
                        <w:lang w:val="en-US"/>
                      </w:rPr>
                    </w:pPr>
                    <w:r w:rsidRPr="00FB71B4">
                      <w:rPr>
                        <w:rFonts w:ascii="Times New Roman" w:hAnsi="Times New Roman" w:cs="Times New Roman"/>
                        <w:b/>
                        <w:noProof/>
                        <w:sz w:val="24"/>
                        <w:szCs w:val="24"/>
                        <w:lang w:val="en-US"/>
                      </w:rPr>
                      <w:t>Civil Appeal No. SCB 79/22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546FFA00" wp14:editId="66D6BDD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85FB55D" w14:textId="77777777" w:rsidR="008F1538" w:rsidRDefault="008F1538">
                          <w:pPr>
                            <w:spacing w:after="0" w:line="240" w:lineRule="auto"/>
                            <w:rPr>
                              <w:color w:val="FFFFFF" w:themeColor="background1"/>
                            </w:rPr>
                          </w:pPr>
                          <w:r>
                            <w:fldChar w:fldCharType="begin"/>
                          </w:r>
                          <w:r>
                            <w:instrText xml:space="preserve"> PAGE   \* MERGEFORMAT </w:instrText>
                          </w:r>
                          <w:r>
                            <w:fldChar w:fldCharType="separate"/>
                          </w:r>
                          <w:r w:rsidR="00DC4982" w:rsidRPr="00DC4982">
                            <w:rPr>
                              <w:noProof/>
                              <w:color w:val="FFFFFF" w:themeColor="background1"/>
                            </w:rPr>
                            <w:t>24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46FFA0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85FB55D" w14:textId="77777777" w:rsidR="008F1538" w:rsidRDefault="008F1538">
                    <w:pPr>
                      <w:spacing w:after="0" w:line="240" w:lineRule="auto"/>
                      <w:rPr>
                        <w:color w:val="FFFFFF" w:themeColor="background1"/>
                      </w:rPr>
                    </w:pPr>
                    <w:r>
                      <w:fldChar w:fldCharType="begin"/>
                    </w:r>
                    <w:r>
                      <w:instrText xml:space="preserve"> PAGE   \* MERGEFORMAT </w:instrText>
                    </w:r>
                    <w:r>
                      <w:fldChar w:fldCharType="separate"/>
                    </w:r>
                    <w:r w:rsidR="00DC4982" w:rsidRPr="00DC4982">
                      <w:rPr>
                        <w:noProof/>
                        <w:color w:val="FFFFFF" w:themeColor="background1"/>
                      </w:rPr>
                      <w:t>24</w:t>
                    </w:r>
                    <w:r>
                      <w:rPr>
                        <w:noProof/>
                        <w:color w:val="FFFFFF" w:themeColor="background1"/>
                      </w:rPr>
                      <w:fldChar w:fldCharType="end"/>
                    </w:r>
                  </w:p>
                </w:txbxContent>
              </v:textbox>
              <w10:wrap anchorx="page" anchory="margin"/>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28B"/>
    <w:multiLevelType w:val="hybridMultilevel"/>
    <w:tmpl w:val="3EF84460"/>
    <w:lvl w:ilvl="0" w:tplc="E5048C8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4E480F"/>
    <w:multiLevelType w:val="hybridMultilevel"/>
    <w:tmpl w:val="D0F4CAA0"/>
    <w:lvl w:ilvl="0" w:tplc="AEEE919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7BF321A"/>
    <w:multiLevelType w:val="hybridMultilevel"/>
    <w:tmpl w:val="7B9C8B5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0115767"/>
    <w:multiLevelType w:val="hybridMultilevel"/>
    <w:tmpl w:val="58BC76C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0771B6C"/>
    <w:multiLevelType w:val="hybridMultilevel"/>
    <w:tmpl w:val="04B61510"/>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21934054"/>
    <w:multiLevelType w:val="hybridMultilevel"/>
    <w:tmpl w:val="9AEE1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A0072C"/>
    <w:multiLevelType w:val="hybridMultilevel"/>
    <w:tmpl w:val="04B6151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7A07132"/>
    <w:multiLevelType w:val="hybridMultilevel"/>
    <w:tmpl w:val="9EBE844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236F4"/>
    <w:multiLevelType w:val="hybridMultilevel"/>
    <w:tmpl w:val="C0E8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A1DB6"/>
    <w:multiLevelType w:val="hybridMultilevel"/>
    <w:tmpl w:val="3F44902A"/>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38F966B7"/>
    <w:multiLevelType w:val="hybridMultilevel"/>
    <w:tmpl w:val="D92852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B532AF1"/>
    <w:multiLevelType w:val="hybridMultilevel"/>
    <w:tmpl w:val="1CF4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273B6"/>
    <w:multiLevelType w:val="hybridMultilevel"/>
    <w:tmpl w:val="3014BEC6"/>
    <w:lvl w:ilvl="0" w:tplc="A87652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8949D1"/>
    <w:multiLevelType w:val="hybridMultilevel"/>
    <w:tmpl w:val="43BC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6714B"/>
    <w:multiLevelType w:val="hybridMultilevel"/>
    <w:tmpl w:val="D8164772"/>
    <w:lvl w:ilvl="0" w:tplc="CDFA820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5" w15:restartNumberingAfterBreak="0">
    <w:nsid w:val="47E67374"/>
    <w:multiLevelType w:val="hybridMultilevel"/>
    <w:tmpl w:val="19788874"/>
    <w:lvl w:ilvl="0" w:tplc="30090001">
      <w:start w:val="1"/>
      <w:numFmt w:val="bullet"/>
      <w:lvlText w:val=""/>
      <w:lvlJc w:val="left"/>
      <w:pPr>
        <w:ind w:left="2520" w:hanging="360"/>
      </w:pPr>
      <w:rPr>
        <w:rFonts w:ascii="Symbol" w:hAnsi="Symbol"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abstractNum w:abstractNumId="16" w15:restartNumberingAfterBreak="0">
    <w:nsid w:val="540172CE"/>
    <w:multiLevelType w:val="hybridMultilevel"/>
    <w:tmpl w:val="D0D4FD22"/>
    <w:lvl w:ilvl="0" w:tplc="89E6B3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3D3A36"/>
    <w:multiLevelType w:val="hybridMultilevel"/>
    <w:tmpl w:val="E18065D6"/>
    <w:lvl w:ilvl="0" w:tplc="30090001">
      <w:start w:val="1"/>
      <w:numFmt w:val="bullet"/>
      <w:lvlText w:val=""/>
      <w:lvlJc w:val="left"/>
      <w:pPr>
        <w:ind w:left="2520" w:hanging="360"/>
      </w:pPr>
      <w:rPr>
        <w:rFonts w:ascii="Symbol" w:hAnsi="Symbol"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abstractNum w:abstractNumId="18" w15:restartNumberingAfterBreak="0">
    <w:nsid w:val="5EC900B9"/>
    <w:multiLevelType w:val="hybridMultilevel"/>
    <w:tmpl w:val="FF4A870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65483AE9"/>
    <w:multiLevelType w:val="hybridMultilevel"/>
    <w:tmpl w:val="8B48C0B8"/>
    <w:lvl w:ilvl="0" w:tplc="1074B62E">
      <w:start w:val="2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7267609"/>
    <w:multiLevelType w:val="hybridMultilevel"/>
    <w:tmpl w:val="993AB732"/>
    <w:lvl w:ilvl="0" w:tplc="CD860DB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BBF4771"/>
    <w:multiLevelType w:val="hybridMultilevel"/>
    <w:tmpl w:val="1A9425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6CA84584"/>
    <w:multiLevelType w:val="hybridMultilevel"/>
    <w:tmpl w:val="556EE3BC"/>
    <w:lvl w:ilvl="0" w:tplc="036A52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062390A"/>
    <w:multiLevelType w:val="hybridMultilevel"/>
    <w:tmpl w:val="4498114E"/>
    <w:lvl w:ilvl="0" w:tplc="3D44BD52">
      <w:start w:val="1"/>
      <w:numFmt w:val="lowerRoman"/>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4" w15:restartNumberingAfterBreak="0">
    <w:nsid w:val="7301358B"/>
    <w:multiLevelType w:val="hybridMultilevel"/>
    <w:tmpl w:val="4FA28646"/>
    <w:lvl w:ilvl="0" w:tplc="D826A55C">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5" w15:restartNumberingAfterBreak="0">
    <w:nsid w:val="7FFB0A32"/>
    <w:multiLevelType w:val="hybridMultilevel"/>
    <w:tmpl w:val="8FC87838"/>
    <w:lvl w:ilvl="0" w:tplc="30090001">
      <w:start w:val="1"/>
      <w:numFmt w:val="bullet"/>
      <w:lvlText w:val=""/>
      <w:lvlJc w:val="left"/>
      <w:pPr>
        <w:ind w:left="2520" w:hanging="360"/>
      </w:pPr>
      <w:rPr>
        <w:rFonts w:ascii="Symbol" w:hAnsi="Symbol" w:hint="default"/>
      </w:rPr>
    </w:lvl>
    <w:lvl w:ilvl="1" w:tplc="30090003" w:tentative="1">
      <w:start w:val="1"/>
      <w:numFmt w:val="bullet"/>
      <w:lvlText w:val="o"/>
      <w:lvlJc w:val="left"/>
      <w:pPr>
        <w:ind w:left="3240" w:hanging="360"/>
      </w:pPr>
      <w:rPr>
        <w:rFonts w:ascii="Courier New" w:hAnsi="Courier New" w:cs="Courier New" w:hint="default"/>
      </w:rPr>
    </w:lvl>
    <w:lvl w:ilvl="2" w:tplc="30090005" w:tentative="1">
      <w:start w:val="1"/>
      <w:numFmt w:val="bullet"/>
      <w:lvlText w:val=""/>
      <w:lvlJc w:val="left"/>
      <w:pPr>
        <w:ind w:left="3960" w:hanging="360"/>
      </w:pPr>
      <w:rPr>
        <w:rFonts w:ascii="Wingdings" w:hAnsi="Wingdings" w:hint="default"/>
      </w:rPr>
    </w:lvl>
    <w:lvl w:ilvl="3" w:tplc="30090001" w:tentative="1">
      <w:start w:val="1"/>
      <w:numFmt w:val="bullet"/>
      <w:lvlText w:val=""/>
      <w:lvlJc w:val="left"/>
      <w:pPr>
        <w:ind w:left="4680" w:hanging="360"/>
      </w:pPr>
      <w:rPr>
        <w:rFonts w:ascii="Symbol" w:hAnsi="Symbol" w:hint="default"/>
      </w:rPr>
    </w:lvl>
    <w:lvl w:ilvl="4" w:tplc="30090003" w:tentative="1">
      <w:start w:val="1"/>
      <w:numFmt w:val="bullet"/>
      <w:lvlText w:val="o"/>
      <w:lvlJc w:val="left"/>
      <w:pPr>
        <w:ind w:left="5400" w:hanging="360"/>
      </w:pPr>
      <w:rPr>
        <w:rFonts w:ascii="Courier New" w:hAnsi="Courier New" w:cs="Courier New" w:hint="default"/>
      </w:rPr>
    </w:lvl>
    <w:lvl w:ilvl="5" w:tplc="30090005" w:tentative="1">
      <w:start w:val="1"/>
      <w:numFmt w:val="bullet"/>
      <w:lvlText w:val=""/>
      <w:lvlJc w:val="left"/>
      <w:pPr>
        <w:ind w:left="6120" w:hanging="360"/>
      </w:pPr>
      <w:rPr>
        <w:rFonts w:ascii="Wingdings" w:hAnsi="Wingdings" w:hint="default"/>
      </w:rPr>
    </w:lvl>
    <w:lvl w:ilvl="6" w:tplc="30090001" w:tentative="1">
      <w:start w:val="1"/>
      <w:numFmt w:val="bullet"/>
      <w:lvlText w:val=""/>
      <w:lvlJc w:val="left"/>
      <w:pPr>
        <w:ind w:left="6840" w:hanging="360"/>
      </w:pPr>
      <w:rPr>
        <w:rFonts w:ascii="Symbol" w:hAnsi="Symbol" w:hint="default"/>
      </w:rPr>
    </w:lvl>
    <w:lvl w:ilvl="7" w:tplc="30090003" w:tentative="1">
      <w:start w:val="1"/>
      <w:numFmt w:val="bullet"/>
      <w:lvlText w:val="o"/>
      <w:lvlJc w:val="left"/>
      <w:pPr>
        <w:ind w:left="7560" w:hanging="360"/>
      </w:pPr>
      <w:rPr>
        <w:rFonts w:ascii="Courier New" w:hAnsi="Courier New" w:cs="Courier New" w:hint="default"/>
      </w:rPr>
    </w:lvl>
    <w:lvl w:ilvl="8" w:tplc="30090005" w:tentative="1">
      <w:start w:val="1"/>
      <w:numFmt w:val="bullet"/>
      <w:lvlText w:val=""/>
      <w:lvlJc w:val="left"/>
      <w:pPr>
        <w:ind w:left="8280" w:hanging="360"/>
      </w:pPr>
      <w:rPr>
        <w:rFonts w:ascii="Wingdings" w:hAnsi="Wingdings" w:hint="default"/>
      </w:rPr>
    </w:lvl>
  </w:abstractNum>
  <w:num w:numId="1" w16cid:durableId="928274299">
    <w:abstractNumId w:val="3"/>
  </w:num>
  <w:num w:numId="2" w16cid:durableId="226041205">
    <w:abstractNumId w:val="18"/>
  </w:num>
  <w:num w:numId="3" w16cid:durableId="138962549">
    <w:abstractNumId w:val="24"/>
  </w:num>
  <w:num w:numId="4" w16cid:durableId="403063341">
    <w:abstractNumId w:val="17"/>
  </w:num>
  <w:num w:numId="5" w16cid:durableId="1013996173">
    <w:abstractNumId w:val="25"/>
  </w:num>
  <w:num w:numId="6" w16cid:durableId="288124950">
    <w:abstractNumId w:val="21"/>
  </w:num>
  <w:num w:numId="7" w16cid:durableId="1175001008">
    <w:abstractNumId w:val="15"/>
  </w:num>
  <w:num w:numId="8" w16cid:durableId="448352802">
    <w:abstractNumId w:val="23"/>
  </w:num>
  <w:num w:numId="9" w16cid:durableId="520974591">
    <w:abstractNumId w:val="9"/>
  </w:num>
  <w:num w:numId="10" w16cid:durableId="293679036">
    <w:abstractNumId w:val="4"/>
  </w:num>
  <w:num w:numId="11" w16cid:durableId="1541551494">
    <w:abstractNumId w:val="10"/>
  </w:num>
  <w:num w:numId="12" w16cid:durableId="819737673">
    <w:abstractNumId w:val="14"/>
  </w:num>
  <w:num w:numId="13" w16cid:durableId="728310161">
    <w:abstractNumId w:val="2"/>
  </w:num>
  <w:num w:numId="14" w16cid:durableId="1638875310">
    <w:abstractNumId w:val="6"/>
  </w:num>
  <w:num w:numId="15" w16cid:durableId="834567529">
    <w:abstractNumId w:val="7"/>
  </w:num>
  <w:num w:numId="16" w16cid:durableId="1581057393">
    <w:abstractNumId w:val="16"/>
  </w:num>
  <w:num w:numId="17" w16cid:durableId="1449740600">
    <w:abstractNumId w:val="22"/>
  </w:num>
  <w:num w:numId="18" w16cid:durableId="2055422774">
    <w:abstractNumId w:val="11"/>
  </w:num>
  <w:num w:numId="19" w16cid:durableId="586688990">
    <w:abstractNumId w:val="8"/>
  </w:num>
  <w:num w:numId="20" w16cid:durableId="689180675">
    <w:abstractNumId w:val="5"/>
  </w:num>
  <w:num w:numId="21" w16cid:durableId="299925070">
    <w:abstractNumId w:val="19"/>
  </w:num>
  <w:num w:numId="22" w16cid:durableId="618531938">
    <w:abstractNumId w:val="0"/>
  </w:num>
  <w:num w:numId="23" w16cid:durableId="846823175">
    <w:abstractNumId w:val="13"/>
  </w:num>
  <w:num w:numId="24" w16cid:durableId="678655470">
    <w:abstractNumId w:val="12"/>
  </w:num>
  <w:num w:numId="25" w16cid:durableId="383257294">
    <w:abstractNumId w:val="20"/>
  </w:num>
  <w:num w:numId="26" w16cid:durableId="42226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D9A"/>
    <w:rsid w:val="000047E9"/>
    <w:rsid w:val="00006CA4"/>
    <w:rsid w:val="00007094"/>
    <w:rsid w:val="0002089A"/>
    <w:rsid w:val="000238C6"/>
    <w:rsid w:val="0003597A"/>
    <w:rsid w:val="000448C0"/>
    <w:rsid w:val="00083CD4"/>
    <w:rsid w:val="000852F7"/>
    <w:rsid w:val="000863BB"/>
    <w:rsid w:val="00092E88"/>
    <w:rsid w:val="000A13F6"/>
    <w:rsid w:val="000B21BE"/>
    <w:rsid w:val="000C120F"/>
    <w:rsid w:val="000D255D"/>
    <w:rsid w:val="000D430B"/>
    <w:rsid w:val="000E3994"/>
    <w:rsid w:val="000E6D41"/>
    <w:rsid w:val="00101DF3"/>
    <w:rsid w:val="001138F4"/>
    <w:rsid w:val="001154A6"/>
    <w:rsid w:val="001164D3"/>
    <w:rsid w:val="00124D4B"/>
    <w:rsid w:val="001427D6"/>
    <w:rsid w:val="001926B9"/>
    <w:rsid w:val="00192E09"/>
    <w:rsid w:val="001A20EE"/>
    <w:rsid w:val="001A7BA2"/>
    <w:rsid w:val="001C23F4"/>
    <w:rsid w:val="001D3ED6"/>
    <w:rsid w:val="001D6FEF"/>
    <w:rsid w:val="001F43AD"/>
    <w:rsid w:val="001F6305"/>
    <w:rsid w:val="0020572C"/>
    <w:rsid w:val="00214094"/>
    <w:rsid w:val="002230A6"/>
    <w:rsid w:val="00226580"/>
    <w:rsid w:val="00233C88"/>
    <w:rsid w:val="002378A3"/>
    <w:rsid w:val="00246AEC"/>
    <w:rsid w:val="00250A7C"/>
    <w:rsid w:val="00262BF3"/>
    <w:rsid w:val="00271670"/>
    <w:rsid w:val="00277C25"/>
    <w:rsid w:val="00284550"/>
    <w:rsid w:val="00286798"/>
    <w:rsid w:val="00286992"/>
    <w:rsid w:val="00287FEB"/>
    <w:rsid w:val="0029140D"/>
    <w:rsid w:val="00292E04"/>
    <w:rsid w:val="002950D0"/>
    <w:rsid w:val="002F0F3F"/>
    <w:rsid w:val="002F2DC7"/>
    <w:rsid w:val="002F4F95"/>
    <w:rsid w:val="002F5977"/>
    <w:rsid w:val="002F7714"/>
    <w:rsid w:val="0031177E"/>
    <w:rsid w:val="00322C85"/>
    <w:rsid w:val="00337346"/>
    <w:rsid w:val="0034303E"/>
    <w:rsid w:val="00353CC0"/>
    <w:rsid w:val="00355FC5"/>
    <w:rsid w:val="0035682C"/>
    <w:rsid w:val="00357CEF"/>
    <w:rsid w:val="00360FE2"/>
    <w:rsid w:val="003655D0"/>
    <w:rsid w:val="003752FF"/>
    <w:rsid w:val="00377817"/>
    <w:rsid w:val="003813DA"/>
    <w:rsid w:val="0038435C"/>
    <w:rsid w:val="0038522B"/>
    <w:rsid w:val="00392016"/>
    <w:rsid w:val="00393865"/>
    <w:rsid w:val="003B37D0"/>
    <w:rsid w:val="003C2C0B"/>
    <w:rsid w:val="003D67EE"/>
    <w:rsid w:val="003D69EA"/>
    <w:rsid w:val="003E2388"/>
    <w:rsid w:val="003E3398"/>
    <w:rsid w:val="003E5E9C"/>
    <w:rsid w:val="003F68CB"/>
    <w:rsid w:val="00403701"/>
    <w:rsid w:val="00410CA6"/>
    <w:rsid w:val="00415E06"/>
    <w:rsid w:val="0044373E"/>
    <w:rsid w:val="00443DD5"/>
    <w:rsid w:val="0045238E"/>
    <w:rsid w:val="004540C6"/>
    <w:rsid w:val="0045702B"/>
    <w:rsid w:val="00470B7C"/>
    <w:rsid w:val="00472D33"/>
    <w:rsid w:val="004730E3"/>
    <w:rsid w:val="00480F6A"/>
    <w:rsid w:val="004833E0"/>
    <w:rsid w:val="004954F5"/>
    <w:rsid w:val="004A521D"/>
    <w:rsid w:val="004B6895"/>
    <w:rsid w:val="004B74D8"/>
    <w:rsid w:val="004B7954"/>
    <w:rsid w:val="004D5DEE"/>
    <w:rsid w:val="004E5B2B"/>
    <w:rsid w:val="004E6681"/>
    <w:rsid w:val="004F106B"/>
    <w:rsid w:val="004F18C5"/>
    <w:rsid w:val="004F21C7"/>
    <w:rsid w:val="0050508F"/>
    <w:rsid w:val="005104AC"/>
    <w:rsid w:val="005112DA"/>
    <w:rsid w:val="00522AF4"/>
    <w:rsid w:val="0052384A"/>
    <w:rsid w:val="0052527C"/>
    <w:rsid w:val="00547C7A"/>
    <w:rsid w:val="005517C4"/>
    <w:rsid w:val="00553743"/>
    <w:rsid w:val="00565AC1"/>
    <w:rsid w:val="005679D9"/>
    <w:rsid w:val="0058623E"/>
    <w:rsid w:val="005A5611"/>
    <w:rsid w:val="005E623B"/>
    <w:rsid w:val="005E6A15"/>
    <w:rsid w:val="005F0152"/>
    <w:rsid w:val="00604B40"/>
    <w:rsid w:val="00610E50"/>
    <w:rsid w:val="00611631"/>
    <w:rsid w:val="00633824"/>
    <w:rsid w:val="006434E1"/>
    <w:rsid w:val="00647699"/>
    <w:rsid w:val="006572AA"/>
    <w:rsid w:val="00670F51"/>
    <w:rsid w:val="006806A3"/>
    <w:rsid w:val="006814A9"/>
    <w:rsid w:val="00681F18"/>
    <w:rsid w:val="006870FF"/>
    <w:rsid w:val="0069722F"/>
    <w:rsid w:val="006A086A"/>
    <w:rsid w:val="006A0DDD"/>
    <w:rsid w:val="006A4F8F"/>
    <w:rsid w:val="006A6EFC"/>
    <w:rsid w:val="006B1965"/>
    <w:rsid w:val="006B6453"/>
    <w:rsid w:val="006C12E2"/>
    <w:rsid w:val="006D0818"/>
    <w:rsid w:val="006D2004"/>
    <w:rsid w:val="006E3C51"/>
    <w:rsid w:val="006F4DCB"/>
    <w:rsid w:val="007124CD"/>
    <w:rsid w:val="007134A1"/>
    <w:rsid w:val="00715C45"/>
    <w:rsid w:val="00716198"/>
    <w:rsid w:val="007242C7"/>
    <w:rsid w:val="007275F7"/>
    <w:rsid w:val="00731459"/>
    <w:rsid w:val="007314A3"/>
    <w:rsid w:val="007378A1"/>
    <w:rsid w:val="00737AD4"/>
    <w:rsid w:val="00746809"/>
    <w:rsid w:val="007470D6"/>
    <w:rsid w:val="00766254"/>
    <w:rsid w:val="00766621"/>
    <w:rsid w:val="00773C17"/>
    <w:rsid w:val="00774986"/>
    <w:rsid w:val="00786410"/>
    <w:rsid w:val="007A0D97"/>
    <w:rsid w:val="007A2F7A"/>
    <w:rsid w:val="007B3952"/>
    <w:rsid w:val="007B5DB5"/>
    <w:rsid w:val="007C3449"/>
    <w:rsid w:val="007C4422"/>
    <w:rsid w:val="007E1643"/>
    <w:rsid w:val="007E6961"/>
    <w:rsid w:val="007F0215"/>
    <w:rsid w:val="007F20D3"/>
    <w:rsid w:val="007F2869"/>
    <w:rsid w:val="00802219"/>
    <w:rsid w:val="00806D23"/>
    <w:rsid w:val="00811BA4"/>
    <w:rsid w:val="008149E9"/>
    <w:rsid w:val="0081664B"/>
    <w:rsid w:val="00816E7F"/>
    <w:rsid w:val="00830418"/>
    <w:rsid w:val="00832224"/>
    <w:rsid w:val="00844C3F"/>
    <w:rsid w:val="008600BF"/>
    <w:rsid w:val="00875869"/>
    <w:rsid w:val="0088370A"/>
    <w:rsid w:val="00886894"/>
    <w:rsid w:val="008A46A3"/>
    <w:rsid w:val="008A5DCE"/>
    <w:rsid w:val="008B3117"/>
    <w:rsid w:val="008C3986"/>
    <w:rsid w:val="008C48BE"/>
    <w:rsid w:val="008E47A1"/>
    <w:rsid w:val="008E5908"/>
    <w:rsid w:val="008F1538"/>
    <w:rsid w:val="009010A6"/>
    <w:rsid w:val="00912F99"/>
    <w:rsid w:val="0091758F"/>
    <w:rsid w:val="00917F78"/>
    <w:rsid w:val="00920A03"/>
    <w:rsid w:val="00923866"/>
    <w:rsid w:val="00927535"/>
    <w:rsid w:val="00932CAA"/>
    <w:rsid w:val="0093416A"/>
    <w:rsid w:val="0093551B"/>
    <w:rsid w:val="009361C9"/>
    <w:rsid w:val="009374DC"/>
    <w:rsid w:val="009438B3"/>
    <w:rsid w:val="00945F5D"/>
    <w:rsid w:val="009877F6"/>
    <w:rsid w:val="00993C02"/>
    <w:rsid w:val="009A162A"/>
    <w:rsid w:val="009A1EC1"/>
    <w:rsid w:val="009B3925"/>
    <w:rsid w:val="009B46E2"/>
    <w:rsid w:val="009C00DD"/>
    <w:rsid w:val="009C1333"/>
    <w:rsid w:val="009C1375"/>
    <w:rsid w:val="009C3B7C"/>
    <w:rsid w:val="009C7259"/>
    <w:rsid w:val="009D0274"/>
    <w:rsid w:val="009D1018"/>
    <w:rsid w:val="009E0083"/>
    <w:rsid w:val="009E22DE"/>
    <w:rsid w:val="009F0B88"/>
    <w:rsid w:val="009F1807"/>
    <w:rsid w:val="009F60BB"/>
    <w:rsid w:val="009F7B88"/>
    <w:rsid w:val="00A2211A"/>
    <w:rsid w:val="00A3437A"/>
    <w:rsid w:val="00A504D6"/>
    <w:rsid w:val="00A568E3"/>
    <w:rsid w:val="00A571B2"/>
    <w:rsid w:val="00A73501"/>
    <w:rsid w:val="00A82D2B"/>
    <w:rsid w:val="00A90EC7"/>
    <w:rsid w:val="00A91A30"/>
    <w:rsid w:val="00A93C8C"/>
    <w:rsid w:val="00A96CF1"/>
    <w:rsid w:val="00A97E10"/>
    <w:rsid w:val="00AA0F49"/>
    <w:rsid w:val="00AA4AAB"/>
    <w:rsid w:val="00AB5E62"/>
    <w:rsid w:val="00AC06D0"/>
    <w:rsid w:val="00AD66CC"/>
    <w:rsid w:val="00B1072E"/>
    <w:rsid w:val="00B126F8"/>
    <w:rsid w:val="00B15423"/>
    <w:rsid w:val="00B16BDE"/>
    <w:rsid w:val="00B32EC6"/>
    <w:rsid w:val="00B33917"/>
    <w:rsid w:val="00B455B7"/>
    <w:rsid w:val="00B65876"/>
    <w:rsid w:val="00B8162D"/>
    <w:rsid w:val="00B83F22"/>
    <w:rsid w:val="00B95609"/>
    <w:rsid w:val="00BB49CA"/>
    <w:rsid w:val="00BC1BAA"/>
    <w:rsid w:val="00BC342B"/>
    <w:rsid w:val="00BD4880"/>
    <w:rsid w:val="00BD6015"/>
    <w:rsid w:val="00BE03BE"/>
    <w:rsid w:val="00BE390C"/>
    <w:rsid w:val="00BE5D9B"/>
    <w:rsid w:val="00BF07D1"/>
    <w:rsid w:val="00C05567"/>
    <w:rsid w:val="00C152FE"/>
    <w:rsid w:val="00C40DFA"/>
    <w:rsid w:val="00C45358"/>
    <w:rsid w:val="00C525DF"/>
    <w:rsid w:val="00C57264"/>
    <w:rsid w:val="00C645DC"/>
    <w:rsid w:val="00C82AB6"/>
    <w:rsid w:val="00C87DEE"/>
    <w:rsid w:val="00C90393"/>
    <w:rsid w:val="00C95BCA"/>
    <w:rsid w:val="00CA15F7"/>
    <w:rsid w:val="00CC33F3"/>
    <w:rsid w:val="00CD6995"/>
    <w:rsid w:val="00CE5AE0"/>
    <w:rsid w:val="00D02B9C"/>
    <w:rsid w:val="00D07BDD"/>
    <w:rsid w:val="00D10332"/>
    <w:rsid w:val="00D16D29"/>
    <w:rsid w:val="00D23708"/>
    <w:rsid w:val="00D257E1"/>
    <w:rsid w:val="00D25B59"/>
    <w:rsid w:val="00D2672C"/>
    <w:rsid w:val="00D40C32"/>
    <w:rsid w:val="00D4116C"/>
    <w:rsid w:val="00D4462A"/>
    <w:rsid w:val="00D4696D"/>
    <w:rsid w:val="00D51CBD"/>
    <w:rsid w:val="00D55FF1"/>
    <w:rsid w:val="00D60B00"/>
    <w:rsid w:val="00D658D9"/>
    <w:rsid w:val="00D735E4"/>
    <w:rsid w:val="00D76EB0"/>
    <w:rsid w:val="00D91B16"/>
    <w:rsid w:val="00D97A83"/>
    <w:rsid w:val="00DA31C6"/>
    <w:rsid w:val="00DC18B2"/>
    <w:rsid w:val="00DC4982"/>
    <w:rsid w:val="00DD1CB5"/>
    <w:rsid w:val="00DD4EE6"/>
    <w:rsid w:val="00DE076B"/>
    <w:rsid w:val="00DE18F5"/>
    <w:rsid w:val="00DE3D9B"/>
    <w:rsid w:val="00DF18F5"/>
    <w:rsid w:val="00DF6508"/>
    <w:rsid w:val="00DF7CBC"/>
    <w:rsid w:val="00E02E1F"/>
    <w:rsid w:val="00E13D9A"/>
    <w:rsid w:val="00E22C1A"/>
    <w:rsid w:val="00E4042C"/>
    <w:rsid w:val="00E45A7E"/>
    <w:rsid w:val="00E47B33"/>
    <w:rsid w:val="00E5134B"/>
    <w:rsid w:val="00E569DD"/>
    <w:rsid w:val="00E64BCF"/>
    <w:rsid w:val="00E72255"/>
    <w:rsid w:val="00E953A4"/>
    <w:rsid w:val="00EA3FA6"/>
    <w:rsid w:val="00EB1417"/>
    <w:rsid w:val="00EB3A26"/>
    <w:rsid w:val="00EB67EE"/>
    <w:rsid w:val="00EB79AC"/>
    <w:rsid w:val="00EC5AE3"/>
    <w:rsid w:val="00EC7963"/>
    <w:rsid w:val="00EE2215"/>
    <w:rsid w:val="00EE7C20"/>
    <w:rsid w:val="00F0047C"/>
    <w:rsid w:val="00F12337"/>
    <w:rsid w:val="00F14724"/>
    <w:rsid w:val="00F41BD9"/>
    <w:rsid w:val="00F44E36"/>
    <w:rsid w:val="00F45C62"/>
    <w:rsid w:val="00F54011"/>
    <w:rsid w:val="00F62FD6"/>
    <w:rsid w:val="00F73D23"/>
    <w:rsid w:val="00F7665E"/>
    <w:rsid w:val="00F84515"/>
    <w:rsid w:val="00F87335"/>
    <w:rsid w:val="00FA4652"/>
    <w:rsid w:val="00FB4A36"/>
    <w:rsid w:val="00FB625F"/>
    <w:rsid w:val="00FB71B4"/>
    <w:rsid w:val="00FC218D"/>
    <w:rsid w:val="00FD5289"/>
    <w:rsid w:val="00FE110C"/>
    <w:rsid w:val="00FE12D9"/>
    <w:rsid w:val="00FE5E93"/>
    <w:rsid w:val="00FF0BC1"/>
    <w:rsid w:val="00FF37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0CCCBE"/>
  <w15:chartTrackingRefBased/>
  <w15:docId w15:val="{1C7F98EE-7886-40A7-BD50-92C9C335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9A"/>
    <w:pPr>
      <w:ind w:left="720"/>
      <w:contextualSpacing/>
    </w:pPr>
  </w:style>
  <w:style w:type="paragraph" w:styleId="FootnoteText">
    <w:name w:val="footnote text"/>
    <w:basedOn w:val="Normal"/>
    <w:link w:val="FootnoteTextChar"/>
    <w:uiPriority w:val="99"/>
    <w:semiHidden/>
    <w:unhideWhenUsed/>
    <w:rsid w:val="00BC1B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BAA"/>
    <w:rPr>
      <w:sz w:val="20"/>
      <w:szCs w:val="20"/>
    </w:rPr>
  </w:style>
  <w:style w:type="character" w:styleId="FootnoteReference">
    <w:name w:val="footnote reference"/>
    <w:basedOn w:val="DefaultParagraphFont"/>
    <w:uiPriority w:val="99"/>
    <w:semiHidden/>
    <w:unhideWhenUsed/>
    <w:rsid w:val="00BC1BAA"/>
    <w:rPr>
      <w:vertAlign w:val="superscript"/>
    </w:rPr>
  </w:style>
  <w:style w:type="paragraph" w:styleId="Header">
    <w:name w:val="header"/>
    <w:basedOn w:val="Normal"/>
    <w:link w:val="HeaderChar"/>
    <w:uiPriority w:val="99"/>
    <w:unhideWhenUsed/>
    <w:rsid w:val="00565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C1"/>
  </w:style>
  <w:style w:type="paragraph" w:styleId="Footer">
    <w:name w:val="footer"/>
    <w:basedOn w:val="Normal"/>
    <w:link w:val="FooterChar"/>
    <w:uiPriority w:val="99"/>
    <w:unhideWhenUsed/>
    <w:rsid w:val="00565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AC1"/>
  </w:style>
  <w:style w:type="paragraph" w:customStyle="1" w:styleId="LG-a-">
    <w:name w:val="LG-a-"/>
    <w:basedOn w:val="Normal"/>
    <w:rsid w:val="00AB5E62"/>
    <w:pPr>
      <w:tabs>
        <w:tab w:val="left" w:pos="20"/>
        <w:tab w:val="left" w:pos="454"/>
      </w:tabs>
      <w:overflowPunct w:val="0"/>
      <w:autoSpaceDE w:val="0"/>
      <w:autoSpaceDN w:val="0"/>
      <w:adjustRightInd w:val="0"/>
      <w:spacing w:after="0" w:line="180" w:lineRule="exact"/>
      <w:ind w:left="454" w:hanging="454"/>
      <w:jc w:val="both"/>
      <w:textAlignment w:val="baseline"/>
    </w:pPr>
    <w:rPr>
      <w:rFonts w:ascii="Times New Roman" w:eastAsia="Times New Roman" w:hAnsi="Times New Roman" w:cs="Times New Roman"/>
      <w:sz w:val="17"/>
      <w:szCs w:val="20"/>
      <w:lang w:val="en-US" w:eastAsia="en-GB"/>
    </w:rPr>
  </w:style>
  <w:style w:type="paragraph" w:customStyle="1" w:styleId="LG-i-a">
    <w:name w:val="LG-i-(a)"/>
    <w:basedOn w:val="Normal"/>
    <w:rsid w:val="00AB5E62"/>
    <w:pPr>
      <w:tabs>
        <w:tab w:val="right" w:pos="737"/>
        <w:tab w:val="left" w:pos="851"/>
      </w:tabs>
      <w:overflowPunct w:val="0"/>
      <w:autoSpaceDE w:val="0"/>
      <w:autoSpaceDN w:val="0"/>
      <w:adjustRightInd w:val="0"/>
      <w:spacing w:after="0" w:line="180" w:lineRule="exact"/>
      <w:ind w:left="851" w:hanging="851"/>
      <w:jc w:val="both"/>
      <w:textAlignment w:val="baseline"/>
    </w:pPr>
    <w:rPr>
      <w:rFonts w:ascii="Times New Roman" w:eastAsia="Times New Roman" w:hAnsi="Times New Roman" w:cs="Times New Roman"/>
      <w:sz w:val="17"/>
      <w:szCs w:val="20"/>
      <w:lang w:val="en-US" w:eastAsia="en-GB"/>
    </w:rPr>
  </w:style>
  <w:style w:type="paragraph" w:customStyle="1" w:styleId="LG-para3">
    <w:name w:val="LG-para3"/>
    <w:basedOn w:val="Normal"/>
    <w:rsid w:val="00AB5E62"/>
    <w:pPr>
      <w:overflowPunct w:val="0"/>
      <w:autoSpaceDE w:val="0"/>
      <w:autoSpaceDN w:val="0"/>
      <w:adjustRightInd w:val="0"/>
      <w:spacing w:before="40" w:after="0" w:line="180" w:lineRule="exact"/>
      <w:ind w:firstLine="170"/>
      <w:jc w:val="both"/>
      <w:textAlignment w:val="baseline"/>
    </w:pPr>
    <w:rPr>
      <w:rFonts w:ascii="Times New Roman" w:eastAsia="Times New Roman" w:hAnsi="Times New Roman" w:cs="Times New Roman"/>
      <w:sz w:val="17"/>
      <w:szCs w:val="20"/>
      <w:lang w:val="en-US" w:eastAsia="en-GB"/>
    </w:rPr>
  </w:style>
  <w:style w:type="paragraph" w:customStyle="1" w:styleId="LG-section">
    <w:name w:val="LG-section"/>
    <w:basedOn w:val="Normal"/>
    <w:rsid w:val="00AB5E62"/>
    <w:pPr>
      <w:keepNext/>
      <w:keepLines/>
      <w:tabs>
        <w:tab w:val="left" w:pos="284"/>
      </w:tabs>
      <w:suppressAutoHyphens/>
      <w:overflowPunct w:val="0"/>
      <w:autoSpaceDE w:val="0"/>
      <w:autoSpaceDN w:val="0"/>
      <w:adjustRightInd w:val="0"/>
      <w:spacing w:before="80" w:after="0" w:line="180" w:lineRule="exact"/>
      <w:ind w:left="284" w:hanging="284"/>
      <w:textAlignment w:val="baseline"/>
    </w:pPr>
    <w:rPr>
      <w:rFonts w:ascii="Helvetica" w:eastAsia="Times New Roman" w:hAnsi="Helvetica" w:cs="Times New Roman"/>
      <w:b/>
      <w:sz w:val="17"/>
      <w:szCs w:val="20"/>
      <w:lang w:val="en-US" w:eastAsia="en-GB"/>
    </w:rPr>
  </w:style>
  <w:style w:type="paragraph" w:customStyle="1" w:styleId="NormalText">
    <w:name w:val="Normal Text"/>
    <w:rsid w:val="00AB5E62"/>
    <w:pPr>
      <w:overflowPunct w:val="0"/>
      <w:autoSpaceDE w:val="0"/>
      <w:autoSpaceDN w:val="0"/>
      <w:adjustRightInd w:val="0"/>
      <w:spacing w:before="40" w:after="0" w:line="180" w:lineRule="exact"/>
      <w:jc w:val="both"/>
      <w:textAlignment w:val="baseline"/>
    </w:pPr>
    <w:rPr>
      <w:rFonts w:ascii="Times New Roman" w:eastAsia="Times New Roman" w:hAnsi="Times New Roman" w:cs="Times New Roman"/>
      <w:sz w:val="17"/>
      <w:szCs w:val="20"/>
      <w:lang w:val="en-US" w:eastAsia="en-GB"/>
    </w:rPr>
  </w:style>
  <w:style w:type="paragraph" w:styleId="NormalWeb">
    <w:name w:val="Normal (Web)"/>
    <w:basedOn w:val="Normal"/>
    <w:uiPriority w:val="99"/>
    <w:unhideWhenUsed/>
    <w:rsid w:val="003752FF"/>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292E04"/>
    <w:rPr>
      <w:i/>
      <w:iCs/>
    </w:rPr>
  </w:style>
  <w:style w:type="character" w:customStyle="1" w:styleId="Heading1Char">
    <w:name w:val="Heading 1 Char"/>
    <w:basedOn w:val="DefaultParagraphFont"/>
    <w:link w:val="Heading1"/>
    <w:uiPriority w:val="9"/>
    <w:rsid w:val="009F0B8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01925">
      <w:bodyDiv w:val="1"/>
      <w:marLeft w:val="0"/>
      <w:marRight w:val="0"/>
      <w:marTop w:val="0"/>
      <w:marBottom w:val="0"/>
      <w:divBdr>
        <w:top w:val="none" w:sz="0" w:space="0" w:color="auto"/>
        <w:left w:val="none" w:sz="0" w:space="0" w:color="auto"/>
        <w:bottom w:val="none" w:sz="0" w:space="0" w:color="auto"/>
        <w:right w:val="none" w:sz="0" w:space="0" w:color="auto"/>
      </w:divBdr>
    </w:div>
    <w:div w:id="1891725962">
      <w:bodyDiv w:val="1"/>
      <w:marLeft w:val="0"/>
      <w:marRight w:val="0"/>
      <w:marTop w:val="0"/>
      <w:marBottom w:val="0"/>
      <w:divBdr>
        <w:top w:val="none" w:sz="0" w:space="0" w:color="auto"/>
        <w:left w:val="none" w:sz="0" w:space="0" w:color="auto"/>
        <w:bottom w:val="none" w:sz="0" w:space="0" w:color="auto"/>
        <w:right w:val="none" w:sz="0" w:space="0" w:color="auto"/>
      </w:divBdr>
    </w:div>
    <w:div w:id="19630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214E-4116-4429-B15E-D4465650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24</Pages>
  <Words>6669</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mmamimine</dc:creator>
  <cp:keywords/>
  <dc:description/>
  <cp:lastModifiedBy>Susan Mavangira</cp:lastModifiedBy>
  <cp:revision>22</cp:revision>
  <dcterms:created xsi:type="dcterms:W3CDTF">2024-02-05T08:32:00Z</dcterms:created>
  <dcterms:modified xsi:type="dcterms:W3CDTF">2024-02-05T10:38:00Z</dcterms:modified>
</cp:coreProperties>
</file>