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E05" w:rsidRDefault="00872E05" w:rsidP="00D47219">
      <w:pPr>
        <w:spacing w:after="0"/>
        <w:jc w:val="both"/>
        <w:rPr>
          <w:rFonts w:ascii="Times New Roman" w:hAnsi="Times New Roman" w:cs="Times New Roman"/>
          <w:sz w:val="24"/>
          <w:szCs w:val="24"/>
        </w:rPr>
      </w:pPr>
      <w:bookmarkStart w:id="0" w:name="_GoBack"/>
      <w:bookmarkEnd w:id="0"/>
    </w:p>
    <w:p w:rsidR="00D47219" w:rsidRPr="00872E05" w:rsidRDefault="00872E05" w:rsidP="00D47219">
      <w:pPr>
        <w:spacing w:after="0"/>
        <w:jc w:val="both"/>
        <w:rPr>
          <w:rFonts w:ascii="Times New Roman" w:hAnsi="Times New Roman" w:cs="Times New Roman"/>
          <w:b/>
          <w:sz w:val="24"/>
          <w:szCs w:val="24"/>
          <w:u w:val="single"/>
        </w:rPr>
      </w:pPr>
      <w:r w:rsidRPr="00872E05">
        <w:rPr>
          <w:rFonts w:ascii="Times New Roman" w:hAnsi="Times New Roman" w:cs="Times New Roman"/>
          <w:b/>
          <w:sz w:val="24"/>
          <w:szCs w:val="24"/>
          <w:u w:val="single"/>
        </w:rPr>
        <w:t>REPORTABLE (59)</w:t>
      </w:r>
      <w:r>
        <w:rPr>
          <w:rFonts w:ascii="Times New Roman" w:hAnsi="Times New Roman" w:cs="Times New Roman"/>
          <w:b/>
          <w:sz w:val="24"/>
          <w:szCs w:val="24"/>
          <w:u w:val="single"/>
        </w:rPr>
        <w:tab/>
      </w:r>
    </w:p>
    <w:p w:rsidR="00D47219" w:rsidRDefault="00D47219" w:rsidP="00D47219">
      <w:pPr>
        <w:spacing w:after="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47219" w:rsidRDefault="00D47219" w:rsidP="00D4721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SIMON     GAZI</w:t>
      </w:r>
    </w:p>
    <w:p w:rsidR="00D47219" w:rsidRDefault="00882314" w:rsidP="00D4721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w:t>
      </w:r>
    </w:p>
    <w:p w:rsidR="00D47219" w:rsidRPr="00AC5106" w:rsidRDefault="00D47219" w:rsidP="00D47219">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NATIONAL     RAILWAYS     OF     ZIMBABWE</w:t>
      </w:r>
    </w:p>
    <w:p w:rsidR="00D47219" w:rsidRDefault="00D47219" w:rsidP="00D47219">
      <w:pPr>
        <w:spacing w:after="0"/>
        <w:jc w:val="both"/>
        <w:rPr>
          <w:rFonts w:ascii="Times New Roman" w:hAnsi="Times New Roman" w:cs="Times New Roman"/>
          <w:sz w:val="24"/>
          <w:szCs w:val="24"/>
        </w:rPr>
      </w:pPr>
    </w:p>
    <w:p w:rsidR="00D47219" w:rsidRDefault="00D47219" w:rsidP="00D47219">
      <w:pPr>
        <w:spacing w:after="0"/>
        <w:jc w:val="both"/>
        <w:rPr>
          <w:rFonts w:ascii="Times New Roman" w:hAnsi="Times New Roman" w:cs="Times New Roman"/>
          <w:sz w:val="24"/>
          <w:szCs w:val="24"/>
        </w:rPr>
      </w:pPr>
    </w:p>
    <w:p w:rsidR="00D47219" w:rsidRDefault="00D47219" w:rsidP="00D47219">
      <w:pPr>
        <w:spacing w:after="0"/>
        <w:jc w:val="both"/>
        <w:rPr>
          <w:rFonts w:ascii="Times New Roman" w:hAnsi="Times New Roman" w:cs="Times New Roman"/>
          <w:sz w:val="24"/>
          <w:szCs w:val="24"/>
        </w:rPr>
      </w:pPr>
    </w:p>
    <w:p w:rsidR="00D47219" w:rsidRDefault="00D47219" w:rsidP="00D47219">
      <w:pPr>
        <w:spacing w:after="0"/>
        <w:jc w:val="both"/>
        <w:rPr>
          <w:rFonts w:ascii="Times New Roman" w:hAnsi="Times New Roman" w:cs="Times New Roman"/>
          <w:sz w:val="24"/>
          <w:szCs w:val="24"/>
        </w:rPr>
      </w:pPr>
    </w:p>
    <w:p w:rsidR="00D47219" w:rsidRPr="00AC5106" w:rsidRDefault="00D47219" w:rsidP="00D47219">
      <w:pPr>
        <w:spacing w:after="0" w:line="240" w:lineRule="auto"/>
        <w:jc w:val="both"/>
        <w:rPr>
          <w:rFonts w:ascii="Times New Roman" w:hAnsi="Times New Roman" w:cs="Times New Roman"/>
          <w:b/>
          <w:sz w:val="24"/>
          <w:szCs w:val="24"/>
        </w:rPr>
      </w:pPr>
      <w:r w:rsidRPr="00AC5106">
        <w:rPr>
          <w:rFonts w:ascii="Times New Roman" w:hAnsi="Times New Roman" w:cs="Times New Roman"/>
          <w:b/>
          <w:sz w:val="24"/>
          <w:szCs w:val="24"/>
        </w:rPr>
        <w:t>SUPREME COURT OF ZIMBABWE</w:t>
      </w:r>
    </w:p>
    <w:p w:rsidR="00D47219" w:rsidRPr="00AC5106" w:rsidRDefault="00D47219" w:rsidP="00D4721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ZIYAMBI</w:t>
      </w:r>
      <w:r w:rsidRPr="00AC5106">
        <w:rPr>
          <w:rFonts w:ascii="Times New Roman" w:hAnsi="Times New Roman" w:cs="Times New Roman"/>
          <w:b/>
          <w:sz w:val="24"/>
          <w:szCs w:val="24"/>
        </w:rPr>
        <w:t xml:space="preserve"> JA, </w:t>
      </w:r>
      <w:r>
        <w:rPr>
          <w:rFonts w:ascii="Times New Roman" w:hAnsi="Times New Roman" w:cs="Times New Roman"/>
          <w:b/>
          <w:sz w:val="24"/>
          <w:szCs w:val="24"/>
        </w:rPr>
        <w:t>GWAUNZA</w:t>
      </w:r>
      <w:r w:rsidRPr="00AC5106">
        <w:rPr>
          <w:rFonts w:ascii="Times New Roman" w:hAnsi="Times New Roman" w:cs="Times New Roman"/>
          <w:b/>
          <w:sz w:val="24"/>
          <w:szCs w:val="24"/>
        </w:rPr>
        <w:t xml:space="preserve"> JA </w:t>
      </w:r>
      <w:r w:rsidR="0002496C" w:rsidRPr="00AC5106">
        <w:rPr>
          <w:rFonts w:ascii="Times New Roman" w:hAnsi="Times New Roman" w:cs="Times New Roman"/>
          <w:b/>
          <w:sz w:val="24"/>
          <w:szCs w:val="24"/>
        </w:rPr>
        <w:t>&amp; MAVANGIRA</w:t>
      </w:r>
      <w:r w:rsidRPr="00AC5106">
        <w:rPr>
          <w:rFonts w:ascii="Times New Roman" w:hAnsi="Times New Roman" w:cs="Times New Roman"/>
          <w:b/>
          <w:sz w:val="24"/>
          <w:szCs w:val="24"/>
        </w:rPr>
        <w:t xml:space="preserve"> AJA</w:t>
      </w:r>
    </w:p>
    <w:p w:rsidR="00D47219" w:rsidRDefault="00D47219" w:rsidP="00D47219">
      <w:pPr>
        <w:spacing w:after="0"/>
        <w:jc w:val="both"/>
        <w:rPr>
          <w:rFonts w:ascii="Times New Roman" w:hAnsi="Times New Roman" w:cs="Times New Roman"/>
          <w:sz w:val="24"/>
          <w:szCs w:val="24"/>
        </w:rPr>
      </w:pPr>
      <w:r w:rsidRPr="00AC5106">
        <w:rPr>
          <w:rFonts w:ascii="Times New Roman" w:hAnsi="Times New Roman" w:cs="Times New Roman"/>
          <w:b/>
          <w:sz w:val="24"/>
          <w:szCs w:val="24"/>
        </w:rPr>
        <w:t xml:space="preserve">HARARE, </w:t>
      </w:r>
      <w:r>
        <w:rPr>
          <w:rFonts w:ascii="Times New Roman" w:hAnsi="Times New Roman" w:cs="Times New Roman"/>
          <w:b/>
          <w:sz w:val="24"/>
          <w:szCs w:val="24"/>
        </w:rPr>
        <w:t>MARCH 16 &amp;</w:t>
      </w:r>
      <w:r w:rsidR="008A54BF">
        <w:rPr>
          <w:rFonts w:ascii="Times New Roman" w:hAnsi="Times New Roman" w:cs="Times New Roman"/>
          <w:b/>
          <w:sz w:val="24"/>
          <w:szCs w:val="24"/>
        </w:rPr>
        <w:t xml:space="preserve"> </w:t>
      </w:r>
      <w:r w:rsidR="00C510CA">
        <w:rPr>
          <w:rFonts w:ascii="Times New Roman" w:hAnsi="Times New Roman" w:cs="Times New Roman"/>
          <w:b/>
          <w:sz w:val="24"/>
          <w:szCs w:val="24"/>
        </w:rPr>
        <w:t>OCTOBER</w:t>
      </w:r>
      <w:r w:rsidR="0002496C">
        <w:rPr>
          <w:rFonts w:ascii="Times New Roman" w:hAnsi="Times New Roman" w:cs="Times New Roman"/>
          <w:b/>
          <w:sz w:val="24"/>
          <w:szCs w:val="24"/>
        </w:rPr>
        <w:t xml:space="preserve"> 1</w:t>
      </w:r>
      <w:r w:rsidR="003D7C42">
        <w:rPr>
          <w:rFonts w:ascii="Times New Roman" w:hAnsi="Times New Roman" w:cs="Times New Roman"/>
          <w:b/>
          <w:sz w:val="24"/>
          <w:szCs w:val="24"/>
        </w:rPr>
        <w:t>9</w:t>
      </w:r>
      <w:r w:rsidR="00E552F5">
        <w:rPr>
          <w:rFonts w:ascii="Times New Roman" w:hAnsi="Times New Roman" w:cs="Times New Roman"/>
          <w:b/>
          <w:sz w:val="24"/>
          <w:szCs w:val="24"/>
        </w:rPr>
        <w:t>, 2015</w:t>
      </w:r>
      <w:r>
        <w:rPr>
          <w:rFonts w:ascii="Times New Roman" w:hAnsi="Times New Roman" w:cs="Times New Roman"/>
          <w:sz w:val="24"/>
          <w:szCs w:val="24"/>
        </w:rPr>
        <w:t xml:space="preserve">                       </w:t>
      </w:r>
    </w:p>
    <w:p w:rsidR="00D47219" w:rsidRDefault="00D47219" w:rsidP="00D47219">
      <w:pPr>
        <w:spacing w:after="0"/>
        <w:ind w:firstLine="720"/>
        <w:jc w:val="both"/>
        <w:rPr>
          <w:rFonts w:ascii="Times New Roman" w:hAnsi="Times New Roman" w:cs="Times New Roman"/>
          <w:sz w:val="24"/>
          <w:szCs w:val="24"/>
        </w:rPr>
      </w:pPr>
    </w:p>
    <w:p w:rsidR="00D47219" w:rsidRDefault="00D47219" w:rsidP="00D47219">
      <w:pPr>
        <w:spacing w:after="0"/>
        <w:ind w:firstLine="720"/>
        <w:jc w:val="both"/>
        <w:rPr>
          <w:rFonts w:ascii="Times New Roman" w:hAnsi="Times New Roman" w:cs="Times New Roman"/>
          <w:sz w:val="24"/>
          <w:szCs w:val="24"/>
        </w:rPr>
      </w:pPr>
    </w:p>
    <w:p w:rsidR="00D47219" w:rsidRDefault="00D47219" w:rsidP="00D47219">
      <w:pPr>
        <w:spacing w:after="0"/>
        <w:ind w:firstLine="720"/>
        <w:jc w:val="both"/>
        <w:rPr>
          <w:rFonts w:ascii="Times New Roman" w:hAnsi="Times New Roman" w:cs="Times New Roman"/>
          <w:sz w:val="24"/>
          <w:szCs w:val="24"/>
        </w:rPr>
      </w:pPr>
    </w:p>
    <w:p w:rsidR="00D47219" w:rsidRDefault="00D47219" w:rsidP="004C2ADF">
      <w:pPr>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T. Magwaliba, </w:t>
      </w:r>
      <w:r>
        <w:rPr>
          <w:rFonts w:ascii="Times New Roman" w:hAnsi="Times New Roman" w:cs="Times New Roman"/>
          <w:sz w:val="24"/>
          <w:szCs w:val="24"/>
        </w:rPr>
        <w:t>for the appellant</w:t>
      </w:r>
    </w:p>
    <w:p w:rsidR="00D47219" w:rsidRDefault="00D47219" w:rsidP="004C2ADF">
      <w:pPr>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A. Muchadehama, </w:t>
      </w:r>
      <w:r>
        <w:rPr>
          <w:rFonts w:ascii="Times New Roman" w:hAnsi="Times New Roman" w:cs="Times New Roman"/>
          <w:sz w:val="24"/>
          <w:szCs w:val="24"/>
        </w:rPr>
        <w:t>for the second respondent</w:t>
      </w:r>
    </w:p>
    <w:p w:rsidR="00D47219" w:rsidRDefault="00D47219" w:rsidP="00D47219">
      <w:pPr>
        <w:spacing w:after="0"/>
        <w:ind w:firstLine="720"/>
        <w:jc w:val="both"/>
        <w:rPr>
          <w:rFonts w:ascii="Times New Roman" w:hAnsi="Times New Roman" w:cs="Times New Roman"/>
          <w:sz w:val="24"/>
          <w:szCs w:val="24"/>
        </w:rPr>
      </w:pPr>
    </w:p>
    <w:p w:rsidR="00D47219" w:rsidRDefault="00D47219" w:rsidP="00D47219">
      <w:pPr>
        <w:spacing w:after="0"/>
        <w:ind w:firstLine="720"/>
        <w:jc w:val="both"/>
        <w:rPr>
          <w:rFonts w:ascii="Times New Roman" w:hAnsi="Times New Roman" w:cs="Times New Roman"/>
          <w:sz w:val="24"/>
          <w:szCs w:val="24"/>
        </w:rPr>
      </w:pPr>
    </w:p>
    <w:p w:rsidR="00D47219" w:rsidRDefault="00D47219" w:rsidP="00D47219">
      <w:pPr>
        <w:spacing w:after="0"/>
        <w:ind w:firstLine="720"/>
        <w:jc w:val="both"/>
        <w:rPr>
          <w:rFonts w:ascii="Times New Roman" w:hAnsi="Times New Roman" w:cs="Times New Roman"/>
          <w:sz w:val="24"/>
          <w:szCs w:val="24"/>
        </w:rPr>
      </w:pPr>
    </w:p>
    <w:p w:rsidR="00D47219" w:rsidRDefault="00D47219" w:rsidP="00D4721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GWAUNZA JA:</w:t>
      </w:r>
      <w:r>
        <w:rPr>
          <w:rFonts w:ascii="Times New Roman" w:hAnsi="Times New Roman" w:cs="Times New Roman"/>
          <w:b/>
          <w:sz w:val="24"/>
          <w:szCs w:val="24"/>
        </w:rPr>
        <w:tab/>
      </w:r>
      <w:r>
        <w:rPr>
          <w:rFonts w:ascii="Times New Roman" w:hAnsi="Times New Roman" w:cs="Times New Roman"/>
          <w:sz w:val="24"/>
          <w:szCs w:val="24"/>
        </w:rPr>
        <w:t>This is an appeal against the entire judgment of the Labour Court, handed down on 6 August 2013.</w:t>
      </w:r>
    </w:p>
    <w:p w:rsidR="00D47219" w:rsidRDefault="00D47219" w:rsidP="00E552F5">
      <w:pPr>
        <w:spacing w:after="0" w:line="240" w:lineRule="auto"/>
        <w:ind w:firstLine="720"/>
        <w:jc w:val="both"/>
        <w:rPr>
          <w:rFonts w:ascii="Times New Roman" w:hAnsi="Times New Roman" w:cs="Times New Roman"/>
          <w:sz w:val="24"/>
          <w:szCs w:val="24"/>
        </w:rPr>
      </w:pPr>
    </w:p>
    <w:p w:rsidR="00D47219" w:rsidRDefault="00D47219" w:rsidP="00D4721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The background to the dispute is aptly summarised as follows in the judgment of the court </w:t>
      </w:r>
      <w:r>
        <w:rPr>
          <w:rFonts w:ascii="Times New Roman" w:hAnsi="Times New Roman" w:cs="Times New Roman"/>
          <w:i/>
          <w:sz w:val="24"/>
          <w:szCs w:val="24"/>
        </w:rPr>
        <w:t>a quo</w:t>
      </w:r>
      <w:r w:rsidR="001F32FB">
        <w:rPr>
          <w:rFonts w:ascii="Times New Roman" w:hAnsi="Times New Roman" w:cs="Times New Roman"/>
          <w:i/>
          <w:sz w:val="24"/>
          <w:szCs w:val="24"/>
        </w:rPr>
        <w:t>;</w:t>
      </w:r>
    </w:p>
    <w:p w:rsidR="00D47219" w:rsidRPr="008A54BF" w:rsidRDefault="008A54BF" w:rsidP="008A54BF">
      <w:pPr>
        <w:pStyle w:val="ListParagraph"/>
        <w:numPr>
          <w:ilvl w:val="0"/>
          <w:numId w:val="3"/>
        </w:numPr>
        <w:spacing w:after="0" w:line="480" w:lineRule="auto"/>
        <w:jc w:val="both"/>
        <w:rPr>
          <w:rFonts w:ascii="Times New Roman" w:hAnsi="Times New Roman"/>
          <w:iCs/>
          <w:sz w:val="24"/>
          <w:szCs w:val="24"/>
          <w:lang w:val="en-US"/>
        </w:rPr>
      </w:pPr>
      <w:r w:rsidRPr="008A54BF">
        <w:rPr>
          <w:rFonts w:ascii="Times New Roman" w:hAnsi="Times New Roman"/>
          <w:iCs/>
          <w:sz w:val="24"/>
          <w:szCs w:val="24"/>
          <w:lang w:val="en-US"/>
        </w:rPr>
        <w:t>“</w:t>
      </w:r>
      <w:r w:rsidR="00D47219" w:rsidRPr="008A54BF">
        <w:rPr>
          <w:rFonts w:ascii="Times New Roman" w:hAnsi="Times New Roman"/>
          <w:iCs/>
          <w:sz w:val="24"/>
          <w:szCs w:val="24"/>
          <w:lang w:val="en-US"/>
        </w:rPr>
        <w:t>Appellant was employed by respondent as a painter.  He was dismissed from respondent’s employ on 10 November 2009 following a charge of absence from work for more than 7 consecutive days without a reasonable excuse.  Appellant did not attend the disciplinary hearing despite being advised of the date, time and place for the hearing.</w:t>
      </w:r>
    </w:p>
    <w:p w:rsidR="00D47219" w:rsidRDefault="00D47219" w:rsidP="00D47219">
      <w:pPr>
        <w:pStyle w:val="ListParagraph"/>
        <w:numPr>
          <w:ilvl w:val="0"/>
          <w:numId w:val="3"/>
        </w:numPr>
        <w:spacing w:after="0" w:line="480" w:lineRule="auto"/>
        <w:jc w:val="both"/>
        <w:rPr>
          <w:rFonts w:ascii="Times New Roman" w:hAnsi="Times New Roman"/>
          <w:iCs/>
          <w:sz w:val="24"/>
          <w:szCs w:val="24"/>
          <w:lang w:val="en-US"/>
        </w:rPr>
      </w:pPr>
      <w:r>
        <w:rPr>
          <w:rFonts w:ascii="Times New Roman" w:hAnsi="Times New Roman"/>
          <w:iCs/>
          <w:sz w:val="24"/>
          <w:szCs w:val="24"/>
          <w:lang w:val="en-US"/>
        </w:rPr>
        <w:t>Aggrieved, appellant appealed to the respondent’s general manager who dismissed the appeal.  On 6 January 2010, appellant referred the matter to a Labour Officer for conciliation.  Res</w:t>
      </w:r>
      <w:r w:rsidR="00C510CA">
        <w:rPr>
          <w:rFonts w:ascii="Times New Roman" w:hAnsi="Times New Roman"/>
          <w:iCs/>
          <w:sz w:val="24"/>
          <w:szCs w:val="24"/>
          <w:lang w:val="en-US"/>
        </w:rPr>
        <w:t xml:space="preserve">pondent objected to the </w:t>
      </w:r>
      <w:r w:rsidR="00E552F5">
        <w:rPr>
          <w:rFonts w:ascii="Times New Roman" w:hAnsi="Times New Roman"/>
          <w:iCs/>
          <w:sz w:val="24"/>
          <w:szCs w:val="24"/>
          <w:lang w:val="en-US"/>
        </w:rPr>
        <w:t>Labour Officer’s</w:t>
      </w:r>
      <w:r>
        <w:rPr>
          <w:rFonts w:ascii="Times New Roman" w:hAnsi="Times New Roman"/>
          <w:iCs/>
          <w:sz w:val="24"/>
          <w:szCs w:val="24"/>
          <w:lang w:val="en-US"/>
        </w:rPr>
        <w:t xml:space="preserve"> involvement in the dispute arguing that the </w:t>
      </w:r>
      <w:r w:rsidR="001F32FB">
        <w:rPr>
          <w:rFonts w:ascii="Times New Roman" w:hAnsi="Times New Roman"/>
          <w:iCs/>
          <w:sz w:val="24"/>
          <w:szCs w:val="24"/>
          <w:lang w:val="en-US"/>
        </w:rPr>
        <w:t xml:space="preserve">latter </w:t>
      </w:r>
      <w:r>
        <w:rPr>
          <w:rFonts w:ascii="Times New Roman" w:hAnsi="Times New Roman"/>
          <w:iCs/>
          <w:sz w:val="24"/>
          <w:szCs w:val="24"/>
          <w:lang w:val="en-US"/>
        </w:rPr>
        <w:t>had no jurisdiction to entertain the matter.</w:t>
      </w:r>
    </w:p>
    <w:p w:rsidR="004F2A7B" w:rsidRPr="008268CC" w:rsidRDefault="004F2A7B" w:rsidP="008268CC">
      <w:pPr>
        <w:pStyle w:val="ListParagraph"/>
        <w:numPr>
          <w:ilvl w:val="0"/>
          <w:numId w:val="3"/>
        </w:numPr>
        <w:spacing w:after="0" w:line="480" w:lineRule="auto"/>
        <w:jc w:val="both"/>
        <w:rPr>
          <w:rFonts w:ascii="Times New Roman" w:hAnsi="Times New Roman"/>
          <w:iCs/>
          <w:sz w:val="24"/>
          <w:szCs w:val="24"/>
          <w:lang w:val="en-US"/>
        </w:rPr>
      </w:pPr>
      <w:r>
        <w:rPr>
          <w:rFonts w:ascii="Times New Roman" w:hAnsi="Times New Roman"/>
          <w:iCs/>
          <w:sz w:val="24"/>
          <w:szCs w:val="24"/>
          <w:lang w:val="en-US"/>
        </w:rPr>
        <w:lastRenderedPageBreak/>
        <w:t xml:space="preserve">On 24 May 2010, the arbitrator awarded in favour of the appellant.  Respondent filed an application for review to reverse the referral as well as the arbitral award on the basis that they were governed by a code of conduct and therefore the conciliator had no jurisdiction.  This Court set aside the arbitral award by consent.  Appellant then applied for </w:t>
      </w:r>
      <w:r w:rsidR="00B37FF1">
        <w:rPr>
          <w:rFonts w:ascii="Times New Roman" w:hAnsi="Times New Roman"/>
          <w:iCs/>
          <w:sz w:val="24"/>
          <w:szCs w:val="24"/>
          <w:lang w:val="en-US"/>
        </w:rPr>
        <w:t>c</w:t>
      </w:r>
      <w:r>
        <w:rPr>
          <w:rFonts w:ascii="Times New Roman" w:hAnsi="Times New Roman"/>
          <w:iCs/>
          <w:sz w:val="24"/>
          <w:szCs w:val="24"/>
          <w:lang w:val="en-US"/>
        </w:rPr>
        <w:t>ondonation and the application was granted.  Appellant then filed this appeal.</w:t>
      </w:r>
      <w:r w:rsidR="008A54BF">
        <w:rPr>
          <w:rFonts w:ascii="Times New Roman" w:hAnsi="Times New Roman"/>
          <w:iCs/>
          <w:sz w:val="24"/>
          <w:szCs w:val="24"/>
          <w:lang w:val="en-US"/>
        </w:rPr>
        <w:t>”</w:t>
      </w:r>
    </w:p>
    <w:p w:rsidR="004F2A7B" w:rsidRDefault="004F2A7B" w:rsidP="00E552F5">
      <w:pPr>
        <w:spacing w:after="0" w:line="240" w:lineRule="auto"/>
        <w:jc w:val="both"/>
        <w:rPr>
          <w:rFonts w:ascii="Times New Roman" w:hAnsi="Times New Roman"/>
          <w:iCs/>
          <w:sz w:val="24"/>
          <w:szCs w:val="24"/>
          <w:lang w:val="en-US"/>
        </w:rPr>
      </w:pPr>
    </w:p>
    <w:p w:rsidR="004F2A7B" w:rsidRDefault="004941DC" w:rsidP="004F2A7B">
      <w:pPr>
        <w:spacing w:after="0" w:line="480" w:lineRule="auto"/>
        <w:ind w:firstLine="1080"/>
        <w:jc w:val="both"/>
        <w:rPr>
          <w:rFonts w:ascii="Times New Roman" w:hAnsi="Times New Roman"/>
          <w:iCs/>
          <w:sz w:val="24"/>
          <w:szCs w:val="24"/>
          <w:lang w:val="en-US"/>
        </w:rPr>
      </w:pPr>
      <w:r>
        <w:rPr>
          <w:rFonts w:ascii="Times New Roman" w:hAnsi="Times New Roman"/>
          <w:iCs/>
          <w:sz w:val="24"/>
          <w:szCs w:val="24"/>
          <w:lang w:val="en-US"/>
        </w:rPr>
        <w:t>T</w:t>
      </w:r>
      <w:r w:rsidR="004F2A7B">
        <w:rPr>
          <w:rFonts w:ascii="Times New Roman" w:hAnsi="Times New Roman"/>
          <w:iCs/>
          <w:sz w:val="24"/>
          <w:szCs w:val="24"/>
          <w:lang w:val="en-US"/>
        </w:rPr>
        <w:t>he</w:t>
      </w:r>
      <w:r>
        <w:rPr>
          <w:rFonts w:ascii="Times New Roman" w:hAnsi="Times New Roman"/>
          <w:iCs/>
          <w:sz w:val="24"/>
          <w:szCs w:val="24"/>
          <w:lang w:val="en-US"/>
        </w:rPr>
        <w:t xml:space="preserve"> grounds on which the</w:t>
      </w:r>
      <w:r w:rsidR="004F2A7B">
        <w:rPr>
          <w:rFonts w:ascii="Times New Roman" w:hAnsi="Times New Roman"/>
          <w:iCs/>
          <w:sz w:val="24"/>
          <w:szCs w:val="24"/>
          <w:lang w:val="en-US"/>
        </w:rPr>
        <w:t xml:space="preserve"> appellant based his appeal to the </w:t>
      </w:r>
      <w:r>
        <w:rPr>
          <w:rFonts w:ascii="Times New Roman" w:hAnsi="Times New Roman"/>
          <w:iCs/>
          <w:sz w:val="24"/>
          <w:szCs w:val="24"/>
          <w:lang w:val="en-US"/>
        </w:rPr>
        <w:t xml:space="preserve">respondent’s </w:t>
      </w:r>
      <w:r w:rsidR="004F2A7B">
        <w:rPr>
          <w:rFonts w:ascii="Times New Roman" w:hAnsi="Times New Roman"/>
          <w:iCs/>
          <w:sz w:val="24"/>
          <w:szCs w:val="24"/>
          <w:lang w:val="en-US"/>
        </w:rPr>
        <w:t>General Manager were as follows:</w:t>
      </w:r>
    </w:p>
    <w:p w:rsidR="004F2A7B" w:rsidRDefault="004F2A7B" w:rsidP="00C0538A">
      <w:pPr>
        <w:spacing w:after="0" w:line="240" w:lineRule="auto"/>
        <w:ind w:left="1440" w:hanging="720"/>
        <w:jc w:val="both"/>
        <w:rPr>
          <w:rFonts w:ascii="Times New Roman" w:hAnsi="Times New Roman"/>
          <w:iCs/>
          <w:sz w:val="24"/>
          <w:szCs w:val="24"/>
          <w:lang w:val="en-US"/>
        </w:rPr>
      </w:pPr>
      <w:r>
        <w:rPr>
          <w:rFonts w:ascii="Times New Roman" w:hAnsi="Times New Roman"/>
          <w:iCs/>
          <w:sz w:val="24"/>
          <w:szCs w:val="24"/>
          <w:lang w:val="en-US"/>
        </w:rPr>
        <w:t>“11.1</w:t>
      </w:r>
      <w:r>
        <w:rPr>
          <w:rFonts w:ascii="Times New Roman" w:hAnsi="Times New Roman"/>
          <w:iCs/>
          <w:sz w:val="24"/>
          <w:szCs w:val="24"/>
          <w:lang w:val="en-US"/>
        </w:rPr>
        <w:tab/>
        <w:t>The Area Manager went ahead to give a decision before your office had responded to its call by the union for a Disciplinary Inquiry as provided for under clause 15 of the N.R.Z. Code of Conduct.</w:t>
      </w:r>
    </w:p>
    <w:p w:rsidR="00A012E5" w:rsidRDefault="00A012E5" w:rsidP="00C0538A">
      <w:pPr>
        <w:spacing w:after="0" w:line="240" w:lineRule="auto"/>
        <w:ind w:left="1440" w:hanging="720"/>
        <w:jc w:val="both"/>
        <w:rPr>
          <w:rFonts w:ascii="Times New Roman" w:hAnsi="Times New Roman"/>
          <w:iCs/>
          <w:sz w:val="24"/>
          <w:szCs w:val="24"/>
          <w:lang w:val="en-US"/>
        </w:rPr>
      </w:pPr>
    </w:p>
    <w:p w:rsidR="004F2A7B" w:rsidRDefault="004F2A7B" w:rsidP="00C0538A">
      <w:pPr>
        <w:spacing w:after="0" w:line="240" w:lineRule="auto"/>
        <w:ind w:left="1440" w:hanging="720"/>
        <w:jc w:val="both"/>
        <w:rPr>
          <w:rFonts w:ascii="Times New Roman" w:hAnsi="Times New Roman"/>
          <w:iCs/>
          <w:sz w:val="24"/>
          <w:szCs w:val="24"/>
          <w:lang w:val="en-US"/>
        </w:rPr>
      </w:pPr>
      <w:r>
        <w:rPr>
          <w:rFonts w:ascii="Times New Roman" w:hAnsi="Times New Roman"/>
          <w:iCs/>
          <w:sz w:val="24"/>
          <w:szCs w:val="24"/>
          <w:lang w:val="en-US"/>
        </w:rPr>
        <w:t>11.2</w:t>
      </w:r>
      <w:r>
        <w:rPr>
          <w:rFonts w:ascii="Times New Roman" w:hAnsi="Times New Roman"/>
          <w:iCs/>
          <w:sz w:val="24"/>
          <w:szCs w:val="24"/>
          <w:lang w:val="en-US"/>
        </w:rPr>
        <w:tab/>
        <w:t>The narration by the Area Manager that we were afforded a chance to be heard does not sit well.  The union had asked for an inquiry not a hearing given the seriousness of the confusion by those handling the matter.</w:t>
      </w:r>
    </w:p>
    <w:p w:rsidR="00A012E5" w:rsidRDefault="00A012E5" w:rsidP="00C0538A">
      <w:pPr>
        <w:spacing w:after="0" w:line="240" w:lineRule="auto"/>
        <w:ind w:left="1440" w:hanging="720"/>
        <w:jc w:val="both"/>
        <w:rPr>
          <w:rFonts w:ascii="Times New Roman" w:hAnsi="Times New Roman"/>
          <w:iCs/>
          <w:sz w:val="24"/>
          <w:szCs w:val="24"/>
          <w:lang w:val="en-US"/>
        </w:rPr>
      </w:pPr>
    </w:p>
    <w:p w:rsidR="004F2A7B" w:rsidRDefault="004F2A7B" w:rsidP="00C0538A">
      <w:pPr>
        <w:spacing w:after="0" w:line="240" w:lineRule="auto"/>
        <w:ind w:left="1440" w:hanging="720"/>
        <w:jc w:val="both"/>
        <w:rPr>
          <w:rFonts w:ascii="Times New Roman" w:hAnsi="Times New Roman"/>
          <w:iCs/>
          <w:sz w:val="24"/>
          <w:szCs w:val="24"/>
          <w:lang w:val="en-US"/>
        </w:rPr>
      </w:pPr>
      <w:r>
        <w:rPr>
          <w:rFonts w:ascii="Times New Roman" w:hAnsi="Times New Roman"/>
          <w:iCs/>
          <w:sz w:val="24"/>
          <w:szCs w:val="24"/>
          <w:lang w:val="en-US"/>
        </w:rPr>
        <w:t>11.3</w:t>
      </w:r>
      <w:r>
        <w:rPr>
          <w:rFonts w:ascii="Times New Roman" w:hAnsi="Times New Roman"/>
          <w:iCs/>
          <w:sz w:val="24"/>
          <w:szCs w:val="24"/>
          <w:lang w:val="en-US"/>
        </w:rPr>
        <w:tab/>
        <w:t>The allegations are pregnant with inconsistencies given that the Personnel Officer Midlands cleared Mr Gazi of any wrong doing and the union is at a loss why a sudde</w:t>
      </w:r>
      <w:r w:rsidR="008268CC">
        <w:rPr>
          <w:rFonts w:ascii="Times New Roman" w:hAnsi="Times New Roman"/>
          <w:iCs/>
          <w:sz w:val="24"/>
          <w:szCs w:val="24"/>
          <w:lang w:val="en-US"/>
        </w:rPr>
        <w:t>n turn around Ref 350417 dated 24 April 2009.”</w:t>
      </w:r>
    </w:p>
    <w:p w:rsidR="008268CC" w:rsidRDefault="008268CC" w:rsidP="004F2A7B">
      <w:pPr>
        <w:spacing w:after="0" w:line="480" w:lineRule="auto"/>
        <w:ind w:left="1440" w:hanging="720"/>
        <w:jc w:val="both"/>
        <w:rPr>
          <w:rFonts w:ascii="Times New Roman" w:hAnsi="Times New Roman"/>
          <w:iCs/>
          <w:sz w:val="24"/>
          <w:szCs w:val="24"/>
          <w:lang w:val="en-US"/>
        </w:rPr>
      </w:pPr>
    </w:p>
    <w:p w:rsidR="00C0538A" w:rsidRDefault="00C0538A" w:rsidP="00C0538A">
      <w:pPr>
        <w:spacing w:after="0" w:line="240" w:lineRule="auto"/>
        <w:ind w:left="1440" w:hanging="720"/>
        <w:jc w:val="both"/>
        <w:rPr>
          <w:rFonts w:ascii="Times New Roman" w:hAnsi="Times New Roman"/>
          <w:iCs/>
          <w:sz w:val="24"/>
          <w:szCs w:val="24"/>
          <w:lang w:val="en-US"/>
        </w:rPr>
      </w:pPr>
    </w:p>
    <w:p w:rsidR="008268CC" w:rsidRPr="00A012E5" w:rsidRDefault="008268CC" w:rsidP="008268CC">
      <w:pPr>
        <w:spacing w:after="0" w:line="480" w:lineRule="auto"/>
        <w:ind w:firstLine="720"/>
        <w:jc w:val="both"/>
        <w:rPr>
          <w:rFonts w:ascii="Times New Roman" w:hAnsi="Times New Roman"/>
          <w:i/>
          <w:iCs/>
          <w:sz w:val="24"/>
          <w:szCs w:val="24"/>
          <w:lang w:val="en-US"/>
        </w:rPr>
      </w:pPr>
      <w:r>
        <w:rPr>
          <w:rFonts w:ascii="Times New Roman" w:hAnsi="Times New Roman"/>
          <w:iCs/>
          <w:sz w:val="24"/>
          <w:szCs w:val="24"/>
          <w:lang w:val="en-US"/>
        </w:rPr>
        <w:tab/>
      </w:r>
      <w:r w:rsidR="00B37FF1">
        <w:rPr>
          <w:rFonts w:ascii="Times New Roman" w:hAnsi="Times New Roman"/>
          <w:iCs/>
          <w:sz w:val="24"/>
          <w:szCs w:val="24"/>
          <w:lang w:val="en-US"/>
        </w:rPr>
        <w:t xml:space="preserve">In spite of the fact </w:t>
      </w:r>
      <w:r w:rsidR="004941DC">
        <w:rPr>
          <w:rFonts w:ascii="Times New Roman" w:hAnsi="Times New Roman"/>
          <w:iCs/>
          <w:sz w:val="24"/>
          <w:szCs w:val="24"/>
          <w:lang w:val="en-US"/>
        </w:rPr>
        <w:t xml:space="preserve">that </w:t>
      </w:r>
      <w:r w:rsidR="00B37FF1">
        <w:rPr>
          <w:rFonts w:ascii="Times New Roman" w:hAnsi="Times New Roman"/>
          <w:iCs/>
          <w:sz w:val="24"/>
          <w:szCs w:val="24"/>
          <w:lang w:val="en-US"/>
        </w:rPr>
        <w:t xml:space="preserve">the </w:t>
      </w:r>
      <w:r w:rsidR="00A012E5">
        <w:rPr>
          <w:rFonts w:ascii="Times New Roman" w:hAnsi="Times New Roman"/>
          <w:iCs/>
          <w:sz w:val="24"/>
          <w:szCs w:val="24"/>
          <w:lang w:val="en-US"/>
        </w:rPr>
        <w:t xml:space="preserve">decision of the disciplinary committee chaired by the Area </w:t>
      </w:r>
      <w:r w:rsidR="004941DC">
        <w:rPr>
          <w:rFonts w:ascii="Times New Roman" w:hAnsi="Times New Roman"/>
          <w:iCs/>
          <w:sz w:val="24"/>
          <w:szCs w:val="24"/>
          <w:lang w:val="en-US"/>
        </w:rPr>
        <w:t>M</w:t>
      </w:r>
      <w:r w:rsidR="00A012E5">
        <w:rPr>
          <w:rFonts w:ascii="Times New Roman" w:hAnsi="Times New Roman"/>
          <w:iCs/>
          <w:sz w:val="24"/>
          <w:szCs w:val="24"/>
          <w:lang w:val="en-US"/>
        </w:rPr>
        <w:t>anager was effectively a default one, t</w:t>
      </w:r>
      <w:r>
        <w:rPr>
          <w:rFonts w:ascii="Times New Roman" w:hAnsi="Times New Roman"/>
          <w:iCs/>
          <w:sz w:val="24"/>
          <w:szCs w:val="24"/>
          <w:lang w:val="en-US"/>
        </w:rPr>
        <w:t>he appellant</w:t>
      </w:r>
      <w:r w:rsidR="00B37FF1">
        <w:rPr>
          <w:rFonts w:ascii="Times New Roman" w:hAnsi="Times New Roman"/>
          <w:iCs/>
          <w:sz w:val="24"/>
          <w:szCs w:val="24"/>
          <w:lang w:val="en-US"/>
        </w:rPr>
        <w:t xml:space="preserve"> as is evident from the above,</w:t>
      </w:r>
      <w:r>
        <w:rPr>
          <w:rFonts w:ascii="Times New Roman" w:hAnsi="Times New Roman"/>
          <w:iCs/>
          <w:sz w:val="24"/>
          <w:szCs w:val="24"/>
          <w:lang w:val="en-US"/>
        </w:rPr>
        <w:t xml:space="preserve"> took the course of appealing against th</w:t>
      </w:r>
      <w:r w:rsidR="00A012E5">
        <w:rPr>
          <w:rFonts w:ascii="Times New Roman" w:hAnsi="Times New Roman"/>
          <w:iCs/>
          <w:sz w:val="24"/>
          <w:szCs w:val="24"/>
          <w:lang w:val="en-US"/>
        </w:rPr>
        <w:t xml:space="preserve">at decision. </w:t>
      </w:r>
      <w:r>
        <w:rPr>
          <w:rFonts w:ascii="Times New Roman" w:hAnsi="Times New Roman"/>
          <w:iCs/>
          <w:sz w:val="24"/>
          <w:szCs w:val="24"/>
          <w:lang w:val="en-US"/>
        </w:rPr>
        <w:t xml:space="preserve"> The disciplinary committee correctly observed before imposing the penalty of dismissal, that the appellant had deliberately spurned the proceedings and had accordingly denied himself the chance to present a defence and prof</w:t>
      </w:r>
      <w:r w:rsidR="00C510CA">
        <w:rPr>
          <w:rFonts w:ascii="Times New Roman" w:hAnsi="Times New Roman"/>
          <w:iCs/>
          <w:sz w:val="24"/>
          <w:szCs w:val="24"/>
          <w:lang w:val="en-US"/>
        </w:rPr>
        <w:t>f</w:t>
      </w:r>
      <w:r>
        <w:rPr>
          <w:rFonts w:ascii="Times New Roman" w:hAnsi="Times New Roman"/>
          <w:iCs/>
          <w:sz w:val="24"/>
          <w:szCs w:val="24"/>
          <w:lang w:val="en-US"/>
        </w:rPr>
        <w:t>er any arguments in mitigation.</w:t>
      </w:r>
      <w:r w:rsidR="00A012E5">
        <w:rPr>
          <w:rFonts w:ascii="Times New Roman" w:hAnsi="Times New Roman"/>
          <w:iCs/>
          <w:sz w:val="24"/>
          <w:szCs w:val="24"/>
          <w:lang w:val="en-US"/>
        </w:rPr>
        <w:t xml:space="preserve"> </w:t>
      </w:r>
      <w:r>
        <w:rPr>
          <w:rFonts w:ascii="Times New Roman" w:hAnsi="Times New Roman"/>
          <w:iCs/>
          <w:sz w:val="24"/>
          <w:szCs w:val="24"/>
          <w:lang w:val="en-US"/>
        </w:rPr>
        <w:tab/>
        <w:t>The General Manager, however</w:t>
      </w:r>
      <w:r w:rsidR="001F32FB">
        <w:rPr>
          <w:rFonts w:ascii="Times New Roman" w:hAnsi="Times New Roman"/>
          <w:iCs/>
          <w:sz w:val="24"/>
          <w:szCs w:val="24"/>
          <w:lang w:val="en-US"/>
        </w:rPr>
        <w:t>,</w:t>
      </w:r>
      <w:r>
        <w:rPr>
          <w:rFonts w:ascii="Times New Roman" w:hAnsi="Times New Roman"/>
          <w:iCs/>
          <w:sz w:val="24"/>
          <w:szCs w:val="24"/>
          <w:lang w:val="en-US"/>
        </w:rPr>
        <w:t xml:space="preserve"> disregarded this procedural </w:t>
      </w:r>
      <w:r w:rsidRPr="008268CC">
        <w:rPr>
          <w:rFonts w:ascii="Times New Roman" w:hAnsi="Times New Roman"/>
          <w:i/>
          <w:iCs/>
          <w:sz w:val="24"/>
          <w:szCs w:val="24"/>
          <w:lang w:val="en-US"/>
        </w:rPr>
        <w:t>fa</w:t>
      </w:r>
      <w:r w:rsidR="00B37FF1">
        <w:rPr>
          <w:rFonts w:ascii="Times New Roman" w:hAnsi="Times New Roman"/>
          <w:i/>
          <w:iCs/>
          <w:sz w:val="24"/>
          <w:szCs w:val="24"/>
          <w:lang w:val="en-US"/>
        </w:rPr>
        <w:t>u</w:t>
      </w:r>
      <w:r w:rsidRPr="008268CC">
        <w:rPr>
          <w:rFonts w:ascii="Times New Roman" w:hAnsi="Times New Roman"/>
          <w:i/>
          <w:iCs/>
          <w:sz w:val="24"/>
          <w:szCs w:val="24"/>
          <w:lang w:val="en-US"/>
        </w:rPr>
        <w:t>x pas</w:t>
      </w:r>
      <w:r>
        <w:rPr>
          <w:rFonts w:ascii="Times New Roman" w:hAnsi="Times New Roman"/>
          <w:iCs/>
          <w:sz w:val="24"/>
          <w:szCs w:val="24"/>
          <w:lang w:val="en-US"/>
        </w:rPr>
        <w:t xml:space="preserve"> on the part of the appellant, and proceeded to hear his appeal on the grounds outlined above.  He subsequently upheld the dismissal and stated that he </w:t>
      </w:r>
      <w:r w:rsidRPr="00A012E5">
        <w:rPr>
          <w:rFonts w:ascii="Times New Roman" w:hAnsi="Times New Roman"/>
          <w:i/>
          <w:iCs/>
          <w:sz w:val="24"/>
          <w:szCs w:val="24"/>
          <w:lang w:val="en-US"/>
        </w:rPr>
        <w:t>“found no justification to alter the punishment meted out for the following reasons …”</w:t>
      </w:r>
    </w:p>
    <w:p w:rsidR="00B37FF1" w:rsidRDefault="008268CC" w:rsidP="008268CC">
      <w:pPr>
        <w:spacing w:after="0" w:line="480" w:lineRule="auto"/>
        <w:ind w:firstLine="720"/>
        <w:jc w:val="both"/>
        <w:rPr>
          <w:rFonts w:ascii="Times New Roman" w:hAnsi="Times New Roman"/>
          <w:iCs/>
          <w:sz w:val="24"/>
          <w:szCs w:val="24"/>
          <w:lang w:val="en-US"/>
        </w:rPr>
      </w:pPr>
      <w:r>
        <w:rPr>
          <w:rFonts w:ascii="Times New Roman" w:hAnsi="Times New Roman"/>
          <w:iCs/>
          <w:sz w:val="24"/>
          <w:szCs w:val="24"/>
          <w:lang w:val="en-US"/>
        </w:rPr>
        <w:tab/>
      </w:r>
    </w:p>
    <w:p w:rsidR="008268CC" w:rsidRDefault="00A012E5" w:rsidP="008268CC">
      <w:pPr>
        <w:spacing w:after="0" w:line="480" w:lineRule="auto"/>
        <w:ind w:firstLine="720"/>
        <w:jc w:val="both"/>
        <w:rPr>
          <w:rFonts w:ascii="Times New Roman" w:hAnsi="Times New Roman"/>
          <w:iCs/>
          <w:sz w:val="24"/>
          <w:szCs w:val="24"/>
          <w:lang w:val="en-US"/>
        </w:rPr>
      </w:pPr>
      <w:r>
        <w:rPr>
          <w:rFonts w:ascii="Times New Roman" w:hAnsi="Times New Roman"/>
          <w:iCs/>
          <w:sz w:val="24"/>
          <w:szCs w:val="24"/>
          <w:lang w:val="en-US"/>
        </w:rPr>
        <w:t xml:space="preserve">The appellant based his appeal to the Labour Court </w:t>
      </w:r>
      <w:r w:rsidR="008268CC">
        <w:rPr>
          <w:rFonts w:ascii="Times New Roman" w:hAnsi="Times New Roman"/>
          <w:iCs/>
          <w:sz w:val="24"/>
          <w:szCs w:val="24"/>
          <w:lang w:val="en-US"/>
        </w:rPr>
        <w:t>on the following grounds:</w:t>
      </w:r>
    </w:p>
    <w:p w:rsidR="008268CC" w:rsidRPr="00A012E5" w:rsidRDefault="00C510CA" w:rsidP="00A012E5">
      <w:pPr>
        <w:pStyle w:val="ListParagraph"/>
        <w:numPr>
          <w:ilvl w:val="0"/>
          <w:numId w:val="5"/>
        </w:numPr>
        <w:spacing w:after="0" w:line="240" w:lineRule="auto"/>
        <w:jc w:val="both"/>
        <w:rPr>
          <w:rFonts w:ascii="Times New Roman" w:hAnsi="Times New Roman"/>
          <w:iCs/>
          <w:sz w:val="24"/>
          <w:szCs w:val="24"/>
          <w:lang w:val="en-US"/>
        </w:rPr>
      </w:pPr>
      <w:r>
        <w:rPr>
          <w:rFonts w:ascii="Times New Roman" w:hAnsi="Times New Roman"/>
          <w:iCs/>
          <w:sz w:val="24"/>
          <w:szCs w:val="24"/>
          <w:lang w:val="en-US"/>
        </w:rPr>
        <w:t>t</w:t>
      </w:r>
      <w:r w:rsidR="008268CC" w:rsidRPr="00A012E5">
        <w:rPr>
          <w:rFonts w:ascii="Times New Roman" w:hAnsi="Times New Roman"/>
          <w:iCs/>
          <w:sz w:val="24"/>
          <w:szCs w:val="24"/>
          <w:lang w:val="en-US"/>
        </w:rPr>
        <w:t xml:space="preserve">hat the General Manager erred in holding that the appellant was absent without leave because he had not submitted periodic medical booking off certificates as per the dictates of a weekly notice when that is not a requirement in terms of the Labour Act or the Code thereby making the requirement </w:t>
      </w:r>
      <w:r w:rsidR="008268CC" w:rsidRPr="00A012E5">
        <w:rPr>
          <w:rFonts w:ascii="Times New Roman" w:hAnsi="Times New Roman"/>
          <w:i/>
          <w:iCs/>
          <w:sz w:val="24"/>
          <w:szCs w:val="24"/>
          <w:lang w:val="en-US"/>
        </w:rPr>
        <w:t>ultra vires</w:t>
      </w:r>
      <w:r w:rsidR="008268CC" w:rsidRPr="00A012E5">
        <w:rPr>
          <w:rFonts w:ascii="Times New Roman" w:hAnsi="Times New Roman"/>
          <w:iCs/>
          <w:sz w:val="24"/>
          <w:szCs w:val="24"/>
          <w:lang w:val="en-US"/>
        </w:rPr>
        <w:t xml:space="preserve"> the Labour Act.</w:t>
      </w:r>
    </w:p>
    <w:p w:rsidR="00A012E5" w:rsidRPr="00A012E5" w:rsidRDefault="00A012E5" w:rsidP="00A012E5">
      <w:pPr>
        <w:pStyle w:val="ListParagraph"/>
        <w:spacing w:after="0" w:line="240" w:lineRule="auto"/>
        <w:jc w:val="both"/>
        <w:rPr>
          <w:rFonts w:ascii="Times New Roman" w:hAnsi="Times New Roman"/>
          <w:iCs/>
          <w:sz w:val="24"/>
          <w:szCs w:val="24"/>
          <w:lang w:val="en-US"/>
        </w:rPr>
      </w:pPr>
    </w:p>
    <w:p w:rsidR="008268CC" w:rsidRDefault="00C510CA" w:rsidP="00A012E5">
      <w:pPr>
        <w:pStyle w:val="ListParagraph"/>
        <w:numPr>
          <w:ilvl w:val="0"/>
          <w:numId w:val="5"/>
        </w:numPr>
        <w:spacing w:after="0" w:line="240" w:lineRule="auto"/>
        <w:jc w:val="both"/>
        <w:rPr>
          <w:rFonts w:ascii="Times New Roman" w:hAnsi="Times New Roman"/>
          <w:iCs/>
          <w:sz w:val="24"/>
          <w:szCs w:val="24"/>
          <w:lang w:val="en-US"/>
        </w:rPr>
      </w:pPr>
      <w:r>
        <w:rPr>
          <w:rFonts w:ascii="Times New Roman" w:hAnsi="Times New Roman"/>
          <w:iCs/>
          <w:sz w:val="24"/>
          <w:szCs w:val="24"/>
          <w:lang w:val="en-US"/>
        </w:rPr>
        <w:t>t</w:t>
      </w:r>
      <w:r w:rsidR="008268CC" w:rsidRPr="008268CC">
        <w:rPr>
          <w:rFonts w:ascii="Times New Roman" w:hAnsi="Times New Roman"/>
          <w:iCs/>
          <w:sz w:val="24"/>
          <w:szCs w:val="24"/>
          <w:lang w:val="en-US"/>
        </w:rPr>
        <w:t>hat the General Manager erred in upholding the conviction of the appellant when there was evidence to show that appellant was on sick leave as certified by a registered medical practitioner’s sick leave booking which amounts to a reasonable excuse at law.</w:t>
      </w:r>
    </w:p>
    <w:p w:rsidR="00A012E5" w:rsidRPr="00A012E5" w:rsidRDefault="00A012E5" w:rsidP="00A012E5">
      <w:pPr>
        <w:pStyle w:val="ListParagraph"/>
        <w:rPr>
          <w:rFonts w:ascii="Times New Roman" w:hAnsi="Times New Roman"/>
          <w:iCs/>
          <w:sz w:val="24"/>
          <w:szCs w:val="24"/>
          <w:lang w:val="en-US"/>
        </w:rPr>
      </w:pPr>
    </w:p>
    <w:p w:rsidR="008268CC" w:rsidRDefault="00C510CA" w:rsidP="00A012E5">
      <w:pPr>
        <w:pStyle w:val="ListParagraph"/>
        <w:numPr>
          <w:ilvl w:val="0"/>
          <w:numId w:val="5"/>
        </w:numPr>
        <w:spacing w:after="0" w:line="240" w:lineRule="auto"/>
        <w:jc w:val="both"/>
        <w:rPr>
          <w:rFonts w:ascii="Times New Roman" w:hAnsi="Times New Roman"/>
          <w:iCs/>
          <w:sz w:val="24"/>
          <w:szCs w:val="24"/>
          <w:lang w:val="en-US"/>
        </w:rPr>
      </w:pPr>
      <w:r>
        <w:rPr>
          <w:rFonts w:ascii="Times New Roman" w:hAnsi="Times New Roman"/>
          <w:iCs/>
          <w:sz w:val="24"/>
          <w:szCs w:val="24"/>
          <w:lang w:val="en-US"/>
        </w:rPr>
        <w:t>t</w:t>
      </w:r>
      <w:r w:rsidR="008268CC" w:rsidRPr="008268CC">
        <w:rPr>
          <w:rFonts w:ascii="Times New Roman" w:hAnsi="Times New Roman"/>
          <w:iCs/>
          <w:sz w:val="24"/>
          <w:szCs w:val="24"/>
          <w:lang w:val="en-US"/>
        </w:rPr>
        <w:t>hat in the event that the verdict is upheld, the penalty of dismissal was inappropriate and unwarranted in the circumstances.</w:t>
      </w:r>
    </w:p>
    <w:p w:rsidR="008268CC" w:rsidRDefault="008268CC" w:rsidP="00A012E5">
      <w:pPr>
        <w:spacing w:after="0" w:line="240" w:lineRule="auto"/>
        <w:jc w:val="both"/>
        <w:rPr>
          <w:rFonts w:ascii="Times New Roman" w:hAnsi="Times New Roman"/>
          <w:iCs/>
          <w:sz w:val="24"/>
          <w:szCs w:val="24"/>
          <w:lang w:val="en-US"/>
        </w:rPr>
      </w:pPr>
    </w:p>
    <w:p w:rsidR="00A012E5" w:rsidRDefault="00A012E5" w:rsidP="00E552F5">
      <w:pPr>
        <w:spacing w:after="0" w:line="240" w:lineRule="auto"/>
        <w:ind w:firstLine="1440"/>
        <w:jc w:val="both"/>
        <w:rPr>
          <w:rFonts w:ascii="Times New Roman" w:hAnsi="Times New Roman"/>
          <w:iCs/>
          <w:sz w:val="24"/>
          <w:szCs w:val="24"/>
          <w:lang w:val="en-US"/>
        </w:rPr>
      </w:pPr>
    </w:p>
    <w:p w:rsidR="00C510CA" w:rsidRDefault="008268CC" w:rsidP="008268CC">
      <w:pPr>
        <w:spacing w:after="0" w:line="480" w:lineRule="auto"/>
        <w:ind w:firstLine="1440"/>
        <w:jc w:val="both"/>
        <w:rPr>
          <w:rFonts w:ascii="Times New Roman" w:hAnsi="Times New Roman"/>
          <w:iCs/>
          <w:sz w:val="24"/>
          <w:szCs w:val="24"/>
          <w:lang w:val="en-US"/>
        </w:rPr>
      </w:pPr>
      <w:r>
        <w:rPr>
          <w:rFonts w:ascii="Times New Roman" w:hAnsi="Times New Roman"/>
          <w:iCs/>
          <w:sz w:val="24"/>
          <w:szCs w:val="24"/>
          <w:lang w:val="en-US"/>
        </w:rPr>
        <w:t xml:space="preserve">The court </w:t>
      </w:r>
      <w:r>
        <w:rPr>
          <w:rFonts w:ascii="Times New Roman" w:hAnsi="Times New Roman"/>
          <w:i/>
          <w:iCs/>
          <w:sz w:val="24"/>
          <w:szCs w:val="24"/>
          <w:lang w:val="en-US"/>
        </w:rPr>
        <w:t>a quo</w:t>
      </w:r>
      <w:r>
        <w:rPr>
          <w:rFonts w:ascii="Times New Roman" w:hAnsi="Times New Roman"/>
          <w:iCs/>
          <w:sz w:val="24"/>
          <w:szCs w:val="24"/>
          <w:lang w:val="en-US"/>
        </w:rPr>
        <w:t xml:space="preserve"> correctly observed from the outset (an observation not disputed by the appellant) that the appellant’s grounds of appeal constituted a complete departure from the grounds that formed the basis of his appeal to the respondent’s General Manager.</w:t>
      </w:r>
      <w:r w:rsidR="001F32FB">
        <w:rPr>
          <w:rFonts w:ascii="Times New Roman" w:hAnsi="Times New Roman"/>
          <w:iCs/>
          <w:sz w:val="24"/>
          <w:szCs w:val="24"/>
          <w:lang w:val="en-US"/>
        </w:rPr>
        <w:t xml:space="preserve"> If </w:t>
      </w:r>
      <w:r>
        <w:rPr>
          <w:rFonts w:ascii="Times New Roman" w:hAnsi="Times New Roman"/>
          <w:iCs/>
          <w:sz w:val="24"/>
          <w:szCs w:val="24"/>
          <w:lang w:val="en-US"/>
        </w:rPr>
        <w:t xml:space="preserve">the appellant’s appeal to the General Manager against </w:t>
      </w:r>
      <w:r w:rsidR="0020610C">
        <w:rPr>
          <w:rFonts w:ascii="Times New Roman" w:hAnsi="Times New Roman"/>
          <w:iCs/>
          <w:sz w:val="24"/>
          <w:szCs w:val="24"/>
          <w:lang w:val="en-US"/>
        </w:rPr>
        <w:t>w</w:t>
      </w:r>
      <w:r>
        <w:rPr>
          <w:rFonts w:ascii="Times New Roman" w:hAnsi="Times New Roman"/>
          <w:iCs/>
          <w:sz w:val="24"/>
          <w:szCs w:val="24"/>
          <w:lang w:val="en-US"/>
        </w:rPr>
        <w:t>hat was effectively a default judgment against him is to be regarded as a form of procedural transgression, it is evident that he compounded this conduct by advancing completely new grounds of appeal before the Labour Court.</w:t>
      </w:r>
      <w:r w:rsidR="0020610C">
        <w:rPr>
          <w:rFonts w:ascii="Times New Roman" w:hAnsi="Times New Roman"/>
          <w:iCs/>
          <w:sz w:val="24"/>
          <w:szCs w:val="24"/>
          <w:lang w:val="en-US"/>
        </w:rPr>
        <w:t xml:space="preserve"> </w:t>
      </w:r>
      <w:r w:rsidR="00FD3768">
        <w:rPr>
          <w:rFonts w:ascii="Times New Roman" w:hAnsi="Times New Roman"/>
          <w:iCs/>
          <w:sz w:val="24"/>
          <w:szCs w:val="24"/>
          <w:lang w:val="en-US"/>
        </w:rPr>
        <w:t xml:space="preserve">He therefore effectively enjoined that court to determine matters </w:t>
      </w:r>
      <w:r w:rsidR="00C510CA">
        <w:rPr>
          <w:rFonts w:ascii="Times New Roman" w:hAnsi="Times New Roman"/>
          <w:iCs/>
          <w:sz w:val="24"/>
          <w:szCs w:val="24"/>
          <w:lang w:val="en-US"/>
        </w:rPr>
        <w:t xml:space="preserve">which: </w:t>
      </w:r>
    </w:p>
    <w:p w:rsidR="00C510CA" w:rsidRPr="00C510CA" w:rsidRDefault="00C510CA" w:rsidP="00C510CA">
      <w:pPr>
        <w:pStyle w:val="ListParagraph"/>
        <w:numPr>
          <w:ilvl w:val="0"/>
          <w:numId w:val="10"/>
        </w:numPr>
        <w:spacing w:after="0" w:line="480" w:lineRule="auto"/>
        <w:jc w:val="both"/>
        <w:rPr>
          <w:rFonts w:ascii="Times New Roman" w:hAnsi="Times New Roman"/>
          <w:iCs/>
          <w:sz w:val="24"/>
          <w:szCs w:val="24"/>
          <w:lang w:val="en-US"/>
        </w:rPr>
      </w:pPr>
      <w:r w:rsidRPr="00C510CA">
        <w:rPr>
          <w:rFonts w:ascii="Times New Roman" w:hAnsi="Times New Roman"/>
          <w:iCs/>
          <w:sz w:val="24"/>
          <w:szCs w:val="24"/>
          <w:lang w:val="en-US"/>
        </w:rPr>
        <w:t xml:space="preserve">had not been </w:t>
      </w:r>
      <w:r w:rsidR="00FD3768" w:rsidRPr="00C510CA">
        <w:rPr>
          <w:rFonts w:ascii="Times New Roman" w:hAnsi="Times New Roman"/>
          <w:iCs/>
          <w:sz w:val="24"/>
          <w:szCs w:val="24"/>
          <w:lang w:val="en-US"/>
        </w:rPr>
        <w:t>placed before the General Manager</w:t>
      </w:r>
      <w:r>
        <w:rPr>
          <w:rFonts w:ascii="Times New Roman" w:hAnsi="Times New Roman"/>
          <w:iCs/>
          <w:sz w:val="24"/>
          <w:szCs w:val="24"/>
          <w:lang w:val="en-US"/>
        </w:rPr>
        <w:t>; and</w:t>
      </w:r>
      <w:r w:rsidRPr="00C510CA">
        <w:rPr>
          <w:rFonts w:ascii="Times New Roman" w:hAnsi="Times New Roman"/>
          <w:iCs/>
          <w:sz w:val="24"/>
          <w:szCs w:val="24"/>
          <w:lang w:val="en-US"/>
        </w:rPr>
        <w:t xml:space="preserve"> </w:t>
      </w:r>
    </w:p>
    <w:p w:rsidR="008268CC" w:rsidRPr="00C510CA" w:rsidRDefault="00FD3768" w:rsidP="00C510CA">
      <w:pPr>
        <w:pStyle w:val="ListParagraph"/>
        <w:numPr>
          <w:ilvl w:val="0"/>
          <w:numId w:val="10"/>
        </w:numPr>
        <w:spacing w:after="0" w:line="480" w:lineRule="auto"/>
        <w:jc w:val="both"/>
        <w:rPr>
          <w:rFonts w:ascii="Times New Roman" w:hAnsi="Times New Roman"/>
          <w:iCs/>
          <w:sz w:val="24"/>
          <w:szCs w:val="24"/>
          <w:lang w:val="en-US"/>
        </w:rPr>
      </w:pPr>
      <w:r w:rsidRPr="00C510CA">
        <w:rPr>
          <w:rFonts w:ascii="Times New Roman" w:hAnsi="Times New Roman"/>
          <w:iCs/>
          <w:sz w:val="24"/>
          <w:szCs w:val="24"/>
          <w:lang w:val="en-US"/>
        </w:rPr>
        <w:t>the respondent had not h</w:t>
      </w:r>
      <w:r w:rsidR="006E6AAC" w:rsidRPr="00C510CA">
        <w:rPr>
          <w:rFonts w:ascii="Times New Roman" w:hAnsi="Times New Roman"/>
          <w:iCs/>
          <w:sz w:val="24"/>
          <w:szCs w:val="24"/>
          <w:lang w:val="en-US"/>
        </w:rPr>
        <w:t>ad</w:t>
      </w:r>
      <w:r w:rsidRPr="00C510CA">
        <w:rPr>
          <w:rFonts w:ascii="Times New Roman" w:hAnsi="Times New Roman"/>
          <w:iCs/>
          <w:sz w:val="24"/>
          <w:szCs w:val="24"/>
          <w:lang w:val="en-US"/>
        </w:rPr>
        <w:t xml:space="preserve"> the opportunity to consider </w:t>
      </w:r>
      <w:r w:rsidR="006E6AAC" w:rsidRPr="00C510CA">
        <w:rPr>
          <w:rFonts w:ascii="Times New Roman" w:hAnsi="Times New Roman"/>
          <w:iCs/>
          <w:sz w:val="24"/>
          <w:szCs w:val="24"/>
          <w:lang w:val="en-US"/>
        </w:rPr>
        <w:t xml:space="preserve">or </w:t>
      </w:r>
      <w:r w:rsidRPr="00C510CA">
        <w:rPr>
          <w:rFonts w:ascii="Times New Roman" w:hAnsi="Times New Roman"/>
          <w:iCs/>
          <w:sz w:val="24"/>
          <w:szCs w:val="24"/>
          <w:lang w:val="en-US"/>
        </w:rPr>
        <w:t>make any pronouncement on.</w:t>
      </w:r>
    </w:p>
    <w:p w:rsidR="00FD3768" w:rsidRDefault="00FD3768" w:rsidP="00E552F5">
      <w:pPr>
        <w:spacing w:after="0" w:line="240" w:lineRule="auto"/>
        <w:ind w:firstLine="1440"/>
        <w:jc w:val="both"/>
        <w:rPr>
          <w:rFonts w:ascii="Times New Roman" w:hAnsi="Times New Roman"/>
          <w:iCs/>
          <w:sz w:val="24"/>
          <w:szCs w:val="24"/>
          <w:lang w:val="en-US"/>
        </w:rPr>
      </w:pPr>
    </w:p>
    <w:p w:rsidR="00FD3768" w:rsidRDefault="00FD3768" w:rsidP="008268CC">
      <w:pPr>
        <w:spacing w:after="0" w:line="480" w:lineRule="auto"/>
        <w:ind w:firstLine="1440"/>
        <w:jc w:val="both"/>
        <w:rPr>
          <w:rFonts w:ascii="Times New Roman" w:hAnsi="Times New Roman"/>
          <w:iCs/>
          <w:sz w:val="24"/>
          <w:szCs w:val="24"/>
          <w:lang w:val="en-US"/>
        </w:rPr>
      </w:pPr>
      <w:r>
        <w:rPr>
          <w:rFonts w:ascii="Times New Roman" w:hAnsi="Times New Roman"/>
          <w:iCs/>
          <w:sz w:val="24"/>
          <w:szCs w:val="24"/>
          <w:lang w:val="en-US"/>
        </w:rPr>
        <w:t xml:space="preserve">The appellant defended this conduct on the premise that the new grounds constituted points of law, which can be raised at any stage in the proceedings before the courts.  The court </w:t>
      </w:r>
      <w:r>
        <w:rPr>
          <w:rFonts w:ascii="Times New Roman" w:hAnsi="Times New Roman"/>
          <w:i/>
          <w:iCs/>
          <w:sz w:val="24"/>
          <w:szCs w:val="24"/>
          <w:lang w:val="en-US"/>
        </w:rPr>
        <w:t>a quo</w:t>
      </w:r>
      <w:r>
        <w:rPr>
          <w:rFonts w:ascii="Times New Roman" w:hAnsi="Times New Roman"/>
          <w:iCs/>
          <w:sz w:val="24"/>
          <w:szCs w:val="24"/>
          <w:lang w:val="en-US"/>
        </w:rPr>
        <w:t xml:space="preserve"> commented on the respondent’s response to this submission as follows:</w:t>
      </w:r>
    </w:p>
    <w:p w:rsidR="00FD3768" w:rsidRDefault="00FD3768" w:rsidP="00C0538A">
      <w:pPr>
        <w:spacing w:after="0" w:line="240" w:lineRule="auto"/>
        <w:ind w:left="720"/>
        <w:jc w:val="both"/>
        <w:rPr>
          <w:rFonts w:ascii="Times New Roman" w:hAnsi="Times New Roman"/>
          <w:iCs/>
          <w:sz w:val="24"/>
          <w:szCs w:val="24"/>
          <w:lang w:val="en-US"/>
        </w:rPr>
      </w:pPr>
      <w:r>
        <w:rPr>
          <w:rFonts w:ascii="Times New Roman" w:hAnsi="Times New Roman"/>
          <w:iCs/>
          <w:sz w:val="24"/>
          <w:szCs w:val="24"/>
          <w:lang w:val="en-US"/>
        </w:rPr>
        <w:t xml:space="preserve">“It was argued strongly by </w:t>
      </w:r>
      <w:r w:rsidRPr="00E552F5">
        <w:rPr>
          <w:rFonts w:ascii="Times New Roman" w:hAnsi="Times New Roman"/>
          <w:iCs/>
          <w:sz w:val="24"/>
          <w:szCs w:val="24"/>
          <w:lang w:val="en-US"/>
        </w:rPr>
        <w:t>Mr</w:t>
      </w:r>
      <w:r w:rsidRPr="0020610C">
        <w:rPr>
          <w:rFonts w:ascii="Times New Roman" w:hAnsi="Times New Roman"/>
          <w:i/>
          <w:iCs/>
          <w:sz w:val="24"/>
          <w:szCs w:val="24"/>
          <w:lang w:val="en-US"/>
        </w:rPr>
        <w:t xml:space="preserve"> Chikwaya</w:t>
      </w:r>
      <w:r>
        <w:rPr>
          <w:rFonts w:ascii="Times New Roman" w:hAnsi="Times New Roman"/>
          <w:iCs/>
          <w:sz w:val="24"/>
          <w:szCs w:val="24"/>
          <w:lang w:val="en-US"/>
        </w:rPr>
        <w:t xml:space="preserve"> for the respondent that the court should disregard these “new” grounds as not to do so would seriously prejudice the respondent in particular and employers in general in that employees would bring </w:t>
      </w:r>
      <w:r w:rsidR="0020610C">
        <w:rPr>
          <w:rFonts w:ascii="Times New Roman" w:hAnsi="Times New Roman"/>
          <w:iCs/>
          <w:sz w:val="24"/>
          <w:szCs w:val="24"/>
          <w:lang w:val="en-US"/>
        </w:rPr>
        <w:t xml:space="preserve">flimsy </w:t>
      </w:r>
      <w:r>
        <w:rPr>
          <w:rFonts w:ascii="Times New Roman" w:hAnsi="Times New Roman"/>
          <w:iCs/>
          <w:sz w:val="24"/>
          <w:szCs w:val="24"/>
          <w:lang w:val="en-US"/>
        </w:rPr>
        <w:t>grounds before internal hearings and then bring ‘real’ grounds and evidence before an appellate court.”</w:t>
      </w:r>
    </w:p>
    <w:p w:rsidR="00FD3768" w:rsidRDefault="00FD3768" w:rsidP="00FD3768">
      <w:pPr>
        <w:spacing w:after="0" w:line="480" w:lineRule="auto"/>
        <w:ind w:left="720"/>
        <w:jc w:val="both"/>
        <w:rPr>
          <w:rFonts w:ascii="Times New Roman" w:hAnsi="Times New Roman"/>
          <w:iCs/>
          <w:sz w:val="24"/>
          <w:szCs w:val="24"/>
          <w:lang w:val="en-US"/>
        </w:rPr>
      </w:pPr>
    </w:p>
    <w:p w:rsidR="00FD3768" w:rsidRDefault="00FD3768" w:rsidP="00FD3768">
      <w:pPr>
        <w:spacing w:after="0" w:line="480" w:lineRule="auto"/>
        <w:ind w:firstLine="720"/>
        <w:jc w:val="both"/>
        <w:rPr>
          <w:rFonts w:ascii="Times New Roman" w:hAnsi="Times New Roman"/>
          <w:iCs/>
          <w:sz w:val="24"/>
          <w:szCs w:val="24"/>
          <w:lang w:val="en-US"/>
        </w:rPr>
      </w:pPr>
      <w:r>
        <w:rPr>
          <w:rFonts w:ascii="Times New Roman" w:hAnsi="Times New Roman"/>
          <w:iCs/>
          <w:sz w:val="24"/>
          <w:szCs w:val="24"/>
          <w:lang w:val="en-US"/>
        </w:rPr>
        <w:tab/>
        <w:t xml:space="preserve">The court </w:t>
      </w:r>
      <w:r>
        <w:rPr>
          <w:rFonts w:ascii="Times New Roman" w:hAnsi="Times New Roman"/>
          <w:i/>
          <w:iCs/>
          <w:sz w:val="24"/>
          <w:szCs w:val="24"/>
          <w:lang w:val="en-US"/>
        </w:rPr>
        <w:t>a quo</w:t>
      </w:r>
      <w:r>
        <w:rPr>
          <w:rFonts w:ascii="Times New Roman" w:hAnsi="Times New Roman"/>
          <w:iCs/>
          <w:sz w:val="24"/>
          <w:szCs w:val="24"/>
          <w:lang w:val="en-US"/>
        </w:rPr>
        <w:t xml:space="preserve"> and this Court, have been directed to the case of </w:t>
      </w:r>
      <w:r>
        <w:rPr>
          <w:rFonts w:ascii="Times New Roman" w:hAnsi="Times New Roman"/>
          <w:i/>
          <w:iCs/>
          <w:sz w:val="24"/>
          <w:szCs w:val="24"/>
          <w:lang w:val="en-US"/>
        </w:rPr>
        <w:t>Dandazi v Wankie Colliery Co. Ltd</w:t>
      </w:r>
      <w:r>
        <w:rPr>
          <w:rFonts w:ascii="Times New Roman" w:hAnsi="Times New Roman"/>
          <w:iCs/>
          <w:sz w:val="24"/>
          <w:szCs w:val="24"/>
          <w:lang w:val="en-US"/>
        </w:rPr>
        <w:t xml:space="preserve"> 2001 (2) ZLR 298 H which set out the following principle, which I find to be on all </w:t>
      </w:r>
      <w:r w:rsidR="0020610C">
        <w:rPr>
          <w:rFonts w:ascii="Times New Roman" w:hAnsi="Times New Roman"/>
          <w:iCs/>
          <w:sz w:val="24"/>
          <w:szCs w:val="24"/>
          <w:lang w:val="en-US"/>
        </w:rPr>
        <w:t xml:space="preserve">fours </w:t>
      </w:r>
      <w:r>
        <w:rPr>
          <w:rFonts w:ascii="Times New Roman" w:hAnsi="Times New Roman"/>
          <w:iCs/>
          <w:sz w:val="24"/>
          <w:szCs w:val="24"/>
          <w:lang w:val="en-US"/>
        </w:rPr>
        <w:t>with the circumstances of this case</w:t>
      </w:r>
      <w:r w:rsidR="0020610C">
        <w:rPr>
          <w:rFonts w:ascii="Times New Roman" w:hAnsi="Times New Roman"/>
          <w:iCs/>
          <w:sz w:val="24"/>
          <w:szCs w:val="24"/>
          <w:lang w:val="en-US"/>
        </w:rPr>
        <w:t>:</w:t>
      </w:r>
    </w:p>
    <w:p w:rsidR="00FD3768" w:rsidRDefault="00FD3768" w:rsidP="00F62E37">
      <w:pPr>
        <w:spacing w:after="0" w:line="240" w:lineRule="auto"/>
        <w:ind w:left="720"/>
        <w:jc w:val="both"/>
        <w:rPr>
          <w:rFonts w:ascii="Times New Roman" w:hAnsi="Times New Roman"/>
          <w:iCs/>
          <w:sz w:val="24"/>
          <w:szCs w:val="24"/>
          <w:lang w:val="en-US"/>
        </w:rPr>
      </w:pPr>
      <w:r>
        <w:rPr>
          <w:rFonts w:ascii="Times New Roman" w:hAnsi="Times New Roman"/>
          <w:iCs/>
          <w:sz w:val="24"/>
          <w:szCs w:val="24"/>
          <w:lang w:val="en-US"/>
        </w:rPr>
        <w:t xml:space="preserve">“If therefore, the applicant was content to appeal against the decision of the lower body on three grounds only, he </w:t>
      </w:r>
      <w:r>
        <w:rPr>
          <w:rFonts w:ascii="Times New Roman" w:hAnsi="Times New Roman"/>
          <w:b/>
          <w:iCs/>
          <w:sz w:val="24"/>
          <w:szCs w:val="24"/>
          <w:u w:val="single"/>
          <w:lang w:val="en-US"/>
        </w:rPr>
        <w:t>cannot, in my view, bring on review other grounds which he did not appeal against to the internal appellate body</w:t>
      </w:r>
      <w:r>
        <w:rPr>
          <w:rFonts w:ascii="Times New Roman" w:hAnsi="Times New Roman"/>
          <w:iCs/>
          <w:sz w:val="24"/>
          <w:szCs w:val="24"/>
          <w:lang w:val="en-US"/>
        </w:rPr>
        <w:t>.</w:t>
      </w:r>
      <w:r>
        <w:rPr>
          <w:rFonts w:ascii="Times New Roman" w:hAnsi="Times New Roman"/>
          <w:iCs/>
          <w:sz w:val="24"/>
          <w:szCs w:val="24"/>
          <w:lang w:val="en-US"/>
        </w:rPr>
        <w:tab/>
        <w:t xml:space="preserve">  Even if he was entitled to do so, he would not in any case succeed, because he did not make an issue of them at the hearing …</w:t>
      </w:r>
    </w:p>
    <w:p w:rsidR="00FD3768" w:rsidRDefault="00FD3768" w:rsidP="00F62E37">
      <w:pPr>
        <w:spacing w:after="0" w:line="240" w:lineRule="auto"/>
        <w:ind w:left="720"/>
        <w:jc w:val="both"/>
        <w:rPr>
          <w:rFonts w:ascii="Times New Roman" w:hAnsi="Times New Roman"/>
          <w:iCs/>
          <w:sz w:val="24"/>
          <w:szCs w:val="24"/>
          <w:lang w:val="en-US"/>
        </w:rPr>
      </w:pPr>
      <w:r>
        <w:rPr>
          <w:rFonts w:ascii="Times New Roman" w:hAnsi="Times New Roman"/>
          <w:iCs/>
          <w:sz w:val="24"/>
          <w:szCs w:val="24"/>
          <w:lang w:val="en-US"/>
        </w:rPr>
        <w:t>The applicant’s failure to raise the other grounds must therefore be construed as waiver of those grounds … and it is inappropriate for such person to place before the reviewing court grounds which he did not challenge on appeal to the internal appeal panel.  The result is that I will examine only the three grounds on which the applicant appealed to the disciplinary appeal panel of the respondent and not those grounds which are raised for the first time in his founding affidavit.  It is appropriate, in my judgment, to take this approach because, where a person has exhausted the domestic remedies available to him, which is what he generally must do then on bringing the entire proceedings on review he must stick to the case which he placed before the domestic appellate body.”</w:t>
      </w:r>
    </w:p>
    <w:p w:rsidR="00FD3768" w:rsidRDefault="00FD3768" w:rsidP="00FD3768">
      <w:pPr>
        <w:spacing w:after="0" w:line="480" w:lineRule="auto"/>
        <w:ind w:left="720"/>
        <w:jc w:val="both"/>
        <w:rPr>
          <w:rFonts w:ascii="Times New Roman" w:hAnsi="Times New Roman"/>
          <w:iCs/>
          <w:sz w:val="24"/>
          <w:szCs w:val="24"/>
          <w:lang w:val="en-US"/>
        </w:rPr>
      </w:pPr>
      <w:r>
        <w:rPr>
          <w:rFonts w:ascii="Times New Roman" w:hAnsi="Times New Roman"/>
          <w:iCs/>
          <w:sz w:val="24"/>
          <w:szCs w:val="24"/>
          <w:lang w:val="en-US"/>
        </w:rPr>
        <w:tab/>
      </w:r>
    </w:p>
    <w:p w:rsidR="00C0538A" w:rsidRDefault="00C0538A" w:rsidP="00C0538A">
      <w:pPr>
        <w:spacing w:after="0" w:line="240" w:lineRule="auto"/>
        <w:ind w:left="720"/>
        <w:jc w:val="both"/>
        <w:rPr>
          <w:rFonts w:ascii="Times New Roman" w:hAnsi="Times New Roman"/>
          <w:iCs/>
          <w:sz w:val="24"/>
          <w:szCs w:val="24"/>
          <w:lang w:val="en-US"/>
        </w:rPr>
      </w:pPr>
    </w:p>
    <w:p w:rsidR="00FD3768" w:rsidRDefault="00FD3768" w:rsidP="00FD3768">
      <w:pPr>
        <w:spacing w:after="0" w:line="480" w:lineRule="auto"/>
        <w:jc w:val="both"/>
        <w:rPr>
          <w:rFonts w:ascii="Times New Roman" w:hAnsi="Times New Roman"/>
          <w:iCs/>
          <w:sz w:val="24"/>
          <w:szCs w:val="24"/>
          <w:lang w:val="en-US"/>
        </w:rPr>
      </w:pPr>
      <w:r>
        <w:rPr>
          <w:rFonts w:ascii="Times New Roman" w:hAnsi="Times New Roman"/>
          <w:iCs/>
          <w:sz w:val="24"/>
          <w:szCs w:val="24"/>
          <w:lang w:val="en-US"/>
        </w:rPr>
        <w:tab/>
      </w:r>
      <w:r>
        <w:rPr>
          <w:rFonts w:ascii="Times New Roman" w:hAnsi="Times New Roman"/>
          <w:iCs/>
          <w:sz w:val="24"/>
          <w:szCs w:val="24"/>
          <w:lang w:val="en-US"/>
        </w:rPr>
        <w:tab/>
        <w:t xml:space="preserve">The appellant in his heads of argument agrees with the principle set out in </w:t>
      </w:r>
      <w:r w:rsidRPr="0020610C">
        <w:rPr>
          <w:rFonts w:ascii="Times New Roman" w:hAnsi="Times New Roman"/>
          <w:i/>
          <w:iCs/>
          <w:sz w:val="24"/>
          <w:szCs w:val="24"/>
          <w:lang w:val="en-US"/>
        </w:rPr>
        <w:t>Dandazi</w:t>
      </w:r>
      <w:r>
        <w:rPr>
          <w:rFonts w:ascii="Times New Roman" w:hAnsi="Times New Roman"/>
          <w:iCs/>
          <w:sz w:val="24"/>
          <w:szCs w:val="24"/>
          <w:lang w:val="en-US"/>
        </w:rPr>
        <w:t xml:space="preserve">’s case and cites other authorities that support such a principle.  He aptly cites the following </w:t>
      </w:r>
      <w:r w:rsidRPr="0020610C">
        <w:rPr>
          <w:rFonts w:ascii="Times New Roman" w:hAnsi="Times New Roman"/>
          <w:i/>
          <w:iCs/>
          <w:sz w:val="24"/>
          <w:szCs w:val="24"/>
          <w:lang w:val="en-US"/>
        </w:rPr>
        <w:t>dictum</w:t>
      </w:r>
      <w:r>
        <w:rPr>
          <w:rFonts w:ascii="Times New Roman" w:hAnsi="Times New Roman"/>
          <w:iCs/>
          <w:sz w:val="24"/>
          <w:szCs w:val="24"/>
          <w:lang w:val="en-US"/>
        </w:rPr>
        <w:t xml:space="preserve"> from the case of </w:t>
      </w:r>
      <w:r>
        <w:rPr>
          <w:rFonts w:ascii="Times New Roman" w:hAnsi="Times New Roman"/>
          <w:i/>
          <w:iCs/>
          <w:sz w:val="24"/>
          <w:szCs w:val="24"/>
          <w:lang w:val="en-US"/>
        </w:rPr>
        <w:t>Donnelly v Barclays National Bank Ltd</w:t>
      </w:r>
      <w:r>
        <w:rPr>
          <w:rFonts w:ascii="Times New Roman" w:hAnsi="Times New Roman"/>
          <w:iCs/>
          <w:sz w:val="24"/>
          <w:szCs w:val="24"/>
          <w:lang w:val="en-US"/>
        </w:rPr>
        <w:t xml:space="preserve"> 1990 (1) SA 375 W at 380;</w:t>
      </w:r>
    </w:p>
    <w:p w:rsidR="00F62E37" w:rsidRDefault="00F62E37" w:rsidP="00C0538A">
      <w:pPr>
        <w:spacing w:after="0" w:line="240" w:lineRule="auto"/>
        <w:ind w:left="720"/>
        <w:jc w:val="both"/>
        <w:rPr>
          <w:rFonts w:ascii="Times New Roman" w:hAnsi="Times New Roman"/>
          <w:i/>
          <w:iCs/>
          <w:sz w:val="24"/>
          <w:szCs w:val="24"/>
          <w:lang w:val="en-US"/>
        </w:rPr>
      </w:pPr>
      <w:r>
        <w:rPr>
          <w:rFonts w:ascii="Times New Roman" w:hAnsi="Times New Roman"/>
          <w:iCs/>
          <w:sz w:val="24"/>
          <w:szCs w:val="24"/>
          <w:lang w:val="en-US"/>
        </w:rPr>
        <w:t xml:space="preserve">“Secondly it is clearly a wholly new line of defence now being taken.  It was not mentioned in the summary judgment proceedings not in the plea, it was never referred to in evidence or argument at trial.  </w:t>
      </w:r>
      <w:r w:rsidRPr="0020610C">
        <w:rPr>
          <w:rFonts w:ascii="Times New Roman" w:hAnsi="Times New Roman"/>
          <w:iCs/>
          <w:sz w:val="24"/>
          <w:szCs w:val="24"/>
          <w:u w:val="single"/>
          <w:lang w:val="en-US"/>
        </w:rPr>
        <w:t>Its mere</w:t>
      </w:r>
      <w:r w:rsidR="0020610C" w:rsidRPr="0020610C">
        <w:rPr>
          <w:rFonts w:ascii="Times New Roman" w:hAnsi="Times New Roman"/>
          <w:iCs/>
          <w:sz w:val="24"/>
          <w:szCs w:val="24"/>
          <w:u w:val="single"/>
          <w:lang w:val="en-US"/>
        </w:rPr>
        <w:t xml:space="preserve"> novelty</w:t>
      </w:r>
      <w:r w:rsidRPr="0020610C">
        <w:rPr>
          <w:rFonts w:ascii="Times New Roman" w:hAnsi="Times New Roman"/>
          <w:iCs/>
          <w:sz w:val="24"/>
          <w:szCs w:val="24"/>
          <w:u w:val="single"/>
          <w:lang w:val="en-US"/>
        </w:rPr>
        <w:t xml:space="preserve">, of course is no ground </w:t>
      </w:r>
      <w:r w:rsidRPr="0020610C">
        <w:rPr>
          <w:rFonts w:ascii="Times New Roman" w:hAnsi="Times New Roman"/>
          <w:i/>
          <w:iCs/>
          <w:sz w:val="24"/>
          <w:szCs w:val="24"/>
          <w:u w:val="single"/>
          <w:lang w:val="en-US"/>
        </w:rPr>
        <w:t>per se</w:t>
      </w:r>
      <w:r w:rsidRPr="0020610C">
        <w:rPr>
          <w:rFonts w:ascii="Times New Roman" w:hAnsi="Times New Roman"/>
          <w:iCs/>
          <w:sz w:val="24"/>
          <w:szCs w:val="24"/>
          <w:u w:val="single"/>
          <w:lang w:val="en-US"/>
        </w:rPr>
        <w:t xml:space="preserve"> for rejecting it.</w:t>
      </w:r>
      <w:r>
        <w:rPr>
          <w:rFonts w:ascii="Times New Roman" w:hAnsi="Times New Roman"/>
          <w:iCs/>
          <w:sz w:val="24"/>
          <w:szCs w:val="24"/>
          <w:lang w:val="en-US"/>
        </w:rPr>
        <w:t xml:space="preserve">  However, generally speaking, a court of appeal will not entertain a point not raised in the court below and especially not one raised on the pleadings in the court below.”</w:t>
      </w:r>
      <w:r w:rsidR="0020610C">
        <w:rPr>
          <w:rFonts w:ascii="Times New Roman" w:hAnsi="Times New Roman"/>
          <w:iCs/>
          <w:sz w:val="24"/>
          <w:szCs w:val="24"/>
          <w:lang w:val="en-US"/>
        </w:rPr>
        <w:t xml:space="preserve"> (</w:t>
      </w:r>
      <w:r w:rsidR="0020610C" w:rsidRPr="0020610C">
        <w:rPr>
          <w:rFonts w:ascii="Times New Roman" w:hAnsi="Times New Roman"/>
          <w:i/>
          <w:iCs/>
          <w:sz w:val="24"/>
          <w:szCs w:val="24"/>
          <w:lang w:val="en-US"/>
        </w:rPr>
        <w:t>my emphasis)</w:t>
      </w:r>
    </w:p>
    <w:p w:rsidR="004C2ADF" w:rsidRDefault="004C2ADF" w:rsidP="00C0538A">
      <w:pPr>
        <w:spacing w:after="0" w:line="240" w:lineRule="auto"/>
        <w:ind w:left="720"/>
        <w:jc w:val="both"/>
        <w:rPr>
          <w:rFonts w:ascii="Times New Roman" w:hAnsi="Times New Roman"/>
          <w:i/>
          <w:iCs/>
          <w:sz w:val="24"/>
          <w:szCs w:val="24"/>
          <w:lang w:val="en-US"/>
        </w:rPr>
      </w:pPr>
    </w:p>
    <w:p w:rsidR="00F62E37" w:rsidRDefault="00F62E37" w:rsidP="00FD3768">
      <w:pPr>
        <w:spacing w:after="0" w:line="480" w:lineRule="auto"/>
        <w:jc w:val="both"/>
        <w:rPr>
          <w:rFonts w:ascii="Times New Roman" w:hAnsi="Times New Roman"/>
          <w:iCs/>
          <w:sz w:val="24"/>
          <w:szCs w:val="24"/>
          <w:lang w:val="en-US"/>
        </w:rPr>
      </w:pPr>
      <w:r>
        <w:rPr>
          <w:rFonts w:ascii="Times New Roman" w:hAnsi="Times New Roman"/>
          <w:iCs/>
          <w:sz w:val="24"/>
          <w:szCs w:val="24"/>
          <w:lang w:val="en-US"/>
        </w:rPr>
        <w:tab/>
      </w:r>
      <w:r>
        <w:rPr>
          <w:rFonts w:ascii="Times New Roman" w:hAnsi="Times New Roman"/>
          <w:iCs/>
          <w:sz w:val="24"/>
          <w:szCs w:val="24"/>
          <w:lang w:val="en-US"/>
        </w:rPr>
        <w:tab/>
        <w:t xml:space="preserve">Mr </w:t>
      </w:r>
      <w:r>
        <w:rPr>
          <w:rFonts w:ascii="Times New Roman" w:hAnsi="Times New Roman"/>
          <w:i/>
          <w:iCs/>
          <w:sz w:val="24"/>
          <w:szCs w:val="24"/>
          <w:lang w:val="en-US"/>
        </w:rPr>
        <w:t>Magwaliba</w:t>
      </w:r>
      <w:r>
        <w:rPr>
          <w:rFonts w:ascii="Times New Roman" w:hAnsi="Times New Roman"/>
          <w:iCs/>
          <w:sz w:val="24"/>
          <w:szCs w:val="24"/>
          <w:lang w:val="en-US"/>
        </w:rPr>
        <w:t xml:space="preserve"> for the appellant seems to have latched onto the apparent life line thrown to the appellant by this and other similar </w:t>
      </w:r>
      <w:r w:rsidRPr="00F62E37">
        <w:rPr>
          <w:rFonts w:ascii="Times New Roman" w:hAnsi="Times New Roman"/>
          <w:i/>
          <w:iCs/>
          <w:sz w:val="24"/>
          <w:szCs w:val="24"/>
          <w:lang w:val="en-US"/>
        </w:rPr>
        <w:t>dicta</w:t>
      </w:r>
      <w:r>
        <w:rPr>
          <w:rStyle w:val="FootnoteReference"/>
          <w:rFonts w:ascii="Times New Roman" w:hAnsi="Times New Roman"/>
          <w:i/>
          <w:iCs/>
          <w:sz w:val="24"/>
          <w:szCs w:val="24"/>
          <w:lang w:val="en-US"/>
        </w:rPr>
        <w:footnoteReference w:id="1"/>
      </w:r>
      <w:r>
        <w:rPr>
          <w:rFonts w:ascii="Times New Roman" w:hAnsi="Times New Roman"/>
          <w:iCs/>
          <w:sz w:val="24"/>
          <w:szCs w:val="24"/>
          <w:lang w:val="en-US"/>
        </w:rPr>
        <w:t xml:space="preserve"> to </w:t>
      </w:r>
      <w:r w:rsidR="00DC7DF3">
        <w:rPr>
          <w:rFonts w:ascii="Times New Roman" w:hAnsi="Times New Roman"/>
          <w:iCs/>
          <w:sz w:val="24"/>
          <w:szCs w:val="24"/>
          <w:lang w:val="en-US"/>
        </w:rPr>
        <w:t>advance the</w:t>
      </w:r>
      <w:r>
        <w:rPr>
          <w:rFonts w:ascii="Times New Roman" w:hAnsi="Times New Roman"/>
          <w:iCs/>
          <w:sz w:val="24"/>
          <w:szCs w:val="24"/>
          <w:lang w:val="en-US"/>
        </w:rPr>
        <w:t xml:space="preserve"> follow</w:t>
      </w:r>
      <w:r w:rsidR="00DC7DF3">
        <w:rPr>
          <w:rFonts w:ascii="Times New Roman" w:hAnsi="Times New Roman"/>
          <w:iCs/>
          <w:sz w:val="24"/>
          <w:szCs w:val="24"/>
          <w:lang w:val="en-US"/>
        </w:rPr>
        <w:t>ing arguments</w:t>
      </w:r>
      <w:r>
        <w:rPr>
          <w:rFonts w:ascii="Times New Roman" w:hAnsi="Times New Roman"/>
          <w:iCs/>
          <w:sz w:val="24"/>
          <w:szCs w:val="24"/>
          <w:lang w:val="en-US"/>
        </w:rPr>
        <w:t xml:space="preserve"> in the appellant’s head</w:t>
      </w:r>
      <w:r w:rsidR="00DC7DF3">
        <w:rPr>
          <w:rFonts w:ascii="Times New Roman" w:hAnsi="Times New Roman"/>
          <w:iCs/>
          <w:sz w:val="24"/>
          <w:szCs w:val="24"/>
          <w:lang w:val="en-US"/>
        </w:rPr>
        <w:t>s</w:t>
      </w:r>
      <w:r>
        <w:rPr>
          <w:rFonts w:ascii="Times New Roman" w:hAnsi="Times New Roman"/>
          <w:iCs/>
          <w:sz w:val="24"/>
          <w:szCs w:val="24"/>
          <w:lang w:val="en-US"/>
        </w:rPr>
        <w:t xml:space="preserve"> of argument;</w:t>
      </w:r>
    </w:p>
    <w:p w:rsidR="00F62E37" w:rsidRPr="00DC7DF3" w:rsidRDefault="00F62E37" w:rsidP="00DC7DF3">
      <w:pPr>
        <w:pStyle w:val="ListParagraph"/>
        <w:numPr>
          <w:ilvl w:val="0"/>
          <w:numId w:val="8"/>
        </w:numPr>
        <w:spacing w:after="0" w:line="240" w:lineRule="auto"/>
        <w:jc w:val="both"/>
        <w:rPr>
          <w:rFonts w:ascii="Times New Roman" w:hAnsi="Times New Roman"/>
          <w:iCs/>
          <w:sz w:val="24"/>
          <w:szCs w:val="24"/>
          <w:lang w:val="en-US"/>
        </w:rPr>
      </w:pPr>
      <w:r w:rsidRPr="00DC7DF3">
        <w:rPr>
          <w:rFonts w:ascii="Times New Roman" w:hAnsi="Times New Roman"/>
          <w:iCs/>
          <w:sz w:val="24"/>
          <w:szCs w:val="24"/>
          <w:lang w:val="en-US"/>
        </w:rPr>
        <w:t>that while this principle is correct in relation to ordinary civil proceedings in the High Court and Supreme Court, it is not compatible with the statutory provisions regulating the exercise of power by the Labour Court, to the effect that the latter court should not take as strict a view of its jurisdiction.</w:t>
      </w:r>
    </w:p>
    <w:p w:rsidR="00DC7DF3" w:rsidRPr="00DC7DF3" w:rsidRDefault="00DC7DF3" w:rsidP="00DC7DF3">
      <w:pPr>
        <w:pStyle w:val="ListParagraph"/>
        <w:spacing w:after="0" w:line="240" w:lineRule="auto"/>
        <w:ind w:left="1500"/>
        <w:jc w:val="both"/>
        <w:rPr>
          <w:rFonts w:ascii="Times New Roman" w:hAnsi="Times New Roman"/>
          <w:iCs/>
          <w:sz w:val="24"/>
          <w:szCs w:val="24"/>
          <w:lang w:val="en-US"/>
        </w:rPr>
      </w:pPr>
    </w:p>
    <w:p w:rsidR="00F62E37" w:rsidRDefault="00F62E37" w:rsidP="00DC7DF3">
      <w:pPr>
        <w:pStyle w:val="ListParagraph"/>
        <w:numPr>
          <w:ilvl w:val="0"/>
          <w:numId w:val="8"/>
        </w:numPr>
        <w:spacing w:after="0" w:line="240" w:lineRule="auto"/>
        <w:jc w:val="both"/>
        <w:rPr>
          <w:rFonts w:ascii="Times New Roman" w:hAnsi="Times New Roman"/>
          <w:iCs/>
          <w:sz w:val="24"/>
          <w:szCs w:val="24"/>
          <w:lang w:val="en-US"/>
        </w:rPr>
      </w:pPr>
      <w:r w:rsidRPr="00DC7DF3">
        <w:rPr>
          <w:rFonts w:ascii="Times New Roman" w:hAnsi="Times New Roman"/>
          <w:iCs/>
          <w:sz w:val="24"/>
          <w:szCs w:val="24"/>
          <w:lang w:val="en-US"/>
        </w:rPr>
        <w:t xml:space="preserve">that the </w:t>
      </w:r>
      <w:r w:rsidRPr="00DC7DF3">
        <w:rPr>
          <w:rFonts w:ascii="Times New Roman" w:hAnsi="Times New Roman"/>
          <w:i/>
          <w:iCs/>
          <w:sz w:val="24"/>
          <w:szCs w:val="24"/>
          <w:lang w:val="en-US"/>
        </w:rPr>
        <w:t>Dandazi</w:t>
      </w:r>
      <w:r w:rsidRPr="00DC7DF3">
        <w:rPr>
          <w:rFonts w:ascii="Times New Roman" w:hAnsi="Times New Roman"/>
          <w:iCs/>
          <w:sz w:val="24"/>
          <w:szCs w:val="24"/>
          <w:lang w:val="en-US"/>
        </w:rPr>
        <w:t xml:space="preserve"> judgment (</w:t>
      </w:r>
      <w:r w:rsidRPr="00DC7DF3">
        <w:rPr>
          <w:rFonts w:ascii="Times New Roman" w:hAnsi="Times New Roman"/>
          <w:i/>
          <w:iCs/>
          <w:sz w:val="24"/>
          <w:szCs w:val="24"/>
          <w:lang w:val="en-US"/>
        </w:rPr>
        <w:t>supra</w:t>
      </w:r>
      <w:r w:rsidRPr="00DC7DF3">
        <w:rPr>
          <w:rFonts w:ascii="Times New Roman" w:hAnsi="Times New Roman"/>
          <w:iCs/>
          <w:sz w:val="24"/>
          <w:szCs w:val="24"/>
          <w:lang w:val="en-US"/>
        </w:rPr>
        <w:t>) was based on specific facts of that matter and therefore did not set a general rule that no new matters could be raised which were not raised before the internal tribunal and that;</w:t>
      </w:r>
      <w:r w:rsidR="00DC7DF3">
        <w:rPr>
          <w:rFonts w:ascii="Times New Roman" w:hAnsi="Times New Roman"/>
          <w:iCs/>
          <w:sz w:val="24"/>
          <w:szCs w:val="24"/>
          <w:lang w:val="en-US"/>
        </w:rPr>
        <w:t xml:space="preserve"> and</w:t>
      </w:r>
    </w:p>
    <w:p w:rsidR="00DC7DF3" w:rsidRPr="00DC7DF3" w:rsidRDefault="00DC7DF3" w:rsidP="00DC7DF3">
      <w:pPr>
        <w:spacing w:after="0" w:line="240" w:lineRule="auto"/>
        <w:jc w:val="both"/>
        <w:rPr>
          <w:rFonts w:ascii="Times New Roman" w:hAnsi="Times New Roman"/>
          <w:iCs/>
          <w:sz w:val="24"/>
          <w:szCs w:val="24"/>
          <w:lang w:val="en-US"/>
        </w:rPr>
      </w:pPr>
    </w:p>
    <w:p w:rsidR="005C23A4" w:rsidRDefault="005C23A4" w:rsidP="005C23A4">
      <w:pPr>
        <w:spacing w:after="0" w:line="240" w:lineRule="auto"/>
        <w:ind w:left="1440" w:hanging="720"/>
        <w:jc w:val="both"/>
        <w:rPr>
          <w:rFonts w:ascii="Times New Roman" w:hAnsi="Times New Roman"/>
          <w:iCs/>
          <w:sz w:val="24"/>
          <w:szCs w:val="24"/>
          <w:lang w:val="en-US"/>
        </w:rPr>
      </w:pPr>
      <w:r>
        <w:rPr>
          <w:rFonts w:ascii="Times New Roman" w:hAnsi="Times New Roman"/>
          <w:iCs/>
          <w:sz w:val="24"/>
          <w:szCs w:val="24"/>
          <w:lang w:val="en-US"/>
        </w:rPr>
        <w:t>(iii)</w:t>
      </w:r>
      <w:r>
        <w:rPr>
          <w:rFonts w:ascii="Times New Roman" w:hAnsi="Times New Roman"/>
          <w:iCs/>
          <w:sz w:val="24"/>
          <w:szCs w:val="24"/>
          <w:lang w:val="en-US"/>
        </w:rPr>
        <w:tab/>
        <w:t xml:space="preserve">that in </w:t>
      </w:r>
      <w:r>
        <w:rPr>
          <w:rFonts w:ascii="Times New Roman" w:hAnsi="Times New Roman"/>
          <w:i/>
          <w:iCs/>
          <w:sz w:val="24"/>
          <w:szCs w:val="24"/>
          <w:lang w:val="en-US"/>
        </w:rPr>
        <w:t>casu</w:t>
      </w:r>
      <w:r>
        <w:rPr>
          <w:rFonts w:ascii="Times New Roman" w:hAnsi="Times New Roman"/>
          <w:iCs/>
          <w:sz w:val="24"/>
          <w:szCs w:val="24"/>
          <w:lang w:val="en-US"/>
        </w:rPr>
        <w:t xml:space="preserve"> the point of law in question, that is the issue of weekly notice of an employee on sick leave – was ‘fully’ covered in the pleadings.</w:t>
      </w:r>
    </w:p>
    <w:p w:rsidR="005C23A4" w:rsidRDefault="005C23A4" w:rsidP="00F62E37">
      <w:pPr>
        <w:spacing w:after="0" w:line="480" w:lineRule="auto"/>
        <w:ind w:left="1440" w:hanging="720"/>
        <w:jc w:val="both"/>
        <w:rPr>
          <w:rFonts w:ascii="Times New Roman" w:hAnsi="Times New Roman"/>
          <w:iCs/>
          <w:sz w:val="24"/>
          <w:szCs w:val="24"/>
          <w:lang w:val="en-US"/>
        </w:rPr>
      </w:pPr>
    </w:p>
    <w:p w:rsidR="005C23A4" w:rsidRDefault="005C23A4" w:rsidP="00880C14">
      <w:pPr>
        <w:spacing w:after="0" w:line="480" w:lineRule="auto"/>
        <w:ind w:firstLine="720"/>
        <w:jc w:val="both"/>
        <w:rPr>
          <w:rFonts w:ascii="Times New Roman" w:hAnsi="Times New Roman"/>
          <w:iCs/>
          <w:sz w:val="24"/>
          <w:szCs w:val="24"/>
          <w:lang w:val="en-US"/>
        </w:rPr>
      </w:pPr>
      <w:r>
        <w:rPr>
          <w:rFonts w:ascii="Times New Roman" w:hAnsi="Times New Roman"/>
          <w:iCs/>
          <w:sz w:val="24"/>
          <w:szCs w:val="24"/>
          <w:lang w:val="en-US"/>
        </w:rPr>
        <w:tab/>
        <w:t xml:space="preserve">The issues numbered (ii) and (iii) were raised in the court </w:t>
      </w:r>
      <w:r>
        <w:rPr>
          <w:rFonts w:ascii="Times New Roman" w:hAnsi="Times New Roman"/>
          <w:i/>
          <w:iCs/>
          <w:sz w:val="24"/>
          <w:szCs w:val="24"/>
          <w:lang w:val="en-US"/>
        </w:rPr>
        <w:t>a quo</w:t>
      </w:r>
      <w:r w:rsidR="001F32FB">
        <w:rPr>
          <w:rFonts w:ascii="Times New Roman" w:hAnsi="Times New Roman"/>
          <w:i/>
          <w:iCs/>
          <w:sz w:val="24"/>
          <w:szCs w:val="24"/>
          <w:lang w:val="en-US"/>
        </w:rPr>
        <w:t xml:space="preserve"> </w:t>
      </w:r>
      <w:r w:rsidR="001F32FB">
        <w:rPr>
          <w:rFonts w:ascii="Times New Roman" w:hAnsi="Times New Roman"/>
          <w:iCs/>
          <w:sz w:val="24"/>
          <w:szCs w:val="24"/>
          <w:lang w:val="en-US"/>
        </w:rPr>
        <w:t xml:space="preserve">and, relying </w:t>
      </w:r>
      <w:r>
        <w:rPr>
          <w:rFonts w:ascii="Times New Roman" w:hAnsi="Times New Roman"/>
          <w:iCs/>
          <w:sz w:val="24"/>
          <w:szCs w:val="24"/>
          <w:lang w:val="en-US"/>
        </w:rPr>
        <w:t>on the principle set down in Donnelly case (</w:t>
      </w:r>
      <w:r>
        <w:rPr>
          <w:rFonts w:ascii="Times New Roman" w:hAnsi="Times New Roman"/>
          <w:i/>
          <w:iCs/>
          <w:sz w:val="24"/>
          <w:szCs w:val="24"/>
          <w:lang w:val="en-US"/>
        </w:rPr>
        <w:t>supra</w:t>
      </w:r>
      <w:r>
        <w:rPr>
          <w:rFonts w:ascii="Times New Roman" w:hAnsi="Times New Roman"/>
          <w:iCs/>
          <w:sz w:val="24"/>
          <w:szCs w:val="24"/>
          <w:lang w:val="en-US"/>
        </w:rPr>
        <w:t>)</w:t>
      </w:r>
      <w:r w:rsidR="003718A0">
        <w:rPr>
          <w:rFonts w:ascii="Times New Roman" w:hAnsi="Times New Roman"/>
          <w:iCs/>
          <w:sz w:val="24"/>
          <w:szCs w:val="24"/>
          <w:lang w:val="en-US"/>
        </w:rPr>
        <w:t>,</w:t>
      </w:r>
      <w:r w:rsidR="001F32FB">
        <w:rPr>
          <w:rFonts w:ascii="Times New Roman" w:hAnsi="Times New Roman"/>
          <w:iCs/>
          <w:sz w:val="24"/>
          <w:szCs w:val="24"/>
          <w:lang w:val="en-US"/>
        </w:rPr>
        <w:t xml:space="preserve"> the court stated as follows </w:t>
      </w:r>
      <w:r w:rsidR="003718A0">
        <w:rPr>
          <w:rFonts w:ascii="Times New Roman" w:hAnsi="Times New Roman"/>
          <w:iCs/>
          <w:sz w:val="24"/>
          <w:szCs w:val="24"/>
          <w:lang w:val="en-US"/>
        </w:rPr>
        <w:t>;</w:t>
      </w:r>
    </w:p>
    <w:p w:rsidR="005C23A4" w:rsidRDefault="005C23A4" w:rsidP="00C0538A">
      <w:pPr>
        <w:spacing w:after="0" w:line="240" w:lineRule="auto"/>
        <w:ind w:left="720"/>
        <w:jc w:val="both"/>
        <w:rPr>
          <w:rFonts w:ascii="Times New Roman" w:hAnsi="Times New Roman"/>
          <w:iCs/>
          <w:sz w:val="24"/>
          <w:szCs w:val="24"/>
          <w:lang w:val="en-US"/>
        </w:rPr>
      </w:pPr>
      <w:r>
        <w:rPr>
          <w:rFonts w:ascii="Times New Roman" w:hAnsi="Times New Roman"/>
          <w:iCs/>
          <w:sz w:val="24"/>
          <w:szCs w:val="24"/>
          <w:lang w:val="en-US"/>
        </w:rPr>
        <w:t>“In principle a court of appeal is disinclined to allow a point to be raised for the first time before it.  Generally it will decline to do so unless;</w:t>
      </w:r>
    </w:p>
    <w:p w:rsidR="00DC7DF3" w:rsidRDefault="00DC7DF3" w:rsidP="00C0538A">
      <w:pPr>
        <w:spacing w:after="0" w:line="240" w:lineRule="auto"/>
        <w:ind w:left="720"/>
        <w:jc w:val="both"/>
        <w:rPr>
          <w:rFonts w:ascii="Times New Roman" w:hAnsi="Times New Roman"/>
          <w:iCs/>
          <w:sz w:val="24"/>
          <w:szCs w:val="24"/>
          <w:lang w:val="en-US"/>
        </w:rPr>
      </w:pPr>
    </w:p>
    <w:p w:rsidR="005C23A4" w:rsidRDefault="00DC7DF3" w:rsidP="00C0538A">
      <w:pPr>
        <w:pStyle w:val="ListParagraph"/>
        <w:numPr>
          <w:ilvl w:val="0"/>
          <w:numId w:val="7"/>
        </w:numPr>
        <w:spacing w:after="0" w:line="240" w:lineRule="auto"/>
        <w:jc w:val="both"/>
        <w:rPr>
          <w:rFonts w:ascii="Times New Roman" w:hAnsi="Times New Roman"/>
          <w:iCs/>
          <w:sz w:val="24"/>
          <w:szCs w:val="24"/>
          <w:lang w:val="en-US"/>
        </w:rPr>
      </w:pPr>
      <w:r>
        <w:rPr>
          <w:rFonts w:ascii="Times New Roman" w:hAnsi="Times New Roman"/>
          <w:iCs/>
          <w:sz w:val="24"/>
          <w:szCs w:val="24"/>
          <w:lang w:val="en-US"/>
        </w:rPr>
        <w:t>t</w:t>
      </w:r>
      <w:r w:rsidR="005C23A4">
        <w:rPr>
          <w:rFonts w:ascii="Times New Roman" w:hAnsi="Times New Roman"/>
          <w:iCs/>
          <w:sz w:val="24"/>
          <w:szCs w:val="24"/>
          <w:lang w:val="en-US"/>
        </w:rPr>
        <w:t>he point is covered by the pleadings;</w:t>
      </w:r>
    </w:p>
    <w:p w:rsidR="005C23A4" w:rsidRDefault="00DC7DF3" w:rsidP="00C0538A">
      <w:pPr>
        <w:pStyle w:val="ListParagraph"/>
        <w:numPr>
          <w:ilvl w:val="0"/>
          <w:numId w:val="7"/>
        </w:numPr>
        <w:spacing w:after="0" w:line="240" w:lineRule="auto"/>
        <w:jc w:val="both"/>
        <w:rPr>
          <w:rFonts w:ascii="Times New Roman" w:hAnsi="Times New Roman"/>
          <w:iCs/>
          <w:sz w:val="24"/>
          <w:szCs w:val="24"/>
          <w:lang w:val="en-US"/>
        </w:rPr>
      </w:pPr>
      <w:r>
        <w:rPr>
          <w:rFonts w:ascii="Times New Roman" w:hAnsi="Times New Roman"/>
          <w:iCs/>
          <w:sz w:val="24"/>
          <w:szCs w:val="24"/>
          <w:lang w:val="en-US"/>
        </w:rPr>
        <w:t>t</w:t>
      </w:r>
      <w:r w:rsidR="005C23A4">
        <w:rPr>
          <w:rFonts w:ascii="Times New Roman" w:hAnsi="Times New Roman"/>
          <w:iCs/>
          <w:sz w:val="24"/>
          <w:szCs w:val="24"/>
          <w:lang w:val="en-US"/>
        </w:rPr>
        <w:t>here would be no unfairness to the other party;</w:t>
      </w:r>
    </w:p>
    <w:p w:rsidR="005C23A4" w:rsidRDefault="00DC7DF3" w:rsidP="00C0538A">
      <w:pPr>
        <w:pStyle w:val="ListParagraph"/>
        <w:numPr>
          <w:ilvl w:val="0"/>
          <w:numId w:val="7"/>
        </w:numPr>
        <w:spacing w:after="0" w:line="240" w:lineRule="auto"/>
        <w:jc w:val="both"/>
        <w:rPr>
          <w:rFonts w:ascii="Times New Roman" w:hAnsi="Times New Roman"/>
          <w:iCs/>
          <w:sz w:val="24"/>
          <w:szCs w:val="24"/>
          <w:lang w:val="en-US"/>
        </w:rPr>
      </w:pPr>
      <w:r>
        <w:rPr>
          <w:rFonts w:ascii="Times New Roman" w:hAnsi="Times New Roman"/>
          <w:iCs/>
          <w:sz w:val="24"/>
          <w:szCs w:val="24"/>
          <w:lang w:val="en-US"/>
        </w:rPr>
        <w:t>t</w:t>
      </w:r>
      <w:r w:rsidR="005C23A4">
        <w:rPr>
          <w:rFonts w:ascii="Times New Roman" w:hAnsi="Times New Roman"/>
          <w:iCs/>
          <w:sz w:val="24"/>
          <w:szCs w:val="24"/>
          <w:lang w:val="en-US"/>
        </w:rPr>
        <w:t xml:space="preserve">he facts are common cause or well </w:t>
      </w:r>
      <w:r>
        <w:rPr>
          <w:rFonts w:ascii="Times New Roman" w:hAnsi="Times New Roman"/>
          <w:iCs/>
          <w:sz w:val="24"/>
          <w:szCs w:val="24"/>
          <w:lang w:val="en-US"/>
        </w:rPr>
        <w:t>nigh i</w:t>
      </w:r>
      <w:r w:rsidR="005C23A4">
        <w:rPr>
          <w:rFonts w:ascii="Times New Roman" w:hAnsi="Times New Roman"/>
          <w:iCs/>
          <w:sz w:val="24"/>
          <w:szCs w:val="24"/>
          <w:lang w:val="en-US"/>
        </w:rPr>
        <w:t>nconvertible; and</w:t>
      </w:r>
    </w:p>
    <w:p w:rsidR="005C23A4" w:rsidRDefault="00DC7DF3" w:rsidP="00C0538A">
      <w:pPr>
        <w:pStyle w:val="ListParagraph"/>
        <w:numPr>
          <w:ilvl w:val="0"/>
          <w:numId w:val="7"/>
        </w:numPr>
        <w:spacing w:after="0" w:line="240" w:lineRule="auto"/>
        <w:jc w:val="both"/>
        <w:rPr>
          <w:rFonts w:ascii="Times New Roman" w:hAnsi="Times New Roman"/>
          <w:iCs/>
          <w:sz w:val="24"/>
          <w:szCs w:val="24"/>
          <w:lang w:val="en-US"/>
        </w:rPr>
      </w:pPr>
      <w:r>
        <w:rPr>
          <w:rFonts w:ascii="Times New Roman" w:hAnsi="Times New Roman"/>
          <w:iCs/>
          <w:sz w:val="24"/>
          <w:szCs w:val="24"/>
          <w:lang w:val="en-US"/>
        </w:rPr>
        <w:t>t</w:t>
      </w:r>
      <w:r w:rsidR="005C23A4">
        <w:rPr>
          <w:rFonts w:ascii="Times New Roman" w:hAnsi="Times New Roman"/>
          <w:iCs/>
          <w:sz w:val="24"/>
          <w:szCs w:val="24"/>
          <w:lang w:val="en-US"/>
        </w:rPr>
        <w:t xml:space="preserve">here is no ground for thinking that other or further evidence would have </w:t>
      </w:r>
      <w:r w:rsidR="00C74DCB">
        <w:rPr>
          <w:rFonts w:ascii="Times New Roman" w:hAnsi="Times New Roman"/>
          <w:iCs/>
          <w:sz w:val="24"/>
          <w:szCs w:val="24"/>
          <w:lang w:val="en-US"/>
        </w:rPr>
        <w:t xml:space="preserve">been </w:t>
      </w:r>
      <w:r w:rsidR="005C23A4">
        <w:rPr>
          <w:rFonts w:ascii="Times New Roman" w:hAnsi="Times New Roman"/>
          <w:iCs/>
          <w:sz w:val="24"/>
          <w:szCs w:val="24"/>
          <w:lang w:val="en-US"/>
        </w:rPr>
        <w:t>produced that could have affected the point.”</w:t>
      </w:r>
    </w:p>
    <w:p w:rsidR="00C0538A" w:rsidRDefault="00C0538A" w:rsidP="00C0538A">
      <w:pPr>
        <w:spacing w:after="0" w:line="240" w:lineRule="auto"/>
        <w:jc w:val="both"/>
        <w:rPr>
          <w:rFonts w:ascii="Times New Roman" w:hAnsi="Times New Roman"/>
          <w:iCs/>
          <w:sz w:val="24"/>
          <w:szCs w:val="24"/>
          <w:lang w:val="en-US"/>
        </w:rPr>
      </w:pPr>
    </w:p>
    <w:p w:rsidR="003718A0" w:rsidRDefault="003718A0" w:rsidP="00E552F5">
      <w:pPr>
        <w:spacing w:after="0" w:line="240" w:lineRule="auto"/>
        <w:ind w:firstLine="1440"/>
        <w:jc w:val="both"/>
        <w:rPr>
          <w:rFonts w:ascii="Times New Roman" w:hAnsi="Times New Roman"/>
          <w:iCs/>
          <w:sz w:val="24"/>
          <w:szCs w:val="24"/>
          <w:lang w:val="en-US"/>
        </w:rPr>
      </w:pPr>
    </w:p>
    <w:p w:rsidR="005C23A4" w:rsidRDefault="005C23A4" w:rsidP="005C23A4">
      <w:pPr>
        <w:spacing w:after="0" w:line="480" w:lineRule="auto"/>
        <w:ind w:firstLine="1440"/>
        <w:jc w:val="both"/>
        <w:rPr>
          <w:rFonts w:ascii="Times New Roman" w:hAnsi="Times New Roman"/>
          <w:iCs/>
          <w:sz w:val="24"/>
          <w:szCs w:val="24"/>
          <w:lang w:val="en-US"/>
        </w:rPr>
      </w:pPr>
      <w:r>
        <w:rPr>
          <w:rFonts w:ascii="Times New Roman" w:hAnsi="Times New Roman"/>
          <w:iCs/>
          <w:sz w:val="24"/>
          <w:szCs w:val="24"/>
          <w:lang w:val="en-US"/>
        </w:rPr>
        <w:t xml:space="preserve">The learned judge </w:t>
      </w:r>
      <w:r>
        <w:rPr>
          <w:rFonts w:ascii="Times New Roman" w:hAnsi="Times New Roman"/>
          <w:i/>
          <w:iCs/>
          <w:sz w:val="24"/>
          <w:szCs w:val="24"/>
          <w:lang w:val="en-US"/>
        </w:rPr>
        <w:t>a quo</w:t>
      </w:r>
      <w:r>
        <w:rPr>
          <w:rFonts w:ascii="Times New Roman" w:hAnsi="Times New Roman"/>
          <w:iCs/>
          <w:sz w:val="24"/>
          <w:szCs w:val="24"/>
          <w:lang w:val="en-US"/>
        </w:rPr>
        <w:t xml:space="preserve"> </w:t>
      </w:r>
      <w:r w:rsidR="003718A0">
        <w:rPr>
          <w:rFonts w:ascii="Times New Roman" w:hAnsi="Times New Roman"/>
          <w:iCs/>
          <w:sz w:val="24"/>
          <w:szCs w:val="24"/>
          <w:lang w:val="en-US"/>
        </w:rPr>
        <w:t xml:space="preserve">then </w:t>
      </w:r>
      <w:r>
        <w:rPr>
          <w:rFonts w:ascii="Times New Roman" w:hAnsi="Times New Roman"/>
          <w:iCs/>
          <w:sz w:val="24"/>
          <w:szCs w:val="24"/>
          <w:lang w:val="en-US"/>
        </w:rPr>
        <w:t>considered</w:t>
      </w:r>
      <w:r w:rsidR="003718A0">
        <w:rPr>
          <w:rFonts w:ascii="Times New Roman" w:hAnsi="Times New Roman"/>
          <w:iCs/>
          <w:sz w:val="24"/>
          <w:szCs w:val="24"/>
          <w:lang w:val="en-US"/>
        </w:rPr>
        <w:t xml:space="preserve"> </w:t>
      </w:r>
      <w:r>
        <w:rPr>
          <w:rFonts w:ascii="Times New Roman" w:hAnsi="Times New Roman"/>
          <w:iCs/>
          <w:sz w:val="24"/>
          <w:szCs w:val="24"/>
          <w:lang w:val="en-US"/>
        </w:rPr>
        <w:t xml:space="preserve">each of these principles in </w:t>
      </w:r>
      <w:r w:rsidR="003718A0">
        <w:rPr>
          <w:rFonts w:ascii="Times New Roman" w:hAnsi="Times New Roman"/>
          <w:iCs/>
          <w:sz w:val="24"/>
          <w:szCs w:val="24"/>
          <w:lang w:val="en-US"/>
        </w:rPr>
        <w:t xml:space="preserve">the light of </w:t>
      </w:r>
      <w:r>
        <w:rPr>
          <w:rFonts w:ascii="Times New Roman" w:hAnsi="Times New Roman"/>
          <w:iCs/>
          <w:sz w:val="24"/>
          <w:szCs w:val="24"/>
          <w:lang w:val="en-US"/>
        </w:rPr>
        <w:t xml:space="preserve"> the ev</w:t>
      </w:r>
      <w:r w:rsidR="003718A0">
        <w:rPr>
          <w:rFonts w:ascii="Times New Roman" w:hAnsi="Times New Roman"/>
          <w:iCs/>
          <w:sz w:val="24"/>
          <w:szCs w:val="24"/>
          <w:lang w:val="en-US"/>
        </w:rPr>
        <w:t xml:space="preserve">idence before him and </w:t>
      </w:r>
      <w:r w:rsidR="003718A0" w:rsidRPr="003718A0">
        <w:rPr>
          <w:rFonts w:ascii="Times New Roman" w:hAnsi="Times New Roman"/>
          <w:iCs/>
          <w:sz w:val="24"/>
          <w:szCs w:val="24"/>
          <w:lang w:val="en-US"/>
        </w:rPr>
        <w:t xml:space="preserve">respectively </w:t>
      </w:r>
      <w:r w:rsidR="003718A0">
        <w:rPr>
          <w:rFonts w:ascii="Times New Roman" w:hAnsi="Times New Roman"/>
          <w:iCs/>
          <w:sz w:val="24"/>
          <w:szCs w:val="24"/>
          <w:lang w:val="en-US"/>
        </w:rPr>
        <w:t xml:space="preserve">determined thus </w:t>
      </w:r>
      <w:r>
        <w:rPr>
          <w:rFonts w:ascii="Times New Roman" w:hAnsi="Times New Roman"/>
          <w:iCs/>
          <w:sz w:val="24"/>
          <w:szCs w:val="24"/>
          <w:lang w:val="en-US"/>
        </w:rPr>
        <w:t>in relation to the four principles</w:t>
      </w:r>
      <w:r w:rsidR="00C74DCB">
        <w:rPr>
          <w:rFonts w:ascii="Times New Roman" w:hAnsi="Times New Roman"/>
          <w:iCs/>
          <w:sz w:val="24"/>
          <w:szCs w:val="24"/>
          <w:lang w:val="en-US"/>
        </w:rPr>
        <w:t>;</w:t>
      </w:r>
    </w:p>
    <w:p w:rsidR="005C23A4" w:rsidRPr="00C74DCB" w:rsidRDefault="005C23A4" w:rsidP="00C74DCB">
      <w:pPr>
        <w:pStyle w:val="ListParagraph"/>
        <w:numPr>
          <w:ilvl w:val="0"/>
          <w:numId w:val="9"/>
        </w:numPr>
        <w:spacing w:after="0" w:line="240" w:lineRule="auto"/>
        <w:jc w:val="both"/>
        <w:rPr>
          <w:rFonts w:ascii="Times New Roman" w:hAnsi="Times New Roman"/>
          <w:iCs/>
          <w:sz w:val="24"/>
          <w:szCs w:val="24"/>
          <w:lang w:val="en-US"/>
        </w:rPr>
      </w:pPr>
      <w:r w:rsidRPr="00C74DCB">
        <w:rPr>
          <w:rFonts w:ascii="Times New Roman" w:hAnsi="Times New Roman"/>
          <w:iCs/>
          <w:sz w:val="24"/>
          <w:szCs w:val="24"/>
          <w:lang w:val="en-US"/>
        </w:rPr>
        <w:t>that the point of law at issue was not covered by the pleadings, since all that the appellant did was write a letter to the District Civil Engineer (not the general manager) protesting his innocence.</w:t>
      </w:r>
    </w:p>
    <w:p w:rsidR="00C74DCB" w:rsidRPr="00C74DCB" w:rsidRDefault="00C74DCB" w:rsidP="00C74DCB">
      <w:pPr>
        <w:pStyle w:val="ListParagraph"/>
        <w:spacing w:after="0" w:line="240" w:lineRule="auto"/>
        <w:ind w:left="1500"/>
        <w:jc w:val="both"/>
        <w:rPr>
          <w:rFonts w:ascii="Times New Roman" w:hAnsi="Times New Roman"/>
          <w:iCs/>
          <w:sz w:val="24"/>
          <w:szCs w:val="24"/>
          <w:lang w:val="en-US"/>
        </w:rPr>
      </w:pPr>
    </w:p>
    <w:p w:rsidR="005C23A4" w:rsidRPr="00C74DCB" w:rsidRDefault="005C23A4" w:rsidP="00C74DCB">
      <w:pPr>
        <w:pStyle w:val="ListParagraph"/>
        <w:numPr>
          <w:ilvl w:val="0"/>
          <w:numId w:val="9"/>
        </w:numPr>
        <w:spacing w:after="0" w:line="240" w:lineRule="auto"/>
        <w:jc w:val="both"/>
        <w:rPr>
          <w:rFonts w:ascii="Times New Roman" w:hAnsi="Times New Roman"/>
          <w:iCs/>
          <w:sz w:val="24"/>
          <w:szCs w:val="24"/>
          <w:lang w:val="en-US"/>
        </w:rPr>
      </w:pPr>
      <w:r w:rsidRPr="00C74DCB">
        <w:rPr>
          <w:rFonts w:ascii="Times New Roman" w:hAnsi="Times New Roman"/>
          <w:iCs/>
          <w:sz w:val="24"/>
          <w:szCs w:val="24"/>
          <w:lang w:val="en-US"/>
        </w:rPr>
        <w:t>that it was unfair to the respondent to raise the point of law in question for the first time on appeal in that the respondent “argued its case on the basis that the appellant was absent from duty without reasonable excuse</w:t>
      </w:r>
      <w:r w:rsidR="003718A0">
        <w:rPr>
          <w:rFonts w:ascii="Times New Roman" w:hAnsi="Times New Roman"/>
          <w:iCs/>
          <w:sz w:val="24"/>
          <w:szCs w:val="24"/>
          <w:lang w:val="en-US"/>
        </w:rPr>
        <w:t>”</w:t>
      </w:r>
      <w:r w:rsidRPr="00C74DCB">
        <w:rPr>
          <w:rFonts w:ascii="Times New Roman" w:hAnsi="Times New Roman"/>
          <w:iCs/>
          <w:sz w:val="24"/>
          <w:szCs w:val="24"/>
          <w:lang w:val="en-US"/>
        </w:rPr>
        <w:t>.  Accordingly, the General Manager, who confirmed the dismissal, was not confronted with the argument that the “bedrock of its case was being challenged.”</w:t>
      </w:r>
    </w:p>
    <w:p w:rsidR="00C74DCB" w:rsidRPr="00C74DCB" w:rsidRDefault="00C74DCB" w:rsidP="00C74DCB">
      <w:pPr>
        <w:pStyle w:val="ListParagraph"/>
        <w:spacing w:after="0" w:line="240" w:lineRule="auto"/>
        <w:ind w:left="1500"/>
        <w:jc w:val="both"/>
        <w:rPr>
          <w:rFonts w:ascii="Times New Roman" w:hAnsi="Times New Roman"/>
          <w:iCs/>
          <w:sz w:val="24"/>
          <w:szCs w:val="24"/>
          <w:lang w:val="en-US"/>
        </w:rPr>
      </w:pPr>
    </w:p>
    <w:p w:rsidR="00C74DCB" w:rsidRDefault="005C23A4" w:rsidP="00C74DCB">
      <w:pPr>
        <w:pStyle w:val="ListParagraph"/>
        <w:numPr>
          <w:ilvl w:val="0"/>
          <w:numId w:val="9"/>
        </w:numPr>
        <w:spacing w:after="0" w:line="240" w:lineRule="auto"/>
        <w:jc w:val="both"/>
        <w:rPr>
          <w:rFonts w:ascii="Times New Roman" w:hAnsi="Times New Roman"/>
          <w:iCs/>
          <w:sz w:val="24"/>
          <w:szCs w:val="24"/>
          <w:lang w:val="en-US"/>
        </w:rPr>
      </w:pPr>
      <w:r w:rsidRPr="00C74DCB">
        <w:rPr>
          <w:rFonts w:ascii="Times New Roman" w:hAnsi="Times New Roman"/>
          <w:iCs/>
          <w:sz w:val="24"/>
          <w:szCs w:val="24"/>
          <w:lang w:val="en-US"/>
        </w:rPr>
        <w:t>that the facts of the matter were not common cause, as evidenced by the fact that there was a dispute as to whether or not the weekly notice and other related instruments therein, formed</w:t>
      </w:r>
      <w:r w:rsidR="000F37F5" w:rsidRPr="00C74DCB">
        <w:rPr>
          <w:rFonts w:ascii="Times New Roman" w:hAnsi="Times New Roman"/>
          <w:iCs/>
          <w:sz w:val="24"/>
          <w:szCs w:val="24"/>
          <w:lang w:val="en-US"/>
        </w:rPr>
        <w:t xml:space="preserve"> part of the appellant’s contract of employment and lastly</w:t>
      </w:r>
      <w:r w:rsidR="00C74DCB" w:rsidRPr="00C74DCB">
        <w:rPr>
          <w:rFonts w:ascii="Times New Roman" w:hAnsi="Times New Roman"/>
          <w:iCs/>
          <w:sz w:val="24"/>
          <w:szCs w:val="24"/>
          <w:lang w:val="en-US"/>
        </w:rPr>
        <w:t>,</w:t>
      </w:r>
    </w:p>
    <w:p w:rsidR="00C74DCB" w:rsidRPr="00C74DCB" w:rsidRDefault="00C74DCB" w:rsidP="00C74DCB">
      <w:pPr>
        <w:pStyle w:val="ListParagraph"/>
        <w:rPr>
          <w:rFonts w:ascii="Times New Roman" w:hAnsi="Times New Roman"/>
          <w:iCs/>
          <w:sz w:val="24"/>
          <w:szCs w:val="24"/>
          <w:lang w:val="en-US"/>
        </w:rPr>
      </w:pPr>
    </w:p>
    <w:p w:rsidR="001C38C4" w:rsidRDefault="00C74DCB" w:rsidP="00C74DCB">
      <w:pPr>
        <w:pStyle w:val="ListParagraph"/>
        <w:numPr>
          <w:ilvl w:val="0"/>
          <w:numId w:val="9"/>
        </w:numPr>
        <w:spacing w:after="0" w:line="240" w:lineRule="auto"/>
        <w:jc w:val="both"/>
        <w:rPr>
          <w:rFonts w:ascii="Times New Roman" w:hAnsi="Times New Roman"/>
          <w:iCs/>
          <w:sz w:val="24"/>
          <w:szCs w:val="24"/>
          <w:lang w:val="en-US"/>
        </w:rPr>
      </w:pPr>
      <w:r>
        <w:rPr>
          <w:rFonts w:ascii="Times New Roman" w:hAnsi="Times New Roman"/>
          <w:iCs/>
          <w:sz w:val="24"/>
          <w:szCs w:val="24"/>
          <w:lang w:val="en-US"/>
        </w:rPr>
        <w:t>t</w:t>
      </w:r>
      <w:r w:rsidR="000F37F5" w:rsidRPr="00C74DCB">
        <w:rPr>
          <w:rFonts w:ascii="Times New Roman" w:hAnsi="Times New Roman"/>
          <w:iCs/>
          <w:sz w:val="24"/>
          <w:szCs w:val="24"/>
          <w:lang w:val="en-US"/>
        </w:rPr>
        <w:t xml:space="preserve">hat had the </w:t>
      </w:r>
      <w:r w:rsidR="001C38C4">
        <w:rPr>
          <w:rFonts w:ascii="Times New Roman" w:hAnsi="Times New Roman"/>
          <w:iCs/>
          <w:sz w:val="24"/>
          <w:szCs w:val="24"/>
          <w:lang w:val="en-US"/>
        </w:rPr>
        <w:t>appellant appe</w:t>
      </w:r>
      <w:r w:rsidR="003718A0">
        <w:rPr>
          <w:rFonts w:ascii="Times New Roman" w:hAnsi="Times New Roman"/>
          <w:iCs/>
          <w:sz w:val="24"/>
          <w:szCs w:val="24"/>
          <w:lang w:val="en-US"/>
        </w:rPr>
        <w:t>a</w:t>
      </w:r>
      <w:r w:rsidR="001C38C4">
        <w:rPr>
          <w:rFonts w:ascii="Times New Roman" w:hAnsi="Times New Roman"/>
          <w:iCs/>
          <w:sz w:val="24"/>
          <w:szCs w:val="24"/>
          <w:lang w:val="en-US"/>
        </w:rPr>
        <w:t>red to argu</w:t>
      </w:r>
      <w:r w:rsidR="003718A0">
        <w:rPr>
          <w:rFonts w:ascii="Times New Roman" w:hAnsi="Times New Roman"/>
          <w:iCs/>
          <w:sz w:val="24"/>
          <w:szCs w:val="24"/>
          <w:lang w:val="en-US"/>
        </w:rPr>
        <w:t>e</w:t>
      </w:r>
      <w:r w:rsidR="001C38C4">
        <w:rPr>
          <w:rFonts w:ascii="Times New Roman" w:hAnsi="Times New Roman"/>
          <w:iCs/>
          <w:sz w:val="24"/>
          <w:szCs w:val="24"/>
          <w:lang w:val="en-US"/>
        </w:rPr>
        <w:t xml:space="preserve"> his case before the disciplinary committee, he could</w:t>
      </w:r>
      <w:r w:rsidR="000F37F5" w:rsidRPr="00C74DCB">
        <w:rPr>
          <w:rFonts w:ascii="Times New Roman" w:hAnsi="Times New Roman"/>
          <w:iCs/>
          <w:sz w:val="24"/>
          <w:szCs w:val="24"/>
          <w:lang w:val="en-US"/>
        </w:rPr>
        <w:t xml:space="preserve"> have led</w:t>
      </w:r>
      <w:r w:rsidR="001C38C4">
        <w:rPr>
          <w:rFonts w:ascii="Times New Roman" w:hAnsi="Times New Roman"/>
          <w:iCs/>
          <w:sz w:val="24"/>
          <w:szCs w:val="24"/>
          <w:lang w:val="en-US"/>
        </w:rPr>
        <w:t xml:space="preserve"> evidence regarding the Area </w:t>
      </w:r>
      <w:r w:rsidR="00E552F5">
        <w:rPr>
          <w:rFonts w:ascii="Times New Roman" w:hAnsi="Times New Roman"/>
          <w:iCs/>
          <w:sz w:val="24"/>
          <w:szCs w:val="24"/>
          <w:lang w:val="en-US"/>
        </w:rPr>
        <w:t xml:space="preserve">Manager’s </w:t>
      </w:r>
      <w:r w:rsidR="00E552F5" w:rsidRPr="00C74DCB">
        <w:rPr>
          <w:rFonts w:ascii="Times New Roman" w:hAnsi="Times New Roman"/>
          <w:iCs/>
          <w:sz w:val="24"/>
          <w:szCs w:val="24"/>
          <w:lang w:val="en-US"/>
        </w:rPr>
        <w:t>mandate</w:t>
      </w:r>
      <w:r w:rsidR="000F37F5" w:rsidRPr="00C74DCB">
        <w:rPr>
          <w:rFonts w:ascii="Times New Roman" w:hAnsi="Times New Roman"/>
          <w:iCs/>
          <w:sz w:val="24"/>
          <w:szCs w:val="24"/>
          <w:lang w:val="en-US"/>
        </w:rPr>
        <w:t xml:space="preserve"> to issue a </w:t>
      </w:r>
      <w:r w:rsidR="00E552F5" w:rsidRPr="00C74DCB">
        <w:rPr>
          <w:rFonts w:ascii="Times New Roman" w:hAnsi="Times New Roman"/>
          <w:iCs/>
          <w:sz w:val="24"/>
          <w:szCs w:val="24"/>
          <w:lang w:val="en-US"/>
        </w:rPr>
        <w:t>weekly notice</w:t>
      </w:r>
      <w:r w:rsidR="00E552F5">
        <w:rPr>
          <w:rFonts w:ascii="Times New Roman" w:hAnsi="Times New Roman"/>
          <w:iCs/>
          <w:sz w:val="24"/>
          <w:szCs w:val="24"/>
          <w:lang w:val="en-US"/>
        </w:rPr>
        <w:t>, the</w:t>
      </w:r>
      <w:r w:rsidR="000F37F5" w:rsidRPr="00C74DCB">
        <w:rPr>
          <w:rFonts w:ascii="Times New Roman" w:hAnsi="Times New Roman"/>
          <w:iCs/>
          <w:sz w:val="24"/>
          <w:szCs w:val="24"/>
          <w:lang w:val="en-US"/>
        </w:rPr>
        <w:t xml:space="preserve"> nature</w:t>
      </w:r>
      <w:r w:rsidR="001C38C4">
        <w:rPr>
          <w:rFonts w:ascii="Times New Roman" w:hAnsi="Times New Roman"/>
          <w:iCs/>
          <w:sz w:val="24"/>
          <w:szCs w:val="24"/>
          <w:lang w:val="en-US"/>
        </w:rPr>
        <w:t>,</w:t>
      </w:r>
      <w:r w:rsidR="000F37F5" w:rsidRPr="00C74DCB">
        <w:rPr>
          <w:rFonts w:ascii="Times New Roman" w:hAnsi="Times New Roman"/>
          <w:iCs/>
          <w:sz w:val="24"/>
          <w:szCs w:val="24"/>
          <w:lang w:val="en-US"/>
        </w:rPr>
        <w:t xml:space="preserve"> validity</w:t>
      </w:r>
      <w:r w:rsidR="001C38C4">
        <w:rPr>
          <w:rFonts w:ascii="Times New Roman" w:hAnsi="Times New Roman"/>
          <w:iCs/>
          <w:sz w:val="24"/>
          <w:szCs w:val="24"/>
          <w:lang w:val="en-US"/>
        </w:rPr>
        <w:t xml:space="preserve"> and</w:t>
      </w:r>
      <w:r w:rsidR="000F37F5" w:rsidRPr="00C74DCB">
        <w:rPr>
          <w:rFonts w:ascii="Times New Roman" w:hAnsi="Times New Roman"/>
          <w:iCs/>
          <w:sz w:val="24"/>
          <w:szCs w:val="24"/>
          <w:lang w:val="en-US"/>
        </w:rPr>
        <w:t xml:space="preserve"> effect of such </w:t>
      </w:r>
      <w:r w:rsidR="001C38C4">
        <w:rPr>
          <w:rFonts w:ascii="Times New Roman" w:hAnsi="Times New Roman"/>
          <w:iCs/>
          <w:sz w:val="24"/>
          <w:szCs w:val="24"/>
          <w:lang w:val="en-US"/>
        </w:rPr>
        <w:t xml:space="preserve">a </w:t>
      </w:r>
      <w:r w:rsidR="000F37F5" w:rsidRPr="00C74DCB">
        <w:rPr>
          <w:rFonts w:ascii="Times New Roman" w:hAnsi="Times New Roman"/>
          <w:iCs/>
          <w:sz w:val="24"/>
          <w:szCs w:val="24"/>
          <w:lang w:val="en-US"/>
        </w:rPr>
        <w:t xml:space="preserve">notice </w:t>
      </w:r>
      <w:r w:rsidR="000F37F5" w:rsidRPr="00C74DCB">
        <w:rPr>
          <w:rFonts w:ascii="Times New Roman" w:hAnsi="Times New Roman"/>
          <w:i/>
          <w:iCs/>
          <w:sz w:val="24"/>
          <w:szCs w:val="24"/>
          <w:lang w:val="en-US"/>
        </w:rPr>
        <w:t>vis a vis</w:t>
      </w:r>
      <w:r w:rsidR="000F37F5" w:rsidRPr="00C74DCB">
        <w:rPr>
          <w:rFonts w:ascii="Times New Roman" w:hAnsi="Times New Roman"/>
          <w:iCs/>
          <w:sz w:val="24"/>
          <w:szCs w:val="24"/>
          <w:lang w:val="en-US"/>
        </w:rPr>
        <w:t xml:space="preserve"> employees’ rights enshrined in s 14 of the Labour Act, and the parties’ conduct regarding this notice prior to the commission of the offence.</w:t>
      </w:r>
    </w:p>
    <w:p w:rsidR="001C38C4" w:rsidRPr="001C38C4" w:rsidRDefault="001C38C4" w:rsidP="001C38C4">
      <w:pPr>
        <w:pStyle w:val="ListParagraph"/>
        <w:rPr>
          <w:rFonts w:ascii="Times New Roman" w:hAnsi="Times New Roman"/>
          <w:iCs/>
          <w:sz w:val="24"/>
          <w:szCs w:val="24"/>
          <w:lang w:val="en-US"/>
        </w:rPr>
      </w:pPr>
    </w:p>
    <w:p w:rsidR="001C38C4" w:rsidRDefault="001C38C4" w:rsidP="001C38C4">
      <w:pPr>
        <w:pStyle w:val="ListParagraph"/>
        <w:spacing w:after="0" w:line="240" w:lineRule="auto"/>
        <w:ind w:left="1500"/>
        <w:jc w:val="both"/>
        <w:rPr>
          <w:rFonts w:ascii="Times New Roman" w:hAnsi="Times New Roman"/>
          <w:iCs/>
          <w:sz w:val="24"/>
          <w:szCs w:val="24"/>
          <w:lang w:val="en-US"/>
        </w:rPr>
      </w:pPr>
    </w:p>
    <w:p w:rsidR="001C38C4" w:rsidRDefault="001C38C4" w:rsidP="001C38C4">
      <w:pPr>
        <w:pStyle w:val="ListParagraph"/>
        <w:spacing w:after="0" w:line="240" w:lineRule="auto"/>
        <w:ind w:left="1500"/>
        <w:jc w:val="both"/>
        <w:rPr>
          <w:rFonts w:ascii="Times New Roman" w:hAnsi="Times New Roman"/>
          <w:iCs/>
          <w:sz w:val="24"/>
          <w:szCs w:val="24"/>
          <w:lang w:val="en-US"/>
        </w:rPr>
      </w:pPr>
      <w:r>
        <w:rPr>
          <w:rFonts w:ascii="Times New Roman" w:hAnsi="Times New Roman"/>
          <w:iCs/>
          <w:sz w:val="24"/>
          <w:szCs w:val="24"/>
          <w:lang w:val="en-US"/>
        </w:rPr>
        <w:t>The court a quo then concluded as follows;</w:t>
      </w:r>
    </w:p>
    <w:p w:rsidR="001C38C4" w:rsidRDefault="001C38C4" w:rsidP="001C38C4">
      <w:pPr>
        <w:pStyle w:val="ListParagraph"/>
        <w:spacing w:after="0" w:line="240" w:lineRule="auto"/>
        <w:ind w:left="1500"/>
        <w:jc w:val="both"/>
        <w:rPr>
          <w:rFonts w:ascii="Times New Roman" w:hAnsi="Times New Roman"/>
          <w:iCs/>
          <w:sz w:val="24"/>
          <w:szCs w:val="24"/>
          <w:lang w:val="en-US"/>
        </w:rPr>
      </w:pPr>
    </w:p>
    <w:p w:rsidR="000F37F5" w:rsidRPr="001C38C4" w:rsidRDefault="00E552F5" w:rsidP="00815E71">
      <w:pPr>
        <w:spacing w:after="0" w:line="240" w:lineRule="auto"/>
        <w:ind w:left="720"/>
        <w:jc w:val="both"/>
        <w:rPr>
          <w:rFonts w:ascii="Times New Roman" w:hAnsi="Times New Roman"/>
          <w:iCs/>
          <w:sz w:val="24"/>
          <w:szCs w:val="24"/>
          <w:lang w:val="en-US"/>
        </w:rPr>
      </w:pPr>
      <w:r>
        <w:rPr>
          <w:rFonts w:ascii="Times New Roman" w:hAnsi="Times New Roman"/>
          <w:iCs/>
          <w:sz w:val="24"/>
          <w:szCs w:val="24"/>
          <w:lang w:val="en-US"/>
        </w:rPr>
        <w:t>“In</w:t>
      </w:r>
      <w:r w:rsidR="000F37F5" w:rsidRPr="001C38C4">
        <w:rPr>
          <w:rFonts w:ascii="Times New Roman" w:hAnsi="Times New Roman"/>
          <w:iCs/>
          <w:sz w:val="24"/>
          <w:szCs w:val="24"/>
          <w:lang w:val="en-US"/>
        </w:rPr>
        <w:t xml:space="preserve"> respect of point (ii) above the appellant sought to argue that the respondent’s allusion to ‘real’ grounds being raised for the first time on appeal, amounted to a concession that the new point had merit.  I am not persuaded by this contention.  Far from making any concession, it is evident from the context in which the remark was made, that all the respondent meant was that the issue of the validity of the weekly notice was a ‘real’ issue that should appropriately</w:t>
      </w:r>
      <w:r w:rsidR="003718A0">
        <w:rPr>
          <w:rFonts w:ascii="Times New Roman" w:hAnsi="Times New Roman"/>
          <w:iCs/>
          <w:sz w:val="24"/>
          <w:szCs w:val="24"/>
          <w:lang w:val="en-US"/>
        </w:rPr>
        <w:t xml:space="preserve"> have</w:t>
      </w:r>
      <w:r w:rsidR="000F37F5" w:rsidRPr="001C38C4">
        <w:rPr>
          <w:rFonts w:ascii="Times New Roman" w:hAnsi="Times New Roman"/>
          <w:iCs/>
          <w:sz w:val="24"/>
          <w:szCs w:val="24"/>
          <w:lang w:val="en-US"/>
        </w:rPr>
        <w:t xml:space="preserve"> been brought before the internal tribunals.  This would have afforded such tribunals the opportunity to properly address the merits of the issue, rather than being “ambushed with it” on appeal</w:t>
      </w:r>
      <w:r w:rsidR="001C38C4">
        <w:rPr>
          <w:rFonts w:ascii="Times New Roman" w:hAnsi="Times New Roman"/>
          <w:iCs/>
          <w:sz w:val="24"/>
          <w:szCs w:val="24"/>
          <w:lang w:val="en-US"/>
        </w:rPr>
        <w:t>”</w:t>
      </w:r>
      <w:r w:rsidR="000F37F5" w:rsidRPr="001C38C4">
        <w:rPr>
          <w:rFonts w:ascii="Times New Roman" w:hAnsi="Times New Roman"/>
          <w:iCs/>
          <w:sz w:val="24"/>
          <w:szCs w:val="24"/>
          <w:lang w:val="en-US"/>
        </w:rPr>
        <w:t>.</w:t>
      </w:r>
    </w:p>
    <w:p w:rsidR="000F37F5" w:rsidRDefault="000F37F5" w:rsidP="000F37F5">
      <w:pPr>
        <w:spacing w:after="0" w:line="480" w:lineRule="auto"/>
        <w:jc w:val="both"/>
        <w:rPr>
          <w:rFonts w:ascii="Times New Roman" w:hAnsi="Times New Roman"/>
          <w:iCs/>
          <w:sz w:val="24"/>
          <w:szCs w:val="24"/>
          <w:lang w:val="en-US"/>
        </w:rPr>
      </w:pPr>
    </w:p>
    <w:p w:rsidR="00C0538A" w:rsidRDefault="00C0538A" w:rsidP="00C0538A">
      <w:pPr>
        <w:spacing w:after="0" w:line="240" w:lineRule="auto"/>
        <w:jc w:val="both"/>
        <w:rPr>
          <w:rFonts w:ascii="Times New Roman" w:hAnsi="Times New Roman"/>
          <w:iCs/>
          <w:sz w:val="24"/>
          <w:szCs w:val="24"/>
          <w:lang w:val="en-US"/>
        </w:rPr>
      </w:pPr>
    </w:p>
    <w:p w:rsidR="000F37F5" w:rsidRDefault="000F37F5" w:rsidP="000F37F5">
      <w:pPr>
        <w:spacing w:after="0" w:line="480" w:lineRule="auto"/>
        <w:ind w:firstLine="1440"/>
        <w:jc w:val="both"/>
        <w:rPr>
          <w:rFonts w:ascii="Times New Roman" w:hAnsi="Times New Roman"/>
          <w:iCs/>
          <w:sz w:val="24"/>
          <w:szCs w:val="24"/>
          <w:lang w:val="en-US"/>
        </w:rPr>
      </w:pPr>
      <w:r>
        <w:rPr>
          <w:rFonts w:ascii="Times New Roman" w:hAnsi="Times New Roman"/>
          <w:iCs/>
          <w:sz w:val="24"/>
          <w:szCs w:val="24"/>
          <w:lang w:val="en-US"/>
        </w:rPr>
        <w:t>I find the court’s reasoning and conclusions as outlined above to be eminently sound and therefore</w:t>
      </w:r>
      <w:r w:rsidR="001C38C4">
        <w:rPr>
          <w:rFonts w:ascii="Times New Roman" w:hAnsi="Times New Roman"/>
          <w:iCs/>
          <w:sz w:val="24"/>
          <w:szCs w:val="24"/>
          <w:lang w:val="en-US"/>
        </w:rPr>
        <w:t xml:space="preserve"> unassailable</w:t>
      </w:r>
      <w:r>
        <w:rPr>
          <w:rFonts w:ascii="Times New Roman" w:hAnsi="Times New Roman"/>
          <w:iCs/>
          <w:sz w:val="24"/>
          <w:szCs w:val="24"/>
          <w:lang w:val="en-US"/>
        </w:rPr>
        <w:t>.</w:t>
      </w:r>
    </w:p>
    <w:p w:rsidR="000F37F5" w:rsidRDefault="000F37F5" w:rsidP="00880C14">
      <w:pPr>
        <w:spacing w:after="0" w:line="240" w:lineRule="auto"/>
        <w:ind w:firstLine="1440"/>
        <w:jc w:val="both"/>
        <w:rPr>
          <w:rFonts w:ascii="Times New Roman" w:hAnsi="Times New Roman"/>
          <w:iCs/>
          <w:sz w:val="24"/>
          <w:szCs w:val="24"/>
          <w:lang w:val="en-US"/>
        </w:rPr>
      </w:pPr>
    </w:p>
    <w:p w:rsidR="0098137A" w:rsidRDefault="000F37F5" w:rsidP="00C0538A">
      <w:pPr>
        <w:spacing w:before="240" w:after="0" w:line="480" w:lineRule="auto"/>
        <w:ind w:firstLine="1440"/>
        <w:jc w:val="both"/>
        <w:rPr>
          <w:rFonts w:ascii="Times New Roman" w:hAnsi="Times New Roman"/>
          <w:iCs/>
          <w:sz w:val="24"/>
          <w:szCs w:val="24"/>
          <w:lang w:val="en-US"/>
        </w:rPr>
      </w:pPr>
      <w:r>
        <w:rPr>
          <w:rFonts w:ascii="Times New Roman" w:hAnsi="Times New Roman"/>
          <w:iCs/>
          <w:sz w:val="24"/>
          <w:szCs w:val="24"/>
          <w:lang w:val="en-US"/>
        </w:rPr>
        <w:t xml:space="preserve">The appellant makes the point that the court </w:t>
      </w:r>
      <w:r>
        <w:rPr>
          <w:rFonts w:ascii="Times New Roman" w:hAnsi="Times New Roman"/>
          <w:i/>
          <w:iCs/>
          <w:sz w:val="24"/>
          <w:szCs w:val="24"/>
          <w:lang w:val="en-US"/>
        </w:rPr>
        <w:t>a quo</w:t>
      </w:r>
      <w:r>
        <w:rPr>
          <w:rFonts w:ascii="Times New Roman" w:hAnsi="Times New Roman"/>
          <w:iCs/>
          <w:sz w:val="24"/>
          <w:szCs w:val="24"/>
          <w:lang w:val="en-US"/>
        </w:rPr>
        <w:t xml:space="preserve"> should not have relied so strongly on authorities that pertain to</w:t>
      </w:r>
      <w:r w:rsidR="00C55A75">
        <w:rPr>
          <w:rFonts w:ascii="Times New Roman" w:hAnsi="Times New Roman"/>
          <w:iCs/>
          <w:sz w:val="24"/>
          <w:szCs w:val="24"/>
          <w:lang w:val="en-US"/>
        </w:rPr>
        <w:t xml:space="preserve"> “ordinary</w:t>
      </w:r>
      <w:r w:rsidR="00B24A93">
        <w:rPr>
          <w:rFonts w:ascii="Times New Roman" w:hAnsi="Times New Roman"/>
          <w:iCs/>
          <w:sz w:val="24"/>
          <w:szCs w:val="24"/>
          <w:lang w:val="en-US"/>
        </w:rPr>
        <w:t>” civil</w:t>
      </w:r>
      <w:r>
        <w:rPr>
          <w:rFonts w:ascii="Times New Roman" w:hAnsi="Times New Roman"/>
          <w:iCs/>
          <w:sz w:val="24"/>
          <w:szCs w:val="24"/>
          <w:lang w:val="en-US"/>
        </w:rPr>
        <w:t xml:space="preserve"> matters</w:t>
      </w:r>
      <w:r w:rsidR="00B24A93">
        <w:rPr>
          <w:rFonts w:ascii="Times New Roman" w:hAnsi="Times New Roman"/>
          <w:iCs/>
          <w:sz w:val="24"/>
          <w:szCs w:val="24"/>
          <w:lang w:val="en-US"/>
        </w:rPr>
        <w:t>, in</w:t>
      </w:r>
      <w:r>
        <w:rPr>
          <w:rFonts w:ascii="Times New Roman" w:hAnsi="Times New Roman"/>
          <w:iCs/>
          <w:sz w:val="24"/>
          <w:szCs w:val="24"/>
          <w:lang w:val="en-US"/>
        </w:rPr>
        <w:t xml:space="preserve"> its determination of labour </w:t>
      </w:r>
      <w:r w:rsidR="00C0538A">
        <w:rPr>
          <w:rFonts w:ascii="Times New Roman" w:hAnsi="Times New Roman"/>
          <w:iCs/>
          <w:sz w:val="24"/>
          <w:szCs w:val="24"/>
          <w:lang w:val="en-US"/>
        </w:rPr>
        <w:t>disputes</w:t>
      </w:r>
      <w:r>
        <w:rPr>
          <w:rFonts w:ascii="Times New Roman" w:hAnsi="Times New Roman"/>
          <w:iCs/>
          <w:sz w:val="24"/>
          <w:szCs w:val="24"/>
          <w:lang w:val="en-US"/>
        </w:rPr>
        <w:t xml:space="preserve">.  </w:t>
      </w:r>
      <w:r w:rsidR="00C55A75">
        <w:rPr>
          <w:rFonts w:ascii="Times New Roman" w:hAnsi="Times New Roman"/>
          <w:iCs/>
          <w:sz w:val="24"/>
          <w:szCs w:val="24"/>
          <w:lang w:val="en-US"/>
        </w:rPr>
        <w:t>This is because</w:t>
      </w:r>
      <w:r w:rsidR="0098137A">
        <w:rPr>
          <w:rFonts w:ascii="Times New Roman" w:hAnsi="Times New Roman"/>
          <w:iCs/>
          <w:sz w:val="24"/>
          <w:szCs w:val="24"/>
          <w:lang w:val="en-US"/>
        </w:rPr>
        <w:t xml:space="preserve">, he </w:t>
      </w:r>
      <w:r w:rsidR="0077547C">
        <w:rPr>
          <w:rFonts w:ascii="Times New Roman" w:hAnsi="Times New Roman"/>
          <w:iCs/>
          <w:sz w:val="24"/>
          <w:szCs w:val="24"/>
          <w:lang w:val="en-US"/>
        </w:rPr>
        <w:t xml:space="preserve">contends, the Labour Court should not take as strict a view of its jurisdiction.  </w:t>
      </w:r>
      <w:r>
        <w:rPr>
          <w:rFonts w:ascii="Times New Roman" w:hAnsi="Times New Roman"/>
          <w:iCs/>
          <w:sz w:val="24"/>
          <w:szCs w:val="24"/>
          <w:lang w:val="en-US"/>
        </w:rPr>
        <w:t>I find no merit in this contention</w:t>
      </w:r>
      <w:r w:rsidR="00A83BFB">
        <w:rPr>
          <w:rFonts w:ascii="Times New Roman" w:hAnsi="Times New Roman"/>
          <w:iCs/>
          <w:sz w:val="24"/>
          <w:szCs w:val="24"/>
          <w:lang w:val="en-US"/>
        </w:rPr>
        <w:t xml:space="preserve"> and,</w:t>
      </w:r>
      <w:r w:rsidR="0077547C">
        <w:rPr>
          <w:rFonts w:ascii="Times New Roman" w:hAnsi="Times New Roman"/>
          <w:iCs/>
          <w:sz w:val="24"/>
          <w:szCs w:val="24"/>
          <w:lang w:val="en-US"/>
        </w:rPr>
        <w:t xml:space="preserve"> in the context of the particular circumstances of this case</w:t>
      </w:r>
      <w:r w:rsidR="00A83BFB">
        <w:rPr>
          <w:rFonts w:ascii="Times New Roman" w:hAnsi="Times New Roman"/>
          <w:iCs/>
          <w:sz w:val="24"/>
          <w:szCs w:val="24"/>
          <w:lang w:val="en-US"/>
        </w:rPr>
        <w:t xml:space="preserve">, </w:t>
      </w:r>
      <w:r>
        <w:rPr>
          <w:rFonts w:ascii="Times New Roman" w:hAnsi="Times New Roman"/>
          <w:iCs/>
          <w:sz w:val="24"/>
          <w:szCs w:val="24"/>
          <w:lang w:val="en-US"/>
        </w:rPr>
        <w:t xml:space="preserve">have no hesitation in dismissing it.  </w:t>
      </w:r>
    </w:p>
    <w:p w:rsidR="004F4A86" w:rsidRDefault="0098137A" w:rsidP="00C0538A">
      <w:pPr>
        <w:spacing w:before="240" w:after="0" w:line="480" w:lineRule="auto"/>
        <w:ind w:firstLine="1440"/>
        <w:jc w:val="both"/>
        <w:rPr>
          <w:rFonts w:ascii="Times New Roman" w:hAnsi="Times New Roman"/>
          <w:iCs/>
          <w:sz w:val="24"/>
          <w:szCs w:val="24"/>
          <w:lang w:val="en-US"/>
        </w:rPr>
      </w:pPr>
      <w:r>
        <w:rPr>
          <w:rFonts w:ascii="Times New Roman" w:hAnsi="Times New Roman"/>
          <w:iCs/>
          <w:sz w:val="24"/>
          <w:szCs w:val="24"/>
          <w:lang w:val="en-US"/>
        </w:rPr>
        <w:t xml:space="preserve">Firstly, </w:t>
      </w:r>
      <w:r w:rsidR="00B24A93">
        <w:rPr>
          <w:rFonts w:ascii="Times New Roman" w:hAnsi="Times New Roman"/>
          <w:iCs/>
          <w:sz w:val="24"/>
          <w:szCs w:val="24"/>
          <w:lang w:val="en-US"/>
        </w:rPr>
        <w:t>labour matters</w:t>
      </w:r>
      <w:r w:rsidR="000F37F5">
        <w:rPr>
          <w:rFonts w:ascii="Times New Roman" w:hAnsi="Times New Roman"/>
          <w:iCs/>
          <w:sz w:val="24"/>
          <w:szCs w:val="24"/>
          <w:lang w:val="en-US"/>
        </w:rPr>
        <w:t xml:space="preserve"> are civil in nature</w:t>
      </w:r>
      <w:r>
        <w:rPr>
          <w:rFonts w:ascii="Times New Roman" w:hAnsi="Times New Roman"/>
          <w:iCs/>
          <w:sz w:val="24"/>
          <w:szCs w:val="24"/>
          <w:lang w:val="en-US"/>
        </w:rPr>
        <w:t xml:space="preserve"> and w</w:t>
      </w:r>
      <w:r w:rsidR="00DF26A9">
        <w:rPr>
          <w:rFonts w:ascii="Times New Roman" w:hAnsi="Times New Roman"/>
          <w:iCs/>
          <w:sz w:val="24"/>
          <w:szCs w:val="24"/>
          <w:lang w:val="en-US"/>
        </w:rPr>
        <w:t>hile the same standards of procedural stri</w:t>
      </w:r>
      <w:r w:rsidR="00063329">
        <w:rPr>
          <w:rFonts w:ascii="Times New Roman" w:hAnsi="Times New Roman"/>
          <w:iCs/>
          <w:sz w:val="24"/>
          <w:szCs w:val="24"/>
          <w:lang w:val="en-US"/>
        </w:rPr>
        <w:t>ngency</w:t>
      </w:r>
      <w:r w:rsidR="00DF26A9">
        <w:rPr>
          <w:rFonts w:ascii="Times New Roman" w:hAnsi="Times New Roman"/>
          <w:iCs/>
          <w:sz w:val="24"/>
          <w:szCs w:val="24"/>
          <w:lang w:val="en-US"/>
        </w:rPr>
        <w:t xml:space="preserve"> as are required in ordinary civil matters may not </w:t>
      </w:r>
      <w:r w:rsidR="00063329">
        <w:rPr>
          <w:rFonts w:ascii="Times New Roman" w:hAnsi="Times New Roman"/>
          <w:iCs/>
          <w:sz w:val="24"/>
          <w:szCs w:val="24"/>
          <w:lang w:val="en-US"/>
        </w:rPr>
        <w:t xml:space="preserve">always </w:t>
      </w:r>
      <w:r w:rsidR="00DF26A9">
        <w:rPr>
          <w:rFonts w:ascii="Times New Roman" w:hAnsi="Times New Roman"/>
          <w:iCs/>
          <w:sz w:val="24"/>
          <w:szCs w:val="24"/>
          <w:lang w:val="en-US"/>
        </w:rPr>
        <w:t>apply</w:t>
      </w:r>
      <w:r w:rsidR="004F4A86">
        <w:rPr>
          <w:rFonts w:ascii="Times New Roman" w:hAnsi="Times New Roman"/>
          <w:iCs/>
          <w:sz w:val="24"/>
          <w:szCs w:val="24"/>
          <w:lang w:val="en-US"/>
        </w:rPr>
        <w:t>,</w:t>
      </w:r>
      <w:r w:rsidR="00DF26A9">
        <w:rPr>
          <w:rFonts w:ascii="Times New Roman" w:hAnsi="Times New Roman"/>
          <w:iCs/>
          <w:sz w:val="24"/>
          <w:szCs w:val="24"/>
          <w:lang w:val="en-US"/>
        </w:rPr>
        <w:t xml:space="preserve"> I do not believe </w:t>
      </w:r>
      <w:r w:rsidR="00063329">
        <w:rPr>
          <w:rFonts w:ascii="Times New Roman" w:hAnsi="Times New Roman"/>
          <w:iCs/>
          <w:sz w:val="24"/>
          <w:szCs w:val="24"/>
          <w:lang w:val="en-US"/>
        </w:rPr>
        <w:t xml:space="preserve">those standards </w:t>
      </w:r>
      <w:r w:rsidR="00DF26A9">
        <w:rPr>
          <w:rFonts w:ascii="Times New Roman" w:hAnsi="Times New Roman"/>
          <w:iCs/>
          <w:sz w:val="24"/>
          <w:szCs w:val="24"/>
          <w:lang w:val="en-US"/>
        </w:rPr>
        <w:t>are necessarily ousted merely on the basis that the matter at hand is a labour dispute. This is particularly so where serious legal principles are at issue and where, a</w:t>
      </w:r>
      <w:r w:rsidR="001C340A">
        <w:rPr>
          <w:rFonts w:ascii="Times New Roman" w:hAnsi="Times New Roman"/>
          <w:iCs/>
          <w:sz w:val="24"/>
          <w:szCs w:val="24"/>
          <w:lang w:val="en-US"/>
        </w:rPr>
        <w:t xml:space="preserve">s </w:t>
      </w:r>
      <w:r w:rsidR="001C340A" w:rsidRPr="001C340A">
        <w:rPr>
          <w:rFonts w:ascii="Times New Roman" w:hAnsi="Times New Roman"/>
          <w:i/>
          <w:iCs/>
          <w:sz w:val="24"/>
          <w:szCs w:val="24"/>
          <w:lang w:val="en-US"/>
        </w:rPr>
        <w:t>in casu</w:t>
      </w:r>
      <w:r w:rsidR="001C340A">
        <w:rPr>
          <w:rFonts w:ascii="Times New Roman" w:hAnsi="Times New Roman"/>
          <w:iCs/>
          <w:sz w:val="24"/>
          <w:szCs w:val="24"/>
          <w:lang w:val="en-US"/>
        </w:rPr>
        <w:t>, a</w:t>
      </w:r>
      <w:r w:rsidR="00DF26A9">
        <w:rPr>
          <w:rFonts w:ascii="Times New Roman" w:hAnsi="Times New Roman"/>
          <w:iCs/>
          <w:sz w:val="24"/>
          <w:szCs w:val="24"/>
          <w:lang w:val="en-US"/>
        </w:rPr>
        <w:t xml:space="preserve"> party who </w:t>
      </w:r>
      <w:r w:rsidR="006E6AAC">
        <w:rPr>
          <w:rFonts w:ascii="Times New Roman" w:hAnsi="Times New Roman"/>
          <w:iCs/>
          <w:sz w:val="24"/>
          <w:szCs w:val="24"/>
          <w:lang w:val="en-US"/>
        </w:rPr>
        <w:t xml:space="preserve">belatedly </w:t>
      </w:r>
      <w:r w:rsidR="00DF26A9">
        <w:rPr>
          <w:rFonts w:ascii="Times New Roman" w:hAnsi="Times New Roman"/>
          <w:iCs/>
          <w:sz w:val="24"/>
          <w:szCs w:val="24"/>
          <w:lang w:val="en-US"/>
        </w:rPr>
        <w:t>clamours for such procedural relaxation is himself the author of the</w:t>
      </w:r>
      <w:r w:rsidR="00FE053F">
        <w:rPr>
          <w:rFonts w:ascii="Times New Roman" w:hAnsi="Times New Roman"/>
          <w:iCs/>
          <w:sz w:val="24"/>
          <w:szCs w:val="24"/>
          <w:lang w:val="en-US"/>
        </w:rPr>
        <w:t xml:space="preserve"> very predicament that he later f</w:t>
      </w:r>
      <w:r w:rsidR="00C51ACB">
        <w:rPr>
          <w:rFonts w:ascii="Times New Roman" w:hAnsi="Times New Roman"/>
          <w:iCs/>
          <w:sz w:val="24"/>
          <w:szCs w:val="24"/>
          <w:lang w:val="en-US"/>
        </w:rPr>
        <w:t xml:space="preserve">inds </w:t>
      </w:r>
      <w:r w:rsidR="00FE053F">
        <w:rPr>
          <w:rFonts w:ascii="Times New Roman" w:hAnsi="Times New Roman"/>
          <w:iCs/>
          <w:sz w:val="24"/>
          <w:szCs w:val="24"/>
          <w:lang w:val="en-US"/>
        </w:rPr>
        <w:t>himself in</w:t>
      </w:r>
      <w:r w:rsidR="001C340A">
        <w:rPr>
          <w:rFonts w:ascii="Times New Roman" w:hAnsi="Times New Roman"/>
          <w:iCs/>
          <w:sz w:val="24"/>
          <w:szCs w:val="24"/>
          <w:lang w:val="en-US"/>
        </w:rPr>
        <w:t xml:space="preserve">. It goes without saying that, but </w:t>
      </w:r>
      <w:r w:rsidR="00C51ACB">
        <w:rPr>
          <w:rFonts w:ascii="Times New Roman" w:hAnsi="Times New Roman"/>
          <w:iCs/>
          <w:sz w:val="24"/>
          <w:szCs w:val="24"/>
          <w:lang w:val="en-US"/>
        </w:rPr>
        <w:t xml:space="preserve">for his own default, </w:t>
      </w:r>
      <w:r w:rsidR="00BD13E3">
        <w:rPr>
          <w:rFonts w:ascii="Times New Roman" w:hAnsi="Times New Roman"/>
          <w:iCs/>
          <w:sz w:val="24"/>
          <w:szCs w:val="24"/>
          <w:lang w:val="en-US"/>
        </w:rPr>
        <w:t>t</w:t>
      </w:r>
      <w:r w:rsidR="00C51ACB">
        <w:rPr>
          <w:rFonts w:ascii="Times New Roman" w:hAnsi="Times New Roman"/>
          <w:iCs/>
          <w:sz w:val="24"/>
          <w:szCs w:val="24"/>
          <w:lang w:val="en-US"/>
        </w:rPr>
        <w:t xml:space="preserve">he </w:t>
      </w:r>
      <w:r w:rsidR="00BD13E3">
        <w:rPr>
          <w:rFonts w:ascii="Times New Roman" w:hAnsi="Times New Roman"/>
          <w:iCs/>
          <w:sz w:val="24"/>
          <w:szCs w:val="24"/>
          <w:lang w:val="en-US"/>
        </w:rPr>
        <w:t xml:space="preserve">appellant </w:t>
      </w:r>
      <w:r w:rsidR="00C51ACB">
        <w:rPr>
          <w:rFonts w:ascii="Times New Roman" w:hAnsi="Times New Roman"/>
          <w:iCs/>
          <w:sz w:val="24"/>
          <w:szCs w:val="24"/>
          <w:lang w:val="en-US"/>
        </w:rPr>
        <w:t xml:space="preserve">could have properly </w:t>
      </w:r>
      <w:r w:rsidR="00BD13E3">
        <w:rPr>
          <w:rFonts w:ascii="Times New Roman" w:hAnsi="Times New Roman"/>
          <w:iCs/>
          <w:sz w:val="24"/>
          <w:szCs w:val="24"/>
          <w:lang w:val="en-US"/>
        </w:rPr>
        <w:t xml:space="preserve">raised the new legal point he now seeks to raise, and adduced evidence on it, </w:t>
      </w:r>
      <w:r w:rsidR="00C51ACB">
        <w:rPr>
          <w:rFonts w:ascii="Times New Roman" w:hAnsi="Times New Roman"/>
          <w:iCs/>
          <w:sz w:val="24"/>
          <w:szCs w:val="24"/>
          <w:lang w:val="en-US"/>
        </w:rPr>
        <w:t xml:space="preserve">during the disciplinary proceedings before the Area Manager. </w:t>
      </w:r>
    </w:p>
    <w:p w:rsidR="004C2ADF" w:rsidRDefault="00063329" w:rsidP="00C0538A">
      <w:pPr>
        <w:spacing w:before="240" w:after="0" w:line="480" w:lineRule="auto"/>
        <w:ind w:firstLine="1440"/>
        <w:jc w:val="both"/>
        <w:rPr>
          <w:rFonts w:ascii="Times New Roman" w:hAnsi="Times New Roman"/>
          <w:iCs/>
          <w:sz w:val="24"/>
          <w:szCs w:val="24"/>
          <w:lang w:val="en-US"/>
        </w:rPr>
      </w:pPr>
      <w:r>
        <w:rPr>
          <w:rFonts w:ascii="Times New Roman" w:hAnsi="Times New Roman"/>
          <w:iCs/>
          <w:sz w:val="24"/>
          <w:szCs w:val="24"/>
          <w:lang w:val="en-US"/>
        </w:rPr>
        <w:t>It is</w:t>
      </w:r>
      <w:r w:rsidR="00C51ACB">
        <w:rPr>
          <w:rFonts w:ascii="Times New Roman" w:hAnsi="Times New Roman"/>
          <w:iCs/>
          <w:sz w:val="24"/>
          <w:szCs w:val="24"/>
          <w:lang w:val="en-US"/>
        </w:rPr>
        <w:t xml:space="preserve"> in my view</w:t>
      </w:r>
      <w:r>
        <w:rPr>
          <w:rFonts w:ascii="Times New Roman" w:hAnsi="Times New Roman"/>
          <w:iCs/>
          <w:sz w:val="24"/>
          <w:szCs w:val="24"/>
          <w:lang w:val="en-US"/>
        </w:rPr>
        <w:t xml:space="preserve"> </w:t>
      </w:r>
      <w:r w:rsidR="00C51ACB">
        <w:rPr>
          <w:rFonts w:ascii="Times New Roman" w:hAnsi="Times New Roman"/>
          <w:iCs/>
          <w:sz w:val="24"/>
          <w:szCs w:val="24"/>
          <w:lang w:val="en-US"/>
        </w:rPr>
        <w:t>necessary</w:t>
      </w:r>
      <w:r w:rsidR="0098137A">
        <w:rPr>
          <w:rFonts w:ascii="Times New Roman" w:hAnsi="Times New Roman"/>
          <w:iCs/>
          <w:sz w:val="24"/>
          <w:szCs w:val="24"/>
          <w:lang w:val="en-US"/>
        </w:rPr>
        <w:t xml:space="preserve"> in this respect</w:t>
      </w:r>
      <w:r w:rsidR="00C51ACB">
        <w:rPr>
          <w:rFonts w:ascii="Times New Roman" w:hAnsi="Times New Roman"/>
          <w:iCs/>
          <w:sz w:val="24"/>
          <w:szCs w:val="24"/>
          <w:lang w:val="en-US"/>
        </w:rPr>
        <w:t xml:space="preserve"> to remind </w:t>
      </w:r>
      <w:r>
        <w:rPr>
          <w:rFonts w:ascii="Times New Roman" w:hAnsi="Times New Roman"/>
          <w:iCs/>
          <w:sz w:val="24"/>
          <w:szCs w:val="24"/>
          <w:lang w:val="en-US"/>
        </w:rPr>
        <w:t>parties in labour disputes</w:t>
      </w:r>
      <w:r w:rsidR="00C51ACB">
        <w:rPr>
          <w:rFonts w:ascii="Times New Roman" w:hAnsi="Times New Roman"/>
          <w:iCs/>
          <w:sz w:val="24"/>
          <w:szCs w:val="24"/>
          <w:lang w:val="en-US"/>
        </w:rPr>
        <w:t xml:space="preserve"> that it is important</w:t>
      </w:r>
      <w:r>
        <w:rPr>
          <w:rFonts w:ascii="Times New Roman" w:hAnsi="Times New Roman"/>
          <w:iCs/>
          <w:sz w:val="24"/>
          <w:szCs w:val="24"/>
          <w:lang w:val="en-US"/>
        </w:rPr>
        <w:t xml:space="preserve"> to </w:t>
      </w:r>
      <w:r w:rsidR="00C51ACB">
        <w:rPr>
          <w:rFonts w:ascii="Times New Roman" w:hAnsi="Times New Roman"/>
          <w:iCs/>
          <w:sz w:val="24"/>
          <w:szCs w:val="24"/>
          <w:lang w:val="en-US"/>
        </w:rPr>
        <w:t xml:space="preserve">show </w:t>
      </w:r>
      <w:r>
        <w:rPr>
          <w:rFonts w:ascii="Times New Roman" w:hAnsi="Times New Roman"/>
          <w:iCs/>
          <w:sz w:val="24"/>
          <w:szCs w:val="24"/>
          <w:lang w:val="en-US"/>
        </w:rPr>
        <w:t>respect</w:t>
      </w:r>
      <w:r w:rsidR="00C51ACB">
        <w:rPr>
          <w:rFonts w:ascii="Times New Roman" w:hAnsi="Times New Roman"/>
          <w:iCs/>
          <w:sz w:val="24"/>
          <w:szCs w:val="24"/>
          <w:lang w:val="en-US"/>
        </w:rPr>
        <w:t xml:space="preserve"> for</w:t>
      </w:r>
      <w:r>
        <w:rPr>
          <w:rFonts w:ascii="Times New Roman" w:hAnsi="Times New Roman"/>
          <w:iCs/>
          <w:sz w:val="24"/>
          <w:szCs w:val="24"/>
          <w:lang w:val="en-US"/>
        </w:rPr>
        <w:t xml:space="preserve"> laid down formalities</w:t>
      </w:r>
      <w:r w:rsidR="00DF26A9">
        <w:rPr>
          <w:rFonts w:ascii="Times New Roman" w:hAnsi="Times New Roman"/>
          <w:iCs/>
          <w:sz w:val="24"/>
          <w:szCs w:val="24"/>
          <w:lang w:val="en-US"/>
        </w:rPr>
        <w:t xml:space="preserve"> </w:t>
      </w:r>
      <w:r w:rsidR="00C51ACB">
        <w:rPr>
          <w:rFonts w:ascii="Times New Roman" w:hAnsi="Times New Roman"/>
          <w:iCs/>
          <w:sz w:val="24"/>
          <w:szCs w:val="24"/>
          <w:lang w:val="en-US"/>
        </w:rPr>
        <w:t xml:space="preserve">in </w:t>
      </w:r>
      <w:r>
        <w:rPr>
          <w:rFonts w:ascii="Times New Roman" w:hAnsi="Times New Roman"/>
          <w:iCs/>
          <w:sz w:val="24"/>
          <w:szCs w:val="24"/>
          <w:lang w:val="en-US"/>
        </w:rPr>
        <w:t>the adjudication of</w:t>
      </w:r>
      <w:r w:rsidR="00C51ACB">
        <w:rPr>
          <w:rFonts w:ascii="Times New Roman" w:hAnsi="Times New Roman"/>
          <w:iCs/>
          <w:sz w:val="24"/>
          <w:szCs w:val="24"/>
          <w:lang w:val="en-US"/>
        </w:rPr>
        <w:t xml:space="preserve"> disputes that concern them</w:t>
      </w:r>
      <w:r>
        <w:rPr>
          <w:rFonts w:ascii="Times New Roman" w:hAnsi="Times New Roman"/>
          <w:iCs/>
          <w:sz w:val="24"/>
          <w:szCs w:val="24"/>
          <w:lang w:val="en-US"/>
        </w:rPr>
        <w:t xml:space="preserve">. </w:t>
      </w:r>
      <w:r w:rsidR="003718A0">
        <w:rPr>
          <w:rFonts w:ascii="Times New Roman" w:hAnsi="Times New Roman"/>
          <w:iCs/>
          <w:sz w:val="24"/>
          <w:szCs w:val="24"/>
          <w:lang w:val="en-US"/>
        </w:rPr>
        <w:t xml:space="preserve"> </w:t>
      </w:r>
      <w:r>
        <w:rPr>
          <w:rFonts w:ascii="Times New Roman" w:hAnsi="Times New Roman"/>
          <w:iCs/>
          <w:sz w:val="24"/>
          <w:szCs w:val="24"/>
          <w:lang w:val="en-US"/>
        </w:rPr>
        <w:t xml:space="preserve">Showing disdain for such formalities and later expecting </w:t>
      </w:r>
      <w:r w:rsidR="008858E9">
        <w:rPr>
          <w:rFonts w:ascii="Times New Roman" w:hAnsi="Times New Roman"/>
          <w:iCs/>
          <w:sz w:val="24"/>
          <w:szCs w:val="24"/>
          <w:lang w:val="en-US"/>
        </w:rPr>
        <w:t>the court to turn a blind eye</w:t>
      </w:r>
      <w:r w:rsidR="003718A0">
        <w:rPr>
          <w:rFonts w:ascii="Times New Roman" w:hAnsi="Times New Roman"/>
          <w:iCs/>
          <w:sz w:val="24"/>
          <w:szCs w:val="24"/>
          <w:lang w:val="en-US"/>
        </w:rPr>
        <w:t xml:space="preserve"> to such conduct, </w:t>
      </w:r>
      <w:r w:rsidR="008858E9">
        <w:rPr>
          <w:rFonts w:ascii="Times New Roman" w:hAnsi="Times New Roman"/>
          <w:iCs/>
          <w:sz w:val="24"/>
          <w:szCs w:val="24"/>
          <w:lang w:val="en-US"/>
        </w:rPr>
        <w:t xml:space="preserve">in my view </w:t>
      </w:r>
      <w:r w:rsidR="0073234A">
        <w:rPr>
          <w:rFonts w:ascii="Times New Roman" w:hAnsi="Times New Roman"/>
          <w:iCs/>
          <w:sz w:val="24"/>
          <w:szCs w:val="24"/>
          <w:lang w:val="en-US"/>
        </w:rPr>
        <w:t xml:space="preserve">smacks of </w:t>
      </w:r>
      <w:r w:rsidR="00A83BFB">
        <w:rPr>
          <w:rFonts w:ascii="Times New Roman" w:hAnsi="Times New Roman"/>
          <w:iCs/>
          <w:sz w:val="24"/>
          <w:szCs w:val="24"/>
          <w:lang w:val="en-US"/>
        </w:rPr>
        <w:t xml:space="preserve">double standards and </w:t>
      </w:r>
      <w:r w:rsidR="008858E9">
        <w:rPr>
          <w:rFonts w:ascii="Times New Roman" w:hAnsi="Times New Roman"/>
          <w:iCs/>
          <w:sz w:val="24"/>
          <w:szCs w:val="24"/>
          <w:lang w:val="en-US"/>
        </w:rPr>
        <w:t xml:space="preserve">a lack of seriousness on the part of the litigant concerned. </w:t>
      </w:r>
    </w:p>
    <w:p w:rsidR="0098137A" w:rsidRDefault="0098137A" w:rsidP="004C2ADF">
      <w:pPr>
        <w:spacing w:after="0" w:line="240" w:lineRule="auto"/>
        <w:ind w:firstLine="1440"/>
        <w:jc w:val="both"/>
        <w:rPr>
          <w:rFonts w:ascii="Times New Roman" w:hAnsi="Times New Roman"/>
          <w:iCs/>
          <w:sz w:val="24"/>
          <w:szCs w:val="24"/>
          <w:lang w:val="en-US"/>
        </w:rPr>
      </w:pPr>
      <w:r>
        <w:rPr>
          <w:rFonts w:ascii="Times New Roman" w:hAnsi="Times New Roman"/>
          <w:iCs/>
          <w:sz w:val="24"/>
          <w:szCs w:val="24"/>
          <w:lang w:val="en-US"/>
        </w:rPr>
        <w:t xml:space="preserve"> </w:t>
      </w:r>
    </w:p>
    <w:p w:rsidR="00C0538A" w:rsidRDefault="0098137A" w:rsidP="00C0538A">
      <w:pPr>
        <w:spacing w:before="240" w:after="0" w:line="480" w:lineRule="auto"/>
        <w:ind w:firstLine="1440"/>
        <w:jc w:val="both"/>
        <w:rPr>
          <w:rFonts w:ascii="Times New Roman" w:hAnsi="Times New Roman"/>
          <w:iCs/>
          <w:sz w:val="24"/>
          <w:szCs w:val="24"/>
          <w:lang w:val="en-US"/>
        </w:rPr>
      </w:pPr>
      <w:r>
        <w:rPr>
          <w:rFonts w:ascii="Times New Roman" w:hAnsi="Times New Roman"/>
          <w:iCs/>
          <w:sz w:val="24"/>
          <w:szCs w:val="24"/>
          <w:lang w:val="en-US"/>
        </w:rPr>
        <w:t xml:space="preserve">Secondly, </w:t>
      </w:r>
      <w:r w:rsidR="000F37F5">
        <w:rPr>
          <w:rFonts w:ascii="Times New Roman" w:hAnsi="Times New Roman"/>
          <w:iCs/>
          <w:sz w:val="24"/>
          <w:szCs w:val="24"/>
          <w:lang w:val="en-US"/>
        </w:rPr>
        <w:t xml:space="preserve">the </w:t>
      </w:r>
      <w:r w:rsidR="00C0538A">
        <w:rPr>
          <w:rFonts w:ascii="Times New Roman" w:hAnsi="Times New Roman"/>
          <w:iCs/>
          <w:sz w:val="24"/>
          <w:szCs w:val="24"/>
          <w:lang w:val="en-US"/>
        </w:rPr>
        <w:t>authorities</w:t>
      </w:r>
      <w:r w:rsidR="000F37F5">
        <w:rPr>
          <w:rFonts w:ascii="Times New Roman" w:hAnsi="Times New Roman"/>
          <w:iCs/>
          <w:sz w:val="24"/>
          <w:szCs w:val="24"/>
          <w:lang w:val="en-US"/>
        </w:rPr>
        <w:t xml:space="preserve"> cited and relied on by the court </w:t>
      </w:r>
      <w:r w:rsidR="000F37F5">
        <w:rPr>
          <w:rFonts w:ascii="Times New Roman" w:hAnsi="Times New Roman"/>
          <w:i/>
          <w:iCs/>
          <w:sz w:val="24"/>
          <w:szCs w:val="24"/>
          <w:lang w:val="en-US"/>
        </w:rPr>
        <w:t>a quo</w:t>
      </w:r>
      <w:r w:rsidR="000F37F5">
        <w:rPr>
          <w:rFonts w:ascii="Times New Roman" w:hAnsi="Times New Roman"/>
          <w:iCs/>
          <w:sz w:val="24"/>
          <w:szCs w:val="24"/>
          <w:lang w:val="en-US"/>
        </w:rPr>
        <w:t xml:space="preserve"> (e.g. </w:t>
      </w:r>
      <w:r w:rsidR="000F37F5" w:rsidRPr="003718A0">
        <w:rPr>
          <w:rFonts w:ascii="Times New Roman" w:hAnsi="Times New Roman"/>
          <w:i/>
          <w:iCs/>
          <w:sz w:val="24"/>
          <w:szCs w:val="24"/>
          <w:lang w:val="en-US"/>
        </w:rPr>
        <w:t>the Dandazi</w:t>
      </w:r>
      <w:r w:rsidR="000F37F5">
        <w:rPr>
          <w:rFonts w:ascii="Times New Roman" w:hAnsi="Times New Roman"/>
          <w:iCs/>
          <w:sz w:val="24"/>
          <w:szCs w:val="24"/>
          <w:lang w:val="en-US"/>
        </w:rPr>
        <w:t xml:space="preserve"> case</w:t>
      </w:r>
      <w:r w:rsidR="009B36BB">
        <w:rPr>
          <w:rFonts w:ascii="Times New Roman" w:hAnsi="Times New Roman"/>
          <w:iCs/>
          <w:sz w:val="24"/>
          <w:szCs w:val="24"/>
          <w:lang w:val="en-US"/>
        </w:rPr>
        <w:t>)</w:t>
      </w:r>
      <w:r w:rsidR="00A83BFB">
        <w:rPr>
          <w:rFonts w:ascii="Times New Roman" w:hAnsi="Times New Roman"/>
          <w:iCs/>
          <w:sz w:val="24"/>
          <w:szCs w:val="24"/>
          <w:lang w:val="en-US"/>
        </w:rPr>
        <w:t xml:space="preserve"> arose from labour disputes, and l</w:t>
      </w:r>
      <w:r w:rsidR="00C0538A">
        <w:rPr>
          <w:rFonts w:ascii="Times New Roman" w:hAnsi="Times New Roman"/>
          <w:iCs/>
          <w:sz w:val="24"/>
          <w:szCs w:val="24"/>
          <w:lang w:val="en-US"/>
        </w:rPr>
        <w:t xml:space="preserve">astly, the appellant </w:t>
      </w:r>
      <w:r w:rsidR="0073234A">
        <w:rPr>
          <w:rFonts w:ascii="Times New Roman" w:hAnsi="Times New Roman"/>
          <w:iCs/>
          <w:sz w:val="24"/>
          <w:szCs w:val="24"/>
          <w:lang w:val="en-US"/>
        </w:rPr>
        <w:t xml:space="preserve">himself </w:t>
      </w:r>
      <w:r w:rsidR="00C0538A">
        <w:rPr>
          <w:rFonts w:ascii="Times New Roman" w:hAnsi="Times New Roman"/>
          <w:iCs/>
          <w:sz w:val="24"/>
          <w:szCs w:val="24"/>
          <w:lang w:val="en-US"/>
        </w:rPr>
        <w:t xml:space="preserve">relied on one such </w:t>
      </w:r>
      <w:r w:rsidR="003274F2">
        <w:rPr>
          <w:rFonts w:ascii="Times New Roman" w:hAnsi="Times New Roman"/>
          <w:iCs/>
          <w:sz w:val="24"/>
          <w:szCs w:val="24"/>
          <w:lang w:val="en-US"/>
        </w:rPr>
        <w:t xml:space="preserve">“ordinary” civil </w:t>
      </w:r>
      <w:r w:rsidR="00C0538A">
        <w:rPr>
          <w:rFonts w:ascii="Times New Roman" w:hAnsi="Times New Roman"/>
          <w:iCs/>
          <w:sz w:val="24"/>
          <w:szCs w:val="24"/>
          <w:lang w:val="en-US"/>
        </w:rPr>
        <w:t>judgment for its contention that there are exceptions to the general principle that the courts should not accept new points raised for the first time on appeal</w:t>
      </w:r>
      <w:r w:rsidR="00C0538A">
        <w:rPr>
          <w:rStyle w:val="FootnoteReference"/>
          <w:rFonts w:ascii="Times New Roman" w:hAnsi="Times New Roman"/>
          <w:iCs/>
          <w:sz w:val="24"/>
          <w:szCs w:val="24"/>
          <w:lang w:val="en-US"/>
        </w:rPr>
        <w:footnoteReference w:id="2"/>
      </w:r>
      <w:r w:rsidR="00C0538A">
        <w:rPr>
          <w:rFonts w:ascii="Times New Roman" w:hAnsi="Times New Roman"/>
          <w:iCs/>
          <w:sz w:val="24"/>
          <w:szCs w:val="24"/>
          <w:lang w:val="en-US"/>
        </w:rPr>
        <w:t xml:space="preserve">.  It is therefore rather contrary </w:t>
      </w:r>
      <w:r w:rsidR="003718A0">
        <w:rPr>
          <w:rFonts w:ascii="Times New Roman" w:hAnsi="Times New Roman"/>
          <w:iCs/>
          <w:sz w:val="24"/>
          <w:szCs w:val="24"/>
          <w:lang w:val="en-US"/>
        </w:rPr>
        <w:t xml:space="preserve">of </w:t>
      </w:r>
      <w:r w:rsidR="00C0538A">
        <w:rPr>
          <w:rFonts w:ascii="Times New Roman" w:hAnsi="Times New Roman"/>
          <w:iCs/>
          <w:sz w:val="24"/>
          <w:szCs w:val="24"/>
          <w:lang w:val="en-US"/>
        </w:rPr>
        <w:t xml:space="preserve">the appellant to impugn the court </w:t>
      </w:r>
      <w:r w:rsidR="00C0538A">
        <w:rPr>
          <w:rFonts w:ascii="Times New Roman" w:hAnsi="Times New Roman"/>
          <w:i/>
          <w:iCs/>
          <w:sz w:val="24"/>
          <w:szCs w:val="24"/>
          <w:lang w:val="en-US"/>
        </w:rPr>
        <w:t>a quo</w:t>
      </w:r>
      <w:r w:rsidR="00C0538A">
        <w:rPr>
          <w:rFonts w:ascii="Times New Roman" w:hAnsi="Times New Roman"/>
          <w:iCs/>
          <w:sz w:val="24"/>
          <w:szCs w:val="24"/>
          <w:lang w:val="en-US"/>
        </w:rPr>
        <w:t xml:space="preserve">’s reliance </w:t>
      </w:r>
      <w:r w:rsidR="003718A0">
        <w:rPr>
          <w:rFonts w:ascii="Times New Roman" w:hAnsi="Times New Roman"/>
          <w:iCs/>
          <w:sz w:val="24"/>
          <w:szCs w:val="24"/>
          <w:lang w:val="en-US"/>
        </w:rPr>
        <w:t xml:space="preserve">on </w:t>
      </w:r>
      <w:r w:rsidR="00C0538A">
        <w:rPr>
          <w:rFonts w:ascii="Times New Roman" w:hAnsi="Times New Roman"/>
          <w:iCs/>
          <w:sz w:val="24"/>
          <w:szCs w:val="24"/>
          <w:lang w:val="en-US"/>
        </w:rPr>
        <w:t>similar authorities.</w:t>
      </w:r>
      <w:r w:rsidR="009B36BB">
        <w:rPr>
          <w:rFonts w:ascii="Times New Roman" w:hAnsi="Times New Roman"/>
          <w:iCs/>
          <w:sz w:val="24"/>
          <w:szCs w:val="24"/>
          <w:lang w:val="en-US"/>
        </w:rPr>
        <w:t xml:space="preserve"> </w:t>
      </w:r>
      <w:r w:rsidR="00C0538A">
        <w:rPr>
          <w:rFonts w:ascii="Times New Roman" w:hAnsi="Times New Roman"/>
          <w:iCs/>
          <w:sz w:val="24"/>
          <w:szCs w:val="24"/>
          <w:lang w:val="en-US"/>
        </w:rPr>
        <w:t>The appellant has</w:t>
      </w:r>
      <w:r w:rsidR="009B36BB">
        <w:rPr>
          <w:rFonts w:ascii="Times New Roman" w:hAnsi="Times New Roman"/>
          <w:iCs/>
          <w:sz w:val="24"/>
          <w:szCs w:val="24"/>
          <w:lang w:val="en-US"/>
        </w:rPr>
        <w:t>,</w:t>
      </w:r>
      <w:r w:rsidR="00C0538A">
        <w:rPr>
          <w:rFonts w:ascii="Times New Roman" w:hAnsi="Times New Roman"/>
          <w:iCs/>
          <w:sz w:val="24"/>
          <w:szCs w:val="24"/>
          <w:lang w:val="en-US"/>
        </w:rPr>
        <w:t xml:space="preserve"> in any case, not alleged any gross misdirection on the part of the Labour Court in drawing guidance from authorities other than those dealing</w:t>
      </w:r>
      <w:r w:rsidR="00DF26A9">
        <w:rPr>
          <w:rFonts w:ascii="Times New Roman" w:hAnsi="Times New Roman"/>
          <w:iCs/>
          <w:sz w:val="24"/>
          <w:szCs w:val="24"/>
          <w:lang w:val="en-US"/>
        </w:rPr>
        <w:t xml:space="preserve"> exclusively</w:t>
      </w:r>
      <w:r w:rsidR="00C0538A">
        <w:rPr>
          <w:rFonts w:ascii="Times New Roman" w:hAnsi="Times New Roman"/>
          <w:iCs/>
          <w:sz w:val="24"/>
          <w:szCs w:val="24"/>
          <w:lang w:val="en-US"/>
        </w:rPr>
        <w:t xml:space="preserve"> with labour matters.</w:t>
      </w:r>
    </w:p>
    <w:p w:rsidR="00C0538A" w:rsidRDefault="00C0538A" w:rsidP="00815E71">
      <w:pPr>
        <w:spacing w:after="0" w:line="240" w:lineRule="auto"/>
        <w:ind w:firstLine="1440"/>
        <w:jc w:val="both"/>
        <w:rPr>
          <w:rFonts w:ascii="Times New Roman" w:hAnsi="Times New Roman"/>
          <w:iCs/>
          <w:sz w:val="24"/>
          <w:szCs w:val="24"/>
          <w:lang w:val="en-US"/>
        </w:rPr>
      </w:pPr>
    </w:p>
    <w:p w:rsidR="00C0538A" w:rsidRDefault="00C0538A" w:rsidP="00C0538A">
      <w:pPr>
        <w:spacing w:before="240" w:after="0" w:line="480" w:lineRule="auto"/>
        <w:ind w:firstLine="1440"/>
        <w:jc w:val="both"/>
        <w:rPr>
          <w:rFonts w:ascii="Times New Roman" w:hAnsi="Times New Roman"/>
          <w:iCs/>
          <w:sz w:val="24"/>
          <w:szCs w:val="24"/>
          <w:lang w:val="en-US"/>
        </w:rPr>
      </w:pPr>
      <w:r>
        <w:rPr>
          <w:rFonts w:ascii="Times New Roman" w:hAnsi="Times New Roman"/>
          <w:iCs/>
          <w:sz w:val="24"/>
          <w:szCs w:val="24"/>
          <w:lang w:val="en-US"/>
        </w:rPr>
        <w:t>In the final analysis, it is the finding of this Court that th</w:t>
      </w:r>
      <w:r w:rsidR="009B36BB">
        <w:rPr>
          <w:rFonts w:ascii="Times New Roman" w:hAnsi="Times New Roman"/>
          <w:iCs/>
          <w:sz w:val="24"/>
          <w:szCs w:val="24"/>
          <w:lang w:val="en-US"/>
        </w:rPr>
        <w:t>e</w:t>
      </w:r>
      <w:r>
        <w:rPr>
          <w:rFonts w:ascii="Times New Roman" w:hAnsi="Times New Roman"/>
          <w:iCs/>
          <w:sz w:val="24"/>
          <w:szCs w:val="24"/>
          <w:lang w:val="en-US"/>
        </w:rPr>
        <w:t xml:space="preserve"> appeal lacks merit and ought to be dismissed.</w:t>
      </w:r>
    </w:p>
    <w:p w:rsidR="00C0538A" w:rsidRDefault="00C0538A" w:rsidP="00815E71">
      <w:pPr>
        <w:spacing w:after="0" w:line="240" w:lineRule="auto"/>
        <w:ind w:firstLine="1440"/>
        <w:jc w:val="both"/>
        <w:rPr>
          <w:rFonts w:ascii="Times New Roman" w:hAnsi="Times New Roman"/>
          <w:iCs/>
          <w:sz w:val="24"/>
          <w:szCs w:val="24"/>
          <w:lang w:val="en-US"/>
        </w:rPr>
      </w:pPr>
    </w:p>
    <w:p w:rsidR="00C0538A" w:rsidRDefault="00C0538A" w:rsidP="00C0538A">
      <w:pPr>
        <w:spacing w:before="240" w:after="0" w:line="480" w:lineRule="auto"/>
        <w:ind w:firstLine="1440"/>
        <w:jc w:val="both"/>
        <w:rPr>
          <w:rFonts w:ascii="Times New Roman" w:hAnsi="Times New Roman"/>
          <w:iCs/>
          <w:sz w:val="24"/>
          <w:szCs w:val="24"/>
          <w:lang w:val="en-US"/>
        </w:rPr>
      </w:pPr>
      <w:r>
        <w:rPr>
          <w:rFonts w:ascii="Times New Roman" w:hAnsi="Times New Roman"/>
          <w:iCs/>
          <w:sz w:val="24"/>
          <w:szCs w:val="24"/>
          <w:lang w:val="en-US"/>
        </w:rPr>
        <w:t>It is in the result ordered as follows;</w:t>
      </w:r>
    </w:p>
    <w:p w:rsidR="00C0538A" w:rsidRPr="000F37F5" w:rsidRDefault="00C0538A" w:rsidP="004C2ADF">
      <w:pPr>
        <w:spacing w:before="240" w:after="0" w:line="480" w:lineRule="auto"/>
        <w:jc w:val="both"/>
        <w:rPr>
          <w:rFonts w:ascii="Times New Roman" w:hAnsi="Times New Roman"/>
          <w:iCs/>
          <w:sz w:val="24"/>
          <w:szCs w:val="24"/>
          <w:lang w:val="en-US"/>
        </w:rPr>
      </w:pPr>
      <w:r>
        <w:rPr>
          <w:rFonts w:ascii="Times New Roman" w:hAnsi="Times New Roman"/>
          <w:iCs/>
          <w:sz w:val="24"/>
          <w:szCs w:val="24"/>
          <w:lang w:val="en-US"/>
        </w:rPr>
        <w:tab/>
        <w:t xml:space="preserve">The appeal be and is hereby dismissed with costs.  </w:t>
      </w:r>
    </w:p>
    <w:p w:rsidR="005C23A4" w:rsidRDefault="005C23A4" w:rsidP="005C23A4">
      <w:pPr>
        <w:spacing w:after="0" w:line="480" w:lineRule="auto"/>
        <w:jc w:val="both"/>
        <w:rPr>
          <w:rFonts w:ascii="Times New Roman" w:hAnsi="Times New Roman"/>
          <w:iCs/>
          <w:sz w:val="24"/>
          <w:szCs w:val="24"/>
          <w:lang w:val="en-US"/>
        </w:rPr>
      </w:pPr>
    </w:p>
    <w:p w:rsidR="00C0538A" w:rsidRPr="005C23A4" w:rsidRDefault="00C0538A" w:rsidP="005C23A4">
      <w:pPr>
        <w:spacing w:after="0" w:line="480" w:lineRule="auto"/>
        <w:jc w:val="both"/>
        <w:rPr>
          <w:rFonts w:ascii="Times New Roman" w:hAnsi="Times New Roman"/>
          <w:iCs/>
          <w:sz w:val="24"/>
          <w:szCs w:val="24"/>
          <w:lang w:val="en-US"/>
        </w:rPr>
      </w:pPr>
    </w:p>
    <w:p w:rsidR="00D47219" w:rsidRDefault="00D47219" w:rsidP="00D47219">
      <w:pPr>
        <w:spacing w:after="0" w:line="480" w:lineRule="auto"/>
        <w:ind w:left="720" w:firstLine="720"/>
        <w:jc w:val="both"/>
        <w:rPr>
          <w:rFonts w:ascii="Times New Roman" w:hAnsi="Times New Roman"/>
          <w:iCs/>
          <w:sz w:val="24"/>
          <w:szCs w:val="24"/>
          <w:lang w:val="en-US"/>
        </w:rPr>
      </w:pPr>
      <w:r>
        <w:rPr>
          <w:rFonts w:ascii="Times New Roman" w:hAnsi="Times New Roman"/>
          <w:b/>
          <w:iCs/>
          <w:sz w:val="24"/>
          <w:szCs w:val="24"/>
          <w:lang w:val="en-US"/>
        </w:rPr>
        <w:t>ZIYAMBI</w:t>
      </w:r>
      <w:r w:rsidRPr="00A57BE2">
        <w:rPr>
          <w:rFonts w:ascii="Times New Roman" w:hAnsi="Times New Roman"/>
          <w:b/>
          <w:iCs/>
          <w:sz w:val="24"/>
          <w:szCs w:val="24"/>
          <w:lang w:val="en-US"/>
        </w:rPr>
        <w:t xml:space="preserve"> JA</w:t>
      </w:r>
      <w:r>
        <w:rPr>
          <w:rFonts w:ascii="Times New Roman" w:hAnsi="Times New Roman"/>
          <w:b/>
          <w:iCs/>
          <w:sz w:val="24"/>
          <w:szCs w:val="24"/>
          <w:lang w:val="en-US"/>
        </w:rPr>
        <w:t>:</w:t>
      </w:r>
      <w:r w:rsidRPr="00A57BE2">
        <w:rPr>
          <w:rFonts w:ascii="Times New Roman" w:hAnsi="Times New Roman"/>
          <w:iCs/>
          <w:sz w:val="24"/>
          <w:szCs w:val="24"/>
          <w:lang w:val="en-US"/>
        </w:rPr>
        <w:t xml:space="preserve">   </w:t>
      </w:r>
      <w:r>
        <w:rPr>
          <w:rFonts w:ascii="Times New Roman" w:hAnsi="Times New Roman"/>
          <w:iCs/>
          <w:sz w:val="24"/>
          <w:szCs w:val="24"/>
          <w:lang w:val="en-US"/>
        </w:rPr>
        <w:tab/>
      </w:r>
      <w:r>
        <w:rPr>
          <w:rFonts w:ascii="Times New Roman" w:hAnsi="Times New Roman"/>
          <w:iCs/>
          <w:sz w:val="24"/>
          <w:szCs w:val="24"/>
          <w:lang w:val="en-US"/>
        </w:rPr>
        <w:tab/>
      </w:r>
      <w:r>
        <w:rPr>
          <w:rFonts w:ascii="Times New Roman" w:hAnsi="Times New Roman"/>
          <w:iCs/>
          <w:sz w:val="24"/>
          <w:szCs w:val="24"/>
          <w:lang w:val="en-US"/>
        </w:rPr>
        <w:tab/>
      </w:r>
      <w:r w:rsidRPr="00A57BE2">
        <w:rPr>
          <w:rFonts w:ascii="Times New Roman" w:hAnsi="Times New Roman"/>
          <w:iCs/>
          <w:sz w:val="24"/>
          <w:szCs w:val="24"/>
          <w:lang w:val="en-US"/>
        </w:rPr>
        <w:t>I agree</w:t>
      </w:r>
    </w:p>
    <w:p w:rsidR="00D47219" w:rsidRPr="00A57BE2" w:rsidRDefault="00D47219" w:rsidP="00D47219">
      <w:pPr>
        <w:spacing w:after="0" w:line="480" w:lineRule="auto"/>
        <w:ind w:left="720" w:firstLine="720"/>
        <w:jc w:val="both"/>
        <w:rPr>
          <w:rFonts w:ascii="Times New Roman" w:hAnsi="Times New Roman"/>
          <w:iCs/>
          <w:sz w:val="24"/>
          <w:szCs w:val="24"/>
          <w:lang w:val="en-US"/>
        </w:rPr>
      </w:pPr>
    </w:p>
    <w:p w:rsidR="00815E71" w:rsidRDefault="00815E71" w:rsidP="00D47219">
      <w:pPr>
        <w:spacing w:after="0" w:line="480" w:lineRule="auto"/>
        <w:ind w:left="720" w:firstLine="720"/>
        <w:jc w:val="both"/>
        <w:rPr>
          <w:rFonts w:ascii="Times New Roman" w:hAnsi="Times New Roman"/>
          <w:b/>
          <w:iCs/>
          <w:sz w:val="24"/>
          <w:szCs w:val="24"/>
          <w:lang w:val="en-US"/>
        </w:rPr>
      </w:pPr>
    </w:p>
    <w:p w:rsidR="00D47219" w:rsidRPr="00A57BE2" w:rsidRDefault="00D47219" w:rsidP="00D47219">
      <w:pPr>
        <w:spacing w:after="0" w:line="480" w:lineRule="auto"/>
        <w:ind w:left="720" w:firstLine="720"/>
        <w:jc w:val="both"/>
        <w:rPr>
          <w:rFonts w:ascii="Times New Roman" w:hAnsi="Times New Roman"/>
          <w:iCs/>
          <w:sz w:val="24"/>
          <w:szCs w:val="24"/>
          <w:lang w:val="en-US"/>
        </w:rPr>
      </w:pPr>
      <w:r w:rsidRPr="00A57BE2">
        <w:rPr>
          <w:rFonts w:ascii="Times New Roman" w:hAnsi="Times New Roman"/>
          <w:b/>
          <w:iCs/>
          <w:sz w:val="24"/>
          <w:szCs w:val="24"/>
          <w:lang w:val="en-US"/>
        </w:rPr>
        <w:t>MAVANGIRA AJA</w:t>
      </w:r>
      <w:r>
        <w:rPr>
          <w:rFonts w:ascii="Times New Roman" w:hAnsi="Times New Roman"/>
          <w:b/>
          <w:iCs/>
          <w:sz w:val="24"/>
          <w:szCs w:val="24"/>
          <w:lang w:val="en-US"/>
        </w:rPr>
        <w:t>:</w:t>
      </w:r>
      <w:r w:rsidRPr="00A57BE2">
        <w:rPr>
          <w:rFonts w:ascii="Times New Roman" w:hAnsi="Times New Roman"/>
          <w:iCs/>
          <w:sz w:val="24"/>
          <w:szCs w:val="24"/>
          <w:lang w:val="en-US"/>
        </w:rPr>
        <w:t xml:space="preserve"> </w:t>
      </w:r>
      <w:r>
        <w:rPr>
          <w:rFonts w:ascii="Times New Roman" w:hAnsi="Times New Roman"/>
          <w:iCs/>
          <w:sz w:val="24"/>
          <w:szCs w:val="24"/>
          <w:lang w:val="en-US"/>
        </w:rPr>
        <w:tab/>
      </w:r>
      <w:r>
        <w:rPr>
          <w:rFonts w:ascii="Times New Roman" w:hAnsi="Times New Roman"/>
          <w:iCs/>
          <w:sz w:val="24"/>
          <w:szCs w:val="24"/>
          <w:lang w:val="en-US"/>
        </w:rPr>
        <w:tab/>
      </w:r>
      <w:r w:rsidRPr="00A57BE2">
        <w:rPr>
          <w:rFonts w:ascii="Times New Roman" w:hAnsi="Times New Roman"/>
          <w:iCs/>
          <w:sz w:val="24"/>
          <w:szCs w:val="24"/>
          <w:lang w:val="en-US"/>
        </w:rPr>
        <w:t>I agree</w:t>
      </w:r>
    </w:p>
    <w:p w:rsidR="00D47219" w:rsidRDefault="00D47219" w:rsidP="00D47219">
      <w:pPr>
        <w:spacing w:after="0" w:line="480" w:lineRule="auto"/>
        <w:jc w:val="both"/>
        <w:rPr>
          <w:rFonts w:ascii="Times New Roman" w:hAnsi="Times New Roman"/>
          <w:i/>
          <w:iCs/>
          <w:sz w:val="24"/>
          <w:szCs w:val="24"/>
          <w:lang w:val="en-US"/>
        </w:rPr>
      </w:pPr>
    </w:p>
    <w:p w:rsidR="004C2ADF" w:rsidRDefault="004C2ADF" w:rsidP="00D47219">
      <w:pPr>
        <w:spacing w:after="0" w:line="480" w:lineRule="auto"/>
        <w:jc w:val="both"/>
        <w:rPr>
          <w:rFonts w:ascii="Times New Roman" w:hAnsi="Times New Roman"/>
          <w:i/>
          <w:iCs/>
          <w:sz w:val="24"/>
          <w:szCs w:val="24"/>
          <w:lang w:val="en-US"/>
        </w:rPr>
      </w:pPr>
    </w:p>
    <w:p w:rsidR="004C2ADF" w:rsidRDefault="004C2ADF" w:rsidP="00D47219">
      <w:pPr>
        <w:spacing w:after="0" w:line="480" w:lineRule="auto"/>
        <w:jc w:val="both"/>
        <w:rPr>
          <w:rFonts w:ascii="Times New Roman" w:hAnsi="Times New Roman"/>
          <w:i/>
          <w:iCs/>
          <w:sz w:val="24"/>
          <w:szCs w:val="24"/>
          <w:lang w:val="en-US"/>
        </w:rPr>
      </w:pPr>
    </w:p>
    <w:p w:rsidR="00D47219" w:rsidRPr="00A57BE2" w:rsidRDefault="00D47219" w:rsidP="004C2ADF">
      <w:pPr>
        <w:spacing w:after="0" w:line="360" w:lineRule="auto"/>
        <w:jc w:val="both"/>
        <w:rPr>
          <w:rFonts w:ascii="Times New Roman" w:hAnsi="Times New Roman"/>
          <w:iCs/>
          <w:sz w:val="24"/>
          <w:szCs w:val="24"/>
          <w:lang w:val="en-US"/>
        </w:rPr>
      </w:pPr>
      <w:r w:rsidRPr="00A57BE2">
        <w:rPr>
          <w:rFonts w:ascii="Times New Roman" w:hAnsi="Times New Roman"/>
          <w:i/>
          <w:iCs/>
          <w:sz w:val="24"/>
          <w:szCs w:val="24"/>
          <w:lang w:val="en-US"/>
        </w:rPr>
        <w:t xml:space="preserve">Danziger </w:t>
      </w:r>
      <w:r>
        <w:rPr>
          <w:rFonts w:ascii="Times New Roman" w:hAnsi="Times New Roman"/>
          <w:i/>
          <w:iCs/>
          <w:sz w:val="24"/>
          <w:szCs w:val="24"/>
          <w:lang w:val="en-US"/>
        </w:rPr>
        <w:t>&amp;</w:t>
      </w:r>
      <w:r w:rsidRPr="00A57BE2">
        <w:rPr>
          <w:rFonts w:ascii="Times New Roman" w:hAnsi="Times New Roman"/>
          <w:i/>
          <w:iCs/>
          <w:sz w:val="24"/>
          <w:szCs w:val="24"/>
          <w:lang w:val="en-US"/>
        </w:rPr>
        <w:t xml:space="preserve"> Partners</w:t>
      </w:r>
      <w:r>
        <w:rPr>
          <w:rFonts w:ascii="Times New Roman" w:hAnsi="Times New Roman"/>
          <w:i/>
          <w:iCs/>
          <w:sz w:val="24"/>
          <w:szCs w:val="24"/>
          <w:lang w:val="en-US"/>
        </w:rPr>
        <w:t>,</w:t>
      </w:r>
      <w:r w:rsidRPr="00A57BE2">
        <w:rPr>
          <w:rFonts w:ascii="Times New Roman" w:hAnsi="Times New Roman"/>
          <w:iCs/>
          <w:sz w:val="24"/>
          <w:szCs w:val="24"/>
          <w:lang w:val="en-US"/>
        </w:rPr>
        <w:t xml:space="preserve"> </w:t>
      </w:r>
      <w:r>
        <w:rPr>
          <w:rFonts w:ascii="Times New Roman" w:hAnsi="Times New Roman"/>
          <w:iCs/>
          <w:sz w:val="24"/>
          <w:szCs w:val="24"/>
          <w:lang w:val="en-US"/>
        </w:rPr>
        <w:t>appellant’s legal p</w:t>
      </w:r>
      <w:r w:rsidRPr="00A57BE2">
        <w:rPr>
          <w:rFonts w:ascii="Times New Roman" w:hAnsi="Times New Roman"/>
          <w:iCs/>
          <w:sz w:val="24"/>
          <w:szCs w:val="24"/>
          <w:lang w:val="en-US"/>
        </w:rPr>
        <w:t>ractitioners</w:t>
      </w:r>
    </w:p>
    <w:p w:rsidR="00761989" w:rsidRDefault="00C0538A" w:rsidP="004C2ADF">
      <w:pPr>
        <w:spacing w:after="0" w:line="360" w:lineRule="auto"/>
        <w:jc w:val="both"/>
      </w:pPr>
      <w:r>
        <w:rPr>
          <w:rFonts w:ascii="Times New Roman" w:hAnsi="Times New Roman"/>
          <w:i/>
          <w:iCs/>
          <w:sz w:val="24"/>
          <w:szCs w:val="24"/>
          <w:lang w:val="en-US"/>
        </w:rPr>
        <w:t>Mbidzo, Muchadehama &amp; Makoni</w:t>
      </w:r>
      <w:r w:rsidR="00D47219">
        <w:rPr>
          <w:rFonts w:ascii="Times New Roman" w:hAnsi="Times New Roman"/>
          <w:i/>
          <w:iCs/>
          <w:sz w:val="24"/>
          <w:szCs w:val="24"/>
          <w:lang w:val="en-US"/>
        </w:rPr>
        <w:t xml:space="preserve">, </w:t>
      </w:r>
      <w:r w:rsidR="00D47219">
        <w:rPr>
          <w:rFonts w:ascii="Times New Roman" w:hAnsi="Times New Roman"/>
          <w:iCs/>
          <w:sz w:val="24"/>
          <w:szCs w:val="24"/>
          <w:lang w:val="en-US"/>
        </w:rPr>
        <w:t>respondent’s l</w:t>
      </w:r>
      <w:r w:rsidR="00D47219" w:rsidRPr="00A57BE2">
        <w:rPr>
          <w:rFonts w:ascii="Times New Roman" w:hAnsi="Times New Roman"/>
          <w:iCs/>
          <w:sz w:val="24"/>
          <w:szCs w:val="24"/>
          <w:lang w:val="en-US"/>
        </w:rPr>
        <w:t>egal practitioners</w:t>
      </w:r>
    </w:p>
    <w:sectPr w:rsidR="00761989" w:rsidSect="00D233CD">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FE2" w:rsidRDefault="00DE7FE2" w:rsidP="00D47219">
      <w:pPr>
        <w:spacing w:after="0" w:line="240" w:lineRule="auto"/>
      </w:pPr>
      <w:r>
        <w:separator/>
      </w:r>
    </w:p>
  </w:endnote>
  <w:endnote w:type="continuationSeparator" w:id="0">
    <w:p w:rsidR="00DE7FE2" w:rsidRDefault="00DE7FE2" w:rsidP="00D4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FE2" w:rsidRDefault="00DE7FE2" w:rsidP="00D47219">
      <w:pPr>
        <w:spacing w:after="0" w:line="240" w:lineRule="auto"/>
      </w:pPr>
      <w:r>
        <w:separator/>
      </w:r>
    </w:p>
  </w:footnote>
  <w:footnote w:type="continuationSeparator" w:id="0">
    <w:p w:rsidR="00DE7FE2" w:rsidRDefault="00DE7FE2" w:rsidP="00D47219">
      <w:pPr>
        <w:spacing w:after="0" w:line="240" w:lineRule="auto"/>
      </w:pPr>
      <w:r>
        <w:continuationSeparator/>
      </w:r>
    </w:p>
  </w:footnote>
  <w:footnote w:id="1">
    <w:p w:rsidR="00F62E37" w:rsidRPr="003718A0" w:rsidRDefault="00F62E37">
      <w:pPr>
        <w:pStyle w:val="FootnoteText"/>
        <w:rPr>
          <w:i/>
          <w:lang w:val="en-US"/>
        </w:rPr>
      </w:pPr>
      <w:r w:rsidRPr="003718A0">
        <w:rPr>
          <w:rStyle w:val="FootnoteReference"/>
          <w:i/>
        </w:rPr>
        <w:footnoteRef/>
      </w:r>
      <w:r w:rsidRPr="003718A0">
        <w:rPr>
          <w:i/>
        </w:rPr>
        <w:t xml:space="preserve"> </w:t>
      </w:r>
      <w:r w:rsidRPr="003718A0">
        <w:rPr>
          <w:i/>
          <w:lang w:val="en-US"/>
        </w:rPr>
        <w:t>See also Guardian Security Services (Pvt) Ltd v ZBC 2002 (1) ZLR (1)(S).  Goto v Goto 2001 (2) ZLR 519 (S) and Austerlands (Pvt) Ltd v Traded and Investment Bank Ltd &amp; Others 2006 (1) ZLR 371(S).</w:t>
      </w:r>
    </w:p>
  </w:footnote>
  <w:footnote w:id="2">
    <w:p w:rsidR="00C0538A" w:rsidRPr="00C0538A" w:rsidRDefault="00C0538A">
      <w:pPr>
        <w:pStyle w:val="FootnoteText"/>
        <w:rPr>
          <w:lang w:val="en-US"/>
        </w:rPr>
      </w:pPr>
      <w:r>
        <w:rPr>
          <w:rStyle w:val="FootnoteReference"/>
        </w:rPr>
        <w:footnoteRef/>
      </w:r>
      <w:r>
        <w:t xml:space="preserve"> </w:t>
      </w:r>
      <w:r>
        <w:rPr>
          <w:lang w:val="en-US"/>
        </w:rPr>
        <w:t>Goto’s case (</w:t>
      </w:r>
      <w:r>
        <w:rPr>
          <w:i/>
          <w:lang w:val="en-US"/>
        </w:rPr>
        <w:t>supra</w:t>
      </w:r>
      <w:r>
        <w:rPr>
          <w:lang w:val="en-US"/>
        </w:rPr>
        <w:t>) Austerlands (Pvt) Ltd v</w:t>
      </w:r>
      <w:r w:rsidR="00486F8B">
        <w:rPr>
          <w:lang w:val="en-US"/>
        </w:rPr>
        <w:t xml:space="preserve"> Trade &amp; Investment Bank Ltd &amp; O</w:t>
      </w:r>
      <w:r>
        <w:rPr>
          <w:lang w:val="en-US"/>
        </w:rPr>
        <w:t>thers – 2006 (1) ZLR 373 at 378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874"/>
      <w:gridCol w:w="1152"/>
    </w:tblGrid>
    <w:tr w:rsidR="00603426">
      <w:tc>
        <w:tcPr>
          <w:tcW w:w="0" w:type="auto"/>
          <w:tcBorders>
            <w:right w:val="single" w:sz="6" w:space="0" w:color="000000" w:themeColor="text1"/>
          </w:tcBorders>
        </w:tcPr>
        <w:sdt>
          <w:sdtPr>
            <w:alias w:val="Company"/>
            <w:id w:val="78735422"/>
            <w:placeholder>
              <w:docPart w:val="383416B79FCA40ADA028169D693F85F3"/>
            </w:placeholder>
            <w:dataBinding w:prefixMappings="xmlns:ns0='http://schemas.openxmlformats.org/officeDocument/2006/extended-properties'" w:xpath="/ns0:Properties[1]/ns0:Company[1]" w:storeItemID="{6668398D-A668-4E3E-A5EB-62B293D839F1}"/>
            <w:text/>
          </w:sdtPr>
          <w:sdtEndPr/>
          <w:sdtContent>
            <w:p w:rsidR="00603426" w:rsidRDefault="00603426">
              <w:pPr>
                <w:pStyle w:val="Header"/>
                <w:jc w:val="right"/>
              </w:pPr>
              <w:r>
                <w:rPr>
                  <w:lang w:val="en-US"/>
                </w:rPr>
                <w:t>Judgment No. SC 60/2015</w:t>
              </w:r>
            </w:p>
          </w:sdtContent>
        </w:sdt>
        <w:sdt>
          <w:sdtPr>
            <w:rPr>
              <w:b/>
              <w:bCs/>
            </w:rPr>
            <w:alias w:val="Title"/>
            <w:id w:val="78735415"/>
            <w:placeholder>
              <w:docPart w:val="7106646D4567439684BAD31D0105E9B3"/>
            </w:placeholder>
            <w:dataBinding w:prefixMappings="xmlns:ns0='http://schemas.openxmlformats.org/package/2006/metadata/core-properties' xmlns:ns1='http://purl.org/dc/elements/1.1/'" w:xpath="/ns0:coreProperties[1]/ns1:title[1]" w:storeItemID="{6C3C8BC8-F283-45AE-878A-BAB7291924A1}"/>
            <w:text/>
          </w:sdtPr>
          <w:sdtEndPr/>
          <w:sdtContent>
            <w:p w:rsidR="00603426" w:rsidRDefault="00603426">
              <w:pPr>
                <w:pStyle w:val="Header"/>
                <w:jc w:val="right"/>
                <w:rPr>
                  <w:b/>
                  <w:bCs/>
                </w:rPr>
              </w:pPr>
              <w:r>
                <w:rPr>
                  <w:b/>
                  <w:bCs/>
                  <w:lang w:val="en-US"/>
                </w:rPr>
                <w:t>Civil Appeal No. SC 411/13</w:t>
              </w:r>
            </w:p>
          </w:sdtContent>
        </w:sdt>
      </w:tc>
      <w:tc>
        <w:tcPr>
          <w:tcW w:w="1152" w:type="dxa"/>
          <w:tcBorders>
            <w:left w:val="single" w:sz="6" w:space="0" w:color="000000" w:themeColor="text1"/>
          </w:tcBorders>
        </w:tcPr>
        <w:p w:rsidR="00603426" w:rsidRDefault="00603426">
          <w:pPr>
            <w:pStyle w:val="Header"/>
            <w:rPr>
              <w:b/>
              <w:bCs/>
            </w:rPr>
          </w:pPr>
          <w:r>
            <w:fldChar w:fldCharType="begin"/>
          </w:r>
          <w:r>
            <w:instrText xml:space="preserve"> PAGE   \* MERGEFORMAT </w:instrText>
          </w:r>
          <w:r>
            <w:fldChar w:fldCharType="separate"/>
          </w:r>
          <w:r w:rsidR="00DE7FE2">
            <w:rPr>
              <w:noProof/>
            </w:rPr>
            <w:t>1</w:t>
          </w:r>
          <w:r>
            <w:rPr>
              <w:noProof/>
            </w:rPr>
            <w:fldChar w:fldCharType="end"/>
          </w:r>
        </w:p>
      </w:tc>
    </w:tr>
  </w:tbl>
  <w:p w:rsidR="002C4166" w:rsidRDefault="00DE7F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2BC16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196742"/>
    <w:multiLevelType w:val="hybridMultilevel"/>
    <w:tmpl w:val="9BCE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651F2"/>
    <w:multiLevelType w:val="hybridMultilevel"/>
    <w:tmpl w:val="2EEC7C50"/>
    <w:lvl w:ilvl="0" w:tplc="7D8830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9823C4E"/>
    <w:multiLevelType w:val="hybridMultilevel"/>
    <w:tmpl w:val="4DCABB2C"/>
    <w:lvl w:ilvl="0" w:tplc="C7DCE68C">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nsid w:val="1D4C235A"/>
    <w:multiLevelType w:val="hybridMultilevel"/>
    <w:tmpl w:val="AA8EA9BC"/>
    <w:lvl w:ilvl="0" w:tplc="82A6B0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263ACA"/>
    <w:multiLevelType w:val="hybridMultilevel"/>
    <w:tmpl w:val="E460CF6A"/>
    <w:lvl w:ilvl="0" w:tplc="F98296BC">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3A5167F5"/>
    <w:multiLevelType w:val="hybridMultilevel"/>
    <w:tmpl w:val="3FE20D3A"/>
    <w:lvl w:ilvl="0" w:tplc="2A78A8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4240FF"/>
    <w:multiLevelType w:val="hybridMultilevel"/>
    <w:tmpl w:val="6BEA8330"/>
    <w:lvl w:ilvl="0" w:tplc="487C44F0">
      <w:start w:val="1"/>
      <w:numFmt w:val="decimal"/>
      <w:lvlText w:val="%1."/>
      <w:lvlJc w:val="left"/>
      <w:pPr>
        <w:ind w:left="1080" w:hanging="360"/>
      </w:pPr>
      <w:rPr>
        <w:rFonts w:ascii="Times New Roman" w:eastAsiaTheme="minorHAnsi"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8A13F2"/>
    <w:multiLevelType w:val="hybridMultilevel"/>
    <w:tmpl w:val="E9D4FBB2"/>
    <w:lvl w:ilvl="0" w:tplc="040A6012">
      <w:start w:val="1"/>
      <w:numFmt w:val="lowerRoman"/>
      <w:lvlText w:val="(%1)"/>
      <w:lvlJc w:val="left"/>
      <w:pPr>
        <w:ind w:left="1500" w:hanging="720"/>
      </w:pPr>
      <w:rPr>
        <w:rFonts w:hint="default"/>
      </w:rPr>
    </w:lvl>
    <w:lvl w:ilvl="1" w:tplc="30090019" w:tentative="1">
      <w:start w:val="1"/>
      <w:numFmt w:val="lowerLetter"/>
      <w:lvlText w:val="%2."/>
      <w:lvlJc w:val="left"/>
      <w:pPr>
        <w:ind w:left="1860" w:hanging="360"/>
      </w:pPr>
    </w:lvl>
    <w:lvl w:ilvl="2" w:tplc="3009001B" w:tentative="1">
      <w:start w:val="1"/>
      <w:numFmt w:val="lowerRoman"/>
      <w:lvlText w:val="%3."/>
      <w:lvlJc w:val="right"/>
      <w:pPr>
        <w:ind w:left="2580" w:hanging="180"/>
      </w:pPr>
    </w:lvl>
    <w:lvl w:ilvl="3" w:tplc="3009000F" w:tentative="1">
      <w:start w:val="1"/>
      <w:numFmt w:val="decimal"/>
      <w:lvlText w:val="%4."/>
      <w:lvlJc w:val="left"/>
      <w:pPr>
        <w:ind w:left="3300" w:hanging="360"/>
      </w:pPr>
    </w:lvl>
    <w:lvl w:ilvl="4" w:tplc="30090019" w:tentative="1">
      <w:start w:val="1"/>
      <w:numFmt w:val="lowerLetter"/>
      <w:lvlText w:val="%5."/>
      <w:lvlJc w:val="left"/>
      <w:pPr>
        <w:ind w:left="4020" w:hanging="360"/>
      </w:pPr>
    </w:lvl>
    <w:lvl w:ilvl="5" w:tplc="3009001B" w:tentative="1">
      <w:start w:val="1"/>
      <w:numFmt w:val="lowerRoman"/>
      <w:lvlText w:val="%6."/>
      <w:lvlJc w:val="right"/>
      <w:pPr>
        <w:ind w:left="4740" w:hanging="180"/>
      </w:pPr>
    </w:lvl>
    <w:lvl w:ilvl="6" w:tplc="3009000F" w:tentative="1">
      <w:start w:val="1"/>
      <w:numFmt w:val="decimal"/>
      <w:lvlText w:val="%7."/>
      <w:lvlJc w:val="left"/>
      <w:pPr>
        <w:ind w:left="5460" w:hanging="360"/>
      </w:pPr>
    </w:lvl>
    <w:lvl w:ilvl="7" w:tplc="30090019" w:tentative="1">
      <w:start w:val="1"/>
      <w:numFmt w:val="lowerLetter"/>
      <w:lvlText w:val="%8."/>
      <w:lvlJc w:val="left"/>
      <w:pPr>
        <w:ind w:left="6180" w:hanging="360"/>
      </w:pPr>
    </w:lvl>
    <w:lvl w:ilvl="8" w:tplc="3009001B" w:tentative="1">
      <w:start w:val="1"/>
      <w:numFmt w:val="lowerRoman"/>
      <w:lvlText w:val="%9."/>
      <w:lvlJc w:val="right"/>
      <w:pPr>
        <w:ind w:left="6900" w:hanging="180"/>
      </w:pPr>
    </w:lvl>
  </w:abstractNum>
  <w:abstractNum w:abstractNumId="9">
    <w:nsid w:val="69FE14CC"/>
    <w:multiLevelType w:val="hybridMultilevel"/>
    <w:tmpl w:val="BC245ABC"/>
    <w:lvl w:ilvl="0" w:tplc="F60E00DE">
      <w:start w:val="1"/>
      <w:numFmt w:val="lowerRoman"/>
      <w:lvlText w:val="(%1)"/>
      <w:lvlJc w:val="left"/>
      <w:pPr>
        <w:ind w:left="1500" w:hanging="720"/>
      </w:pPr>
      <w:rPr>
        <w:rFonts w:hint="default"/>
      </w:rPr>
    </w:lvl>
    <w:lvl w:ilvl="1" w:tplc="30090019" w:tentative="1">
      <w:start w:val="1"/>
      <w:numFmt w:val="lowerLetter"/>
      <w:lvlText w:val="%2."/>
      <w:lvlJc w:val="left"/>
      <w:pPr>
        <w:ind w:left="1860" w:hanging="360"/>
      </w:pPr>
    </w:lvl>
    <w:lvl w:ilvl="2" w:tplc="3009001B" w:tentative="1">
      <w:start w:val="1"/>
      <w:numFmt w:val="lowerRoman"/>
      <w:lvlText w:val="%3."/>
      <w:lvlJc w:val="right"/>
      <w:pPr>
        <w:ind w:left="2580" w:hanging="180"/>
      </w:pPr>
    </w:lvl>
    <w:lvl w:ilvl="3" w:tplc="3009000F" w:tentative="1">
      <w:start w:val="1"/>
      <w:numFmt w:val="decimal"/>
      <w:lvlText w:val="%4."/>
      <w:lvlJc w:val="left"/>
      <w:pPr>
        <w:ind w:left="3300" w:hanging="360"/>
      </w:pPr>
    </w:lvl>
    <w:lvl w:ilvl="4" w:tplc="30090019" w:tentative="1">
      <w:start w:val="1"/>
      <w:numFmt w:val="lowerLetter"/>
      <w:lvlText w:val="%5."/>
      <w:lvlJc w:val="left"/>
      <w:pPr>
        <w:ind w:left="4020" w:hanging="360"/>
      </w:pPr>
    </w:lvl>
    <w:lvl w:ilvl="5" w:tplc="3009001B" w:tentative="1">
      <w:start w:val="1"/>
      <w:numFmt w:val="lowerRoman"/>
      <w:lvlText w:val="%6."/>
      <w:lvlJc w:val="right"/>
      <w:pPr>
        <w:ind w:left="4740" w:hanging="180"/>
      </w:pPr>
    </w:lvl>
    <w:lvl w:ilvl="6" w:tplc="3009000F" w:tentative="1">
      <w:start w:val="1"/>
      <w:numFmt w:val="decimal"/>
      <w:lvlText w:val="%7."/>
      <w:lvlJc w:val="left"/>
      <w:pPr>
        <w:ind w:left="5460" w:hanging="360"/>
      </w:pPr>
    </w:lvl>
    <w:lvl w:ilvl="7" w:tplc="30090019" w:tentative="1">
      <w:start w:val="1"/>
      <w:numFmt w:val="lowerLetter"/>
      <w:lvlText w:val="%8."/>
      <w:lvlJc w:val="left"/>
      <w:pPr>
        <w:ind w:left="6180" w:hanging="360"/>
      </w:pPr>
    </w:lvl>
    <w:lvl w:ilvl="8" w:tplc="3009001B" w:tentative="1">
      <w:start w:val="1"/>
      <w:numFmt w:val="lowerRoman"/>
      <w:lvlText w:val="%9."/>
      <w:lvlJc w:val="right"/>
      <w:pPr>
        <w:ind w:left="6900" w:hanging="180"/>
      </w:pPr>
    </w:lvl>
  </w:abstractNum>
  <w:num w:numId="1">
    <w:abstractNumId w:val="5"/>
  </w:num>
  <w:num w:numId="2">
    <w:abstractNumId w:val="2"/>
  </w:num>
  <w:num w:numId="3">
    <w:abstractNumId w:val="7"/>
  </w:num>
  <w:num w:numId="4">
    <w:abstractNumId w:val="6"/>
  </w:num>
  <w:num w:numId="5">
    <w:abstractNumId w:val="1"/>
  </w:num>
  <w:num w:numId="6">
    <w:abstractNumId w:val="0"/>
  </w:num>
  <w:num w:numId="7">
    <w:abstractNumId w:val="4"/>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219"/>
    <w:rsid w:val="00021038"/>
    <w:rsid w:val="0002496C"/>
    <w:rsid w:val="00063329"/>
    <w:rsid w:val="000F37F5"/>
    <w:rsid w:val="001B3CA9"/>
    <w:rsid w:val="001C340A"/>
    <w:rsid w:val="001C38C4"/>
    <w:rsid w:val="001F32FB"/>
    <w:rsid w:val="0020610C"/>
    <w:rsid w:val="00322E18"/>
    <w:rsid w:val="003274F2"/>
    <w:rsid w:val="003718A0"/>
    <w:rsid w:val="003D7C42"/>
    <w:rsid w:val="00486F8B"/>
    <w:rsid w:val="004941DC"/>
    <w:rsid w:val="004C2ADF"/>
    <w:rsid w:val="004D6584"/>
    <w:rsid w:val="004F2A7B"/>
    <w:rsid w:val="004F4A86"/>
    <w:rsid w:val="00594591"/>
    <w:rsid w:val="005C23A4"/>
    <w:rsid w:val="00603426"/>
    <w:rsid w:val="00641674"/>
    <w:rsid w:val="00642876"/>
    <w:rsid w:val="006E6AAC"/>
    <w:rsid w:val="00714C31"/>
    <w:rsid w:val="0073234A"/>
    <w:rsid w:val="00761989"/>
    <w:rsid w:val="0077547C"/>
    <w:rsid w:val="007E36B4"/>
    <w:rsid w:val="00815E71"/>
    <w:rsid w:val="008268CC"/>
    <w:rsid w:val="0086179E"/>
    <w:rsid w:val="00870522"/>
    <w:rsid w:val="00872E05"/>
    <w:rsid w:val="00880C14"/>
    <w:rsid w:val="00882314"/>
    <w:rsid w:val="008858E9"/>
    <w:rsid w:val="008A54BF"/>
    <w:rsid w:val="00957320"/>
    <w:rsid w:val="0098137A"/>
    <w:rsid w:val="009A2814"/>
    <w:rsid w:val="009B36BB"/>
    <w:rsid w:val="00A012E5"/>
    <w:rsid w:val="00A102F4"/>
    <w:rsid w:val="00A8344F"/>
    <w:rsid w:val="00A83BFB"/>
    <w:rsid w:val="00AA3F72"/>
    <w:rsid w:val="00AA540B"/>
    <w:rsid w:val="00B24A93"/>
    <w:rsid w:val="00B37FF1"/>
    <w:rsid w:val="00B90877"/>
    <w:rsid w:val="00BD13E3"/>
    <w:rsid w:val="00C0538A"/>
    <w:rsid w:val="00C316B2"/>
    <w:rsid w:val="00C510CA"/>
    <w:rsid w:val="00C51ACB"/>
    <w:rsid w:val="00C55A75"/>
    <w:rsid w:val="00C74DCB"/>
    <w:rsid w:val="00CD74EE"/>
    <w:rsid w:val="00CD7DD1"/>
    <w:rsid w:val="00D22F50"/>
    <w:rsid w:val="00D47219"/>
    <w:rsid w:val="00DA0571"/>
    <w:rsid w:val="00DC2F75"/>
    <w:rsid w:val="00DC7DF3"/>
    <w:rsid w:val="00DE7FE2"/>
    <w:rsid w:val="00DF26A9"/>
    <w:rsid w:val="00E44D18"/>
    <w:rsid w:val="00E44D8F"/>
    <w:rsid w:val="00E552F5"/>
    <w:rsid w:val="00E813CD"/>
    <w:rsid w:val="00ED11D0"/>
    <w:rsid w:val="00F62E37"/>
    <w:rsid w:val="00FD3768"/>
    <w:rsid w:val="00FE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DF7F2-E093-418F-80C2-9A01039E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219"/>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219"/>
    <w:pPr>
      <w:ind w:left="720"/>
      <w:contextualSpacing/>
    </w:pPr>
  </w:style>
  <w:style w:type="paragraph" w:styleId="Header">
    <w:name w:val="header"/>
    <w:basedOn w:val="Normal"/>
    <w:link w:val="HeaderChar"/>
    <w:uiPriority w:val="99"/>
    <w:unhideWhenUsed/>
    <w:rsid w:val="00D47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219"/>
    <w:rPr>
      <w:lang w:val="en-ZW"/>
    </w:rPr>
  </w:style>
  <w:style w:type="paragraph" w:styleId="BalloonText">
    <w:name w:val="Balloon Text"/>
    <w:basedOn w:val="Normal"/>
    <w:link w:val="BalloonTextChar"/>
    <w:uiPriority w:val="99"/>
    <w:semiHidden/>
    <w:unhideWhenUsed/>
    <w:rsid w:val="00D47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219"/>
    <w:rPr>
      <w:rFonts w:ascii="Tahoma" w:hAnsi="Tahoma" w:cs="Tahoma"/>
      <w:sz w:val="16"/>
      <w:szCs w:val="16"/>
      <w:lang w:val="en-ZW"/>
    </w:rPr>
  </w:style>
  <w:style w:type="paragraph" w:styleId="Footer">
    <w:name w:val="footer"/>
    <w:basedOn w:val="Normal"/>
    <w:link w:val="FooterChar"/>
    <w:uiPriority w:val="99"/>
    <w:unhideWhenUsed/>
    <w:rsid w:val="00D4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219"/>
    <w:rPr>
      <w:lang w:val="en-ZW"/>
    </w:rPr>
  </w:style>
  <w:style w:type="paragraph" w:styleId="ListBullet">
    <w:name w:val="List Bullet"/>
    <w:basedOn w:val="Normal"/>
    <w:uiPriority w:val="99"/>
    <w:unhideWhenUsed/>
    <w:rsid w:val="00FD3768"/>
    <w:pPr>
      <w:numPr>
        <w:numId w:val="6"/>
      </w:numPr>
      <w:contextualSpacing/>
    </w:pPr>
  </w:style>
  <w:style w:type="paragraph" w:styleId="FootnoteText">
    <w:name w:val="footnote text"/>
    <w:basedOn w:val="Normal"/>
    <w:link w:val="FootnoteTextChar"/>
    <w:uiPriority w:val="99"/>
    <w:semiHidden/>
    <w:unhideWhenUsed/>
    <w:rsid w:val="00F62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2E37"/>
    <w:rPr>
      <w:sz w:val="20"/>
      <w:szCs w:val="20"/>
      <w:lang w:val="en-ZW"/>
    </w:rPr>
  </w:style>
  <w:style w:type="character" w:styleId="FootnoteReference">
    <w:name w:val="footnote reference"/>
    <w:basedOn w:val="DefaultParagraphFont"/>
    <w:uiPriority w:val="99"/>
    <w:semiHidden/>
    <w:unhideWhenUsed/>
    <w:rsid w:val="00F62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416B79FCA40ADA028169D693F85F3"/>
        <w:category>
          <w:name w:val="General"/>
          <w:gallery w:val="placeholder"/>
        </w:category>
        <w:types>
          <w:type w:val="bbPlcHdr"/>
        </w:types>
        <w:behaviors>
          <w:behavior w:val="content"/>
        </w:behaviors>
        <w:guid w:val="{27FA20F9-74ED-43D2-AC37-DEADDC846273}"/>
      </w:docPartPr>
      <w:docPartBody>
        <w:p w:rsidR="00FB20FF" w:rsidRDefault="00970951" w:rsidP="00970951">
          <w:pPr>
            <w:pStyle w:val="383416B79FCA40ADA028169D693F85F3"/>
          </w:pPr>
          <w:r>
            <w:t>[Type the company name]</w:t>
          </w:r>
        </w:p>
      </w:docPartBody>
    </w:docPart>
    <w:docPart>
      <w:docPartPr>
        <w:name w:val="7106646D4567439684BAD31D0105E9B3"/>
        <w:category>
          <w:name w:val="General"/>
          <w:gallery w:val="placeholder"/>
        </w:category>
        <w:types>
          <w:type w:val="bbPlcHdr"/>
        </w:types>
        <w:behaviors>
          <w:behavior w:val="content"/>
        </w:behaviors>
        <w:guid w:val="{073017BB-1ADC-4310-9928-A8424D4F0394}"/>
      </w:docPartPr>
      <w:docPartBody>
        <w:p w:rsidR="00FB20FF" w:rsidRDefault="00970951" w:rsidP="00970951">
          <w:pPr>
            <w:pStyle w:val="7106646D4567439684BAD31D0105E9B3"/>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951"/>
    <w:rsid w:val="005F7D3C"/>
    <w:rsid w:val="00970951"/>
    <w:rsid w:val="009E6579"/>
    <w:rsid w:val="00D244CA"/>
    <w:rsid w:val="00EE5EB9"/>
    <w:rsid w:val="00FB20F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416B79FCA40ADA028169D693F85F3">
    <w:name w:val="383416B79FCA40ADA028169D693F85F3"/>
    <w:rsid w:val="00970951"/>
  </w:style>
  <w:style w:type="paragraph" w:customStyle="1" w:styleId="7106646D4567439684BAD31D0105E9B3">
    <w:name w:val="7106646D4567439684BAD31D0105E9B3"/>
    <w:rsid w:val="00970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68242-C25D-4DDA-A93B-E86C7609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Civil Appeal No. SC 411/13</vt:lpstr>
    </vt:vector>
  </TitlesOfParts>
  <Company>Judgment No. SC 60/2015</Company>
  <LinksUpToDate>false</LinksUpToDate>
  <CharactersWithSpaces>13667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411/13</dc:title>
  <dc:creator>jomic</dc:creator>
  <cp:lastModifiedBy>JSC-Admin</cp:lastModifiedBy>
  <cp:revision>2</cp:revision>
  <dcterms:created xsi:type="dcterms:W3CDTF">2015-10-23T16:16:00Z</dcterms:created>
  <dcterms:modified xsi:type="dcterms:W3CDTF">2015-10-23T16:16:00Z</dcterms:modified>
</cp:coreProperties>
</file>