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831" w:rsidRDefault="00770831" w:rsidP="00770831">
      <w:pPr>
        <w:rPr>
          <w:rFonts w:ascii="Times New Roman" w:hAnsi="Times New Roman" w:cs="Times New Roman"/>
          <w:b/>
          <w:sz w:val="24"/>
          <w:szCs w:val="24"/>
          <w:u w:val="single"/>
        </w:rPr>
      </w:pPr>
    </w:p>
    <w:p w:rsidR="001B1C63" w:rsidRDefault="001B1C63" w:rsidP="00770831">
      <w:pPr>
        <w:rPr>
          <w:rFonts w:ascii="Times New Roman" w:hAnsi="Times New Roman" w:cs="Times New Roman"/>
          <w:b/>
          <w:sz w:val="24"/>
          <w:szCs w:val="24"/>
          <w:u w:val="single"/>
        </w:rPr>
      </w:pPr>
    </w:p>
    <w:p w:rsidR="001B1C63" w:rsidRDefault="001B1C63" w:rsidP="00770831">
      <w:pPr>
        <w:rPr>
          <w:rFonts w:ascii="Times New Roman" w:hAnsi="Times New Roman" w:cs="Times New Roman"/>
          <w:b/>
          <w:sz w:val="24"/>
          <w:szCs w:val="24"/>
          <w:u w:val="single"/>
        </w:rPr>
      </w:pPr>
    </w:p>
    <w:p w:rsidR="001B1C63" w:rsidRDefault="001B1C63" w:rsidP="00770831">
      <w:pPr>
        <w:rPr>
          <w:rFonts w:ascii="Times New Roman" w:hAnsi="Times New Roman" w:cs="Times New Roman"/>
          <w:b/>
          <w:sz w:val="24"/>
          <w:szCs w:val="24"/>
          <w:u w:val="single"/>
        </w:rPr>
      </w:pPr>
    </w:p>
    <w:p w:rsidR="001B1C63" w:rsidRDefault="001B1C63" w:rsidP="00770831">
      <w:pPr>
        <w:rPr>
          <w:rFonts w:ascii="Times New Roman" w:hAnsi="Times New Roman" w:cs="Times New Roman"/>
          <w:b/>
          <w:sz w:val="24"/>
          <w:szCs w:val="24"/>
          <w:u w:val="single"/>
        </w:rPr>
      </w:pPr>
    </w:p>
    <w:p w:rsidR="00404243" w:rsidRDefault="00770831" w:rsidP="00770831">
      <w:pPr>
        <w:rPr>
          <w:rFonts w:ascii="Times New Roman" w:hAnsi="Times New Roman" w:cs="Times New Roman"/>
          <w:b/>
          <w:sz w:val="24"/>
          <w:szCs w:val="24"/>
          <w:u w:val="single"/>
        </w:rPr>
      </w:pPr>
      <w:r w:rsidRPr="00770831">
        <w:rPr>
          <w:rFonts w:ascii="Times New Roman" w:hAnsi="Times New Roman" w:cs="Times New Roman"/>
          <w:b/>
          <w:sz w:val="24"/>
          <w:szCs w:val="24"/>
          <w:u w:val="single"/>
        </w:rPr>
        <w:t>REPORTABLE (42)</w:t>
      </w:r>
    </w:p>
    <w:p w:rsidR="00770831" w:rsidRDefault="00770831" w:rsidP="00770831">
      <w:pPr>
        <w:rPr>
          <w:rFonts w:ascii="Courier New" w:hAnsi="Courier New" w:cs="Courier New"/>
          <w:sz w:val="24"/>
          <w:szCs w:val="24"/>
        </w:rPr>
      </w:pPr>
    </w:p>
    <w:p w:rsidR="00404243" w:rsidRPr="001A699B" w:rsidRDefault="00484B3B" w:rsidP="00484B3B">
      <w:pPr>
        <w:pStyle w:val="ListParagraph"/>
        <w:numPr>
          <w:ilvl w:val="0"/>
          <w:numId w:val="1"/>
        </w:numPr>
        <w:spacing w:after="0" w:line="240" w:lineRule="auto"/>
        <w:jc w:val="center"/>
        <w:rPr>
          <w:rFonts w:ascii="Times New Roman" w:hAnsi="Times New Roman" w:cs="Times New Roman"/>
          <w:b/>
          <w:sz w:val="24"/>
          <w:szCs w:val="24"/>
        </w:rPr>
      </w:pPr>
      <w:r w:rsidRPr="00484B3B">
        <w:rPr>
          <w:rFonts w:ascii="Courier New" w:hAnsi="Courier New" w:cs="Courier New"/>
          <w:b/>
          <w:sz w:val="24"/>
          <w:szCs w:val="24"/>
        </w:rPr>
        <w:t xml:space="preserve">    </w:t>
      </w:r>
      <w:r w:rsidR="00404243" w:rsidRPr="001A699B">
        <w:rPr>
          <w:rFonts w:ascii="Times New Roman" w:hAnsi="Times New Roman" w:cs="Times New Roman"/>
          <w:b/>
          <w:sz w:val="24"/>
          <w:szCs w:val="24"/>
        </w:rPr>
        <w:t>GOODLIVING</w:t>
      </w:r>
      <w:r w:rsidRPr="001A699B">
        <w:rPr>
          <w:rFonts w:ascii="Times New Roman" w:hAnsi="Times New Roman" w:cs="Times New Roman"/>
          <w:b/>
          <w:sz w:val="24"/>
          <w:szCs w:val="24"/>
        </w:rPr>
        <w:t xml:space="preserve">    </w:t>
      </w:r>
      <w:r w:rsidR="00404243" w:rsidRPr="001A699B">
        <w:rPr>
          <w:rFonts w:ascii="Times New Roman" w:hAnsi="Times New Roman" w:cs="Times New Roman"/>
          <w:b/>
          <w:sz w:val="24"/>
          <w:szCs w:val="24"/>
        </w:rPr>
        <w:t xml:space="preserve"> REAL</w:t>
      </w:r>
      <w:r w:rsidRPr="001A699B">
        <w:rPr>
          <w:rFonts w:ascii="Times New Roman" w:hAnsi="Times New Roman" w:cs="Times New Roman"/>
          <w:b/>
          <w:sz w:val="24"/>
          <w:szCs w:val="24"/>
        </w:rPr>
        <w:t xml:space="preserve">    </w:t>
      </w:r>
      <w:r w:rsidR="00404243" w:rsidRPr="001A699B">
        <w:rPr>
          <w:rFonts w:ascii="Times New Roman" w:hAnsi="Times New Roman" w:cs="Times New Roman"/>
          <w:b/>
          <w:sz w:val="24"/>
          <w:szCs w:val="24"/>
        </w:rPr>
        <w:t xml:space="preserve"> ESTA</w:t>
      </w:r>
      <w:r w:rsidRPr="001A699B">
        <w:rPr>
          <w:rFonts w:ascii="Times New Roman" w:hAnsi="Times New Roman" w:cs="Times New Roman"/>
          <w:b/>
          <w:sz w:val="24"/>
          <w:szCs w:val="24"/>
        </w:rPr>
        <w:t>T</w:t>
      </w:r>
      <w:r w:rsidR="00404243" w:rsidRPr="001A699B">
        <w:rPr>
          <w:rFonts w:ascii="Times New Roman" w:hAnsi="Times New Roman" w:cs="Times New Roman"/>
          <w:b/>
          <w:sz w:val="24"/>
          <w:szCs w:val="24"/>
        </w:rPr>
        <w:t>E</w:t>
      </w:r>
      <w:r w:rsidRPr="001A699B">
        <w:rPr>
          <w:rFonts w:ascii="Times New Roman" w:hAnsi="Times New Roman" w:cs="Times New Roman"/>
          <w:b/>
          <w:sz w:val="24"/>
          <w:szCs w:val="24"/>
        </w:rPr>
        <w:t xml:space="preserve">    </w:t>
      </w:r>
      <w:r w:rsidR="00404243" w:rsidRPr="001A699B">
        <w:rPr>
          <w:rFonts w:ascii="Times New Roman" w:hAnsi="Times New Roman" w:cs="Times New Roman"/>
          <w:b/>
          <w:sz w:val="24"/>
          <w:szCs w:val="24"/>
        </w:rPr>
        <w:t xml:space="preserve"> PRIVATE</w:t>
      </w:r>
      <w:r w:rsidRPr="001A699B">
        <w:rPr>
          <w:rFonts w:ascii="Times New Roman" w:hAnsi="Times New Roman" w:cs="Times New Roman"/>
          <w:b/>
          <w:sz w:val="24"/>
          <w:szCs w:val="24"/>
        </w:rPr>
        <w:t xml:space="preserve">    </w:t>
      </w:r>
      <w:r w:rsidR="00404243" w:rsidRPr="001A699B">
        <w:rPr>
          <w:rFonts w:ascii="Times New Roman" w:hAnsi="Times New Roman" w:cs="Times New Roman"/>
          <w:b/>
          <w:sz w:val="24"/>
          <w:szCs w:val="24"/>
        </w:rPr>
        <w:t xml:space="preserve"> LIMITED</w:t>
      </w:r>
      <w:r w:rsidRPr="001A699B">
        <w:rPr>
          <w:rFonts w:ascii="Times New Roman" w:hAnsi="Times New Roman" w:cs="Times New Roman"/>
          <w:b/>
          <w:sz w:val="24"/>
          <w:szCs w:val="24"/>
        </w:rPr>
        <w:t xml:space="preserve">    </w:t>
      </w:r>
      <w:r w:rsidR="00404243" w:rsidRPr="001A699B">
        <w:rPr>
          <w:rFonts w:ascii="Times New Roman" w:hAnsi="Times New Roman" w:cs="Times New Roman"/>
          <w:b/>
          <w:sz w:val="24"/>
          <w:szCs w:val="24"/>
        </w:rPr>
        <w:t xml:space="preserve"> (2)</w:t>
      </w:r>
      <w:r w:rsidRPr="001A699B">
        <w:rPr>
          <w:rFonts w:ascii="Times New Roman" w:hAnsi="Times New Roman" w:cs="Times New Roman"/>
          <w:b/>
          <w:sz w:val="24"/>
          <w:szCs w:val="24"/>
        </w:rPr>
        <w:t xml:space="preserve">    </w:t>
      </w:r>
      <w:r w:rsidR="00404243" w:rsidRPr="001A699B">
        <w:rPr>
          <w:rFonts w:ascii="Times New Roman" w:hAnsi="Times New Roman" w:cs="Times New Roman"/>
          <w:b/>
          <w:sz w:val="24"/>
          <w:szCs w:val="24"/>
        </w:rPr>
        <w:t>JEROME</w:t>
      </w:r>
      <w:r w:rsidRPr="001A699B">
        <w:rPr>
          <w:rFonts w:ascii="Times New Roman" w:hAnsi="Times New Roman" w:cs="Times New Roman"/>
          <w:b/>
          <w:sz w:val="24"/>
          <w:szCs w:val="24"/>
        </w:rPr>
        <w:t xml:space="preserve">    </w:t>
      </w:r>
      <w:r w:rsidR="00404243" w:rsidRPr="001A699B">
        <w:rPr>
          <w:rFonts w:ascii="Times New Roman" w:hAnsi="Times New Roman" w:cs="Times New Roman"/>
          <w:b/>
          <w:sz w:val="24"/>
          <w:szCs w:val="24"/>
        </w:rPr>
        <w:t xml:space="preserve"> NDUBISI</w:t>
      </w:r>
      <w:r w:rsidRPr="001A699B">
        <w:rPr>
          <w:rFonts w:ascii="Times New Roman" w:hAnsi="Times New Roman" w:cs="Times New Roman"/>
          <w:b/>
          <w:sz w:val="24"/>
          <w:szCs w:val="24"/>
        </w:rPr>
        <w:t xml:space="preserve">    </w:t>
      </w:r>
      <w:r w:rsidR="00404243" w:rsidRPr="001A699B">
        <w:rPr>
          <w:rFonts w:ascii="Times New Roman" w:hAnsi="Times New Roman" w:cs="Times New Roman"/>
          <w:b/>
          <w:sz w:val="24"/>
          <w:szCs w:val="24"/>
        </w:rPr>
        <w:t xml:space="preserve"> OKEKE</w:t>
      </w:r>
    </w:p>
    <w:p w:rsidR="00404243" w:rsidRPr="001A699B" w:rsidRDefault="00484B3B" w:rsidP="00484B3B">
      <w:pPr>
        <w:spacing w:after="0" w:line="240" w:lineRule="auto"/>
        <w:jc w:val="center"/>
        <w:rPr>
          <w:rFonts w:ascii="Times New Roman" w:hAnsi="Times New Roman" w:cs="Times New Roman"/>
          <w:b/>
          <w:sz w:val="24"/>
          <w:szCs w:val="24"/>
        </w:rPr>
      </w:pPr>
      <w:proofErr w:type="gramStart"/>
      <w:r w:rsidRPr="001A699B">
        <w:rPr>
          <w:rFonts w:ascii="Times New Roman" w:hAnsi="Times New Roman" w:cs="Times New Roman"/>
          <w:b/>
          <w:sz w:val="24"/>
          <w:szCs w:val="24"/>
        </w:rPr>
        <w:t>v</w:t>
      </w:r>
      <w:proofErr w:type="gramEnd"/>
      <w:r w:rsidRPr="001A699B">
        <w:rPr>
          <w:rFonts w:ascii="Times New Roman" w:hAnsi="Times New Roman" w:cs="Times New Roman"/>
          <w:b/>
          <w:sz w:val="24"/>
          <w:szCs w:val="24"/>
        </w:rPr>
        <w:t xml:space="preserve">    </w:t>
      </w:r>
    </w:p>
    <w:p w:rsidR="00404243" w:rsidRPr="001A699B" w:rsidRDefault="00404243" w:rsidP="00484B3B">
      <w:pPr>
        <w:spacing w:after="0" w:line="240" w:lineRule="auto"/>
        <w:jc w:val="center"/>
        <w:rPr>
          <w:rFonts w:ascii="Times New Roman" w:hAnsi="Times New Roman" w:cs="Times New Roman"/>
          <w:b/>
          <w:sz w:val="24"/>
          <w:szCs w:val="24"/>
        </w:rPr>
      </w:pPr>
      <w:r w:rsidRPr="001A699B">
        <w:rPr>
          <w:rFonts w:ascii="Times New Roman" w:hAnsi="Times New Roman" w:cs="Times New Roman"/>
          <w:b/>
          <w:sz w:val="24"/>
          <w:szCs w:val="24"/>
        </w:rPr>
        <w:t xml:space="preserve">LIN </w:t>
      </w:r>
      <w:r w:rsidR="00484B3B" w:rsidRPr="001A699B">
        <w:rPr>
          <w:rFonts w:ascii="Times New Roman" w:hAnsi="Times New Roman" w:cs="Times New Roman"/>
          <w:b/>
          <w:sz w:val="24"/>
          <w:szCs w:val="24"/>
        </w:rPr>
        <w:t xml:space="preserve">    </w:t>
      </w:r>
      <w:r w:rsidRPr="001A699B">
        <w:rPr>
          <w:rFonts w:ascii="Times New Roman" w:hAnsi="Times New Roman" w:cs="Times New Roman"/>
          <w:b/>
          <w:sz w:val="24"/>
          <w:szCs w:val="24"/>
        </w:rPr>
        <w:t>ZHONGMIN</w:t>
      </w:r>
    </w:p>
    <w:p w:rsidR="00484B3B" w:rsidRPr="001A699B" w:rsidRDefault="00484B3B" w:rsidP="00404243">
      <w:pPr>
        <w:jc w:val="center"/>
        <w:rPr>
          <w:rFonts w:ascii="Times New Roman" w:hAnsi="Times New Roman" w:cs="Times New Roman"/>
          <w:sz w:val="24"/>
          <w:szCs w:val="24"/>
        </w:rPr>
      </w:pPr>
    </w:p>
    <w:p w:rsidR="00484B3B" w:rsidRPr="001A699B" w:rsidRDefault="00484B3B" w:rsidP="00404243">
      <w:pPr>
        <w:jc w:val="center"/>
        <w:rPr>
          <w:rFonts w:ascii="Times New Roman" w:hAnsi="Times New Roman" w:cs="Times New Roman"/>
          <w:sz w:val="24"/>
          <w:szCs w:val="24"/>
        </w:rPr>
      </w:pPr>
    </w:p>
    <w:p w:rsidR="00484B3B" w:rsidRPr="001A699B" w:rsidRDefault="00484B3B" w:rsidP="00484B3B">
      <w:pPr>
        <w:spacing w:after="0" w:line="240" w:lineRule="auto"/>
        <w:rPr>
          <w:rFonts w:ascii="Times New Roman" w:hAnsi="Times New Roman" w:cs="Times New Roman"/>
          <w:b/>
          <w:sz w:val="24"/>
          <w:szCs w:val="24"/>
        </w:rPr>
      </w:pPr>
      <w:r w:rsidRPr="001A699B">
        <w:rPr>
          <w:rFonts w:ascii="Times New Roman" w:hAnsi="Times New Roman" w:cs="Times New Roman"/>
          <w:b/>
          <w:sz w:val="24"/>
          <w:szCs w:val="24"/>
        </w:rPr>
        <w:t>SUPREME COURT OF ZIMBABWE</w:t>
      </w:r>
    </w:p>
    <w:p w:rsidR="00484B3B" w:rsidRPr="001A699B" w:rsidRDefault="00484B3B" w:rsidP="00484B3B">
      <w:pPr>
        <w:spacing w:after="0" w:line="240" w:lineRule="auto"/>
        <w:rPr>
          <w:rFonts w:ascii="Times New Roman" w:hAnsi="Times New Roman" w:cs="Times New Roman"/>
          <w:b/>
          <w:sz w:val="24"/>
          <w:szCs w:val="24"/>
        </w:rPr>
      </w:pPr>
      <w:r w:rsidRPr="001A699B">
        <w:rPr>
          <w:rFonts w:ascii="Times New Roman" w:hAnsi="Times New Roman" w:cs="Times New Roman"/>
          <w:b/>
          <w:sz w:val="24"/>
          <w:szCs w:val="24"/>
        </w:rPr>
        <w:t>ZIYAMBI JA, GARWE JA &amp; PATEL JA</w:t>
      </w:r>
    </w:p>
    <w:p w:rsidR="00484B3B" w:rsidRPr="001A699B" w:rsidRDefault="00484B3B" w:rsidP="00484B3B">
      <w:pPr>
        <w:spacing w:after="0" w:line="240" w:lineRule="auto"/>
        <w:rPr>
          <w:rFonts w:ascii="Times New Roman" w:hAnsi="Times New Roman" w:cs="Times New Roman"/>
          <w:b/>
          <w:sz w:val="24"/>
          <w:szCs w:val="24"/>
        </w:rPr>
      </w:pPr>
      <w:r w:rsidRPr="001A699B">
        <w:rPr>
          <w:rFonts w:ascii="Times New Roman" w:hAnsi="Times New Roman" w:cs="Times New Roman"/>
          <w:b/>
          <w:sz w:val="24"/>
          <w:szCs w:val="24"/>
        </w:rPr>
        <w:t>HARARE, OCTOBER 14, 2013</w:t>
      </w:r>
    </w:p>
    <w:p w:rsidR="00484B3B" w:rsidRPr="001A699B" w:rsidRDefault="00484B3B" w:rsidP="00484B3B">
      <w:pPr>
        <w:spacing w:after="0" w:line="480" w:lineRule="auto"/>
        <w:rPr>
          <w:rFonts w:ascii="Times New Roman" w:hAnsi="Times New Roman" w:cs="Times New Roman"/>
          <w:b/>
          <w:sz w:val="24"/>
          <w:szCs w:val="24"/>
        </w:rPr>
      </w:pPr>
    </w:p>
    <w:p w:rsidR="00484B3B" w:rsidRPr="001A699B" w:rsidRDefault="00484B3B" w:rsidP="00484B3B">
      <w:pPr>
        <w:spacing w:after="0" w:line="480" w:lineRule="auto"/>
        <w:rPr>
          <w:rFonts w:ascii="Times New Roman" w:hAnsi="Times New Roman" w:cs="Times New Roman"/>
          <w:b/>
          <w:sz w:val="24"/>
          <w:szCs w:val="24"/>
        </w:rPr>
      </w:pPr>
    </w:p>
    <w:p w:rsidR="00484B3B" w:rsidRPr="001A699B" w:rsidRDefault="00B67DCA" w:rsidP="00B67DCA">
      <w:pPr>
        <w:spacing w:after="0" w:line="360" w:lineRule="auto"/>
        <w:rPr>
          <w:rFonts w:ascii="Times New Roman" w:hAnsi="Times New Roman" w:cs="Times New Roman"/>
          <w:b/>
          <w:sz w:val="24"/>
          <w:szCs w:val="24"/>
        </w:rPr>
      </w:pPr>
      <w:r w:rsidRPr="001A699B">
        <w:rPr>
          <w:rFonts w:ascii="Times New Roman" w:hAnsi="Times New Roman" w:cs="Times New Roman"/>
          <w:b/>
          <w:i/>
          <w:sz w:val="24"/>
          <w:szCs w:val="24"/>
        </w:rPr>
        <w:t>L Uriri</w:t>
      </w:r>
      <w:r w:rsidRPr="001A699B">
        <w:rPr>
          <w:rFonts w:ascii="Times New Roman" w:hAnsi="Times New Roman" w:cs="Times New Roman"/>
          <w:b/>
          <w:sz w:val="24"/>
          <w:szCs w:val="24"/>
        </w:rPr>
        <w:t xml:space="preserve"> with </w:t>
      </w:r>
      <w:r w:rsidRPr="001A699B">
        <w:rPr>
          <w:rFonts w:ascii="Times New Roman" w:hAnsi="Times New Roman" w:cs="Times New Roman"/>
          <w:b/>
          <w:i/>
          <w:sz w:val="24"/>
          <w:szCs w:val="24"/>
        </w:rPr>
        <w:t>T E Toto</w:t>
      </w:r>
      <w:r w:rsidR="00484B3B" w:rsidRPr="001A699B">
        <w:rPr>
          <w:rFonts w:ascii="Times New Roman" w:hAnsi="Times New Roman" w:cs="Times New Roman"/>
          <w:b/>
          <w:sz w:val="24"/>
          <w:szCs w:val="24"/>
        </w:rPr>
        <w:t>, for the appellant</w:t>
      </w:r>
      <w:r w:rsidR="004A43F8" w:rsidRPr="001A699B">
        <w:rPr>
          <w:rFonts w:ascii="Times New Roman" w:hAnsi="Times New Roman" w:cs="Times New Roman"/>
          <w:b/>
          <w:sz w:val="24"/>
          <w:szCs w:val="24"/>
        </w:rPr>
        <w:t>s</w:t>
      </w:r>
    </w:p>
    <w:p w:rsidR="00484B3B" w:rsidRPr="001A699B" w:rsidRDefault="00B67DCA" w:rsidP="00B67DCA">
      <w:pPr>
        <w:spacing w:after="0" w:line="360" w:lineRule="auto"/>
        <w:rPr>
          <w:rFonts w:ascii="Times New Roman" w:hAnsi="Times New Roman" w:cs="Times New Roman"/>
          <w:b/>
          <w:sz w:val="24"/>
          <w:szCs w:val="24"/>
        </w:rPr>
      </w:pPr>
      <w:r w:rsidRPr="001A699B">
        <w:rPr>
          <w:rFonts w:ascii="Times New Roman" w:hAnsi="Times New Roman" w:cs="Times New Roman"/>
          <w:b/>
          <w:sz w:val="24"/>
          <w:szCs w:val="24"/>
        </w:rPr>
        <w:t xml:space="preserve">Mr </w:t>
      </w:r>
      <w:r w:rsidRPr="001A699B">
        <w:rPr>
          <w:rFonts w:ascii="Times New Roman" w:hAnsi="Times New Roman" w:cs="Times New Roman"/>
          <w:b/>
          <w:i/>
          <w:sz w:val="24"/>
          <w:szCs w:val="24"/>
        </w:rPr>
        <w:t>C W Gumiro</w:t>
      </w:r>
      <w:r w:rsidR="00484B3B" w:rsidRPr="001A699B">
        <w:rPr>
          <w:rFonts w:ascii="Times New Roman" w:hAnsi="Times New Roman" w:cs="Times New Roman"/>
          <w:b/>
          <w:sz w:val="24"/>
          <w:szCs w:val="24"/>
        </w:rPr>
        <w:t>, for the respondent</w:t>
      </w:r>
    </w:p>
    <w:p w:rsidR="00484B3B" w:rsidRPr="001A699B" w:rsidRDefault="00484B3B" w:rsidP="00484B3B">
      <w:pPr>
        <w:spacing w:after="0" w:line="480" w:lineRule="auto"/>
        <w:rPr>
          <w:rFonts w:ascii="Times New Roman" w:hAnsi="Times New Roman" w:cs="Times New Roman"/>
          <w:b/>
          <w:sz w:val="24"/>
          <w:szCs w:val="24"/>
        </w:rPr>
      </w:pPr>
    </w:p>
    <w:p w:rsidR="00484B3B" w:rsidRPr="001A699B" w:rsidRDefault="00484B3B" w:rsidP="00484B3B">
      <w:pPr>
        <w:spacing w:after="0" w:line="480" w:lineRule="auto"/>
        <w:rPr>
          <w:rFonts w:ascii="Times New Roman" w:hAnsi="Times New Roman" w:cs="Times New Roman"/>
          <w:b/>
          <w:sz w:val="24"/>
          <w:szCs w:val="24"/>
        </w:rPr>
      </w:pPr>
    </w:p>
    <w:p w:rsidR="00F14979" w:rsidRPr="001A699B" w:rsidRDefault="00484B3B" w:rsidP="00F14979">
      <w:pPr>
        <w:spacing w:after="0" w:line="480" w:lineRule="auto"/>
        <w:jc w:val="both"/>
        <w:rPr>
          <w:rFonts w:ascii="Times New Roman" w:hAnsi="Times New Roman" w:cs="Times New Roman"/>
          <w:sz w:val="24"/>
          <w:szCs w:val="24"/>
        </w:rPr>
      </w:pPr>
      <w:r w:rsidRPr="001A699B">
        <w:rPr>
          <w:rFonts w:ascii="Times New Roman" w:hAnsi="Times New Roman" w:cs="Times New Roman"/>
          <w:b/>
          <w:sz w:val="24"/>
          <w:szCs w:val="24"/>
        </w:rPr>
        <w:tab/>
      </w:r>
      <w:r w:rsidRPr="001A699B">
        <w:rPr>
          <w:rFonts w:ascii="Times New Roman" w:hAnsi="Times New Roman" w:cs="Times New Roman"/>
          <w:b/>
          <w:sz w:val="24"/>
          <w:szCs w:val="24"/>
        </w:rPr>
        <w:tab/>
        <w:t>GARWE JA:</w:t>
      </w:r>
      <w:r w:rsidRPr="001A699B">
        <w:rPr>
          <w:rFonts w:ascii="Times New Roman" w:hAnsi="Times New Roman" w:cs="Times New Roman"/>
          <w:sz w:val="24"/>
          <w:szCs w:val="24"/>
        </w:rPr>
        <w:tab/>
      </w:r>
      <w:r w:rsidR="00593992" w:rsidRPr="001A699B">
        <w:rPr>
          <w:rFonts w:ascii="Times New Roman" w:hAnsi="Times New Roman" w:cs="Times New Roman"/>
          <w:sz w:val="24"/>
          <w:szCs w:val="24"/>
        </w:rPr>
        <w:tab/>
        <w:t>After hearing counsel, this C</w:t>
      </w:r>
      <w:r w:rsidR="00F14979" w:rsidRPr="001A699B">
        <w:rPr>
          <w:rFonts w:ascii="Times New Roman" w:hAnsi="Times New Roman" w:cs="Times New Roman"/>
          <w:sz w:val="24"/>
          <w:szCs w:val="24"/>
        </w:rPr>
        <w:t>ourt was of the unanimous decision that the appeal had no merit and consequently dismissed it with costs.  It was indicated at the time that the full reasons for the decision would be made available in due course.  These are they.</w:t>
      </w:r>
    </w:p>
    <w:p w:rsidR="00F14979" w:rsidRPr="001A699B" w:rsidRDefault="00F14979" w:rsidP="00F14979">
      <w:pPr>
        <w:spacing w:after="0" w:line="480" w:lineRule="auto"/>
        <w:jc w:val="both"/>
        <w:rPr>
          <w:rFonts w:ascii="Times New Roman" w:hAnsi="Times New Roman" w:cs="Times New Roman"/>
          <w:sz w:val="24"/>
          <w:szCs w:val="24"/>
        </w:rPr>
      </w:pPr>
    </w:p>
    <w:p w:rsidR="001C40F3" w:rsidRPr="001A699B" w:rsidRDefault="00F14979" w:rsidP="00F14979">
      <w:pPr>
        <w:spacing w:after="0" w:line="480" w:lineRule="auto"/>
        <w:jc w:val="both"/>
        <w:rPr>
          <w:rFonts w:ascii="Times New Roman" w:hAnsi="Times New Roman" w:cs="Times New Roman"/>
          <w:sz w:val="24"/>
          <w:szCs w:val="24"/>
        </w:rPr>
      </w:pPr>
      <w:r w:rsidRPr="001A699B">
        <w:rPr>
          <w:rFonts w:ascii="Times New Roman" w:hAnsi="Times New Roman" w:cs="Times New Roman"/>
          <w:sz w:val="24"/>
          <w:szCs w:val="24"/>
        </w:rPr>
        <w:tab/>
      </w:r>
      <w:r w:rsidRPr="001A699B">
        <w:rPr>
          <w:rFonts w:ascii="Times New Roman" w:hAnsi="Times New Roman" w:cs="Times New Roman"/>
          <w:sz w:val="24"/>
          <w:szCs w:val="24"/>
        </w:rPr>
        <w:tab/>
        <w:t xml:space="preserve">The background to the dispute giving rise to the appeal is as follows.  In March 2010, the respondent entered into an agreement with the </w:t>
      </w:r>
      <w:r w:rsidR="001C40F3" w:rsidRPr="001A699B">
        <w:rPr>
          <w:rFonts w:ascii="Times New Roman" w:hAnsi="Times New Roman" w:cs="Times New Roman"/>
          <w:sz w:val="24"/>
          <w:szCs w:val="24"/>
        </w:rPr>
        <w:t xml:space="preserve">appellants for payment of what the parties termed “a commitment fee” in respect of premises undergoing renovations at </w:t>
      </w:r>
      <w:r w:rsidR="001C40F3" w:rsidRPr="001A699B">
        <w:rPr>
          <w:rFonts w:ascii="Times New Roman" w:hAnsi="Times New Roman" w:cs="Times New Roman"/>
          <w:sz w:val="24"/>
          <w:szCs w:val="24"/>
        </w:rPr>
        <w:lastRenderedPageBreak/>
        <w:t xml:space="preserve">stand Number 151 Mbuya Nehanda Street, Harare.  </w:t>
      </w:r>
      <w:r w:rsidR="0036057F" w:rsidRPr="001A699B">
        <w:rPr>
          <w:rFonts w:ascii="Times New Roman" w:hAnsi="Times New Roman" w:cs="Times New Roman"/>
          <w:sz w:val="24"/>
          <w:szCs w:val="24"/>
        </w:rPr>
        <w:t>It appears from the papers</w:t>
      </w:r>
      <w:r w:rsidR="001C40F3" w:rsidRPr="001A699B">
        <w:rPr>
          <w:rFonts w:ascii="Times New Roman" w:hAnsi="Times New Roman" w:cs="Times New Roman"/>
          <w:sz w:val="24"/>
          <w:szCs w:val="24"/>
        </w:rPr>
        <w:t xml:space="preserve"> that a tendency has arisen in </w:t>
      </w:r>
      <w:r w:rsidR="0036057F" w:rsidRPr="001A699B">
        <w:rPr>
          <w:rFonts w:ascii="Times New Roman" w:hAnsi="Times New Roman" w:cs="Times New Roman"/>
          <w:sz w:val="24"/>
          <w:szCs w:val="24"/>
        </w:rPr>
        <w:t>the housing market</w:t>
      </w:r>
      <w:r w:rsidR="001C40F3" w:rsidRPr="001A699B">
        <w:rPr>
          <w:rFonts w:ascii="Times New Roman" w:hAnsi="Times New Roman" w:cs="Times New Roman"/>
          <w:sz w:val="24"/>
          <w:szCs w:val="24"/>
        </w:rPr>
        <w:t xml:space="preserve"> where prospective tenants seeking rental space in buildings where there is a high demand for such space are requested by the </w:t>
      </w:r>
      <w:r w:rsidR="0036057F" w:rsidRPr="001A699B">
        <w:rPr>
          <w:rFonts w:ascii="Times New Roman" w:hAnsi="Times New Roman" w:cs="Times New Roman"/>
          <w:sz w:val="24"/>
          <w:szCs w:val="24"/>
        </w:rPr>
        <w:t>lesso</w:t>
      </w:r>
      <w:r w:rsidR="002D644F" w:rsidRPr="001A699B">
        <w:rPr>
          <w:rFonts w:ascii="Times New Roman" w:hAnsi="Times New Roman" w:cs="Times New Roman"/>
          <w:sz w:val="24"/>
          <w:szCs w:val="24"/>
        </w:rPr>
        <w:t>r</w:t>
      </w:r>
      <w:r w:rsidR="001C40F3" w:rsidRPr="001A699B">
        <w:rPr>
          <w:rFonts w:ascii="Times New Roman" w:hAnsi="Times New Roman" w:cs="Times New Roman"/>
          <w:sz w:val="24"/>
          <w:szCs w:val="24"/>
        </w:rPr>
        <w:t xml:space="preserve"> to </w:t>
      </w:r>
      <w:r w:rsidR="00A61617" w:rsidRPr="001A699B">
        <w:rPr>
          <w:rFonts w:ascii="Times New Roman" w:hAnsi="Times New Roman" w:cs="Times New Roman"/>
          <w:sz w:val="24"/>
          <w:szCs w:val="24"/>
        </w:rPr>
        <w:t>p</w:t>
      </w:r>
      <w:r w:rsidR="001C40F3" w:rsidRPr="001A699B">
        <w:rPr>
          <w:rFonts w:ascii="Times New Roman" w:hAnsi="Times New Roman" w:cs="Times New Roman"/>
          <w:sz w:val="24"/>
          <w:szCs w:val="24"/>
        </w:rPr>
        <w:t>ay what is variably termed “a commitment fee”, “goodwill of the rental space” or “lease preference fees”.  The purpose of such a fee is to enable the prospective tenant to be given first priority in concluding a lease agreement in respect of the premises once they are available for occupation.  Without payment of such a fee, a prospective tenant would stand little</w:t>
      </w:r>
      <w:r w:rsidR="0036057F" w:rsidRPr="001A699B">
        <w:rPr>
          <w:rFonts w:ascii="Times New Roman" w:hAnsi="Times New Roman" w:cs="Times New Roman"/>
          <w:sz w:val="24"/>
          <w:szCs w:val="24"/>
        </w:rPr>
        <w:t>,</w:t>
      </w:r>
      <w:r w:rsidR="001C40F3" w:rsidRPr="001A699B">
        <w:rPr>
          <w:rFonts w:ascii="Times New Roman" w:hAnsi="Times New Roman" w:cs="Times New Roman"/>
          <w:sz w:val="24"/>
          <w:szCs w:val="24"/>
        </w:rPr>
        <w:t xml:space="preserve"> if any</w:t>
      </w:r>
      <w:r w:rsidR="0036057F" w:rsidRPr="001A699B">
        <w:rPr>
          <w:rFonts w:ascii="Times New Roman" w:hAnsi="Times New Roman" w:cs="Times New Roman"/>
          <w:sz w:val="24"/>
          <w:szCs w:val="24"/>
        </w:rPr>
        <w:t>,</w:t>
      </w:r>
      <w:r w:rsidR="001C40F3" w:rsidRPr="001A699B">
        <w:rPr>
          <w:rFonts w:ascii="Times New Roman" w:hAnsi="Times New Roman" w:cs="Times New Roman"/>
          <w:sz w:val="24"/>
          <w:szCs w:val="24"/>
        </w:rPr>
        <w:t xml:space="preserve"> chance of even being considered for possible occupation of the premises.  </w:t>
      </w:r>
    </w:p>
    <w:p w:rsidR="001C40F3" w:rsidRPr="001A699B" w:rsidRDefault="001C40F3" w:rsidP="00F14979">
      <w:pPr>
        <w:spacing w:after="0" w:line="480" w:lineRule="auto"/>
        <w:jc w:val="both"/>
        <w:rPr>
          <w:rFonts w:ascii="Times New Roman" w:hAnsi="Times New Roman" w:cs="Times New Roman"/>
          <w:sz w:val="24"/>
          <w:szCs w:val="24"/>
        </w:rPr>
      </w:pPr>
    </w:p>
    <w:p w:rsidR="001C40F3" w:rsidRPr="001A699B" w:rsidRDefault="001C40F3" w:rsidP="00F14979">
      <w:pPr>
        <w:spacing w:after="0" w:line="480" w:lineRule="auto"/>
        <w:jc w:val="both"/>
        <w:rPr>
          <w:rFonts w:ascii="Times New Roman" w:hAnsi="Times New Roman" w:cs="Times New Roman"/>
          <w:sz w:val="24"/>
          <w:szCs w:val="24"/>
        </w:rPr>
      </w:pPr>
      <w:r w:rsidRPr="001A699B">
        <w:rPr>
          <w:rFonts w:ascii="Times New Roman" w:hAnsi="Times New Roman" w:cs="Times New Roman"/>
          <w:sz w:val="24"/>
          <w:szCs w:val="24"/>
        </w:rPr>
        <w:tab/>
      </w:r>
      <w:r w:rsidRPr="001A699B">
        <w:rPr>
          <w:rFonts w:ascii="Times New Roman" w:hAnsi="Times New Roman" w:cs="Times New Roman"/>
          <w:sz w:val="24"/>
          <w:szCs w:val="24"/>
        </w:rPr>
        <w:tab/>
        <w:t>In terms of the agreement entered into between the parties, the respondent agreed to pay the total sum of $35,000 as “goodwill” in respect of the premises in question.  I</w:t>
      </w:r>
      <w:r w:rsidR="003D428D" w:rsidRPr="001A699B">
        <w:rPr>
          <w:rFonts w:ascii="Times New Roman" w:hAnsi="Times New Roman" w:cs="Times New Roman"/>
          <w:sz w:val="24"/>
          <w:szCs w:val="24"/>
        </w:rPr>
        <w:t xml:space="preserve">t is common </w:t>
      </w:r>
      <w:proofErr w:type="gramStart"/>
      <w:r w:rsidR="003D428D" w:rsidRPr="001A699B">
        <w:rPr>
          <w:rFonts w:ascii="Times New Roman" w:hAnsi="Times New Roman" w:cs="Times New Roman"/>
          <w:sz w:val="24"/>
          <w:szCs w:val="24"/>
        </w:rPr>
        <w:t>caus</w:t>
      </w:r>
      <w:r w:rsidRPr="001A699B">
        <w:rPr>
          <w:rFonts w:ascii="Times New Roman" w:hAnsi="Times New Roman" w:cs="Times New Roman"/>
          <w:sz w:val="24"/>
          <w:szCs w:val="24"/>
        </w:rPr>
        <w:t>e</w:t>
      </w:r>
      <w:proofErr w:type="gramEnd"/>
      <w:r w:rsidRPr="001A699B">
        <w:rPr>
          <w:rFonts w:ascii="Times New Roman" w:hAnsi="Times New Roman" w:cs="Times New Roman"/>
          <w:sz w:val="24"/>
          <w:szCs w:val="24"/>
        </w:rPr>
        <w:t xml:space="preserve"> the premises in question were undergoing renovations.  The respondent paid the sum of US$10,000 as a deposit to the second appellant on 11 March 2010, leaving a balance of $25,000 which was to be paid once the renovations were complete.  Once the balance of the </w:t>
      </w:r>
      <w:r w:rsidR="0036057F" w:rsidRPr="001A699B">
        <w:rPr>
          <w:rFonts w:ascii="Times New Roman" w:hAnsi="Times New Roman" w:cs="Times New Roman"/>
          <w:sz w:val="24"/>
          <w:szCs w:val="24"/>
        </w:rPr>
        <w:t>$25,000</w:t>
      </w:r>
      <w:r w:rsidRPr="001A699B">
        <w:rPr>
          <w:rFonts w:ascii="Times New Roman" w:hAnsi="Times New Roman" w:cs="Times New Roman"/>
          <w:sz w:val="24"/>
          <w:szCs w:val="24"/>
        </w:rPr>
        <w:t xml:space="preserve"> was paid, the parties were then to agree on the amount of rental payable per month.</w:t>
      </w:r>
    </w:p>
    <w:p w:rsidR="001C40F3" w:rsidRPr="001A699B" w:rsidRDefault="001C40F3" w:rsidP="00F14979">
      <w:pPr>
        <w:spacing w:after="0" w:line="480" w:lineRule="auto"/>
        <w:jc w:val="both"/>
        <w:rPr>
          <w:rFonts w:ascii="Times New Roman" w:hAnsi="Times New Roman" w:cs="Times New Roman"/>
          <w:sz w:val="24"/>
          <w:szCs w:val="24"/>
        </w:rPr>
      </w:pPr>
    </w:p>
    <w:p w:rsidR="00F8091B" w:rsidRPr="001A699B" w:rsidRDefault="002D644F" w:rsidP="00F14979">
      <w:pPr>
        <w:spacing w:after="0" w:line="480" w:lineRule="auto"/>
        <w:jc w:val="both"/>
        <w:rPr>
          <w:rFonts w:ascii="Times New Roman" w:hAnsi="Times New Roman" w:cs="Times New Roman"/>
          <w:sz w:val="24"/>
          <w:szCs w:val="24"/>
        </w:rPr>
      </w:pPr>
      <w:r w:rsidRPr="001A699B">
        <w:rPr>
          <w:rFonts w:ascii="Times New Roman" w:hAnsi="Times New Roman" w:cs="Times New Roman"/>
          <w:sz w:val="24"/>
          <w:szCs w:val="24"/>
        </w:rPr>
        <w:tab/>
      </w:r>
      <w:r w:rsidRPr="001A699B">
        <w:rPr>
          <w:rFonts w:ascii="Times New Roman" w:hAnsi="Times New Roman" w:cs="Times New Roman"/>
          <w:sz w:val="24"/>
          <w:szCs w:val="24"/>
        </w:rPr>
        <w:tab/>
      </w:r>
      <w:r w:rsidR="0036057F" w:rsidRPr="001A699B">
        <w:rPr>
          <w:rFonts w:ascii="Times New Roman" w:hAnsi="Times New Roman" w:cs="Times New Roman"/>
          <w:sz w:val="24"/>
          <w:szCs w:val="24"/>
        </w:rPr>
        <w:t>H</w:t>
      </w:r>
      <w:r w:rsidR="001C40F3" w:rsidRPr="001A699B">
        <w:rPr>
          <w:rFonts w:ascii="Times New Roman" w:hAnsi="Times New Roman" w:cs="Times New Roman"/>
          <w:sz w:val="24"/>
          <w:szCs w:val="24"/>
        </w:rPr>
        <w:t xml:space="preserve">aving formed the opinion that </w:t>
      </w:r>
      <w:r w:rsidR="00F8091B" w:rsidRPr="001A699B">
        <w:rPr>
          <w:rFonts w:ascii="Times New Roman" w:hAnsi="Times New Roman" w:cs="Times New Roman"/>
          <w:sz w:val="24"/>
          <w:szCs w:val="24"/>
        </w:rPr>
        <w:t>he had been misled</w:t>
      </w:r>
      <w:r w:rsidR="00C1572E" w:rsidRPr="001A699B">
        <w:rPr>
          <w:rFonts w:ascii="Times New Roman" w:hAnsi="Times New Roman" w:cs="Times New Roman"/>
          <w:sz w:val="24"/>
          <w:szCs w:val="24"/>
        </w:rPr>
        <w:t>,</w:t>
      </w:r>
      <w:r w:rsidR="0036057F" w:rsidRPr="001A699B">
        <w:rPr>
          <w:rFonts w:ascii="Times New Roman" w:hAnsi="Times New Roman" w:cs="Times New Roman"/>
          <w:sz w:val="24"/>
          <w:szCs w:val="24"/>
        </w:rPr>
        <w:t xml:space="preserve"> the respondent decided to demand a</w:t>
      </w:r>
      <w:r w:rsidR="00F8091B" w:rsidRPr="001A699B">
        <w:rPr>
          <w:rFonts w:ascii="Times New Roman" w:hAnsi="Times New Roman" w:cs="Times New Roman"/>
          <w:sz w:val="24"/>
          <w:szCs w:val="24"/>
        </w:rPr>
        <w:t xml:space="preserve"> refund</w:t>
      </w:r>
      <w:r w:rsidR="0036057F" w:rsidRPr="001A699B">
        <w:rPr>
          <w:rFonts w:ascii="Times New Roman" w:hAnsi="Times New Roman" w:cs="Times New Roman"/>
          <w:sz w:val="24"/>
          <w:szCs w:val="24"/>
        </w:rPr>
        <w:t xml:space="preserve"> of the sum of $10,000</w:t>
      </w:r>
      <w:r w:rsidR="00F8091B" w:rsidRPr="001A699B">
        <w:rPr>
          <w:rFonts w:ascii="Times New Roman" w:hAnsi="Times New Roman" w:cs="Times New Roman"/>
          <w:sz w:val="24"/>
          <w:szCs w:val="24"/>
        </w:rPr>
        <w:t xml:space="preserve">.  The appellant refused to refund the money, claiming that the respondent had been in breach of the terms of the agreement.  The respondent then instituted proceedings for the recovery of the amount in question.  A joint pre-trial conference minute drafted by the parties identified five issues for trial.  At the conclusion of the trial that followed, the court </w:t>
      </w:r>
      <w:r w:rsidR="00F8091B" w:rsidRPr="001A699B">
        <w:rPr>
          <w:rFonts w:ascii="Times New Roman" w:hAnsi="Times New Roman" w:cs="Times New Roman"/>
          <w:i/>
          <w:sz w:val="24"/>
          <w:szCs w:val="24"/>
        </w:rPr>
        <w:t>a quo</w:t>
      </w:r>
      <w:r w:rsidR="00076CE1" w:rsidRPr="001A699B">
        <w:rPr>
          <w:rFonts w:ascii="Times New Roman" w:hAnsi="Times New Roman" w:cs="Times New Roman"/>
          <w:sz w:val="24"/>
          <w:szCs w:val="24"/>
        </w:rPr>
        <w:t xml:space="preserve"> found that no agreement had be</w:t>
      </w:r>
      <w:r w:rsidR="00F8091B" w:rsidRPr="001A699B">
        <w:rPr>
          <w:rFonts w:ascii="Times New Roman" w:hAnsi="Times New Roman" w:cs="Times New Roman"/>
          <w:sz w:val="24"/>
          <w:szCs w:val="24"/>
        </w:rPr>
        <w:t>e</w:t>
      </w:r>
      <w:r w:rsidR="00076CE1" w:rsidRPr="001A699B">
        <w:rPr>
          <w:rFonts w:ascii="Times New Roman" w:hAnsi="Times New Roman" w:cs="Times New Roman"/>
          <w:sz w:val="24"/>
          <w:szCs w:val="24"/>
        </w:rPr>
        <w:t>n</w:t>
      </w:r>
      <w:r w:rsidR="00F8091B" w:rsidRPr="001A699B">
        <w:rPr>
          <w:rFonts w:ascii="Times New Roman" w:hAnsi="Times New Roman" w:cs="Times New Roman"/>
          <w:sz w:val="24"/>
          <w:szCs w:val="24"/>
        </w:rPr>
        <w:t xml:space="preserve"> reached that the sum of $10,000 would be non-refundable.  The court further found that the appellants had been unjustly enriched </w:t>
      </w:r>
      <w:r w:rsidR="00730826" w:rsidRPr="001A699B">
        <w:rPr>
          <w:rFonts w:ascii="Times New Roman" w:hAnsi="Times New Roman" w:cs="Times New Roman"/>
          <w:sz w:val="24"/>
          <w:szCs w:val="24"/>
        </w:rPr>
        <w:t xml:space="preserve">at the expense of the respondent </w:t>
      </w:r>
      <w:r w:rsidR="00F8091B" w:rsidRPr="001A699B">
        <w:rPr>
          <w:rFonts w:ascii="Times New Roman" w:hAnsi="Times New Roman" w:cs="Times New Roman"/>
          <w:sz w:val="24"/>
          <w:szCs w:val="24"/>
        </w:rPr>
        <w:t xml:space="preserve">and consequently ordered </w:t>
      </w:r>
      <w:r w:rsidR="003D428D" w:rsidRPr="001A699B">
        <w:rPr>
          <w:rFonts w:ascii="Times New Roman" w:hAnsi="Times New Roman" w:cs="Times New Roman"/>
          <w:sz w:val="24"/>
          <w:szCs w:val="24"/>
        </w:rPr>
        <w:t>t</w:t>
      </w:r>
      <w:r w:rsidR="00F8091B" w:rsidRPr="001A699B">
        <w:rPr>
          <w:rFonts w:ascii="Times New Roman" w:hAnsi="Times New Roman" w:cs="Times New Roman"/>
          <w:sz w:val="24"/>
          <w:szCs w:val="24"/>
        </w:rPr>
        <w:t xml:space="preserve">he appellants to refund </w:t>
      </w:r>
      <w:r w:rsidR="00F8091B" w:rsidRPr="001A699B">
        <w:rPr>
          <w:rFonts w:ascii="Times New Roman" w:hAnsi="Times New Roman" w:cs="Times New Roman"/>
          <w:sz w:val="24"/>
          <w:szCs w:val="24"/>
        </w:rPr>
        <w:lastRenderedPageBreak/>
        <w:t xml:space="preserve">the sum of $10,000 together with interest and costs of suit.  The appellants then noted an appeal against that order.  </w:t>
      </w:r>
    </w:p>
    <w:p w:rsidR="00F8091B" w:rsidRPr="001A699B" w:rsidRDefault="00F8091B" w:rsidP="00F14979">
      <w:pPr>
        <w:spacing w:after="0" w:line="480" w:lineRule="auto"/>
        <w:jc w:val="both"/>
        <w:rPr>
          <w:rFonts w:ascii="Times New Roman" w:hAnsi="Times New Roman" w:cs="Times New Roman"/>
          <w:sz w:val="24"/>
          <w:szCs w:val="24"/>
        </w:rPr>
      </w:pPr>
    </w:p>
    <w:p w:rsidR="00986FFF" w:rsidRPr="001A699B" w:rsidRDefault="00F8091B" w:rsidP="00F14979">
      <w:pPr>
        <w:spacing w:after="0" w:line="480" w:lineRule="auto"/>
        <w:jc w:val="both"/>
        <w:rPr>
          <w:rFonts w:ascii="Times New Roman" w:hAnsi="Times New Roman" w:cs="Times New Roman"/>
          <w:sz w:val="24"/>
          <w:szCs w:val="24"/>
        </w:rPr>
      </w:pPr>
      <w:r w:rsidRPr="001A699B">
        <w:rPr>
          <w:rFonts w:ascii="Times New Roman" w:hAnsi="Times New Roman" w:cs="Times New Roman"/>
          <w:sz w:val="24"/>
          <w:szCs w:val="24"/>
        </w:rPr>
        <w:tab/>
      </w:r>
      <w:r w:rsidRPr="001A699B">
        <w:rPr>
          <w:rFonts w:ascii="Times New Roman" w:hAnsi="Times New Roman" w:cs="Times New Roman"/>
          <w:sz w:val="24"/>
          <w:szCs w:val="24"/>
        </w:rPr>
        <w:tab/>
        <w:t>At the hearing of the appeal before us, the attention of counsel for the appellants was drawn to</w:t>
      </w:r>
      <w:r w:rsidR="003D428D" w:rsidRPr="001A699B">
        <w:rPr>
          <w:rFonts w:ascii="Times New Roman" w:hAnsi="Times New Roman" w:cs="Times New Roman"/>
          <w:sz w:val="24"/>
          <w:szCs w:val="24"/>
        </w:rPr>
        <w:t xml:space="preserve"> </w:t>
      </w:r>
      <w:r w:rsidRPr="001A699B">
        <w:rPr>
          <w:rFonts w:ascii="Times New Roman" w:hAnsi="Times New Roman" w:cs="Times New Roman"/>
          <w:sz w:val="24"/>
          <w:szCs w:val="24"/>
        </w:rPr>
        <w:t>the provisions of s</w:t>
      </w:r>
      <w:r w:rsidR="00593992" w:rsidRPr="001A699B">
        <w:rPr>
          <w:rFonts w:ascii="Times New Roman" w:hAnsi="Times New Roman" w:cs="Times New Roman"/>
          <w:sz w:val="24"/>
          <w:szCs w:val="24"/>
        </w:rPr>
        <w:t xml:space="preserve"> </w:t>
      </w:r>
      <w:r w:rsidRPr="001A699B">
        <w:rPr>
          <w:rFonts w:ascii="Times New Roman" w:hAnsi="Times New Roman" w:cs="Times New Roman"/>
          <w:sz w:val="24"/>
          <w:szCs w:val="24"/>
        </w:rPr>
        <w:t>19 of the Commercial Premises (Rent) Regulations S.I. 676/83</w:t>
      </w:r>
      <w:r w:rsidR="008352B6" w:rsidRPr="001A699B">
        <w:rPr>
          <w:rFonts w:ascii="Times New Roman" w:hAnsi="Times New Roman" w:cs="Times New Roman"/>
          <w:sz w:val="24"/>
          <w:szCs w:val="24"/>
        </w:rPr>
        <w:t xml:space="preserve"> (“the Regulations”)</w:t>
      </w:r>
      <w:r w:rsidRPr="001A699B">
        <w:rPr>
          <w:rFonts w:ascii="Times New Roman" w:hAnsi="Times New Roman" w:cs="Times New Roman"/>
          <w:sz w:val="24"/>
          <w:szCs w:val="24"/>
        </w:rPr>
        <w:t>.  Ne</w:t>
      </w:r>
      <w:r w:rsidR="00986FFF" w:rsidRPr="001A699B">
        <w:rPr>
          <w:rFonts w:ascii="Times New Roman" w:hAnsi="Times New Roman" w:cs="Times New Roman"/>
          <w:sz w:val="24"/>
          <w:szCs w:val="24"/>
        </w:rPr>
        <w:t>ither counsel for the appellant</w:t>
      </w:r>
      <w:r w:rsidRPr="001A699B">
        <w:rPr>
          <w:rFonts w:ascii="Times New Roman" w:hAnsi="Times New Roman" w:cs="Times New Roman"/>
          <w:sz w:val="24"/>
          <w:szCs w:val="24"/>
        </w:rPr>
        <w:t>s</w:t>
      </w:r>
      <w:r w:rsidR="00986FFF" w:rsidRPr="001A699B">
        <w:rPr>
          <w:rFonts w:ascii="Times New Roman" w:hAnsi="Times New Roman" w:cs="Times New Roman"/>
          <w:sz w:val="24"/>
          <w:szCs w:val="24"/>
        </w:rPr>
        <w:t xml:space="preserve"> </w:t>
      </w:r>
      <w:r w:rsidRPr="001A699B">
        <w:rPr>
          <w:rFonts w:ascii="Times New Roman" w:hAnsi="Times New Roman" w:cs="Times New Roman"/>
          <w:sz w:val="24"/>
          <w:szCs w:val="24"/>
        </w:rPr>
        <w:t>nor the respondent had, it would appear, been aware of the provision.  That section provides:</w:t>
      </w:r>
      <w:r w:rsidR="001C40F3" w:rsidRPr="001A699B">
        <w:rPr>
          <w:rFonts w:ascii="Times New Roman" w:hAnsi="Times New Roman" w:cs="Times New Roman"/>
          <w:sz w:val="24"/>
          <w:szCs w:val="24"/>
        </w:rPr>
        <w:t xml:space="preserve"> </w:t>
      </w:r>
    </w:p>
    <w:p w:rsidR="00986FFF" w:rsidRPr="001A699B" w:rsidRDefault="00986FFF" w:rsidP="002D644F">
      <w:pPr>
        <w:spacing w:after="0" w:line="240" w:lineRule="auto"/>
        <w:ind w:firstLine="720"/>
        <w:jc w:val="both"/>
        <w:rPr>
          <w:rFonts w:ascii="Times New Roman" w:hAnsi="Times New Roman" w:cs="Times New Roman"/>
          <w:sz w:val="24"/>
          <w:szCs w:val="24"/>
        </w:rPr>
      </w:pPr>
      <w:r w:rsidRPr="001A699B">
        <w:rPr>
          <w:rFonts w:ascii="Times New Roman" w:hAnsi="Times New Roman" w:cs="Times New Roman"/>
          <w:sz w:val="24"/>
          <w:szCs w:val="24"/>
        </w:rPr>
        <w:t>“</w:t>
      </w:r>
      <w:r w:rsidRPr="001A699B">
        <w:rPr>
          <w:rFonts w:ascii="Times New Roman" w:hAnsi="Times New Roman" w:cs="Times New Roman"/>
          <w:b/>
          <w:i/>
          <w:sz w:val="24"/>
          <w:szCs w:val="24"/>
        </w:rPr>
        <w:t>19 – Payment of bonus, premium et cetera</w:t>
      </w:r>
    </w:p>
    <w:p w:rsidR="002D644F" w:rsidRPr="001A699B" w:rsidRDefault="0036057F" w:rsidP="002D644F">
      <w:pPr>
        <w:spacing w:after="0" w:line="240" w:lineRule="auto"/>
        <w:ind w:left="720"/>
        <w:jc w:val="both"/>
        <w:rPr>
          <w:rFonts w:ascii="Times New Roman" w:hAnsi="Times New Roman" w:cs="Times New Roman"/>
          <w:sz w:val="24"/>
          <w:szCs w:val="24"/>
        </w:rPr>
      </w:pPr>
      <w:r w:rsidRPr="001A699B">
        <w:rPr>
          <w:rFonts w:ascii="Times New Roman" w:hAnsi="Times New Roman" w:cs="Times New Roman"/>
          <w:sz w:val="24"/>
          <w:szCs w:val="24"/>
        </w:rPr>
        <w:t>No lessor</w:t>
      </w:r>
      <w:r w:rsidR="00986FFF" w:rsidRPr="001A699B">
        <w:rPr>
          <w:rFonts w:ascii="Times New Roman" w:hAnsi="Times New Roman" w:cs="Times New Roman"/>
          <w:sz w:val="24"/>
          <w:szCs w:val="24"/>
        </w:rPr>
        <w:t xml:space="preserve"> shall, in respect of commercial premises let or to be let by him, require or permit the lessee or prospective lessee of the premises to pay, in consideration of the grant, continuation or renewal of the lease concerned, any bonus, premium or other like sum in addition to the rent, or any amount for negotiating the lease.</w:t>
      </w:r>
      <w:r w:rsidR="002D644F" w:rsidRPr="001A699B">
        <w:rPr>
          <w:rFonts w:ascii="Times New Roman" w:hAnsi="Times New Roman" w:cs="Times New Roman"/>
          <w:sz w:val="24"/>
          <w:szCs w:val="24"/>
        </w:rPr>
        <w:t>”</w:t>
      </w:r>
    </w:p>
    <w:p w:rsidR="002D644F" w:rsidRPr="001A699B" w:rsidRDefault="00986FFF" w:rsidP="00986FFF">
      <w:pPr>
        <w:spacing w:after="0" w:line="480" w:lineRule="auto"/>
        <w:jc w:val="both"/>
        <w:rPr>
          <w:rFonts w:ascii="Times New Roman" w:hAnsi="Times New Roman" w:cs="Times New Roman"/>
          <w:sz w:val="24"/>
          <w:szCs w:val="24"/>
        </w:rPr>
      </w:pPr>
      <w:r w:rsidRPr="001A699B">
        <w:rPr>
          <w:rFonts w:ascii="Times New Roman" w:hAnsi="Times New Roman" w:cs="Times New Roman"/>
          <w:sz w:val="24"/>
          <w:szCs w:val="24"/>
        </w:rPr>
        <w:tab/>
      </w:r>
      <w:r w:rsidRPr="001A699B">
        <w:rPr>
          <w:rFonts w:ascii="Times New Roman" w:hAnsi="Times New Roman" w:cs="Times New Roman"/>
          <w:sz w:val="24"/>
          <w:szCs w:val="24"/>
        </w:rPr>
        <w:tab/>
      </w:r>
    </w:p>
    <w:p w:rsidR="00BA07E0" w:rsidRPr="001A699B" w:rsidRDefault="00BA07E0" w:rsidP="00BA07E0">
      <w:pPr>
        <w:spacing w:after="0" w:line="240" w:lineRule="auto"/>
        <w:ind w:left="720" w:firstLine="720"/>
        <w:jc w:val="both"/>
        <w:rPr>
          <w:rFonts w:ascii="Times New Roman" w:hAnsi="Times New Roman" w:cs="Times New Roman"/>
          <w:sz w:val="24"/>
          <w:szCs w:val="24"/>
        </w:rPr>
      </w:pPr>
    </w:p>
    <w:p w:rsidR="00F25C3C" w:rsidRPr="001A699B" w:rsidRDefault="00986FFF" w:rsidP="00460B98">
      <w:pPr>
        <w:spacing w:after="0" w:line="480" w:lineRule="auto"/>
        <w:ind w:firstLine="1440"/>
        <w:jc w:val="both"/>
        <w:rPr>
          <w:rFonts w:ascii="Times New Roman" w:hAnsi="Times New Roman" w:cs="Times New Roman"/>
          <w:sz w:val="24"/>
          <w:szCs w:val="24"/>
        </w:rPr>
      </w:pPr>
      <w:r w:rsidRPr="001A699B">
        <w:rPr>
          <w:rFonts w:ascii="Times New Roman" w:hAnsi="Times New Roman" w:cs="Times New Roman"/>
          <w:sz w:val="24"/>
          <w:szCs w:val="24"/>
        </w:rPr>
        <w:t>Faced with the clea</w:t>
      </w:r>
      <w:r w:rsidR="002D644F" w:rsidRPr="001A699B">
        <w:rPr>
          <w:rFonts w:ascii="Times New Roman" w:hAnsi="Times New Roman" w:cs="Times New Roman"/>
          <w:sz w:val="24"/>
          <w:szCs w:val="24"/>
        </w:rPr>
        <w:t xml:space="preserve">r language in </w:t>
      </w:r>
      <w:r w:rsidR="00C80F8B" w:rsidRPr="001A699B">
        <w:rPr>
          <w:rFonts w:ascii="Times New Roman" w:hAnsi="Times New Roman" w:cs="Times New Roman"/>
          <w:sz w:val="24"/>
          <w:szCs w:val="24"/>
        </w:rPr>
        <w:t>s</w:t>
      </w:r>
      <w:r w:rsidR="002D644F" w:rsidRPr="001A699B">
        <w:rPr>
          <w:rFonts w:ascii="Times New Roman" w:hAnsi="Times New Roman" w:cs="Times New Roman"/>
          <w:sz w:val="24"/>
          <w:szCs w:val="24"/>
        </w:rPr>
        <w:t xml:space="preserve"> 19 of the</w:t>
      </w:r>
      <w:r w:rsidR="00460B98">
        <w:rPr>
          <w:rFonts w:ascii="Times New Roman" w:hAnsi="Times New Roman" w:cs="Times New Roman"/>
          <w:sz w:val="24"/>
          <w:szCs w:val="24"/>
        </w:rPr>
        <w:t xml:space="preserve"> </w:t>
      </w:r>
      <w:r w:rsidRPr="001A699B">
        <w:rPr>
          <w:rFonts w:ascii="Times New Roman" w:hAnsi="Times New Roman" w:cs="Times New Roman"/>
          <w:sz w:val="24"/>
          <w:szCs w:val="24"/>
        </w:rPr>
        <w:t xml:space="preserve">above regulations, Mr </w:t>
      </w:r>
      <w:r w:rsidRPr="001A699B">
        <w:rPr>
          <w:rFonts w:ascii="Times New Roman" w:hAnsi="Times New Roman" w:cs="Times New Roman"/>
          <w:i/>
          <w:sz w:val="24"/>
          <w:szCs w:val="24"/>
        </w:rPr>
        <w:t>Uriri</w:t>
      </w:r>
      <w:r w:rsidRPr="001A699B">
        <w:rPr>
          <w:rFonts w:ascii="Times New Roman" w:hAnsi="Times New Roman" w:cs="Times New Roman"/>
          <w:sz w:val="24"/>
          <w:szCs w:val="24"/>
        </w:rPr>
        <w:t xml:space="preserve"> for the appellant was forced to concede that most of the issues raised before the court </w:t>
      </w:r>
      <w:r w:rsidRPr="001A699B">
        <w:rPr>
          <w:rFonts w:ascii="Times New Roman" w:hAnsi="Times New Roman" w:cs="Times New Roman"/>
          <w:i/>
          <w:sz w:val="24"/>
          <w:szCs w:val="24"/>
        </w:rPr>
        <w:t>a quo</w:t>
      </w:r>
      <w:r w:rsidRPr="001A699B">
        <w:rPr>
          <w:rFonts w:ascii="Times New Roman" w:hAnsi="Times New Roman" w:cs="Times New Roman"/>
          <w:sz w:val="24"/>
          <w:szCs w:val="24"/>
        </w:rPr>
        <w:t xml:space="preserve"> and in heads of argument before this </w:t>
      </w:r>
      <w:r w:rsidR="00F628FA" w:rsidRPr="001A699B">
        <w:rPr>
          <w:rFonts w:ascii="Times New Roman" w:hAnsi="Times New Roman" w:cs="Times New Roman"/>
          <w:sz w:val="24"/>
          <w:szCs w:val="24"/>
        </w:rPr>
        <w:t>C</w:t>
      </w:r>
      <w:r w:rsidRPr="001A699B">
        <w:rPr>
          <w:rFonts w:ascii="Times New Roman" w:hAnsi="Times New Roman" w:cs="Times New Roman"/>
          <w:sz w:val="24"/>
          <w:szCs w:val="24"/>
        </w:rPr>
        <w:t>ourt were irrelevant and that the payment of the sum of $10,000 to the appellants was illegal.</w:t>
      </w:r>
      <w:r w:rsidR="0036057F" w:rsidRPr="001A699B">
        <w:rPr>
          <w:rFonts w:ascii="Times New Roman" w:hAnsi="Times New Roman" w:cs="Times New Roman"/>
          <w:sz w:val="24"/>
          <w:szCs w:val="24"/>
        </w:rPr>
        <w:t xml:space="preserve">  </w:t>
      </w:r>
      <w:proofErr w:type="gramStart"/>
      <w:r w:rsidR="0036057F" w:rsidRPr="001A699B">
        <w:rPr>
          <w:rFonts w:ascii="Times New Roman" w:hAnsi="Times New Roman" w:cs="Times New Roman"/>
          <w:sz w:val="24"/>
          <w:szCs w:val="24"/>
        </w:rPr>
        <w:t>That concession was, in the circumstances, most proper.</w:t>
      </w:r>
      <w:proofErr w:type="gramEnd"/>
      <w:r w:rsidRPr="001A699B">
        <w:rPr>
          <w:rFonts w:ascii="Times New Roman" w:hAnsi="Times New Roman" w:cs="Times New Roman"/>
          <w:sz w:val="24"/>
          <w:szCs w:val="24"/>
        </w:rPr>
        <w:t xml:space="preserve"> </w:t>
      </w:r>
    </w:p>
    <w:p w:rsidR="00986FFF" w:rsidRPr="001A699B" w:rsidRDefault="00986FFF" w:rsidP="00F25C3C">
      <w:pPr>
        <w:spacing w:after="0" w:line="240" w:lineRule="auto"/>
        <w:jc w:val="both"/>
        <w:rPr>
          <w:rFonts w:ascii="Times New Roman" w:hAnsi="Times New Roman" w:cs="Times New Roman"/>
          <w:sz w:val="24"/>
          <w:szCs w:val="24"/>
        </w:rPr>
      </w:pPr>
      <w:r w:rsidRPr="001A699B">
        <w:rPr>
          <w:rFonts w:ascii="Times New Roman" w:hAnsi="Times New Roman" w:cs="Times New Roman"/>
          <w:sz w:val="24"/>
          <w:szCs w:val="24"/>
        </w:rPr>
        <w:t xml:space="preserve"> </w:t>
      </w:r>
    </w:p>
    <w:p w:rsidR="00986FFF" w:rsidRPr="001A699B" w:rsidRDefault="00986FFF" w:rsidP="00F25C3C">
      <w:pPr>
        <w:spacing w:after="0" w:line="240" w:lineRule="auto"/>
        <w:jc w:val="both"/>
        <w:rPr>
          <w:rFonts w:ascii="Times New Roman" w:hAnsi="Times New Roman" w:cs="Times New Roman"/>
          <w:sz w:val="24"/>
          <w:szCs w:val="24"/>
        </w:rPr>
      </w:pPr>
    </w:p>
    <w:p w:rsidR="00986FFF" w:rsidRPr="001A699B" w:rsidRDefault="00986FFF" w:rsidP="002D644F">
      <w:pPr>
        <w:tabs>
          <w:tab w:val="left" w:pos="1440"/>
        </w:tabs>
        <w:spacing w:after="0" w:line="480" w:lineRule="auto"/>
        <w:ind w:firstLine="1440"/>
        <w:jc w:val="both"/>
        <w:rPr>
          <w:rFonts w:ascii="Times New Roman" w:hAnsi="Times New Roman" w:cs="Times New Roman"/>
          <w:sz w:val="24"/>
          <w:szCs w:val="24"/>
        </w:rPr>
      </w:pPr>
      <w:r w:rsidRPr="001A699B">
        <w:rPr>
          <w:rFonts w:ascii="Times New Roman" w:hAnsi="Times New Roman" w:cs="Times New Roman"/>
          <w:sz w:val="24"/>
          <w:szCs w:val="24"/>
        </w:rPr>
        <w:t xml:space="preserve">The provisions of </w:t>
      </w:r>
      <w:r w:rsidR="00E9458E" w:rsidRPr="001A699B">
        <w:rPr>
          <w:rFonts w:ascii="Times New Roman" w:hAnsi="Times New Roman" w:cs="Times New Roman"/>
          <w:sz w:val="24"/>
          <w:szCs w:val="24"/>
        </w:rPr>
        <w:t>s</w:t>
      </w:r>
      <w:r w:rsidRPr="001A699B">
        <w:rPr>
          <w:rFonts w:ascii="Times New Roman" w:hAnsi="Times New Roman" w:cs="Times New Roman"/>
          <w:sz w:val="24"/>
          <w:szCs w:val="24"/>
        </w:rPr>
        <w:t xml:space="preserve"> 21 of the Regulations also re-</w:t>
      </w:r>
      <w:r w:rsidR="00B53B9A" w:rsidRPr="001A699B">
        <w:rPr>
          <w:rFonts w:ascii="Times New Roman" w:hAnsi="Times New Roman" w:cs="Times New Roman"/>
          <w:sz w:val="24"/>
          <w:szCs w:val="24"/>
        </w:rPr>
        <w:t>i</w:t>
      </w:r>
      <w:r w:rsidRPr="001A699B">
        <w:rPr>
          <w:rFonts w:ascii="Times New Roman" w:hAnsi="Times New Roman" w:cs="Times New Roman"/>
          <w:sz w:val="24"/>
          <w:szCs w:val="24"/>
        </w:rPr>
        <w:t xml:space="preserve">nforce the legislative intention that any one who receives payment in circumstances similar to those of this case cannot retain that payment.  Section 21 provides, in relevant </w:t>
      </w:r>
      <w:r w:rsidR="0044105B" w:rsidRPr="001A699B">
        <w:rPr>
          <w:rFonts w:ascii="Times New Roman" w:hAnsi="Times New Roman" w:cs="Times New Roman"/>
          <w:sz w:val="24"/>
          <w:szCs w:val="24"/>
        </w:rPr>
        <w:t>part</w:t>
      </w:r>
      <w:r w:rsidRPr="001A699B">
        <w:rPr>
          <w:rFonts w:ascii="Times New Roman" w:hAnsi="Times New Roman" w:cs="Times New Roman"/>
          <w:sz w:val="24"/>
          <w:szCs w:val="24"/>
        </w:rPr>
        <w:t>:-</w:t>
      </w:r>
    </w:p>
    <w:p w:rsidR="00986FFF" w:rsidRPr="001A699B" w:rsidRDefault="00986FFF" w:rsidP="0089659B">
      <w:pPr>
        <w:spacing w:after="0" w:line="240" w:lineRule="auto"/>
        <w:ind w:left="720"/>
        <w:jc w:val="both"/>
        <w:rPr>
          <w:rFonts w:ascii="Times New Roman" w:hAnsi="Times New Roman" w:cs="Times New Roman"/>
          <w:sz w:val="24"/>
          <w:szCs w:val="24"/>
        </w:rPr>
      </w:pPr>
      <w:r w:rsidRPr="001A699B">
        <w:rPr>
          <w:rFonts w:ascii="Times New Roman" w:hAnsi="Times New Roman" w:cs="Times New Roman"/>
          <w:sz w:val="24"/>
          <w:szCs w:val="24"/>
        </w:rPr>
        <w:t>“</w:t>
      </w:r>
      <w:r w:rsidRPr="001A699B">
        <w:rPr>
          <w:rFonts w:ascii="Times New Roman" w:hAnsi="Times New Roman" w:cs="Times New Roman"/>
          <w:b/>
          <w:i/>
          <w:sz w:val="24"/>
          <w:szCs w:val="24"/>
        </w:rPr>
        <w:t>21 – Recovery of payments in excess of fair rent or in contravention of s</w:t>
      </w:r>
      <w:r w:rsidR="00593992" w:rsidRPr="001A699B">
        <w:rPr>
          <w:rFonts w:ascii="Times New Roman" w:hAnsi="Times New Roman" w:cs="Times New Roman"/>
          <w:b/>
          <w:i/>
          <w:sz w:val="24"/>
          <w:szCs w:val="24"/>
        </w:rPr>
        <w:t>ection</w:t>
      </w:r>
      <w:r w:rsidRPr="001A699B">
        <w:rPr>
          <w:rFonts w:ascii="Times New Roman" w:hAnsi="Times New Roman" w:cs="Times New Roman"/>
          <w:b/>
          <w:i/>
          <w:sz w:val="24"/>
          <w:szCs w:val="24"/>
        </w:rPr>
        <w:t xml:space="preserve"> 19</w:t>
      </w:r>
    </w:p>
    <w:p w:rsidR="002D644F" w:rsidRPr="001A699B" w:rsidRDefault="00B25E97" w:rsidP="0089659B">
      <w:pPr>
        <w:spacing w:after="0" w:line="240" w:lineRule="auto"/>
        <w:ind w:left="360" w:firstLine="360"/>
        <w:jc w:val="both"/>
        <w:rPr>
          <w:rFonts w:ascii="Times New Roman" w:hAnsi="Times New Roman" w:cs="Times New Roman"/>
          <w:sz w:val="24"/>
          <w:szCs w:val="24"/>
        </w:rPr>
      </w:pPr>
      <w:r w:rsidRPr="001A699B">
        <w:rPr>
          <w:rFonts w:ascii="Times New Roman" w:hAnsi="Times New Roman" w:cs="Times New Roman"/>
          <w:sz w:val="24"/>
          <w:szCs w:val="24"/>
        </w:rPr>
        <w:t>(1</w:t>
      </w:r>
      <w:proofErr w:type="gramStart"/>
      <w:r w:rsidRPr="001A699B">
        <w:rPr>
          <w:rFonts w:ascii="Times New Roman" w:hAnsi="Times New Roman" w:cs="Times New Roman"/>
          <w:sz w:val="24"/>
          <w:szCs w:val="24"/>
        </w:rPr>
        <w:t xml:space="preserve">) </w:t>
      </w:r>
      <w:r w:rsidR="00986FFF" w:rsidRPr="001A699B">
        <w:rPr>
          <w:rFonts w:ascii="Times New Roman" w:hAnsi="Times New Roman" w:cs="Times New Roman"/>
          <w:sz w:val="24"/>
          <w:szCs w:val="24"/>
        </w:rPr>
        <w:t>...</w:t>
      </w:r>
      <w:proofErr w:type="gramEnd"/>
    </w:p>
    <w:p w:rsidR="00B4394F" w:rsidRPr="001A699B" w:rsidRDefault="00E37B09" w:rsidP="00E37B09">
      <w:pPr>
        <w:spacing w:after="0" w:line="240" w:lineRule="auto"/>
        <w:ind w:left="1170" w:hanging="450"/>
        <w:jc w:val="both"/>
        <w:rPr>
          <w:rFonts w:ascii="Times New Roman" w:hAnsi="Times New Roman" w:cs="Times New Roman"/>
          <w:sz w:val="24"/>
          <w:szCs w:val="24"/>
        </w:rPr>
      </w:pPr>
      <w:r w:rsidRPr="001A699B">
        <w:rPr>
          <w:rFonts w:ascii="Times New Roman" w:hAnsi="Times New Roman" w:cs="Times New Roman"/>
          <w:sz w:val="24"/>
          <w:szCs w:val="24"/>
        </w:rPr>
        <w:t>(2)</w:t>
      </w:r>
      <w:r w:rsidR="00986FFF" w:rsidRPr="001A699B">
        <w:rPr>
          <w:rFonts w:ascii="Times New Roman" w:hAnsi="Times New Roman" w:cs="Times New Roman"/>
          <w:sz w:val="24"/>
          <w:szCs w:val="24"/>
        </w:rPr>
        <w:t xml:space="preserve">Where any payment has been made in contravention of the provisions of section 19, the lessee who made the payment may recover from the </w:t>
      </w:r>
      <w:r w:rsidR="002D644F" w:rsidRPr="001A699B">
        <w:rPr>
          <w:rFonts w:ascii="Times New Roman" w:hAnsi="Times New Roman" w:cs="Times New Roman"/>
          <w:sz w:val="24"/>
          <w:szCs w:val="24"/>
        </w:rPr>
        <w:t>less</w:t>
      </w:r>
      <w:r w:rsidR="003C2349" w:rsidRPr="001A699B">
        <w:rPr>
          <w:rFonts w:ascii="Times New Roman" w:hAnsi="Times New Roman" w:cs="Times New Roman"/>
          <w:sz w:val="24"/>
          <w:szCs w:val="24"/>
        </w:rPr>
        <w:t>o</w:t>
      </w:r>
      <w:r w:rsidR="002D644F" w:rsidRPr="001A699B">
        <w:rPr>
          <w:rFonts w:ascii="Times New Roman" w:hAnsi="Times New Roman" w:cs="Times New Roman"/>
          <w:sz w:val="24"/>
          <w:szCs w:val="24"/>
        </w:rPr>
        <w:t>r</w:t>
      </w:r>
      <w:r w:rsidR="00986FFF" w:rsidRPr="001A699B">
        <w:rPr>
          <w:rFonts w:ascii="Times New Roman" w:hAnsi="Times New Roman" w:cs="Times New Roman"/>
          <w:sz w:val="24"/>
          <w:szCs w:val="24"/>
        </w:rPr>
        <w:t xml:space="preserve"> who received the payment the amount thereof.</w:t>
      </w:r>
      <w:r w:rsidR="002D644F" w:rsidRPr="001A699B">
        <w:rPr>
          <w:rFonts w:ascii="Times New Roman" w:hAnsi="Times New Roman" w:cs="Times New Roman"/>
          <w:sz w:val="24"/>
          <w:szCs w:val="24"/>
        </w:rPr>
        <w:t>”</w:t>
      </w:r>
    </w:p>
    <w:p w:rsidR="00B4394F" w:rsidRPr="001A699B" w:rsidRDefault="00B4394F" w:rsidP="00E37B09">
      <w:pPr>
        <w:spacing w:after="0" w:line="240" w:lineRule="auto"/>
        <w:ind w:left="1170" w:hanging="450"/>
        <w:jc w:val="both"/>
        <w:rPr>
          <w:rFonts w:ascii="Times New Roman" w:hAnsi="Times New Roman" w:cs="Times New Roman"/>
          <w:sz w:val="24"/>
          <w:szCs w:val="24"/>
        </w:rPr>
      </w:pPr>
    </w:p>
    <w:p w:rsidR="00484B3B" w:rsidRPr="001A699B" w:rsidRDefault="00484B3B" w:rsidP="00E37B09">
      <w:pPr>
        <w:spacing w:after="0" w:line="240" w:lineRule="auto"/>
        <w:ind w:left="1170" w:hanging="450"/>
        <w:jc w:val="both"/>
        <w:rPr>
          <w:rFonts w:ascii="Times New Roman" w:hAnsi="Times New Roman" w:cs="Times New Roman"/>
          <w:sz w:val="24"/>
          <w:szCs w:val="24"/>
        </w:rPr>
      </w:pPr>
      <w:r w:rsidRPr="001A699B">
        <w:rPr>
          <w:rFonts w:ascii="Times New Roman" w:hAnsi="Times New Roman" w:cs="Times New Roman"/>
          <w:sz w:val="24"/>
          <w:szCs w:val="24"/>
        </w:rPr>
        <w:tab/>
      </w:r>
    </w:p>
    <w:p w:rsidR="00C67353" w:rsidRPr="001A699B" w:rsidRDefault="00C67353" w:rsidP="00B4394F">
      <w:pPr>
        <w:spacing w:after="0" w:line="240" w:lineRule="auto"/>
        <w:jc w:val="both"/>
        <w:rPr>
          <w:rFonts w:ascii="Times New Roman" w:hAnsi="Times New Roman" w:cs="Times New Roman"/>
          <w:sz w:val="24"/>
          <w:szCs w:val="24"/>
        </w:rPr>
      </w:pPr>
    </w:p>
    <w:p w:rsidR="00C67353" w:rsidRPr="001A699B" w:rsidRDefault="00986FFF" w:rsidP="002D644F">
      <w:pPr>
        <w:spacing w:after="0" w:line="480" w:lineRule="auto"/>
        <w:ind w:firstLine="1440"/>
        <w:jc w:val="both"/>
        <w:rPr>
          <w:rFonts w:ascii="Times New Roman" w:hAnsi="Times New Roman" w:cs="Times New Roman"/>
          <w:sz w:val="24"/>
          <w:szCs w:val="24"/>
        </w:rPr>
      </w:pPr>
      <w:r w:rsidRPr="001A699B">
        <w:rPr>
          <w:rFonts w:ascii="Times New Roman" w:hAnsi="Times New Roman" w:cs="Times New Roman"/>
          <w:sz w:val="24"/>
          <w:szCs w:val="24"/>
        </w:rPr>
        <w:lastRenderedPageBreak/>
        <w:t>In addition</w:t>
      </w:r>
      <w:r w:rsidR="003C2349" w:rsidRPr="001A699B">
        <w:rPr>
          <w:rFonts w:ascii="Times New Roman" w:hAnsi="Times New Roman" w:cs="Times New Roman"/>
          <w:sz w:val="24"/>
          <w:szCs w:val="24"/>
        </w:rPr>
        <w:t>,</w:t>
      </w:r>
      <w:r w:rsidRPr="001A699B">
        <w:rPr>
          <w:rFonts w:ascii="Times New Roman" w:hAnsi="Times New Roman" w:cs="Times New Roman"/>
          <w:sz w:val="24"/>
          <w:szCs w:val="24"/>
        </w:rPr>
        <w:t xml:space="preserve"> s 32 of the Regulations </w:t>
      </w:r>
      <w:r w:rsidR="00C67353" w:rsidRPr="001A699B">
        <w:rPr>
          <w:rFonts w:ascii="Times New Roman" w:hAnsi="Times New Roman" w:cs="Times New Roman"/>
          <w:sz w:val="24"/>
          <w:szCs w:val="24"/>
        </w:rPr>
        <w:t xml:space="preserve">makes it a criminal offence for any one to </w:t>
      </w:r>
      <w:r w:rsidRPr="001A699B">
        <w:rPr>
          <w:rFonts w:ascii="Times New Roman" w:hAnsi="Times New Roman" w:cs="Times New Roman"/>
          <w:sz w:val="24"/>
          <w:szCs w:val="24"/>
        </w:rPr>
        <w:t xml:space="preserve">contravene s 19 of the Regulations and </w:t>
      </w:r>
      <w:r w:rsidR="00C67353" w:rsidRPr="001A699B">
        <w:rPr>
          <w:rFonts w:ascii="Times New Roman" w:hAnsi="Times New Roman" w:cs="Times New Roman"/>
          <w:sz w:val="24"/>
          <w:szCs w:val="24"/>
        </w:rPr>
        <w:t>provides for a fine or imprisonment or both.  Section 34 allows a court to order a refund following a conviction for a contravention of s 19.</w:t>
      </w:r>
    </w:p>
    <w:p w:rsidR="00F92CB4" w:rsidRPr="001A699B" w:rsidRDefault="00F92CB4" w:rsidP="00F92CB4">
      <w:pPr>
        <w:spacing w:after="0" w:line="240" w:lineRule="auto"/>
        <w:ind w:firstLine="1440"/>
        <w:jc w:val="both"/>
        <w:rPr>
          <w:rFonts w:ascii="Times New Roman" w:hAnsi="Times New Roman" w:cs="Times New Roman"/>
          <w:sz w:val="24"/>
          <w:szCs w:val="24"/>
        </w:rPr>
      </w:pPr>
    </w:p>
    <w:p w:rsidR="002D644F" w:rsidRPr="001A699B" w:rsidRDefault="00C67353" w:rsidP="00F92CB4">
      <w:pPr>
        <w:spacing w:after="0" w:line="240" w:lineRule="auto"/>
        <w:jc w:val="both"/>
        <w:rPr>
          <w:rFonts w:ascii="Times New Roman" w:hAnsi="Times New Roman" w:cs="Times New Roman"/>
          <w:sz w:val="24"/>
          <w:szCs w:val="24"/>
        </w:rPr>
      </w:pPr>
      <w:r w:rsidRPr="001A699B">
        <w:rPr>
          <w:rFonts w:ascii="Times New Roman" w:hAnsi="Times New Roman" w:cs="Times New Roman"/>
          <w:sz w:val="24"/>
          <w:szCs w:val="24"/>
        </w:rPr>
        <w:tab/>
      </w:r>
      <w:r w:rsidRPr="001A699B">
        <w:rPr>
          <w:rFonts w:ascii="Times New Roman" w:hAnsi="Times New Roman" w:cs="Times New Roman"/>
          <w:sz w:val="24"/>
          <w:szCs w:val="24"/>
        </w:rPr>
        <w:tab/>
      </w:r>
    </w:p>
    <w:p w:rsidR="004023B0" w:rsidRPr="001A699B" w:rsidRDefault="00C67353" w:rsidP="002D644F">
      <w:pPr>
        <w:spacing w:after="0" w:line="480" w:lineRule="auto"/>
        <w:ind w:firstLine="1440"/>
        <w:jc w:val="both"/>
        <w:rPr>
          <w:rFonts w:ascii="Times New Roman" w:hAnsi="Times New Roman" w:cs="Times New Roman"/>
          <w:sz w:val="24"/>
          <w:szCs w:val="24"/>
        </w:rPr>
      </w:pPr>
      <w:r w:rsidRPr="001A699B">
        <w:rPr>
          <w:rFonts w:ascii="Times New Roman" w:hAnsi="Times New Roman" w:cs="Times New Roman"/>
          <w:sz w:val="24"/>
          <w:szCs w:val="24"/>
        </w:rPr>
        <w:t>The</w:t>
      </w:r>
      <w:r w:rsidR="0036057F" w:rsidRPr="001A699B">
        <w:rPr>
          <w:rFonts w:ascii="Times New Roman" w:hAnsi="Times New Roman" w:cs="Times New Roman"/>
          <w:sz w:val="24"/>
          <w:szCs w:val="24"/>
        </w:rPr>
        <w:t xml:space="preserve"> clear intention of the</w:t>
      </w:r>
      <w:r w:rsidRPr="001A699B">
        <w:rPr>
          <w:rFonts w:ascii="Times New Roman" w:hAnsi="Times New Roman" w:cs="Times New Roman"/>
          <w:sz w:val="24"/>
          <w:szCs w:val="24"/>
        </w:rPr>
        <w:t xml:space="preserve"> Legislature was </w:t>
      </w:r>
      <w:r w:rsidR="002D644F" w:rsidRPr="001A699B">
        <w:rPr>
          <w:rFonts w:ascii="Times New Roman" w:hAnsi="Times New Roman" w:cs="Times New Roman"/>
          <w:sz w:val="24"/>
          <w:szCs w:val="24"/>
        </w:rPr>
        <w:t xml:space="preserve">to prohibit the tendency on the </w:t>
      </w:r>
      <w:r w:rsidRPr="001A699B">
        <w:rPr>
          <w:rFonts w:ascii="Times New Roman" w:hAnsi="Times New Roman" w:cs="Times New Roman"/>
          <w:sz w:val="24"/>
          <w:szCs w:val="24"/>
        </w:rPr>
        <w:t>part of some landlords to take advantage of desperate tenants seeking to rent accommodation by demanding, over and abo</w:t>
      </w:r>
      <w:r w:rsidR="002D644F" w:rsidRPr="001A699B">
        <w:rPr>
          <w:rFonts w:ascii="Times New Roman" w:hAnsi="Times New Roman" w:cs="Times New Roman"/>
          <w:sz w:val="24"/>
          <w:szCs w:val="24"/>
        </w:rPr>
        <w:t>ve the amounts that a landlo</w:t>
      </w:r>
      <w:r w:rsidRPr="001A699B">
        <w:rPr>
          <w:rFonts w:ascii="Times New Roman" w:hAnsi="Times New Roman" w:cs="Times New Roman"/>
          <w:sz w:val="24"/>
          <w:szCs w:val="24"/>
        </w:rPr>
        <w:t xml:space="preserve">rd may lawfully demand from a lessee, such as rent and a security deposit, other amounts that are not permissible in terms of the Regulations.  Put differently, it is impermissible and a breach of the law, for a landlord to demand payment of “a commitment </w:t>
      </w:r>
      <w:r w:rsidR="00654B1A" w:rsidRPr="001A699B">
        <w:rPr>
          <w:rFonts w:ascii="Times New Roman" w:hAnsi="Times New Roman" w:cs="Times New Roman"/>
          <w:sz w:val="24"/>
          <w:szCs w:val="24"/>
        </w:rPr>
        <w:t>fee”, or “goodwill”,</w:t>
      </w:r>
      <w:r w:rsidRPr="001A699B">
        <w:rPr>
          <w:rFonts w:ascii="Times New Roman" w:hAnsi="Times New Roman" w:cs="Times New Roman"/>
          <w:sz w:val="24"/>
          <w:szCs w:val="24"/>
        </w:rPr>
        <w:t xml:space="preserve"> or “a lease consideration fee” or any other fee, by whatever name, which amounts to a bonus or premium or a consideration for negotiating the lease.  That this provision has been part of our law for a long time is clear – see the decision of </w:t>
      </w:r>
      <w:r w:rsidR="00041420" w:rsidRPr="001A699B">
        <w:rPr>
          <w:rFonts w:ascii="Times New Roman" w:hAnsi="Times New Roman" w:cs="Times New Roman"/>
          <w:sz w:val="24"/>
          <w:szCs w:val="24"/>
        </w:rPr>
        <w:t xml:space="preserve">BEADLE </w:t>
      </w:r>
      <w:r w:rsidRPr="001A699B">
        <w:rPr>
          <w:rFonts w:ascii="Times New Roman" w:hAnsi="Times New Roman" w:cs="Times New Roman"/>
          <w:sz w:val="24"/>
          <w:szCs w:val="24"/>
        </w:rPr>
        <w:t>CJ in</w:t>
      </w:r>
      <w:r w:rsidRPr="001A699B">
        <w:rPr>
          <w:rFonts w:ascii="Times New Roman" w:hAnsi="Times New Roman" w:cs="Times New Roman"/>
          <w:b/>
          <w:sz w:val="24"/>
          <w:szCs w:val="24"/>
        </w:rPr>
        <w:t xml:space="preserve"> </w:t>
      </w:r>
      <w:r w:rsidRPr="001A699B">
        <w:rPr>
          <w:rFonts w:ascii="Times New Roman" w:hAnsi="Times New Roman" w:cs="Times New Roman"/>
          <w:i/>
          <w:sz w:val="24"/>
          <w:szCs w:val="24"/>
        </w:rPr>
        <w:t xml:space="preserve">S v Fraser Partners (Pvt) Ltd </w:t>
      </w:r>
      <w:r w:rsidR="00041420" w:rsidRPr="001A699B">
        <w:rPr>
          <w:rFonts w:ascii="Times New Roman" w:hAnsi="Times New Roman" w:cs="Times New Roman"/>
          <w:i/>
          <w:sz w:val="24"/>
          <w:szCs w:val="24"/>
        </w:rPr>
        <w:t>&amp;</w:t>
      </w:r>
      <w:r w:rsidRPr="001A699B">
        <w:rPr>
          <w:rFonts w:ascii="Times New Roman" w:hAnsi="Times New Roman" w:cs="Times New Roman"/>
          <w:i/>
          <w:sz w:val="24"/>
          <w:szCs w:val="24"/>
        </w:rPr>
        <w:t xml:space="preserve"> </w:t>
      </w:r>
      <w:r w:rsidR="00041420" w:rsidRPr="001A699B">
        <w:rPr>
          <w:rFonts w:ascii="Times New Roman" w:hAnsi="Times New Roman" w:cs="Times New Roman"/>
          <w:i/>
          <w:sz w:val="24"/>
          <w:szCs w:val="24"/>
        </w:rPr>
        <w:t>Anor</w:t>
      </w:r>
      <w:r w:rsidRPr="001A699B">
        <w:rPr>
          <w:rFonts w:ascii="Times New Roman" w:hAnsi="Times New Roman" w:cs="Times New Roman"/>
          <w:i/>
          <w:sz w:val="24"/>
          <w:szCs w:val="24"/>
        </w:rPr>
        <w:t xml:space="preserve"> </w:t>
      </w:r>
      <w:r w:rsidRPr="001A699B">
        <w:rPr>
          <w:rFonts w:ascii="Times New Roman" w:hAnsi="Times New Roman" w:cs="Times New Roman"/>
          <w:sz w:val="24"/>
          <w:szCs w:val="24"/>
        </w:rPr>
        <w:t>1972(1) S.A. 408</w:t>
      </w:r>
      <w:r w:rsidRPr="001A699B">
        <w:rPr>
          <w:rFonts w:ascii="Times New Roman" w:hAnsi="Times New Roman" w:cs="Times New Roman"/>
          <w:i/>
          <w:sz w:val="24"/>
          <w:szCs w:val="24"/>
        </w:rPr>
        <w:t xml:space="preserve">, </w:t>
      </w:r>
      <w:r w:rsidRPr="001A699B">
        <w:rPr>
          <w:rFonts w:ascii="Times New Roman" w:hAnsi="Times New Roman" w:cs="Times New Roman"/>
          <w:sz w:val="24"/>
          <w:szCs w:val="24"/>
        </w:rPr>
        <w:t>409 (RAD)</w:t>
      </w:r>
      <w:r w:rsidRPr="001A699B">
        <w:rPr>
          <w:rFonts w:ascii="Times New Roman" w:hAnsi="Times New Roman" w:cs="Times New Roman"/>
          <w:b/>
          <w:sz w:val="24"/>
          <w:szCs w:val="24"/>
        </w:rPr>
        <w:t xml:space="preserve"> </w:t>
      </w:r>
      <w:r w:rsidRPr="001A699B">
        <w:rPr>
          <w:rFonts w:ascii="Times New Roman" w:hAnsi="Times New Roman" w:cs="Times New Roman"/>
          <w:sz w:val="24"/>
          <w:szCs w:val="24"/>
        </w:rPr>
        <w:t xml:space="preserve">in which a similar provision came up for consideration before the </w:t>
      </w:r>
      <w:r w:rsidR="00041420" w:rsidRPr="001A699B">
        <w:rPr>
          <w:rFonts w:ascii="Times New Roman" w:hAnsi="Times New Roman" w:cs="Times New Roman"/>
          <w:sz w:val="24"/>
          <w:szCs w:val="24"/>
        </w:rPr>
        <w:t>C</w:t>
      </w:r>
      <w:r w:rsidRPr="001A699B">
        <w:rPr>
          <w:rFonts w:ascii="Times New Roman" w:hAnsi="Times New Roman" w:cs="Times New Roman"/>
          <w:sz w:val="24"/>
          <w:szCs w:val="24"/>
        </w:rPr>
        <w:t>ourt.</w:t>
      </w:r>
    </w:p>
    <w:p w:rsidR="004023B0" w:rsidRPr="001A699B" w:rsidRDefault="004023B0" w:rsidP="002D644F">
      <w:pPr>
        <w:spacing w:after="0" w:line="480" w:lineRule="auto"/>
        <w:ind w:firstLine="1440"/>
        <w:jc w:val="both"/>
        <w:rPr>
          <w:rFonts w:ascii="Times New Roman" w:hAnsi="Times New Roman" w:cs="Times New Roman"/>
          <w:sz w:val="24"/>
          <w:szCs w:val="24"/>
        </w:rPr>
      </w:pPr>
    </w:p>
    <w:p w:rsidR="00C67353" w:rsidRPr="001A699B" w:rsidRDefault="004023B0" w:rsidP="002D644F">
      <w:pPr>
        <w:spacing w:after="0" w:line="480" w:lineRule="auto"/>
        <w:ind w:firstLine="1440"/>
        <w:jc w:val="both"/>
        <w:rPr>
          <w:rFonts w:ascii="Times New Roman" w:hAnsi="Times New Roman" w:cs="Times New Roman"/>
          <w:sz w:val="24"/>
          <w:szCs w:val="24"/>
        </w:rPr>
      </w:pPr>
      <w:r w:rsidRPr="001A699B">
        <w:rPr>
          <w:rFonts w:ascii="Times New Roman" w:hAnsi="Times New Roman" w:cs="Times New Roman"/>
          <w:sz w:val="24"/>
          <w:szCs w:val="24"/>
        </w:rPr>
        <w:t xml:space="preserve">For the avoidance of doubt, it must be noted that a security or good tenancy deposit does not constitute a </w:t>
      </w:r>
      <w:r w:rsidR="00947391" w:rsidRPr="001A699B">
        <w:rPr>
          <w:rFonts w:ascii="Times New Roman" w:hAnsi="Times New Roman" w:cs="Times New Roman"/>
          <w:sz w:val="24"/>
          <w:szCs w:val="24"/>
        </w:rPr>
        <w:t>prohibited payment in terms of s 19.  This is clearly recognised in s 20 of the Regulations which provides that only such deposit must be refunded to the less</w:t>
      </w:r>
      <w:r w:rsidR="00607699" w:rsidRPr="001A699B">
        <w:rPr>
          <w:rFonts w:ascii="Times New Roman" w:hAnsi="Times New Roman" w:cs="Times New Roman"/>
          <w:sz w:val="24"/>
          <w:szCs w:val="24"/>
        </w:rPr>
        <w:t>or within fourteen (14) days of the termination of the lease in question.</w:t>
      </w:r>
      <w:r w:rsidR="00C67353" w:rsidRPr="001A699B">
        <w:rPr>
          <w:rFonts w:ascii="Times New Roman" w:hAnsi="Times New Roman" w:cs="Times New Roman"/>
          <w:sz w:val="24"/>
          <w:szCs w:val="24"/>
        </w:rPr>
        <w:t xml:space="preserve">  </w:t>
      </w:r>
    </w:p>
    <w:p w:rsidR="00C67353" w:rsidRPr="001A699B" w:rsidRDefault="00C67353" w:rsidP="00C67353">
      <w:pPr>
        <w:spacing w:after="0" w:line="480" w:lineRule="auto"/>
        <w:jc w:val="both"/>
        <w:rPr>
          <w:rFonts w:ascii="Times New Roman" w:hAnsi="Times New Roman" w:cs="Times New Roman"/>
          <w:sz w:val="24"/>
          <w:szCs w:val="24"/>
        </w:rPr>
      </w:pPr>
    </w:p>
    <w:p w:rsidR="00C67353" w:rsidRPr="001A699B" w:rsidRDefault="00C67353" w:rsidP="00C67353">
      <w:pPr>
        <w:spacing w:after="0" w:line="480" w:lineRule="auto"/>
        <w:jc w:val="both"/>
        <w:rPr>
          <w:rFonts w:ascii="Times New Roman" w:hAnsi="Times New Roman" w:cs="Times New Roman"/>
          <w:sz w:val="24"/>
          <w:szCs w:val="24"/>
        </w:rPr>
      </w:pPr>
      <w:r w:rsidRPr="001A699B">
        <w:rPr>
          <w:rFonts w:ascii="Times New Roman" w:hAnsi="Times New Roman" w:cs="Times New Roman"/>
          <w:sz w:val="24"/>
          <w:szCs w:val="24"/>
        </w:rPr>
        <w:tab/>
      </w:r>
      <w:r w:rsidRPr="001A699B">
        <w:rPr>
          <w:rFonts w:ascii="Times New Roman" w:hAnsi="Times New Roman" w:cs="Times New Roman"/>
          <w:sz w:val="24"/>
          <w:szCs w:val="24"/>
        </w:rPr>
        <w:tab/>
        <w:t>On</w:t>
      </w:r>
      <w:r w:rsidR="0036057F" w:rsidRPr="001A699B">
        <w:rPr>
          <w:rFonts w:ascii="Times New Roman" w:hAnsi="Times New Roman" w:cs="Times New Roman"/>
          <w:sz w:val="24"/>
          <w:szCs w:val="24"/>
        </w:rPr>
        <w:t>e</w:t>
      </w:r>
      <w:r w:rsidRPr="001A699B">
        <w:rPr>
          <w:rFonts w:ascii="Times New Roman" w:hAnsi="Times New Roman" w:cs="Times New Roman"/>
          <w:sz w:val="24"/>
          <w:szCs w:val="24"/>
        </w:rPr>
        <w:t xml:space="preserve"> further </w:t>
      </w:r>
      <w:r w:rsidR="0036057F" w:rsidRPr="001A699B">
        <w:rPr>
          <w:rFonts w:ascii="Times New Roman" w:hAnsi="Times New Roman" w:cs="Times New Roman"/>
          <w:sz w:val="24"/>
          <w:szCs w:val="24"/>
        </w:rPr>
        <w:t>matter</w:t>
      </w:r>
      <w:r w:rsidRPr="001A699B">
        <w:rPr>
          <w:rFonts w:ascii="Times New Roman" w:hAnsi="Times New Roman" w:cs="Times New Roman"/>
          <w:sz w:val="24"/>
          <w:szCs w:val="24"/>
        </w:rPr>
        <w:t xml:space="preserve"> fa</w:t>
      </w:r>
      <w:r w:rsidR="0036057F" w:rsidRPr="001A699B">
        <w:rPr>
          <w:rFonts w:ascii="Times New Roman" w:hAnsi="Times New Roman" w:cs="Times New Roman"/>
          <w:sz w:val="24"/>
          <w:szCs w:val="24"/>
        </w:rPr>
        <w:t>ll</w:t>
      </w:r>
      <w:r w:rsidRPr="001A699B">
        <w:rPr>
          <w:rFonts w:ascii="Times New Roman" w:hAnsi="Times New Roman" w:cs="Times New Roman"/>
          <w:sz w:val="24"/>
          <w:szCs w:val="24"/>
        </w:rPr>
        <w:t>s for determination and that is whether the second appellant is liable to pay the amount jointly and severally with the 1</w:t>
      </w:r>
      <w:r w:rsidRPr="001A699B">
        <w:rPr>
          <w:rFonts w:ascii="Times New Roman" w:hAnsi="Times New Roman" w:cs="Times New Roman"/>
          <w:sz w:val="24"/>
          <w:szCs w:val="24"/>
          <w:vertAlign w:val="superscript"/>
        </w:rPr>
        <w:t>st</w:t>
      </w:r>
      <w:r w:rsidRPr="001A699B">
        <w:rPr>
          <w:rFonts w:ascii="Times New Roman" w:hAnsi="Times New Roman" w:cs="Times New Roman"/>
          <w:sz w:val="24"/>
          <w:szCs w:val="24"/>
        </w:rPr>
        <w:t xml:space="preserve"> appellant.</w:t>
      </w:r>
    </w:p>
    <w:p w:rsidR="00C67353" w:rsidRPr="001A699B" w:rsidRDefault="00C67353" w:rsidP="00C67353">
      <w:pPr>
        <w:spacing w:after="0" w:line="480" w:lineRule="auto"/>
        <w:jc w:val="both"/>
        <w:rPr>
          <w:rFonts w:ascii="Times New Roman" w:hAnsi="Times New Roman" w:cs="Times New Roman"/>
          <w:sz w:val="24"/>
          <w:szCs w:val="24"/>
        </w:rPr>
      </w:pPr>
    </w:p>
    <w:p w:rsidR="00C67353" w:rsidRPr="001A699B" w:rsidRDefault="00C67353" w:rsidP="00C67353">
      <w:pPr>
        <w:spacing w:after="0" w:line="480" w:lineRule="auto"/>
        <w:jc w:val="both"/>
        <w:rPr>
          <w:rFonts w:ascii="Times New Roman" w:hAnsi="Times New Roman" w:cs="Times New Roman"/>
          <w:sz w:val="24"/>
          <w:szCs w:val="24"/>
        </w:rPr>
      </w:pPr>
      <w:r w:rsidRPr="001A699B">
        <w:rPr>
          <w:rFonts w:ascii="Times New Roman" w:hAnsi="Times New Roman" w:cs="Times New Roman"/>
          <w:sz w:val="24"/>
          <w:szCs w:val="24"/>
        </w:rPr>
        <w:tab/>
      </w:r>
      <w:r w:rsidRPr="001A699B">
        <w:rPr>
          <w:rFonts w:ascii="Times New Roman" w:hAnsi="Times New Roman" w:cs="Times New Roman"/>
          <w:sz w:val="24"/>
          <w:szCs w:val="24"/>
        </w:rPr>
        <w:tab/>
        <w:t>Whilst it is correct that in the pleadings the appellants put in issue the liability of the second appellant, it having been the appellants</w:t>
      </w:r>
      <w:r w:rsidR="00F21B9C" w:rsidRPr="001A699B">
        <w:rPr>
          <w:rFonts w:ascii="Times New Roman" w:hAnsi="Times New Roman" w:cs="Times New Roman"/>
          <w:sz w:val="24"/>
          <w:szCs w:val="24"/>
        </w:rPr>
        <w:t>’</w:t>
      </w:r>
      <w:r w:rsidRPr="001A699B">
        <w:rPr>
          <w:rFonts w:ascii="Times New Roman" w:hAnsi="Times New Roman" w:cs="Times New Roman"/>
          <w:sz w:val="24"/>
          <w:szCs w:val="24"/>
        </w:rPr>
        <w:t xml:space="preserve"> position that the second </w:t>
      </w:r>
      <w:r w:rsidR="00F21B9C" w:rsidRPr="001A699B">
        <w:rPr>
          <w:rFonts w:ascii="Times New Roman" w:hAnsi="Times New Roman" w:cs="Times New Roman"/>
          <w:sz w:val="24"/>
          <w:szCs w:val="24"/>
        </w:rPr>
        <w:t>appellant</w:t>
      </w:r>
      <w:r w:rsidRPr="001A699B">
        <w:rPr>
          <w:rFonts w:ascii="Times New Roman" w:hAnsi="Times New Roman" w:cs="Times New Roman"/>
          <w:sz w:val="24"/>
          <w:szCs w:val="24"/>
        </w:rPr>
        <w:t xml:space="preserve"> had </w:t>
      </w:r>
      <w:r w:rsidRPr="001A699B">
        <w:rPr>
          <w:rFonts w:ascii="Times New Roman" w:hAnsi="Times New Roman" w:cs="Times New Roman"/>
          <w:sz w:val="24"/>
          <w:szCs w:val="24"/>
        </w:rPr>
        <w:lastRenderedPageBreak/>
        <w:t xml:space="preserve">been a mere representative of the first </w:t>
      </w:r>
      <w:r w:rsidR="00FC6DEB" w:rsidRPr="001A699B">
        <w:rPr>
          <w:rFonts w:ascii="Times New Roman" w:hAnsi="Times New Roman" w:cs="Times New Roman"/>
          <w:sz w:val="24"/>
          <w:szCs w:val="24"/>
        </w:rPr>
        <w:t>appellant</w:t>
      </w:r>
      <w:r w:rsidRPr="001A699B">
        <w:rPr>
          <w:rFonts w:ascii="Times New Roman" w:hAnsi="Times New Roman" w:cs="Times New Roman"/>
          <w:sz w:val="24"/>
          <w:szCs w:val="24"/>
        </w:rPr>
        <w:t xml:space="preserve">, it is clear that the issue was never really pursued nor was the court </w:t>
      </w:r>
      <w:r w:rsidRPr="001A699B">
        <w:rPr>
          <w:rFonts w:ascii="Times New Roman" w:hAnsi="Times New Roman" w:cs="Times New Roman"/>
          <w:i/>
          <w:sz w:val="24"/>
          <w:szCs w:val="24"/>
        </w:rPr>
        <w:t>a quo</w:t>
      </w:r>
      <w:r w:rsidRPr="001A699B">
        <w:rPr>
          <w:rFonts w:ascii="Times New Roman" w:hAnsi="Times New Roman" w:cs="Times New Roman"/>
          <w:sz w:val="24"/>
          <w:szCs w:val="24"/>
        </w:rPr>
        <w:t xml:space="preserve"> asked to make a determination on it.  The </w:t>
      </w:r>
      <w:r w:rsidR="00416F94" w:rsidRPr="001A699B">
        <w:rPr>
          <w:rFonts w:ascii="Times New Roman" w:hAnsi="Times New Roman" w:cs="Times New Roman"/>
          <w:sz w:val="24"/>
          <w:szCs w:val="24"/>
        </w:rPr>
        <w:t>respondent’s declaration</w:t>
      </w:r>
      <w:r w:rsidRPr="001A699B">
        <w:rPr>
          <w:rFonts w:ascii="Times New Roman" w:hAnsi="Times New Roman" w:cs="Times New Roman"/>
          <w:sz w:val="24"/>
          <w:szCs w:val="24"/>
        </w:rPr>
        <w:t xml:space="preserve"> made it clear that payment of the sum of US$10,000 was sought against</w:t>
      </w:r>
      <w:r w:rsidR="003C6480" w:rsidRPr="001A699B">
        <w:rPr>
          <w:rFonts w:ascii="Times New Roman" w:hAnsi="Times New Roman" w:cs="Times New Roman"/>
          <w:sz w:val="24"/>
          <w:szCs w:val="24"/>
        </w:rPr>
        <w:t xml:space="preserve"> both appellants, jointly and severally, the one paying the other to be absolved.  Despite the position seemingly adopted by the appellants in the plea that the first appellant merely acted as an agent for the second appellant, the joint pre-trial conference minute signed by both parties identified a total of five issues for determination at the trial.  Whether both appellants were joi</w:t>
      </w:r>
      <w:r w:rsidR="002D644F" w:rsidRPr="001A699B">
        <w:rPr>
          <w:rFonts w:ascii="Times New Roman" w:hAnsi="Times New Roman" w:cs="Times New Roman"/>
          <w:sz w:val="24"/>
          <w:szCs w:val="24"/>
        </w:rPr>
        <w:t>ntly and severally liable was n</w:t>
      </w:r>
      <w:r w:rsidR="003C6480" w:rsidRPr="001A699B">
        <w:rPr>
          <w:rFonts w:ascii="Times New Roman" w:hAnsi="Times New Roman" w:cs="Times New Roman"/>
          <w:sz w:val="24"/>
          <w:szCs w:val="24"/>
        </w:rPr>
        <w:t>o</w:t>
      </w:r>
      <w:r w:rsidR="002D644F" w:rsidRPr="001A699B">
        <w:rPr>
          <w:rFonts w:ascii="Times New Roman" w:hAnsi="Times New Roman" w:cs="Times New Roman"/>
          <w:sz w:val="24"/>
          <w:szCs w:val="24"/>
        </w:rPr>
        <w:t>t</w:t>
      </w:r>
      <w:r w:rsidR="003C6480" w:rsidRPr="001A699B">
        <w:rPr>
          <w:rFonts w:ascii="Times New Roman" w:hAnsi="Times New Roman" w:cs="Times New Roman"/>
          <w:sz w:val="24"/>
          <w:szCs w:val="24"/>
        </w:rPr>
        <w:t xml:space="preserve"> one of the issues identified for trial. </w:t>
      </w:r>
      <w:r w:rsidR="00D9682F" w:rsidRPr="001A699B">
        <w:rPr>
          <w:rFonts w:ascii="Times New Roman" w:hAnsi="Times New Roman" w:cs="Times New Roman"/>
          <w:sz w:val="24"/>
          <w:szCs w:val="24"/>
        </w:rPr>
        <w:t xml:space="preserve"> As</w:t>
      </w:r>
      <w:r w:rsidR="003C6480" w:rsidRPr="001A699B">
        <w:rPr>
          <w:rFonts w:ascii="Times New Roman" w:hAnsi="Times New Roman" w:cs="Times New Roman"/>
          <w:sz w:val="24"/>
          <w:szCs w:val="24"/>
        </w:rPr>
        <w:t xml:space="preserve"> it so happened, during the trial proceedings</w:t>
      </w:r>
      <w:r w:rsidR="00D9682F" w:rsidRPr="001A699B">
        <w:rPr>
          <w:rFonts w:ascii="Times New Roman" w:hAnsi="Times New Roman" w:cs="Times New Roman"/>
          <w:sz w:val="24"/>
          <w:szCs w:val="24"/>
        </w:rPr>
        <w:t>,</w:t>
      </w:r>
      <w:r w:rsidR="003C6480" w:rsidRPr="001A699B">
        <w:rPr>
          <w:rFonts w:ascii="Times New Roman" w:hAnsi="Times New Roman" w:cs="Times New Roman"/>
          <w:sz w:val="24"/>
          <w:szCs w:val="24"/>
        </w:rPr>
        <w:t xml:space="preserve"> the court </w:t>
      </w:r>
      <w:r w:rsidR="003C6480" w:rsidRPr="001A699B">
        <w:rPr>
          <w:rFonts w:ascii="Times New Roman" w:hAnsi="Times New Roman" w:cs="Times New Roman"/>
          <w:i/>
          <w:sz w:val="24"/>
          <w:szCs w:val="24"/>
        </w:rPr>
        <w:t>a quo</w:t>
      </w:r>
      <w:r w:rsidR="003C6480" w:rsidRPr="001A699B">
        <w:rPr>
          <w:rFonts w:ascii="Times New Roman" w:hAnsi="Times New Roman" w:cs="Times New Roman"/>
          <w:sz w:val="24"/>
          <w:szCs w:val="24"/>
        </w:rPr>
        <w:t xml:space="preserve"> confined its attention to the five issues that had been identified.  At no stage was the court asked to make a determination on whether or not the </w:t>
      </w:r>
      <w:r w:rsidR="00D9682F" w:rsidRPr="001A699B">
        <w:rPr>
          <w:rFonts w:ascii="Times New Roman" w:hAnsi="Times New Roman" w:cs="Times New Roman"/>
          <w:sz w:val="24"/>
          <w:szCs w:val="24"/>
        </w:rPr>
        <w:t>second appellant was also liable</w:t>
      </w:r>
      <w:r w:rsidR="003C6480" w:rsidRPr="001A699B">
        <w:rPr>
          <w:rFonts w:ascii="Times New Roman" w:hAnsi="Times New Roman" w:cs="Times New Roman"/>
          <w:sz w:val="24"/>
          <w:szCs w:val="24"/>
        </w:rPr>
        <w:t>.</w:t>
      </w:r>
    </w:p>
    <w:p w:rsidR="003C6480" w:rsidRPr="001A699B" w:rsidRDefault="003C6480" w:rsidP="00C67353">
      <w:pPr>
        <w:spacing w:after="0" w:line="480" w:lineRule="auto"/>
        <w:jc w:val="both"/>
        <w:rPr>
          <w:rFonts w:ascii="Times New Roman" w:hAnsi="Times New Roman" w:cs="Times New Roman"/>
          <w:sz w:val="24"/>
          <w:szCs w:val="24"/>
        </w:rPr>
      </w:pPr>
    </w:p>
    <w:p w:rsidR="003C6480" w:rsidRPr="001A699B" w:rsidRDefault="003C6480" w:rsidP="00C67353">
      <w:pPr>
        <w:spacing w:after="0" w:line="480" w:lineRule="auto"/>
        <w:jc w:val="both"/>
        <w:rPr>
          <w:rFonts w:ascii="Times New Roman" w:hAnsi="Times New Roman" w:cs="Times New Roman"/>
          <w:sz w:val="24"/>
          <w:szCs w:val="24"/>
        </w:rPr>
      </w:pPr>
      <w:r w:rsidRPr="001A699B">
        <w:rPr>
          <w:rFonts w:ascii="Times New Roman" w:hAnsi="Times New Roman" w:cs="Times New Roman"/>
          <w:sz w:val="24"/>
          <w:szCs w:val="24"/>
        </w:rPr>
        <w:tab/>
      </w:r>
      <w:r w:rsidRPr="001A699B">
        <w:rPr>
          <w:rFonts w:ascii="Times New Roman" w:hAnsi="Times New Roman" w:cs="Times New Roman"/>
          <w:sz w:val="24"/>
          <w:szCs w:val="24"/>
        </w:rPr>
        <w:tab/>
        <w:t>To now suggest</w:t>
      </w:r>
      <w:r w:rsidR="0025188D" w:rsidRPr="001A699B">
        <w:rPr>
          <w:rFonts w:ascii="Times New Roman" w:hAnsi="Times New Roman" w:cs="Times New Roman"/>
          <w:sz w:val="24"/>
          <w:szCs w:val="24"/>
        </w:rPr>
        <w:t>, as has been done in the grounds of appeal,</w:t>
      </w:r>
      <w:r w:rsidRPr="001A699B">
        <w:rPr>
          <w:rFonts w:ascii="Times New Roman" w:hAnsi="Times New Roman" w:cs="Times New Roman"/>
          <w:sz w:val="24"/>
          <w:szCs w:val="24"/>
        </w:rPr>
        <w:t xml:space="preserve"> that the court </w:t>
      </w:r>
      <w:r w:rsidRPr="001A699B">
        <w:rPr>
          <w:rFonts w:ascii="Times New Roman" w:hAnsi="Times New Roman" w:cs="Times New Roman"/>
          <w:i/>
          <w:sz w:val="24"/>
          <w:szCs w:val="24"/>
        </w:rPr>
        <w:t>a quo</w:t>
      </w:r>
      <w:r w:rsidRPr="001A699B">
        <w:rPr>
          <w:rFonts w:ascii="Times New Roman" w:hAnsi="Times New Roman" w:cs="Times New Roman"/>
          <w:sz w:val="24"/>
          <w:szCs w:val="24"/>
        </w:rPr>
        <w:t xml:space="preserve"> misdirected itself in holding that the liability of the two appellants was joint and several is</w:t>
      </w:r>
      <w:r w:rsidR="002D644F" w:rsidRPr="001A699B">
        <w:rPr>
          <w:rFonts w:ascii="Times New Roman" w:hAnsi="Times New Roman" w:cs="Times New Roman"/>
          <w:sz w:val="24"/>
          <w:szCs w:val="24"/>
        </w:rPr>
        <w:t xml:space="preserve"> not</w:t>
      </w:r>
      <w:r w:rsidRPr="001A699B">
        <w:rPr>
          <w:rFonts w:ascii="Times New Roman" w:hAnsi="Times New Roman" w:cs="Times New Roman"/>
          <w:sz w:val="24"/>
          <w:szCs w:val="24"/>
        </w:rPr>
        <w:t xml:space="preserve"> only unfair to the court </w:t>
      </w:r>
      <w:r w:rsidRPr="001A699B">
        <w:rPr>
          <w:rFonts w:ascii="Times New Roman" w:hAnsi="Times New Roman" w:cs="Times New Roman"/>
          <w:i/>
          <w:sz w:val="24"/>
          <w:szCs w:val="24"/>
        </w:rPr>
        <w:t>a quo</w:t>
      </w:r>
      <w:r w:rsidR="00D9682F" w:rsidRPr="001A699B">
        <w:rPr>
          <w:rFonts w:ascii="Times New Roman" w:hAnsi="Times New Roman" w:cs="Times New Roman"/>
          <w:sz w:val="24"/>
          <w:szCs w:val="24"/>
        </w:rPr>
        <w:t xml:space="preserve"> but</w:t>
      </w:r>
      <w:r w:rsidRPr="001A699B">
        <w:rPr>
          <w:rFonts w:ascii="Times New Roman" w:hAnsi="Times New Roman" w:cs="Times New Roman"/>
          <w:sz w:val="24"/>
          <w:szCs w:val="24"/>
        </w:rPr>
        <w:t xml:space="preserve"> also impermissible.  A court cannot and should not be criticised for not making a decision on an issue that was never placed before it for determination.  There is therefore no basis upon which the finding by the court </w:t>
      </w:r>
      <w:r w:rsidRPr="001A699B">
        <w:rPr>
          <w:rFonts w:ascii="Times New Roman" w:hAnsi="Times New Roman" w:cs="Times New Roman"/>
          <w:i/>
          <w:sz w:val="24"/>
          <w:szCs w:val="24"/>
        </w:rPr>
        <w:t>a quo</w:t>
      </w:r>
      <w:r w:rsidRPr="001A699B">
        <w:rPr>
          <w:rFonts w:ascii="Times New Roman" w:hAnsi="Times New Roman" w:cs="Times New Roman"/>
          <w:sz w:val="24"/>
          <w:szCs w:val="24"/>
        </w:rPr>
        <w:t xml:space="preserve"> that both appellants were liable can be impugned.</w:t>
      </w:r>
    </w:p>
    <w:p w:rsidR="003C6480" w:rsidRPr="001A699B" w:rsidRDefault="003C6480" w:rsidP="00C67353">
      <w:pPr>
        <w:spacing w:after="0" w:line="480" w:lineRule="auto"/>
        <w:jc w:val="both"/>
        <w:rPr>
          <w:rFonts w:ascii="Times New Roman" w:hAnsi="Times New Roman" w:cs="Times New Roman"/>
          <w:sz w:val="24"/>
          <w:szCs w:val="24"/>
        </w:rPr>
      </w:pPr>
    </w:p>
    <w:p w:rsidR="003C6480" w:rsidRPr="001A699B" w:rsidRDefault="003C6480" w:rsidP="00C67353">
      <w:pPr>
        <w:spacing w:after="0" w:line="480" w:lineRule="auto"/>
        <w:jc w:val="both"/>
        <w:rPr>
          <w:rFonts w:ascii="Times New Roman" w:hAnsi="Times New Roman" w:cs="Times New Roman"/>
          <w:sz w:val="24"/>
          <w:szCs w:val="24"/>
        </w:rPr>
      </w:pPr>
      <w:r w:rsidRPr="001A699B">
        <w:rPr>
          <w:rFonts w:ascii="Times New Roman" w:hAnsi="Times New Roman" w:cs="Times New Roman"/>
          <w:sz w:val="24"/>
          <w:szCs w:val="24"/>
        </w:rPr>
        <w:tab/>
      </w:r>
      <w:r w:rsidRPr="001A699B">
        <w:rPr>
          <w:rFonts w:ascii="Times New Roman" w:hAnsi="Times New Roman" w:cs="Times New Roman"/>
          <w:sz w:val="24"/>
          <w:szCs w:val="24"/>
        </w:rPr>
        <w:tab/>
        <w:t>In any event</w:t>
      </w:r>
      <w:r w:rsidR="00B83E91" w:rsidRPr="001A699B">
        <w:rPr>
          <w:rFonts w:ascii="Times New Roman" w:hAnsi="Times New Roman" w:cs="Times New Roman"/>
          <w:sz w:val="24"/>
          <w:szCs w:val="24"/>
        </w:rPr>
        <w:t>,</w:t>
      </w:r>
      <w:r w:rsidRPr="001A699B">
        <w:rPr>
          <w:rFonts w:ascii="Times New Roman" w:hAnsi="Times New Roman" w:cs="Times New Roman"/>
          <w:sz w:val="24"/>
          <w:szCs w:val="24"/>
        </w:rPr>
        <w:t xml:space="preserve"> the acknowledgment of receipt issued to the respondent on payment of the sum of $10,000 clearly indicates the receiver as “Jerry Okeke” and that it was him who was to allocate the shop in question to the respondent.  There is no suggestion on the receipt that the money was being paid to the </w:t>
      </w:r>
      <w:r w:rsidR="00D9682F" w:rsidRPr="001A699B">
        <w:rPr>
          <w:rFonts w:ascii="Times New Roman" w:hAnsi="Times New Roman" w:cs="Times New Roman"/>
          <w:sz w:val="24"/>
          <w:szCs w:val="24"/>
        </w:rPr>
        <w:t>first</w:t>
      </w:r>
      <w:r w:rsidRPr="001A699B">
        <w:rPr>
          <w:rFonts w:ascii="Times New Roman" w:hAnsi="Times New Roman" w:cs="Times New Roman"/>
          <w:sz w:val="24"/>
          <w:szCs w:val="24"/>
        </w:rPr>
        <w:t xml:space="preserve"> appellant and that the </w:t>
      </w:r>
      <w:r w:rsidR="00D9682F" w:rsidRPr="001A699B">
        <w:rPr>
          <w:rFonts w:ascii="Times New Roman" w:hAnsi="Times New Roman" w:cs="Times New Roman"/>
          <w:sz w:val="24"/>
          <w:szCs w:val="24"/>
        </w:rPr>
        <w:t>second</w:t>
      </w:r>
      <w:r w:rsidRPr="001A699B">
        <w:rPr>
          <w:rFonts w:ascii="Times New Roman" w:hAnsi="Times New Roman" w:cs="Times New Roman"/>
          <w:sz w:val="24"/>
          <w:szCs w:val="24"/>
        </w:rPr>
        <w:t xml:space="preserve"> was a mere agent of the </w:t>
      </w:r>
      <w:r w:rsidR="00D9682F" w:rsidRPr="001A699B">
        <w:rPr>
          <w:rFonts w:ascii="Times New Roman" w:hAnsi="Times New Roman" w:cs="Times New Roman"/>
          <w:sz w:val="24"/>
          <w:szCs w:val="24"/>
        </w:rPr>
        <w:t>first</w:t>
      </w:r>
      <w:r w:rsidRPr="001A699B">
        <w:rPr>
          <w:rFonts w:ascii="Times New Roman" w:hAnsi="Times New Roman" w:cs="Times New Roman"/>
          <w:sz w:val="24"/>
          <w:szCs w:val="24"/>
        </w:rPr>
        <w:t xml:space="preserve">.  For this additional reason this court was of the view that no proper basis </w:t>
      </w:r>
      <w:r w:rsidRPr="001A699B">
        <w:rPr>
          <w:rFonts w:ascii="Times New Roman" w:hAnsi="Times New Roman" w:cs="Times New Roman"/>
          <w:sz w:val="24"/>
          <w:szCs w:val="24"/>
        </w:rPr>
        <w:lastRenderedPageBreak/>
        <w:t xml:space="preserve">had been established </w:t>
      </w:r>
      <w:r w:rsidR="00D9682F" w:rsidRPr="001A699B">
        <w:rPr>
          <w:rFonts w:ascii="Times New Roman" w:hAnsi="Times New Roman" w:cs="Times New Roman"/>
          <w:sz w:val="24"/>
          <w:szCs w:val="24"/>
        </w:rPr>
        <w:t>for</w:t>
      </w:r>
      <w:r w:rsidRPr="001A699B">
        <w:rPr>
          <w:rFonts w:ascii="Times New Roman" w:hAnsi="Times New Roman" w:cs="Times New Roman"/>
          <w:sz w:val="24"/>
          <w:szCs w:val="24"/>
        </w:rPr>
        <w:t xml:space="preserve"> </w:t>
      </w:r>
      <w:r w:rsidR="00D9682F" w:rsidRPr="001A699B">
        <w:rPr>
          <w:rFonts w:ascii="Times New Roman" w:hAnsi="Times New Roman" w:cs="Times New Roman"/>
          <w:sz w:val="24"/>
          <w:szCs w:val="24"/>
        </w:rPr>
        <w:t>setting aside</w:t>
      </w:r>
      <w:r w:rsidRPr="001A699B">
        <w:rPr>
          <w:rFonts w:ascii="Times New Roman" w:hAnsi="Times New Roman" w:cs="Times New Roman"/>
          <w:sz w:val="24"/>
          <w:szCs w:val="24"/>
        </w:rPr>
        <w:t xml:space="preserve"> the finding by the court </w:t>
      </w:r>
      <w:r w:rsidRPr="001A699B">
        <w:rPr>
          <w:rFonts w:ascii="Times New Roman" w:hAnsi="Times New Roman" w:cs="Times New Roman"/>
          <w:i/>
          <w:sz w:val="24"/>
          <w:szCs w:val="24"/>
        </w:rPr>
        <w:t>a quo</w:t>
      </w:r>
      <w:r w:rsidRPr="001A699B">
        <w:rPr>
          <w:rFonts w:ascii="Times New Roman" w:hAnsi="Times New Roman" w:cs="Times New Roman"/>
          <w:sz w:val="24"/>
          <w:szCs w:val="24"/>
        </w:rPr>
        <w:t xml:space="preserve"> that the liability of the appellants was joint </w:t>
      </w:r>
      <w:r w:rsidR="00D9682F" w:rsidRPr="001A699B">
        <w:rPr>
          <w:rFonts w:ascii="Times New Roman" w:hAnsi="Times New Roman" w:cs="Times New Roman"/>
          <w:sz w:val="24"/>
          <w:szCs w:val="24"/>
        </w:rPr>
        <w:t>and several</w:t>
      </w:r>
      <w:r w:rsidRPr="001A699B">
        <w:rPr>
          <w:rFonts w:ascii="Times New Roman" w:hAnsi="Times New Roman" w:cs="Times New Roman"/>
          <w:sz w:val="24"/>
          <w:szCs w:val="24"/>
        </w:rPr>
        <w:t>.</w:t>
      </w:r>
    </w:p>
    <w:p w:rsidR="003C6480" w:rsidRPr="001A699B" w:rsidRDefault="003C6480" w:rsidP="00C67353">
      <w:pPr>
        <w:spacing w:after="0" w:line="480" w:lineRule="auto"/>
        <w:jc w:val="both"/>
        <w:rPr>
          <w:rFonts w:ascii="Times New Roman" w:hAnsi="Times New Roman" w:cs="Times New Roman"/>
          <w:sz w:val="24"/>
          <w:szCs w:val="24"/>
        </w:rPr>
      </w:pPr>
    </w:p>
    <w:p w:rsidR="003C6480" w:rsidRPr="001A699B" w:rsidRDefault="003C6480" w:rsidP="00C67353">
      <w:pPr>
        <w:spacing w:after="0" w:line="480" w:lineRule="auto"/>
        <w:jc w:val="both"/>
        <w:rPr>
          <w:rFonts w:ascii="Times New Roman" w:hAnsi="Times New Roman" w:cs="Times New Roman"/>
          <w:sz w:val="24"/>
          <w:szCs w:val="24"/>
        </w:rPr>
      </w:pPr>
      <w:r w:rsidRPr="001A699B">
        <w:rPr>
          <w:rFonts w:ascii="Times New Roman" w:hAnsi="Times New Roman" w:cs="Times New Roman"/>
          <w:sz w:val="24"/>
          <w:szCs w:val="24"/>
        </w:rPr>
        <w:tab/>
      </w:r>
      <w:r w:rsidRPr="001A699B">
        <w:rPr>
          <w:rFonts w:ascii="Times New Roman" w:hAnsi="Times New Roman" w:cs="Times New Roman"/>
          <w:sz w:val="24"/>
          <w:szCs w:val="24"/>
        </w:rPr>
        <w:tab/>
        <w:t>In all the circumstances</w:t>
      </w:r>
      <w:r w:rsidR="00EE5DA3" w:rsidRPr="001A699B">
        <w:rPr>
          <w:rFonts w:ascii="Times New Roman" w:hAnsi="Times New Roman" w:cs="Times New Roman"/>
          <w:sz w:val="24"/>
          <w:szCs w:val="24"/>
        </w:rPr>
        <w:t>,</w:t>
      </w:r>
      <w:r w:rsidRPr="001A699B">
        <w:rPr>
          <w:rFonts w:ascii="Times New Roman" w:hAnsi="Times New Roman" w:cs="Times New Roman"/>
          <w:sz w:val="24"/>
          <w:szCs w:val="24"/>
        </w:rPr>
        <w:t xml:space="preserve"> therefore, the court was satisfied that there was no merit to the appeal</w:t>
      </w:r>
      <w:r w:rsidR="00BB01BF" w:rsidRPr="001A699B">
        <w:rPr>
          <w:rFonts w:ascii="Times New Roman" w:hAnsi="Times New Roman" w:cs="Times New Roman"/>
          <w:sz w:val="24"/>
          <w:szCs w:val="24"/>
        </w:rPr>
        <w:t xml:space="preserve"> and accordingly</w:t>
      </w:r>
      <w:r w:rsidRPr="001A699B">
        <w:rPr>
          <w:rFonts w:ascii="Times New Roman" w:hAnsi="Times New Roman" w:cs="Times New Roman"/>
          <w:sz w:val="24"/>
          <w:szCs w:val="24"/>
        </w:rPr>
        <w:t xml:space="preserve"> dismissed the appeal with costs.</w:t>
      </w:r>
    </w:p>
    <w:p w:rsidR="003C6480" w:rsidRPr="001A699B" w:rsidRDefault="003C6480" w:rsidP="00C67353">
      <w:pPr>
        <w:spacing w:after="0" w:line="480" w:lineRule="auto"/>
        <w:jc w:val="both"/>
        <w:rPr>
          <w:rFonts w:ascii="Times New Roman" w:hAnsi="Times New Roman" w:cs="Times New Roman"/>
          <w:sz w:val="24"/>
          <w:szCs w:val="24"/>
        </w:rPr>
      </w:pPr>
    </w:p>
    <w:p w:rsidR="003C6480" w:rsidRPr="001A699B" w:rsidRDefault="00593992" w:rsidP="002D644F">
      <w:pPr>
        <w:spacing w:after="0" w:line="480" w:lineRule="auto"/>
        <w:ind w:left="720" w:firstLine="720"/>
        <w:jc w:val="both"/>
        <w:rPr>
          <w:rFonts w:ascii="Times New Roman" w:hAnsi="Times New Roman" w:cs="Times New Roman"/>
          <w:sz w:val="24"/>
          <w:szCs w:val="24"/>
        </w:rPr>
      </w:pPr>
      <w:r w:rsidRPr="001A699B">
        <w:rPr>
          <w:rFonts w:ascii="Times New Roman" w:hAnsi="Times New Roman" w:cs="Times New Roman"/>
          <w:b/>
          <w:sz w:val="24"/>
          <w:szCs w:val="24"/>
        </w:rPr>
        <w:t>ZIYAMBI</w:t>
      </w:r>
      <w:r w:rsidR="003C6480" w:rsidRPr="001A699B">
        <w:rPr>
          <w:rFonts w:ascii="Times New Roman" w:hAnsi="Times New Roman" w:cs="Times New Roman"/>
          <w:b/>
          <w:sz w:val="24"/>
          <w:szCs w:val="24"/>
        </w:rPr>
        <w:t xml:space="preserve"> JA</w:t>
      </w:r>
      <w:r w:rsidR="002D644F" w:rsidRPr="001A699B">
        <w:rPr>
          <w:rFonts w:ascii="Times New Roman" w:hAnsi="Times New Roman" w:cs="Times New Roman"/>
          <w:b/>
          <w:sz w:val="24"/>
          <w:szCs w:val="24"/>
        </w:rPr>
        <w:t>:</w:t>
      </w:r>
      <w:r w:rsidR="003C6480" w:rsidRPr="001A699B">
        <w:rPr>
          <w:rFonts w:ascii="Times New Roman" w:hAnsi="Times New Roman" w:cs="Times New Roman"/>
          <w:sz w:val="24"/>
          <w:szCs w:val="24"/>
        </w:rPr>
        <w:tab/>
        <w:t>I agree</w:t>
      </w:r>
    </w:p>
    <w:p w:rsidR="00593992" w:rsidRPr="001A699B" w:rsidRDefault="00593992" w:rsidP="002D644F">
      <w:pPr>
        <w:spacing w:after="0" w:line="480" w:lineRule="auto"/>
        <w:ind w:left="720" w:firstLine="720"/>
        <w:jc w:val="both"/>
        <w:rPr>
          <w:rFonts w:ascii="Times New Roman" w:hAnsi="Times New Roman" w:cs="Times New Roman"/>
          <w:sz w:val="24"/>
          <w:szCs w:val="24"/>
        </w:rPr>
      </w:pPr>
    </w:p>
    <w:p w:rsidR="00593992" w:rsidRPr="001A699B" w:rsidRDefault="00593992" w:rsidP="002D644F">
      <w:pPr>
        <w:spacing w:after="0" w:line="480" w:lineRule="auto"/>
        <w:ind w:left="720" w:firstLine="720"/>
        <w:jc w:val="both"/>
        <w:rPr>
          <w:rFonts w:ascii="Times New Roman" w:hAnsi="Times New Roman" w:cs="Times New Roman"/>
          <w:sz w:val="24"/>
          <w:szCs w:val="24"/>
        </w:rPr>
      </w:pPr>
    </w:p>
    <w:p w:rsidR="003C6480" w:rsidRPr="001A699B" w:rsidRDefault="00593992" w:rsidP="002D644F">
      <w:pPr>
        <w:spacing w:after="0" w:line="480" w:lineRule="auto"/>
        <w:ind w:left="720" w:firstLine="720"/>
        <w:jc w:val="both"/>
        <w:rPr>
          <w:rFonts w:ascii="Times New Roman" w:hAnsi="Times New Roman" w:cs="Times New Roman"/>
          <w:sz w:val="24"/>
          <w:szCs w:val="24"/>
        </w:rPr>
      </w:pPr>
      <w:r w:rsidRPr="001A699B">
        <w:rPr>
          <w:rFonts w:ascii="Times New Roman" w:hAnsi="Times New Roman" w:cs="Times New Roman"/>
          <w:b/>
          <w:sz w:val="24"/>
          <w:szCs w:val="24"/>
        </w:rPr>
        <w:t>PATEL</w:t>
      </w:r>
      <w:r w:rsidR="003C6480" w:rsidRPr="001A699B">
        <w:rPr>
          <w:rFonts w:ascii="Times New Roman" w:hAnsi="Times New Roman" w:cs="Times New Roman"/>
          <w:b/>
          <w:sz w:val="24"/>
          <w:szCs w:val="24"/>
        </w:rPr>
        <w:t xml:space="preserve"> JA</w:t>
      </w:r>
      <w:r w:rsidR="002D644F" w:rsidRPr="001A699B">
        <w:rPr>
          <w:rFonts w:ascii="Times New Roman" w:hAnsi="Times New Roman" w:cs="Times New Roman"/>
          <w:b/>
          <w:sz w:val="24"/>
          <w:szCs w:val="24"/>
        </w:rPr>
        <w:t>:</w:t>
      </w:r>
      <w:r w:rsidR="003C6480" w:rsidRPr="001A699B">
        <w:rPr>
          <w:rFonts w:ascii="Times New Roman" w:hAnsi="Times New Roman" w:cs="Times New Roman"/>
          <w:sz w:val="24"/>
          <w:szCs w:val="24"/>
        </w:rPr>
        <w:tab/>
      </w:r>
      <w:r w:rsidR="003C6480" w:rsidRPr="001A699B">
        <w:rPr>
          <w:rFonts w:ascii="Times New Roman" w:hAnsi="Times New Roman" w:cs="Times New Roman"/>
          <w:sz w:val="24"/>
          <w:szCs w:val="24"/>
        </w:rPr>
        <w:tab/>
        <w:t>I agree</w:t>
      </w:r>
    </w:p>
    <w:p w:rsidR="003C6480" w:rsidRPr="001A699B" w:rsidRDefault="003C6480" w:rsidP="00C67353">
      <w:pPr>
        <w:spacing w:after="0" w:line="480" w:lineRule="auto"/>
        <w:jc w:val="both"/>
        <w:rPr>
          <w:rFonts w:ascii="Times New Roman" w:hAnsi="Times New Roman" w:cs="Times New Roman"/>
          <w:sz w:val="24"/>
          <w:szCs w:val="24"/>
        </w:rPr>
      </w:pPr>
    </w:p>
    <w:p w:rsidR="003C6480" w:rsidRPr="001A699B" w:rsidRDefault="003C6480" w:rsidP="00C67353">
      <w:pPr>
        <w:spacing w:after="0" w:line="480" w:lineRule="auto"/>
        <w:jc w:val="both"/>
        <w:rPr>
          <w:rFonts w:ascii="Times New Roman" w:hAnsi="Times New Roman" w:cs="Times New Roman"/>
          <w:sz w:val="24"/>
          <w:szCs w:val="24"/>
        </w:rPr>
      </w:pPr>
    </w:p>
    <w:p w:rsidR="003C6480" w:rsidRPr="001A699B" w:rsidRDefault="003C6480" w:rsidP="00C67353">
      <w:pPr>
        <w:spacing w:after="0" w:line="480" w:lineRule="auto"/>
        <w:jc w:val="both"/>
        <w:rPr>
          <w:rFonts w:ascii="Times New Roman" w:hAnsi="Times New Roman" w:cs="Times New Roman"/>
          <w:sz w:val="24"/>
          <w:szCs w:val="24"/>
        </w:rPr>
      </w:pPr>
      <w:r w:rsidRPr="001A699B">
        <w:rPr>
          <w:rFonts w:ascii="Times New Roman" w:hAnsi="Times New Roman" w:cs="Times New Roman"/>
          <w:i/>
          <w:sz w:val="24"/>
          <w:szCs w:val="24"/>
        </w:rPr>
        <w:t xml:space="preserve">Mwonzora </w:t>
      </w:r>
      <w:r w:rsidR="00593992" w:rsidRPr="001A699B">
        <w:rPr>
          <w:rFonts w:ascii="Times New Roman" w:hAnsi="Times New Roman" w:cs="Times New Roman"/>
          <w:i/>
          <w:sz w:val="24"/>
          <w:szCs w:val="24"/>
        </w:rPr>
        <w:t>&amp;</w:t>
      </w:r>
      <w:r w:rsidRPr="001A699B">
        <w:rPr>
          <w:rFonts w:ascii="Times New Roman" w:hAnsi="Times New Roman" w:cs="Times New Roman"/>
          <w:i/>
          <w:sz w:val="24"/>
          <w:szCs w:val="24"/>
        </w:rPr>
        <w:t xml:space="preserve"> Associates</w:t>
      </w:r>
      <w:r w:rsidR="00076CE1" w:rsidRPr="001A699B">
        <w:rPr>
          <w:rFonts w:ascii="Times New Roman" w:hAnsi="Times New Roman" w:cs="Times New Roman"/>
          <w:sz w:val="24"/>
          <w:szCs w:val="24"/>
        </w:rPr>
        <w:t>, a</w:t>
      </w:r>
      <w:r w:rsidRPr="001A699B">
        <w:rPr>
          <w:rFonts w:ascii="Times New Roman" w:hAnsi="Times New Roman" w:cs="Times New Roman"/>
          <w:sz w:val="24"/>
          <w:szCs w:val="24"/>
        </w:rPr>
        <w:t xml:space="preserve">ppellants’ </w:t>
      </w:r>
      <w:r w:rsidR="00076CE1" w:rsidRPr="001A699B">
        <w:rPr>
          <w:rFonts w:ascii="Times New Roman" w:hAnsi="Times New Roman" w:cs="Times New Roman"/>
          <w:sz w:val="24"/>
          <w:szCs w:val="24"/>
        </w:rPr>
        <w:t>legal p</w:t>
      </w:r>
      <w:r w:rsidRPr="001A699B">
        <w:rPr>
          <w:rFonts w:ascii="Times New Roman" w:hAnsi="Times New Roman" w:cs="Times New Roman"/>
          <w:sz w:val="24"/>
          <w:szCs w:val="24"/>
        </w:rPr>
        <w:t>ractitioners</w:t>
      </w:r>
    </w:p>
    <w:p w:rsidR="003C6480" w:rsidRPr="001A699B" w:rsidRDefault="003C6480" w:rsidP="00C67353">
      <w:pPr>
        <w:spacing w:after="0" w:line="480" w:lineRule="auto"/>
        <w:jc w:val="both"/>
        <w:rPr>
          <w:rFonts w:ascii="Times New Roman" w:hAnsi="Times New Roman" w:cs="Times New Roman"/>
          <w:sz w:val="24"/>
          <w:szCs w:val="24"/>
        </w:rPr>
      </w:pPr>
      <w:r w:rsidRPr="001A699B">
        <w:rPr>
          <w:rFonts w:ascii="Times New Roman" w:hAnsi="Times New Roman" w:cs="Times New Roman"/>
          <w:i/>
          <w:sz w:val="24"/>
          <w:szCs w:val="24"/>
        </w:rPr>
        <w:t>Messrs M</w:t>
      </w:r>
      <w:r w:rsidR="002D644F" w:rsidRPr="001A699B">
        <w:rPr>
          <w:rFonts w:ascii="Times New Roman" w:hAnsi="Times New Roman" w:cs="Times New Roman"/>
          <w:i/>
          <w:sz w:val="24"/>
          <w:szCs w:val="24"/>
        </w:rPr>
        <w:t>usariri Law Chambers</w:t>
      </w:r>
      <w:r w:rsidR="00076CE1" w:rsidRPr="001A699B">
        <w:rPr>
          <w:rFonts w:ascii="Times New Roman" w:hAnsi="Times New Roman" w:cs="Times New Roman"/>
          <w:i/>
          <w:sz w:val="24"/>
          <w:szCs w:val="24"/>
        </w:rPr>
        <w:t>,</w:t>
      </w:r>
      <w:r w:rsidR="002D644F" w:rsidRPr="001A699B">
        <w:rPr>
          <w:rFonts w:ascii="Times New Roman" w:hAnsi="Times New Roman" w:cs="Times New Roman"/>
          <w:sz w:val="24"/>
          <w:szCs w:val="24"/>
        </w:rPr>
        <w:t xml:space="preserve"> </w:t>
      </w:r>
      <w:r w:rsidR="00076CE1" w:rsidRPr="001A699B">
        <w:rPr>
          <w:rFonts w:ascii="Times New Roman" w:hAnsi="Times New Roman" w:cs="Times New Roman"/>
          <w:sz w:val="24"/>
          <w:szCs w:val="24"/>
        </w:rPr>
        <w:t>r</w:t>
      </w:r>
      <w:r w:rsidR="002D644F" w:rsidRPr="001A699B">
        <w:rPr>
          <w:rFonts w:ascii="Times New Roman" w:hAnsi="Times New Roman" w:cs="Times New Roman"/>
          <w:sz w:val="24"/>
          <w:szCs w:val="24"/>
        </w:rPr>
        <w:t xml:space="preserve">espondent’s </w:t>
      </w:r>
      <w:r w:rsidR="00076CE1" w:rsidRPr="001A699B">
        <w:rPr>
          <w:rFonts w:ascii="Times New Roman" w:hAnsi="Times New Roman" w:cs="Times New Roman"/>
          <w:sz w:val="24"/>
          <w:szCs w:val="24"/>
        </w:rPr>
        <w:t>legal p</w:t>
      </w:r>
      <w:r w:rsidR="002D644F" w:rsidRPr="001A699B">
        <w:rPr>
          <w:rFonts w:ascii="Times New Roman" w:hAnsi="Times New Roman" w:cs="Times New Roman"/>
          <w:sz w:val="24"/>
          <w:szCs w:val="24"/>
        </w:rPr>
        <w:t>ractitioners</w:t>
      </w:r>
    </w:p>
    <w:p w:rsidR="00C67353" w:rsidRPr="001A699B" w:rsidRDefault="00C67353" w:rsidP="00986FFF">
      <w:pPr>
        <w:spacing w:after="0" w:line="480" w:lineRule="auto"/>
        <w:ind w:left="720"/>
        <w:jc w:val="both"/>
        <w:rPr>
          <w:rFonts w:ascii="Times New Roman" w:hAnsi="Times New Roman" w:cs="Times New Roman"/>
          <w:sz w:val="24"/>
          <w:szCs w:val="24"/>
        </w:rPr>
      </w:pPr>
    </w:p>
    <w:p w:rsidR="00986FFF" w:rsidRPr="001A699B" w:rsidRDefault="00986FFF" w:rsidP="00986FFF">
      <w:pPr>
        <w:spacing w:after="0" w:line="480" w:lineRule="auto"/>
        <w:ind w:left="720"/>
        <w:jc w:val="both"/>
        <w:rPr>
          <w:rFonts w:ascii="Times New Roman" w:hAnsi="Times New Roman" w:cs="Times New Roman"/>
          <w:sz w:val="24"/>
          <w:szCs w:val="24"/>
        </w:rPr>
      </w:pPr>
      <w:r w:rsidRPr="001A699B">
        <w:rPr>
          <w:rFonts w:ascii="Times New Roman" w:hAnsi="Times New Roman" w:cs="Times New Roman"/>
          <w:sz w:val="24"/>
          <w:szCs w:val="24"/>
        </w:rPr>
        <w:t xml:space="preserve"> </w:t>
      </w:r>
    </w:p>
    <w:p w:rsidR="00484B3B" w:rsidRPr="001A699B" w:rsidRDefault="00484B3B" w:rsidP="00484B3B">
      <w:pPr>
        <w:spacing w:after="0" w:line="240" w:lineRule="auto"/>
        <w:rPr>
          <w:rFonts w:ascii="Times New Roman" w:hAnsi="Times New Roman" w:cs="Times New Roman"/>
          <w:sz w:val="24"/>
          <w:szCs w:val="24"/>
        </w:rPr>
      </w:pPr>
    </w:p>
    <w:p w:rsidR="00484B3B" w:rsidRPr="001A699B" w:rsidRDefault="00484B3B" w:rsidP="00484B3B">
      <w:pPr>
        <w:spacing w:after="0" w:line="240" w:lineRule="auto"/>
        <w:rPr>
          <w:rFonts w:ascii="Times New Roman" w:hAnsi="Times New Roman" w:cs="Times New Roman"/>
          <w:sz w:val="24"/>
          <w:szCs w:val="24"/>
        </w:rPr>
      </w:pPr>
    </w:p>
    <w:p w:rsidR="00484B3B" w:rsidRPr="001A699B" w:rsidRDefault="00484B3B" w:rsidP="00484B3B">
      <w:pPr>
        <w:spacing w:after="0" w:line="240" w:lineRule="auto"/>
        <w:rPr>
          <w:rFonts w:ascii="Times New Roman" w:hAnsi="Times New Roman" w:cs="Times New Roman"/>
          <w:sz w:val="24"/>
          <w:szCs w:val="24"/>
        </w:rPr>
      </w:pPr>
    </w:p>
    <w:sectPr w:rsidR="00484B3B" w:rsidRPr="001A699B" w:rsidSect="00524436">
      <w:headerReference w:type="default" r:id="rId7"/>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BA1" w:rsidRDefault="00F83BA1" w:rsidP="00404243">
      <w:pPr>
        <w:spacing w:after="0" w:line="240" w:lineRule="auto"/>
      </w:pPr>
      <w:r>
        <w:separator/>
      </w:r>
    </w:p>
  </w:endnote>
  <w:endnote w:type="continuationSeparator" w:id="1">
    <w:p w:rsidR="00F83BA1" w:rsidRDefault="00F83BA1" w:rsidP="004042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BA1" w:rsidRDefault="00F83BA1" w:rsidP="00404243">
      <w:pPr>
        <w:spacing w:after="0" w:line="240" w:lineRule="auto"/>
      </w:pPr>
      <w:r>
        <w:separator/>
      </w:r>
    </w:p>
  </w:footnote>
  <w:footnote w:type="continuationSeparator" w:id="1">
    <w:p w:rsidR="00F83BA1" w:rsidRDefault="00F83BA1" w:rsidP="004042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9542C3">
      <w:tc>
        <w:tcPr>
          <w:tcW w:w="0" w:type="auto"/>
          <w:tcBorders>
            <w:right w:val="single" w:sz="6" w:space="0" w:color="000000" w:themeColor="text1"/>
          </w:tcBorders>
        </w:tcPr>
        <w:sdt>
          <w:sdtPr>
            <w:alias w:val="Company"/>
            <w:id w:val="78735422"/>
            <w:placeholder>
              <w:docPart w:val="F70FE2E3DECD4B7EA54FF237B52E6180"/>
            </w:placeholder>
            <w:dataBinding w:prefixMappings="xmlns:ns0='http://schemas.openxmlformats.org/officeDocument/2006/extended-properties'" w:xpath="/ns0:Properties[1]/ns0:Company[1]" w:storeItemID="{6668398D-A668-4E3E-A5EB-62B293D839F1}"/>
            <w:text/>
          </w:sdtPr>
          <w:sdtContent>
            <w:p w:rsidR="009542C3" w:rsidRDefault="009542C3">
              <w:pPr>
                <w:pStyle w:val="Header"/>
                <w:jc w:val="right"/>
              </w:pPr>
              <w:r>
                <w:rPr>
                  <w:lang w:val="en-ZW"/>
                </w:rPr>
                <w:t>Judgment No. SC 61/2013</w:t>
              </w:r>
            </w:p>
          </w:sdtContent>
        </w:sdt>
        <w:sdt>
          <w:sdtPr>
            <w:rPr>
              <w:b/>
              <w:bCs/>
            </w:rPr>
            <w:alias w:val="Title"/>
            <w:id w:val="78735415"/>
            <w:placeholder>
              <w:docPart w:val="A02A61BD9AF941FA98E0931EFE270650"/>
            </w:placeholder>
            <w:dataBinding w:prefixMappings="xmlns:ns0='http://schemas.openxmlformats.org/package/2006/metadata/core-properties' xmlns:ns1='http://purl.org/dc/elements/1.1/'" w:xpath="/ns0:coreProperties[1]/ns1:title[1]" w:storeItemID="{6C3C8BC8-F283-45AE-878A-BAB7291924A1}"/>
            <w:text/>
          </w:sdtPr>
          <w:sdtContent>
            <w:p w:rsidR="009542C3" w:rsidRDefault="00580797">
              <w:pPr>
                <w:pStyle w:val="Header"/>
                <w:jc w:val="right"/>
                <w:rPr>
                  <w:b/>
                  <w:bCs/>
                </w:rPr>
              </w:pPr>
              <w:r>
                <w:rPr>
                  <w:b/>
                  <w:bCs/>
                  <w:lang w:val="en-ZW"/>
                </w:rPr>
                <w:t>Civil Appeal No. SC 17/12</w:t>
              </w:r>
            </w:p>
          </w:sdtContent>
        </w:sdt>
      </w:tc>
      <w:tc>
        <w:tcPr>
          <w:tcW w:w="1152" w:type="dxa"/>
          <w:tcBorders>
            <w:left w:val="single" w:sz="6" w:space="0" w:color="000000" w:themeColor="text1"/>
          </w:tcBorders>
        </w:tcPr>
        <w:p w:rsidR="009542C3" w:rsidRDefault="00CF2200">
          <w:pPr>
            <w:pStyle w:val="Header"/>
            <w:rPr>
              <w:b/>
            </w:rPr>
          </w:pPr>
          <w:fldSimple w:instr=" PAGE   \* MERGEFORMAT ">
            <w:r w:rsidR="00CC7555">
              <w:rPr>
                <w:noProof/>
              </w:rPr>
              <w:t>1</w:t>
            </w:r>
          </w:fldSimple>
        </w:p>
      </w:tc>
    </w:tr>
  </w:tbl>
  <w:p w:rsidR="00404243" w:rsidRDefault="004042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EB4207"/>
    <w:multiLevelType w:val="hybridMultilevel"/>
    <w:tmpl w:val="B3F2BD5C"/>
    <w:lvl w:ilvl="0" w:tplc="7B421FC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5CC53B3A"/>
    <w:multiLevelType w:val="hybridMultilevel"/>
    <w:tmpl w:val="C83AFEA6"/>
    <w:lvl w:ilvl="0" w:tplc="E6A00EB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404243"/>
    <w:rsid w:val="00020F93"/>
    <w:rsid w:val="0003650D"/>
    <w:rsid w:val="00041420"/>
    <w:rsid w:val="0004743C"/>
    <w:rsid w:val="000477AB"/>
    <w:rsid w:val="00076CE1"/>
    <w:rsid w:val="00083CFD"/>
    <w:rsid w:val="00121A9B"/>
    <w:rsid w:val="001A1658"/>
    <w:rsid w:val="001A699B"/>
    <w:rsid w:val="001B093A"/>
    <w:rsid w:val="001B1C63"/>
    <w:rsid w:val="001C40F3"/>
    <w:rsid w:val="00205875"/>
    <w:rsid w:val="00214F4F"/>
    <w:rsid w:val="0025188D"/>
    <w:rsid w:val="0029222D"/>
    <w:rsid w:val="00294D7B"/>
    <w:rsid w:val="002D644F"/>
    <w:rsid w:val="002F2F13"/>
    <w:rsid w:val="0036057F"/>
    <w:rsid w:val="003930D8"/>
    <w:rsid w:val="003C2349"/>
    <w:rsid w:val="003C3DFE"/>
    <w:rsid w:val="003C6480"/>
    <w:rsid w:val="003D428D"/>
    <w:rsid w:val="004023B0"/>
    <w:rsid w:val="00404243"/>
    <w:rsid w:val="00416F94"/>
    <w:rsid w:val="0044105B"/>
    <w:rsid w:val="00460B98"/>
    <w:rsid w:val="00480A7C"/>
    <w:rsid w:val="00484B3B"/>
    <w:rsid w:val="004A43F8"/>
    <w:rsid w:val="00505FDE"/>
    <w:rsid w:val="005223E0"/>
    <w:rsid w:val="00524436"/>
    <w:rsid w:val="00580797"/>
    <w:rsid w:val="00593992"/>
    <w:rsid w:val="005A0B65"/>
    <w:rsid w:val="00607699"/>
    <w:rsid w:val="00654B1A"/>
    <w:rsid w:val="00654D72"/>
    <w:rsid w:val="00730826"/>
    <w:rsid w:val="00765696"/>
    <w:rsid w:val="00770831"/>
    <w:rsid w:val="00787356"/>
    <w:rsid w:val="007B2327"/>
    <w:rsid w:val="00801709"/>
    <w:rsid w:val="008352B6"/>
    <w:rsid w:val="0089659B"/>
    <w:rsid w:val="008D25BD"/>
    <w:rsid w:val="008F7C47"/>
    <w:rsid w:val="00947391"/>
    <w:rsid w:val="009542C3"/>
    <w:rsid w:val="00986FFF"/>
    <w:rsid w:val="009A740A"/>
    <w:rsid w:val="009B7553"/>
    <w:rsid w:val="00A14DE2"/>
    <w:rsid w:val="00A27F77"/>
    <w:rsid w:val="00A5689F"/>
    <w:rsid w:val="00A61617"/>
    <w:rsid w:val="00AA6D74"/>
    <w:rsid w:val="00AB62CB"/>
    <w:rsid w:val="00AC6C13"/>
    <w:rsid w:val="00B112FD"/>
    <w:rsid w:val="00B25E97"/>
    <w:rsid w:val="00B4394F"/>
    <w:rsid w:val="00B53B9A"/>
    <w:rsid w:val="00B67DCA"/>
    <w:rsid w:val="00B83E91"/>
    <w:rsid w:val="00BA07E0"/>
    <w:rsid w:val="00BB01BF"/>
    <w:rsid w:val="00C118BA"/>
    <w:rsid w:val="00C1572E"/>
    <w:rsid w:val="00C67353"/>
    <w:rsid w:val="00C80F8B"/>
    <w:rsid w:val="00CC7555"/>
    <w:rsid w:val="00CF2200"/>
    <w:rsid w:val="00D2766C"/>
    <w:rsid w:val="00D9682F"/>
    <w:rsid w:val="00E37B09"/>
    <w:rsid w:val="00E448B4"/>
    <w:rsid w:val="00E9458E"/>
    <w:rsid w:val="00EE5DA3"/>
    <w:rsid w:val="00F14979"/>
    <w:rsid w:val="00F21B9C"/>
    <w:rsid w:val="00F25C3C"/>
    <w:rsid w:val="00F628FA"/>
    <w:rsid w:val="00F8091B"/>
    <w:rsid w:val="00F83BA1"/>
    <w:rsid w:val="00F92CB4"/>
    <w:rsid w:val="00FB14EF"/>
    <w:rsid w:val="00FC6DEB"/>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4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2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243"/>
  </w:style>
  <w:style w:type="paragraph" w:styleId="Footer">
    <w:name w:val="footer"/>
    <w:basedOn w:val="Normal"/>
    <w:link w:val="FooterChar"/>
    <w:uiPriority w:val="99"/>
    <w:semiHidden/>
    <w:unhideWhenUsed/>
    <w:rsid w:val="0040424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04243"/>
  </w:style>
  <w:style w:type="paragraph" w:styleId="BalloonText">
    <w:name w:val="Balloon Text"/>
    <w:basedOn w:val="Normal"/>
    <w:link w:val="BalloonTextChar"/>
    <w:uiPriority w:val="99"/>
    <w:semiHidden/>
    <w:unhideWhenUsed/>
    <w:rsid w:val="00404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243"/>
    <w:rPr>
      <w:rFonts w:ascii="Tahoma" w:hAnsi="Tahoma" w:cs="Tahoma"/>
      <w:sz w:val="16"/>
      <w:szCs w:val="16"/>
    </w:rPr>
  </w:style>
  <w:style w:type="table" w:styleId="TableGrid">
    <w:name w:val="Table Grid"/>
    <w:basedOn w:val="TableNormal"/>
    <w:uiPriority w:val="1"/>
    <w:rsid w:val="00404243"/>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84B3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0FE2E3DECD4B7EA54FF237B52E6180"/>
        <w:category>
          <w:name w:val="General"/>
          <w:gallery w:val="placeholder"/>
        </w:category>
        <w:types>
          <w:type w:val="bbPlcHdr"/>
        </w:types>
        <w:behaviors>
          <w:behavior w:val="content"/>
        </w:behaviors>
        <w:guid w:val="{CF6E07BD-EB76-467D-AF7C-B5BD6C6BBAA1}"/>
      </w:docPartPr>
      <w:docPartBody>
        <w:p w:rsidR="00281044" w:rsidRDefault="00594C98" w:rsidP="00594C98">
          <w:pPr>
            <w:pStyle w:val="F70FE2E3DECD4B7EA54FF237B52E6180"/>
          </w:pPr>
          <w:r>
            <w:t>[Type the company name]</w:t>
          </w:r>
        </w:p>
      </w:docPartBody>
    </w:docPart>
    <w:docPart>
      <w:docPartPr>
        <w:name w:val="A02A61BD9AF941FA98E0931EFE270650"/>
        <w:category>
          <w:name w:val="General"/>
          <w:gallery w:val="placeholder"/>
        </w:category>
        <w:types>
          <w:type w:val="bbPlcHdr"/>
        </w:types>
        <w:behaviors>
          <w:behavior w:val="content"/>
        </w:behaviors>
        <w:guid w:val="{65611FC9-CB77-4E22-B84C-201047210B8C}"/>
      </w:docPartPr>
      <w:docPartBody>
        <w:p w:rsidR="00281044" w:rsidRDefault="00594C98" w:rsidP="00594C98">
          <w:pPr>
            <w:pStyle w:val="A02A61BD9AF941FA98E0931EFE270650"/>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4CD9"/>
    <w:rsid w:val="00281044"/>
    <w:rsid w:val="003C4CD9"/>
    <w:rsid w:val="004A76B7"/>
    <w:rsid w:val="00594C98"/>
    <w:rsid w:val="0063539A"/>
    <w:rsid w:val="00B109C8"/>
    <w:rsid w:val="00BE3592"/>
    <w:rsid w:val="00C30750"/>
    <w:rsid w:val="00DD1A6B"/>
    <w:rsid w:val="00E82FCE"/>
    <w:rsid w:val="00F966B6"/>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1334FACAD741A5BCEDA9CF4D7BD994">
    <w:name w:val="7D1334FACAD741A5BCEDA9CF4D7BD994"/>
    <w:rsid w:val="003C4CD9"/>
  </w:style>
  <w:style w:type="paragraph" w:customStyle="1" w:styleId="ED0E45ACA8F94C3AA0E4F9545283F7E5">
    <w:name w:val="ED0E45ACA8F94C3AA0E4F9545283F7E5"/>
    <w:rsid w:val="003C4CD9"/>
  </w:style>
  <w:style w:type="paragraph" w:customStyle="1" w:styleId="42EE039CA81E4D5B9629C8BB68374859">
    <w:name w:val="42EE039CA81E4D5B9629C8BB68374859"/>
    <w:rsid w:val="003C4CD9"/>
  </w:style>
  <w:style w:type="paragraph" w:customStyle="1" w:styleId="F70FE2E3DECD4B7EA54FF237B52E6180">
    <w:name w:val="F70FE2E3DECD4B7EA54FF237B52E6180"/>
    <w:rsid w:val="00594C98"/>
  </w:style>
  <w:style w:type="paragraph" w:customStyle="1" w:styleId="A02A61BD9AF941FA98E0931EFE270650">
    <w:name w:val="A02A61BD9AF941FA98E0931EFE270650"/>
    <w:rsid w:val="00594C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Civil Appeal No. SC 242/13</vt:lpstr>
    </vt:vector>
  </TitlesOfParts>
  <Company>Judgment No. SC 61/2013</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17/12</dc:title>
  <dc:creator>LIBRARY</dc:creator>
  <cp:lastModifiedBy>LIBRARY</cp:lastModifiedBy>
  <cp:revision>2</cp:revision>
  <cp:lastPrinted>2013-12-16T09:02:00Z</cp:lastPrinted>
  <dcterms:created xsi:type="dcterms:W3CDTF">2014-02-13T07:47:00Z</dcterms:created>
  <dcterms:modified xsi:type="dcterms:W3CDTF">2014-02-13T07:47:00Z</dcterms:modified>
</cp:coreProperties>
</file>