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Pr="009F315B" w:rsidRDefault="001C66F0">
      <w:r w:rsidRPr="009F315B">
        <w:rPr>
          <w:b/>
          <w:u w:val="single"/>
        </w:rPr>
        <w:t>DISTRIBUTABLE</w:t>
      </w:r>
      <w:r w:rsidR="00366F5D" w:rsidRPr="009F315B">
        <w:t xml:space="preserve"> </w:t>
      </w:r>
      <w:r w:rsidR="00366F5D" w:rsidRPr="009F315B">
        <w:rPr>
          <w:b/>
        </w:rPr>
        <w:t>(</w:t>
      </w:r>
      <w:r w:rsidR="00E56862">
        <w:rPr>
          <w:b/>
        </w:rPr>
        <w:t>4</w:t>
      </w:r>
      <w:r w:rsidR="00366F5D" w:rsidRPr="009F315B">
        <w:rPr>
          <w:b/>
        </w:rPr>
        <w:t>)</w:t>
      </w:r>
    </w:p>
    <w:p w:rsidR="00DB2839" w:rsidRPr="009F315B" w:rsidRDefault="00DB2839"/>
    <w:p w:rsidR="00DB2839" w:rsidRDefault="00DB2839"/>
    <w:p w:rsidR="008A5560" w:rsidRPr="009F315B" w:rsidRDefault="008A5560"/>
    <w:p w:rsidR="00DB2839" w:rsidRPr="009F315B" w:rsidRDefault="00366F5D" w:rsidP="00DB2839">
      <w:pPr>
        <w:jc w:val="center"/>
        <w:rPr>
          <w:b/>
        </w:rPr>
      </w:pPr>
      <w:r w:rsidRPr="009F315B">
        <w:rPr>
          <w:b/>
        </w:rPr>
        <w:t xml:space="preserve">KENYA </w:t>
      </w:r>
      <w:r w:rsidR="008A5560">
        <w:rPr>
          <w:b/>
        </w:rPr>
        <w:t xml:space="preserve">    </w:t>
      </w:r>
      <w:r w:rsidRPr="009F315B">
        <w:rPr>
          <w:b/>
        </w:rPr>
        <w:t xml:space="preserve">AIRWAYS </w:t>
      </w:r>
      <w:r w:rsidR="008A5560">
        <w:rPr>
          <w:b/>
        </w:rPr>
        <w:t xml:space="preserve">    </w:t>
      </w:r>
      <w:r w:rsidRPr="009F315B">
        <w:rPr>
          <w:b/>
        </w:rPr>
        <w:t>LIMITED</w:t>
      </w:r>
    </w:p>
    <w:p w:rsidR="00383032" w:rsidRPr="009F315B" w:rsidRDefault="00383032" w:rsidP="00DB2839">
      <w:pPr>
        <w:jc w:val="center"/>
        <w:rPr>
          <w:b/>
        </w:rPr>
      </w:pPr>
      <w:r w:rsidRPr="009F315B">
        <w:rPr>
          <w:b/>
        </w:rPr>
        <w:t>v</w:t>
      </w:r>
    </w:p>
    <w:p w:rsidR="00383032" w:rsidRPr="00CC4169" w:rsidRDefault="00CC4169" w:rsidP="00CC4169">
      <w:pPr>
        <w:pStyle w:val="ListParagraph"/>
        <w:numPr>
          <w:ilvl w:val="0"/>
          <w:numId w:val="2"/>
        </w:numPr>
        <w:jc w:val="center"/>
        <w:rPr>
          <w:b/>
        </w:rPr>
      </w:pPr>
      <w:r>
        <w:rPr>
          <w:b/>
        </w:rPr>
        <w:t xml:space="preserve">    </w:t>
      </w:r>
      <w:r w:rsidR="00366F5D" w:rsidRPr="00CC4169">
        <w:rPr>
          <w:b/>
        </w:rPr>
        <w:t xml:space="preserve">EPHRAIM </w:t>
      </w:r>
      <w:r w:rsidR="008A5560" w:rsidRPr="00CC4169">
        <w:rPr>
          <w:b/>
        </w:rPr>
        <w:t xml:space="preserve">    </w:t>
      </w:r>
      <w:r w:rsidR="00366F5D" w:rsidRPr="00CC4169">
        <w:rPr>
          <w:b/>
        </w:rPr>
        <w:t>MUSARURWA</w:t>
      </w:r>
      <w:r w:rsidR="008A5560" w:rsidRPr="00CC4169">
        <w:rPr>
          <w:b/>
        </w:rPr>
        <w:t xml:space="preserve">     </w:t>
      </w:r>
      <w:r>
        <w:rPr>
          <w:b/>
        </w:rPr>
        <w:t>(2)     LETICIA     MWANAKAOMA</w:t>
      </w:r>
    </w:p>
    <w:p w:rsidR="006E0951" w:rsidRPr="009F315B" w:rsidRDefault="006E0951" w:rsidP="006E0951">
      <w:pPr>
        <w:jc w:val="both"/>
        <w:rPr>
          <w:b/>
        </w:rPr>
      </w:pPr>
    </w:p>
    <w:p w:rsidR="00E404FC" w:rsidRDefault="00E404FC" w:rsidP="006E0951">
      <w:pPr>
        <w:jc w:val="both"/>
        <w:rPr>
          <w:b/>
        </w:rPr>
      </w:pPr>
    </w:p>
    <w:p w:rsidR="008A5560" w:rsidRPr="009F315B" w:rsidRDefault="008A5560" w:rsidP="006E0951">
      <w:pPr>
        <w:jc w:val="both"/>
        <w:rPr>
          <w:b/>
        </w:rPr>
      </w:pPr>
    </w:p>
    <w:p w:rsidR="00E404FC" w:rsidRPr="009F315B" w:rsidRDefault="00E404FC" w:rsidP="006E0951">
      <w:pPr>
        <w:jc w:val="both"/>
        <w:rPr>
          <w:b/>
        </w:rPr>
      </w:pPr>
      <w:r w:rsidRPr="009F315B">
        <w:rPr>
          <w:b/>
        </w:rPr>
        <w:t xml:space="preserve">SUPREME COURT OF </w:t>
      </w:r>
      <w:smartTag w:uri="urn:schemas-microsoft-com:office:smarttags" w:element="country-region">
        <w:smartTag w:uri="urn:schemas-microsoft-com:office:smarttags" w:element="place">
          <w:r w:rsidRPr="009F315B">
            <w:rPr>
              <w:b/>
            </w:rPr>
            <w:t>ZIMBABWE</w:t>
          </w:r>
        </w:smartTag>
      </w:smartTag>
    </w:p>
    <w:p w:rsidR="00E404FC" w:rsidRPr="009F315B" w:rsidRDefault="00366F5D" w:rsidP="006E0951">
      <w:pPr>
        <w:jc w:val="both"/>
        <w:rPr>
          <w:b/>
        </w:rPr>
      </w:pPr>
      <w:r w:rsidRPr="009F315B">
        <w:rPr>
          <w:b/>
        </w:rPr>
        <w:t>GWAUNZA JA, GOWORA JA</w:t>
      </w:r>
      <w:r w:rsidR="00AF48D9" w:rsidRPr="009F315B">
        <w:rPr>
          <w:b/>
        </w:rPr>
        <w:t xml:space="preserve"> &amp; </w:t>
      </w:r>
      <w:r w:rsidRPr="009F315B">
        <w:rPr>
          <w:b/>
        </w:rPr>
        <w:t>PATEL JA</w:t>
      </w:r>
    </w:p>
    <w:p w:rsidR="00AF48D9" w:rsidRPr="009F315B" w:rsidRDefault="00AF48D9" w:rsidP="006E0951">
      <w:pPr>
        <w:jc w:val="both"/>
      </w:pPr>
      <w:r w:rsidRPr="009F315B">
        <w:rPr>
          <w:b/>
        </w:rPr>
        <w:t xml:space="preserve">HARARE, </w:t>
      </w:r>
      <w:r w:rsidR="00366F5D" w:rsidRPr="009F315B">
        <w:rPr>
          <w:b/>
        </w:rPr>
        <w:t>17 OCTOBER 2014</w:t>
      </w:r>
    </w:p>
    <w:p w:rsidR="008E3E30" w:rsidRPr="009F315B" w:rsidRDefault="008E3E30" w:rsidP="00412229">
      <w:pPr>
        <w:spacing w:line="360" w:lineRule="auto"/>
        <w:jc w:val="both"/>
      </w:pPr>
    </w:p>
    <w:p w:rsidR="008A5560" w:rsidRPr="009F315B" w:rsidRDefault="008A5560" w:rsidP="00412229">
      <w:pPr>
        <w:spacing w:line="360" w:lineRule="auto"/>
        <w:jc w:val="both"/>
      </w:pPr>
    </w:p>
    <w:p w:rsidR="008E3E30" w:rsidRPr="009F315B" w:rsidRDefault="00366F5D" w:rsidP="004D7AD8">
      <w:pPr>
        <w:jc w:val="both"/>
      </w:pPr>
      <w:r w:rsidRPr="009F315B">
        <w:rPr>
          <w:i/>
        </w:rPr>
        <w:t>I. Chagonda</w:t>
      </w:r>
      <w:r w:rsidR="002D0DAD" w:rsidRPr="009F315B">
        <w:t>, for the appellant</w:t>
      </w:r>
    </w:p>
    <w:p w:rsidR="002D0DAD" w:rsidRPr="009F315B" w:rsidRDefault="00366F5D" w:rsidP="004D7AD8">
      <w:pPr>
        <w:jc w:val="both"/>
      </w:pPr>
      <w:r w:rsidRPr="009F315B">
        <w:rPr>
          <w:i/>
        </w:rPr>
        <w:t xml:space="preserve">T. Marume </w:t>
      </w:r>
      <w:r w:rsidR="00D55C6C" w:rsidRPr="009F315B">
        <w:t>and</w:t>
      </w:r>
      <w:r w:rsidR="00D55C6C" w:rsidRPr="009F315B">
        <w:rPr>
          <w:i/>
        </w:rPr>
        <w:t xml:space="preserve"> J. Mafongoya</w:t>
      </w:r>
      <w:r w:rsidR="002D0DAD" w:rsidRPr="009F315B">
        <w:t>, for the respondent</w:t>
      </w:r>
      <w:r w:rsidR="00D55C6C" w:rsidRPr="009F315B">
        <w:t>s</w:t>
      </w:r>
    </w:p>
    <w:p w:rsidR="00222F74" w:rsidRPr="009F315B" w:rsidRDefault="00222F74" w:rsidP="00B032EE">
      <w:pPr>
        <w:spacing w:line="360" w:lineRule="auto"/>
        <w:jc w:val="both"/>
      </w:pPr>
    </w:p>
    <w:p w:rsidR="00FF3CB6" w:rsidRPr="009F315B" w:rsidRDefault="00FF3CB6" w:rsidP="00412229">
      <w:pPr>
        <w:spacing w:line="360" w:lineRule="auto"/>
        <w:jc w:val="both"/>
      </w:pPr>
      <w:r w:rsidRPr="009F315B">
        <w:t xml:space="preserve">[Original judgment delivered </w:t>
      </w:r>
      <w:r w:rsidRPr="009F315B">
        <w:rPr>
          <w:i/>
        </w:rPr>
        <w:t>ex tempore</w:t>
      </w:r>
      <w:r w:rsidRPr="009F315B">
        <w:t xml:space="preserve"> on 17 October</w:t>
      </w:r>
      <w:r w:rsidR="00B032EE" w:rsidRPr="009F315B">
        <w:t xml:space="preserve"> 2014]</w:t>
      </w:r>
      <w:r w:rsidRPr="009F315B">
        <w:t xml:space="preserve"> </w:t>
      </w:r>
    </w:p>
    <w:p w:rsidR="00FF3CB6" w:rsidRDefault="00FF3CB6" w:rsidP="009F315B">
      <w:pPr>
        <w:spacing w:line="480" w:lineRule="auto"/>
        <w:jc w:val="both"/>
      </w:pPr>
    </w:p>
    <w:p w:rsidR="008A5560" w:rsidRPr="009F315B" w:rsidRDefault="008A5560" w:rsidP="009F315B">
      <w:pPr>
        <w:spacing w:line="480" w:lineRule="auto"/>
        <w:jc w:val="both"/>
      </w:pPr>
    </w:p>
    <w:p w:rsidR="00222F74" w:rsidRPr="009F315B" w:rsidRDefault="0002331C" w:rsidP="009F315B">
      <w:pPr>
        <w:spacing w:line="480" w:lineRule="auto"/>
        <w:jc w:val="both"/>
      </w:pPr>
      <w:r w:rsidRPr="009F315B">
        <w:tab/>
      </w:r>
      <w:r w:rsidR="008A5560">
        <w:tab/>
      </w:r>
      <w:r w:rsidRPr="009F315B">
        <w:rPr>
          <w:b/>
        </w:rPr>
        <w:t xml:space="preserve">PATEL </w:t>
      </w:r>
      <w:r w:rsidR="00F7784D" w:rsidRPr="009F315B">
        <w:rPr>
          <w:b/>
        </w:rPr>
        <w:t>JA:</w:t>
      </w:r>
      <w:r w:rsidRPr="009F315B">
        <w:tab/>
      </w:r>
      <w:r w:rsidRPr="009F315B">
        <w:tab/>
      </w:r>
      <w:r w:rsidR="00435536" w:rsidRPr="009F315B">
        <w:t>This is an appeal against a judgment of the Labour Court, handed down on 28 June 2013, which upheld an award made by the arbitrator, reinstating the first respondent to his former position as Station Manager and ordering that the second respondent be paid 3 months</w:t>
      </w:r>
      <w:r w:rsidR="008A5560">
        <w:t>’</w:t>
      </w:r>
      <w:r w:rsidR="00435536" w:rsidRPr="009F315B">
        <w:t xml:space="preserve"> salary in lieu of notice.</w:t>
      </w:r>
    </w:p>
    <w:p w:rsidR="00FF3CB6" w:rsidRPr="009F315B" w:rsidRDefault="00FF3CB6" w:rsidP="009F315B">
      <w:pPr>
        <w:spacing w:line="480" w:lineRule="auto"/>
        <w:jc w:val="both"/>
      </w:pPr>
    </w:p>
    <w:p w:rsidR="00D45C75" w:rsidRPr="009F315B" w:rsidRDefault="00FF3CB6" w:rsidP="009F315B">
      <w:pPr>
        <w:spacing w:line="480" w:lineRule="auto"/>
        <w:jc w:val="both"/>
      </w:pPr>
      <w:r w:rsidRPr="009F315B">
        <w:tab/>
      </w:r>
      <w:r w:rsidR="008A5560">
        <w:tab/>
      </w:r>
      <w:r w:rsidRPr="009F315B">
        <w:t>The respondents were employed on 5 year fixed term contracts</w:t>
      </w:r>
      <w:r w:rsidR="00D96B5A" w:rsidRPr="009F315B">
        <w:t xml:space="preserve"> of employment</w:t>
      </w:r>
      <w:r w:rsidRPr="009F315B">
        <w:t xml:space="preserve"> </w:t>
      </w:r>
      <w:r w:rsidR="00D96B5A" w:rsidRPr="009F315B">
        <w:t>as Station Manager and Sales/Marketing Agent respectively. Their contracts were due to expire on 30 September 2011.  On 28 September 2011</w:t>
      </w:r>
      <w:r w:rsidR="003F0CB5" w:rsidRPr="009F315B">
        <w:t>,</w:t>
      </w:r>
      <w:r w:rsidR="00D96B5A" w:rsidRPr="009F315B">
        <w:t xml:space="preserve"> both respondents received letters to the effect that their contracts were expiring and would not be renewed.</w:t>
      </w:r>
      <w:r w:rsidR="009C055B" w:rsidRPr="009F315B">
        <w:t xml:space="preserve"> </w:t>
      </w:r>
      <w:r w:rsidR="008A5560">
        <w:t>On 1 October </w:t>
      </w:r>
      <w:r w:rsidR="003F0CB5" w:rsidRPr="009F315B">
        <w:t xml:space="preserve">2011, </w:t>
      </w:r>
      <w:r w:rsidR="006C6DEC" w:rsidRPr="009F315B">
        <w:t xml:space="preserve">another employee of the appellant, </w:t>
      </w:r>
      <w:r w:rsidR="003F0CB5" w:rsidRPr="009F315B">
        <w:t xml:space="preserve">one Itayi Chinyerere-Mafuva was </w:t>
      </w:r>
      <w:r w:rsidR="003F0CB5" w:rsidRPr="009F315B">
        <w:lastRenderedPageBreak/>
        <w:t>appointed as Acting Station Manger</w:t>
      </w:r>
      <w:r w:rsidR="004439E5" w:rsidRPr="009F315B">
        <w:t xml:space="preserve"> to take over the first respondent’s duties. </w:t>
      </w:r>
      <w:r w:rsidR="00D45C75" w:rsidRPr="009F315B">
        <w:t xml:space="preserve">The </w:t>
      </w:r>
      <w:r w:rsidR="008A5560">
        <w:t>second</w:t>
      </w:r>
      <w:r w:rsidR="00D45C75" w:rsidRPr="009F315B">
        <w:t xml:space="preserve"> respondent had found alternative employment.</w:t>
      </w:r>
    </w:p>
    <w:p w:rsidR="00D45C75" w:rsidRPr="009F315B" w:rsidRDefault="00D45C75" w:rsidP="009F315B">
      <w:pPr>
        <w:spacing w:line="480" w:lineRule="auto"/>
        <w:jc w:val="both"/>
      </w:pPr>
    </w:p>
    <w:p w:rsidR="00FF3CB6" w:rsidRPr="009F315B" w:rsidRDefault="00D45C75" w:rsidP="009F315B">
      <w:pPr>
        <w:spacing w:line="480" w:lineRule="auto"/>
        <w:jc w:val="both"/>
      </w:pPr>
      <w:r w:rsidRPr="009F315B">
        <w:tab/>
      </w:r>
      <w:r w:rsidR="008A5560">
        <w:tab/>
      </w:r>
      <w:r w:rsidRPr="009F315B">
        <w:t>The matter went for conciliation and eventually to</w:t>
      </w:r>
      <w:r w:rsidR="002D0CA8" w:rsidRPr="009F315B">
        <w:t xml:space="preserve"> arbitration on the ground that the respondents had been unfairly dismissed. The arbitrator found in favour of the respondents and made an award in the terms indicated above. Aggrieved by the award, the appellant noted an appeal to the Labour Court, which appeal was dismissed.</w:t>
      </w:r>
    </w:p>
    <w:p w:rsidR="002D0CA8" w:rsidRPr="009F315B" w:rsidRDefault="002D0CA8" w:rsidP="009F315B">
      <w:pPr>
        <w:spacing w:line="480" w:lineRule="auto"/>
        <w:jc w:val="both"/>
      </w:pPr>
    </w:p>
    <w:p w:rsidR="005021E4" w:rsidRPr="009F315B" w:rsidRDefault="002D0CA8" w:rsidP="009F315B">
      <w:pPr>
        <w:spacing w:line="480" w:lineRule="auto"/>
        <w:jc w:val="both"/>
      </w:pPr>
      <w:r w:rsidRPr="009F315B">
        <w:tab/>
      </w:r>
      <w:r w:rsidR="008A5560">
        <w:tab/>
      </w:r>
      <w:r w:rsidRPr="009F315B">
        <w:t>The grounds of appeal herein are essentially twofold.</w:t>
      </w:r>
      <w:r w:rsidR="006636E4" w:rsidRPr="009F315B">
        <w:t xml:space="preserve"> As regards the first respondent, the appellant argues that he was not unfairly dismissed because the appellant did not engage an outsider to take up his position. As regards the second respondent, the appellant contends that she was not entitled to 3 months</w:t>
      </w:r>
      <w:r w:rsidR="008A5560">
        <w:t>’</w:t>
      </w:r>
      <w:r w:rsidR="006636E4" w:rsidRPr="009F315B">
        <w:t xml:space="preserve"> notice because her fixed term contract had expired by effluxion of time.</w:t>
      </w:r>
    </w:p>
    <w:p w:rsidR="005021E4" w:rsidRPr="009F315B" w:rsidRDefault="005021E4" w:rsidP="009F315B">
      <w:pPr>
        <w:spacing w:line="480" w:lineRule="auto"/>
        <w:jc w:val="both"/>
      </w:pPr>
    </w:p>
    <w:p w:rsidR="006537B6" w:rsidRPr="009F315B" w:rsidRDefault="006537B6" w:rsidP="008A5560">
      <w:pPr>
        <w:spacing w:line="480" w:lineRule="auto"/>
        <w:ind w:firstLine="1440"/>
        <w:jc w:val="both"/>
      </w:pPr>
      <w:r w:rsidRPr="009F315B">
        <w:t xml:space="preserve">As regards </w:t>
      </w:r>
      <w:r w:rsidR="005021E4" w:rsidRPr="009F315B">
        <w:t>the first respondent, s 12B(3) of the Labour Act [</w:t>
      </w:r>
      <w:r w:rsidR="003C7BEC">
        <w:rPr>
          <w:i/>
        </w:rPr>
        <w:t>Chapter </w:t>
      </w:r>
      <w:r w:rsidR="005021E4" w:rsidRPr="009F315B">
        <w:rPr>
          <w:i/>
        </w:rPr>
        <w:t>28:01</w:t>
      </w:r>
      <w:r w:rsidR="005021E4" w:rsidRPr="009F315B">
        <w:t xml:space="preserve">] requires two elements to be satisfied by an employee alleging unfair dismissal: firstly, that he had a legitimate </w:t>
      </w:r>
      <w:r w:rsidRPr="009F315B">
        <w:t>expectation</w:t>
      </w:r>
      <w:r w:rsidR="005021E4" w:rsidRPr="009F315B">
        <w:t xml:space="preserve"> to be reengaged upon the expiry of his fixed term contract and, secondly, that another person was engaged in his stead.</w:t>
      </w:r>
      <w:r w:rsidR="00B95985" w:rsidRPr="009F315B">
        <w:t xml:space="preserve"> </w:t>
      </w:r>
      <w:r w:rsidR="00B2395A" w:rsidRPr="009F315B">
        <w:t>The question of legitimate expectation did not form part of the grounds of appeal and therefore does not constitute an issue before us</w:t>
      </w:r>
      <w:r w:rsidR="00B95985" w:rsidRPr="009F315B">
        <w:t>.</w:t>
      </w:r>
    </w:p>
    <w:p w:rsidR="006537B6" w:rsidRPr="009F315B" w:rsidRDefault="006537B6" w:rsidP="009F315B">
      <w:pPr>
        <w:spacing w:line="480" w:lineRule="auto"/>
        <w:ind w:firstLine="720"/>
        <w:jc w:val="both"/>
      </w:pPr>
    </w:p>
    <w:p w:rsidR="002D0CA8" w:rsidRPr="009F315B" w:rsidRDefault="00B2395A" w:rsidP="008A5560">
      <w:pPr>
        <w:spacing w:line="480" w:lineRule="auto"/>
        <w:ind w:firstLine="1440"/>
        <w:jc w:val="both"/>
      </w:pPr>
      <w:r w:rsidRPr="009F315B">
        <w:t>As for the second requirement, it is abundantly clear on the facts before us that another person was engaged to take over the first respondent’s functions</w:t>
      </w:r>
      <w:r w:rsidR="00B95985" w:rsidRPr="009F315B">
        <w:t xml:space="preserve"> as</w:t>
      </w:r>
      <w:r w:rsidRPr="009F315B">
        <w:t xml:space="preserve"> Station </w:t>
      </w:r>
      <w:r w:rsidRPr="009F315B">
        <w:lastRenderedPageBreak/>
        <w:t>Manager. The appellant does not dispute that the post was still functional and there is nothing in the papers to indicate that the post was ever abolished.</w:t>
      </w:r>
      <w:r w:rsidR="006537B6" w:rsidRPr="009F315B">
        <w:t xml:space="preserve"> The objective behind s</w:t>
      </w:r>
      <w:r w:rsidR="008A5560">
        <w:t> </w:t>
      </w:r>
      <w:r w:rsidR="00062230">
        <w:t>12B(3)</w:t>
      </w:r>
      <w:r w:rsidR="006537B6" w:rsidRPr="009F315B">
        <w:t xml:space="preserve"> is to ensure that an employee is not discharged and replaced by another simply because his fixed term contract has expired.</w:t>
      </w:r>
      <w:r w:rsidRPr="009F315B">
        <w:t xml:space="preserve"> The provision does not require that that the person engaged be someone who is engaged from outside the employer’s establishment. We therefor</w:t>
      </w:r>
      <w:r w:rsidR="00B95985" w:rsidRPr="009F315B">
        <w:t>e</w:t>
      </w:r>
      <w:r w:rsidRPr="009F315B">
        <w:t xml:space="preserve"> find that the court </w:t>
      </w:r>
      <w:r w:rsidRPr="009F315B">
        <w:rPr>
          <w:i/>
        </w:rPr>
        <w:t>a quo</w:t>
      </w:r>
      <w:r w:rsidRPr="009F315B">
        <w:t xml:space="preserve"> correctly upheld the arbitrator’s award in this regard.</w:t>
      </w:r>
    </w:p>
    <w:p w:rsidR="00B95985" w:rsidRPr="009F315B" w:rsidRDefault="00B95985" w:rsidP="009F315B">
      <w:pPr>
        <w:spacing w:line="480" w:lineRule="auto"/>
        <w:ind w:firstLine="720"/>
        <w:jc w:val="both"/>
      </w:pPr>
    </w:p>
    <w:p w:rsidR="00B95985" w:rsidRPr="009F315B" w:rsidRDefault="006537B6" w:rsidP="008A5560">
      <w:pPr>
        <w:spacing w:line="480" w:lineRule="auto"/>
        <w:ind w:firstLine="1440"/>
        <w:jc w:val="both"/>
      </w:pPr>
      <w:r w:rsidRPr="009F315B">
        <w:t>Turning to</w:t>
      </w:r>
      <w:r w:rsidR="003849B4" w:rsidRPr="009F315B">
        <w:t xml:space="preserve"> the second respondent, Mr. </w:t>
      </w:r>
      <w:r w:rsidR="003849B4" w:rsidRPr="009F315B">
        <w:rPr>
          <w:i/>
        </w:rPr>
        <w:t>Marume</w:t>
      </w:r>
      <w:r w:rsidR="003849B4" w:rsidRPr="009F315B">
        <w:t xml:space="preserve"> has conceded, quite properly in our view, that s 12B(4) of the Labour Act does not apply to a fixed term contract of employment that comes to an end by the effluxion of time. </w:t>
      </w:r>
      <w:r w:rsidR="00AD18C1" w:rsidRPr="009F315B">
        <w:t>The three months</w:t>
      </w:r>
      <w:r w:rsidR="008A5560">
        <w:t>’</w:t>
      </w:r>
      <w:r w:rsidR="00AD18C1" w:rsidRPr="009F315B">
        <w:t xml:space="preserve"> notice requirement </w:t>
      </w:r>
      <w:r w:rsidR="00E34CC0" w:rsidRPr="009F315B">
        <w:t xml:space="preserve">stipulated by the provision </w:t>
      </w:r>
      <w:r w:rsidR="00AD18C1" w:rsidRPr="009F315B">
        <w:t xml:space="preserve">would only apply </w:t>
      </w:r>
      <w:r w:rsidR="00E34CC0" w:rsidRPr="009F315B">
        <w:t xml:space="preserve">to any termination of employment that occurs </w:t>
      </w:r>
      <w:r w:rsidR="00AD18C1" w:rsidRPr="009F315B">
        <w:t xml:space="preserve">during the subsistence of a contract of indefinite duration or </w:t>
      </w:r>
      <w:r w:rsidR="00E34CC0" w:rsidRPr="009F315B">
        <w:t xml:space="preserve">a fixed </w:t>
      </w:r>
      <w:r w:rsidR="00AD18C1" w:rsidRPr="009F315B">
        <w:t xml:space="preserve">term contract of 2 years or more. Consequently, we find that the arbitrator erred on this count and that the court </w:t>
      </w:r>
      <w:r w:rsidR="00AD18C1" w:rsidRPr="009F315B">
        <w:rPr>
          <w:i/>
        </w:rPr>
        <w:t>a quo</w:t>
      </w:r>
      <w:r w:rsidR="00AD18C1" w:rsidRPr="009F315B">
        <w:t xml:space="preserve"> misdirected itself in upholding the arbitrator’s award in that respect.</w:t>
      </w:r>
    </w:p>
    <w:p w:rsidR="0020215E" w:rsidRPr="009F315B" w:rsidRDefault="0020215E" w:rsidP="009F315B">
      <w:pPr>
        <w:spacing w:line="480" w:lineRule="auto"/>
        <w:ind w:firstLine="720"/>
        <w:jc w:val="both"/>
      </w:pPr>
    </w:p>
    <w:p w:rsidR="0020215E" w:rsidRPr="009F315B" w:rsidRDefault="0020215E" w:rsidP="00AC7CFA">
      <w:pPr>
        <w:spacing w:line="480" w:lineRule="auto"/>
        <w:ind w:firstLine="1440"/>
        <w:jc w:val="both"/>
      </w:pPr>
      <w:r w:rsidRPr="009F315B">
        <w:t>In the result, the appeal partially succeeds.</w:t>
      </w:r>
      <w:r w:rsidR="000F1112" w:rsidRPr="009F315B">
        <w:t xml:space="preserve"> It is accordingly ordered as follows:</w:t>
      </w:r>
    </w:p>
    <w:p w:rsidR="000F1112" w:rsidRPr="009F315B" w:rsidRDefault="000F1112" w:rsidP="009F315B">
      <w:pPr>
        <w:pStyle w:val="ListParagraph"/>
        <w:numPr>
          <w:ilvl w:val="0"/>
          <w:numId w:val="1"/>
        </w:numPr>
        <w:spacing w:line="480" w:lineRule="auto"/>
        <w:jc w:val="both"/>
      </w:pPr>
      <w:r w:rsidRPr="009F315B">
        <w:t>The order of the Labour Court is upheld in respect of the first respondent and set aside in respect of the second respondent.</w:t>
      </w:r>
    </w:p>
    <w:p w:rsidR="000F1112" w:rsidRPr="009F315B" w:rsidRDefault="000F1112" w:rsidP="009F315B">
      <w:pPr>
        <w:pStyle w:val="ListParagraph"/>
        <w:numPr>
          <w:ilvl w:val="0"/>
          <w:numId w:val="1"/>
        </w:numPr>
        <w:spacing w:line="480" w:lineRule="auto"/>
        <w:jc w:val="both"/>
      </w:pPr>
      <w:r w:rsidRPr="009F315B">
        <w:t>The order of the Labour Court is substituted with the following:</w:t>
      </w:r>
    </w:p>
    <w:p w:rsidR="0002331C" w:rsidRPr="009F315B" w:rsidRDefault="000F1112" w:rsidP="009F315B">
      <w:pPr>
        <w:spacing w:line="480" w:lineRule="auto"/>
        <w:ind w:left="1080" w:firstLine="360"/>
        <w:jc w:val="both"/>
      </w:pPr>
      <w:r w:rsidRPr="009F315B">
        <w:t xml:space="preserve">“(i)  </w:t>
      </w:r>
      <w:r w:rsidR="00475844" w:rsidRPr="009F315B">
        <w:t xml:space="preserve"> </w:t>
      </w:r>
      <w:r w:rsidRPr="009F315B">
        <w:t>The appeal is partially allowed with no order as to costs.</w:t>
      </w:r>
    </w:p>
    <w:p w:rsidR="00475844" w:rsidRPr="009F315B" w:rsidRDefault="00475844" w:rsidP="009F315B">
      <w:pPr>
        <w:spacing w:line="480" w:lineRule="auto"/>
        <w:ind w:left="1440"/>
        <w:jc w:val="both"/>
      </w:pPr>
      <w:r w:rsidRPr="009F315B">
        <w:lastRenderedPageBreak/>
        <w:t xml:space="preserve"> </w:t>
      </w:r>
      <w:r w:rsidR="000F1112" w:rsidRPr="009F315B">
        <w:t xml:space="preserve">(ii) </w:t>
      </w:r>
      <w:r w:rsidRPr="009F315B">
        <w:t xml:space="preserve"> </w:t>
      </w:r>
      <w:r w:rsidR="000F1112" w:rsidRPr="009F315B">
        <w:t>The appellant is ordered to reinstate the first respondent on the same terms and conditions that applied before his contract of employment was terminated.</w:t>
      </w:r>
    </w:p>
    <w:p w:rsidR="000F1112" w:rsidRPr="009F315B" w:rsidRDefault="000F1112" w:rsidP="009F315B">
      <w:pPr>
        <w:spacing w:line="480" w:lineRule="auto"/>
        <w:ind w:left="1440"/>
        <w:jc w:val="both"/>
      </w:pPr>
      <w:r w:rsidRPr="009F315B">
        <w:t xml:space="preserve"> </w:t>
      </w:r>
      <w:r w:rsidR="00475844" w:rsidRPr="009F315B">
        <w:t xml:space="preserve">(iii) </w:t>
      </w:r>
      <w:r w:rsidR="007B28FC" w:rsidRPr="009F315B">
        <w:t>If reinstatement is no longer feasible, the appellant shall pay the first respondent damages in lieu of reinstatement in such amount as may be agreed by the parties, failing which either party may apply to the arbitrator for quantification of damages.</w:t>
      </w:r>
    </w:p>
    <w:p w:rsidR="007B28FC" w:rsidRPr="009F315B" w:rsidRDefault="007B28FC" w:rsidP="009F315B">
      <w:pPr>
        <w:spacing w:line="480" w:lineRule="auto"/>
        <w:ind w:left="1440"/>
        <w:jc w:val="both"/>
      </w:pPr>
      <w:r w:rsidRPr="009F315B">
        <w:t xml:space="preserve"> (iv)  The appellant is ordered to pay the second respondent cash in lieu of the leave days that accrued to her.”</w:t>
      </w:r>
    </w:p>
    <w:p w:rsidR="007B28FC" w:rsidRPr="009F315B" w:rsidRDefault="007B28FC" w:rsidP="009F315B">
      <w:pPr>
        <w:pStyle w:val="ListParagraph"/>
        <w:numPr>
          <w:ilvl w:val="0"/>
          <w:numId w:val="1"/>
        </w:numPr>
        <w:spacing w:line="480" w:lineRule="auto"/>
        <w:jc w:val="both"/>
      </w:pPr>
      <w:r w:rsidRPr="009F315B">
        <w:t>Each party shall bear its own costs in respect of this appeal.</w:t>
      </w:r>
    </w:p>
    <w:p w:rsidR="0002331C" w:rsidRPr="009F315B" w:rsidRDefault="0002331C" w:rsidP="009F315B">
      <w:pPr>
        <w:spacing w:line="480" w:lineRule="auto"/>
        <w:jc w:val="both"/>
      </w:pPr>
    </w:p>
    <w:p w:rsidR="009C055B" w:rsidRPr="009F315B" w:rsidRDefault="009C055B" w:rsidP="009F315B">
      <w:pPr>
        <w:spacing w:line="480" w:lineRule="auto"/>
        <w:jc w:val="both"/>
      </w:pPr>
    </w:p>
    <w:p w:rsidR="0050064D" w:rsidRPr="009F315B" w:rsidRDefault="0050064D" w:rsidP="009F315B">
      <w:pPr>
        <w:spacing w:line="480" w:lineRule="auto"/>
        <w:jc w:val="both"/>
      </w:pPr>
      <w:r w:rsidRPr="009F315B">
        <w:tab/>
      </w:r>
      <w:r w:rsidR="00D55C6C" w:rsidRPr="008A5560">
        <w:rPr>
          <w:b/>
        </w:rPr>
        <w:t>GWAUNZA JA</w:t>
      </w:r>
      <w:r w:rsidR="00E91792" w:rsidRPr="008A5560">
        <w:rPr>
          <w:b/>
        </w:rPr>
        <w:t>:</w:t>
      </w:r>
      <w:r w:rsidR="00F47370" w:rsidRPr="009F315B">
        <w:tab/>
      </w:r>
      <w:r w:rsidR="00E91792" w:rsidRPr="009F315B">
        <w:tab/>
        <w:t>I agree.</w:t>
      </w:r>
    </w:p>
    <w:p w:rsidR="009F315B" w:rsidRDefault="009F315B" w:rsidP="009F315B">
      <w:pPr>
        <w:spacing w:line="480" w:lineRule="auto"/>
        <w:jc w:val="both"/>
      </w:pPr>
    </w:p>
    <w:p w:rsidR="008A5560" w:rsidRDefault="008A5560" w:rsidP="009F315B">
      <w:pPr>
        <w:spacing w:line="480" w:lineRule="auto"/>
        <w:jc w:val="both"/>
      </w:pPr>
    </w:p>
    <w:p w:rsidR="00D46F42" w:rsidRPr="009F315B" w:rsidRDefault="00D46F42" w:rsidP="009F315B">
      <w:pPr>
        <w:spacing w:line="480" w:lineRule="auto"/>
        <w:jc w:val="both"/>
      </w:pPr>
      <w:r w:rsidRPr="009F315B">
        <w:tab/>
      </w:r>
      <w:r w:rsidR="00D55C6C" w:rsidRPr="008A5560">
        <w:rPr>
          <w:b/>
        </w:rPr>
        <w:t>GOWORA JA</w:t>
      </w:r>
      <w:r w:rsidRPr="008A5560">
        <w:rPr>
          <w:b/>
        </w:rPr>
        <w:t>:</w:t>
      </w:r>
      <w:r w:rsidR="00F47370" w:rsidRPr="009F315B">
        <w:tab/>
      </w:r>
      <w:r w:rsidRPr="009F315B">
        <w:tab/>
        <w:t>I agree.</w:t>
      </w:r>
    </w:p>
    <w:p w:rsidR="009C055B" w:rsidRDefault="009C055B" w:rsidP="00412229">
      <w:pPr>
        <w:spacing w:line="360" w:lineRule="auto"/>
        <w:jc w:val="both"/>
      </w:pPr>
    </w:p>
    <w:p w:rsidR="009F315B" w:rsidRPr="009F315B" w:rsidRDefault="009F315B" w:rsidP="00412229">
      <w:pPr>
        <w:spacing w:line="360" w:lineRule="auto"/>
        <w:jc w:val="both"/>
      </w:pPr>
    </w:p>
    <w:p w:rsidR="003E0F83" w:rsidRPr="009F315B" w:rsidRDefault="00D55C6C" w:rsidP="004D7AD8">
      <w:pPr>
        <w:jc w:val="both"/>
      </w:pPr>
      <w:r w:rsidRPr="009F315B">
        <w:rPr>
          <w:i/>
        </w:rPr>
        <w:t>Atherstone &amp; Cook</w:t>
      </w:r>
      <w:r w:rsidR="00F1235E" w:rsidRPr="009F315B">
        <w:t xml:space="preserve">, appellant’s </w:t>
      </w:r>
      <w:r w:rsidR="00F7784D" w:rsidRPr="009F315B">
        <w:t>l</w:t>
      </w:r>
      <w:r w:rsidR="00F1235E" w:rsidRPr="009F315B">
        <w:t xml:space="preserve">egal </w:t>
      </w:r>
      <w:r w:rsidR="00F7784D" w:rsidRPr="009F315B">
        <w:t>p</w:t>
      </w:r>
      <w:r w:rsidR="00F1235E" w:rsidRPr="009F315B">
        <w:t>ractitioners</w:t>
      </w:r>
    </w:p>
    <w:p w:rsidR="003E0F83" w:rsidRPr="009F315B" w:rsidRDefault="00D55C6C" w:rsidP="004D7AD8">
      <w:pPr>
        <w:jc w:val="both"/>
      </w:pPr>
      <w:r w:rsidRPr="009F315B">
        <w:rPr>
          <w:i/>
        </w:rPr>
        <w:t>Matsikidze &amp; Mucheche</w:t>
      </w:r>
      <w:r w:rsidR="00E81D67" w:rsidRPr="009F315B">
        <w:t>, respondent</w:t>
      </w:r>
      <w:r w:rsidRPr="009F315B">
        <w:t>s</w:t>
      </w:r>
      <w:r w:rsidR="00E81D67" w:rsidRPr="009F315B">
        <w:t xml:space="preserve">’ </w:t>
      </w:r>
      <w:r w:rsidR="00F7784D" w:rsidRPr="009F315B">
        <w:t>l</w:t>
      </w:r>
      <w:r w:rsidR="00E81D67" w:rsidRPr="009F315B">
        <w:t xml:space="preserve">egal </w:t>
      </w:r>
      <w:r w:rsidR="00F7784D" w:rsidRPr="009F315B">
        <w:t>p</w:t>
      </w:r>
      <w:r w:rsidR="00E81D67" w:rsidRPr="009F315B">
        <w:t>ractitioners</w:t>
      </w:r>
      <w:r w:rsidR="00624777">
        <w:t xml:space="preserve"> </w:t>
      </w:r>
    </w:p>
    <w:sectPr w:rsidR="003E0F83" w:rsidRPr="009F315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2C5" w:rsidRDefault="004F12C5">
      <w:r>
        <w:separator/>
      </w:r>
    </w:p>
  </w:endnote>
  <w:endnote w:type="continuationSeparator" w:id="0">
    <w:p w:rsidR="004F12C5" w:rsidRDefault="004F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15E" w:rsidRDefault="00EA71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15E" w:rsidRDefault="00EA71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15E" w:rsidRDefault="00EA7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2C5" w:rsidRDefault="004F12C5">
      <w:r>
        <w:separator/>
      </w:r>
    </w:p>
  </w:footnote>
  <w:footnote w:type="continuationSeparator" w:id="0">
    <w:p w:rsidR="004F12C5" w:rsidRDefault="004F1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844" w:rsidRDefault="00475844"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5844" w:rsidRDefault="00475844"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704"/>
      <w:gridCol w:w="1152"/>
    </w:tblGrid>
    <w:tr w:rsidR="008A5560">
      <w:tc>
        <w:tcPr>
          <w:tcW w:w="0" w:type="auto"/>
          <w:tcBorders>
            <w:right w:val="single" w:sz="6" w:space="0" w:color="000000" w:themeColor="text1"/>
          </w:tcBorders>
        </w:tcPr>
        <w:bookmarkStart w:id="0" w:name="_GoBack" w:displacedByCustomXml="next"/>
        <w:sdt>
          <w:sdtPr>
            <w:rPr>
              <w:sz w:val="22"/>
              <w:szCs w:val="22"/>
            </w:rPr>
            <w:alias w:val="Company"/>
            <w:id w:val="78735422"/>
            <w:placeholder>
              <w:docPart w:val="C0EAEE99D2F245669D99834F6BD33C86"/>
            </w:placeholder>
            <w:dataBinding w:prefixMappings="xmlns:ns0='http://schemas.openxmlformats.org/officeDocument/2006/extended-properties'" w:xpath="/ns0:Properties[1]/ns0:Company[1]" w:storeItemID="{6668398D-A668-4E3E-A5EB-62B293D839F1}"/>
            <w:text/>
          </w:sdtPr>
          <w:sdtEndPr/>
          <w:sdtContent>
            <w:p w:rsidR="008A5560" w:rsidRPr="008A5560" w:rsidRDefault="008A5560">
              <w:pPr>
                <w:pStyle w:val="Header"/>
                <w:jc w:val="right"/>
                <w:rPr>
                  <w:sz w:val="22"/>
                  <w:szCs w:val="22"/>
                </w:rPr>
              </w:pPr>
              <w:r w:rsidRPr="008A5560">
                <w:rPr>
                  <w:sz w:val="22"/>
                  <w:szCs w:val="22"/>
                </w:rPr>
                <w:t>Judgment No. SC 11/16</w:t>
              </w:r>
            </w:p>
          </w:sdtContent>
        </w:sdt>
        <w:sdt>
          <w:sdtPr>
            <w:rPr>
              <w:b/>
              <w:bCs/>
              <w:sz w:val="22"/>
              <w:szCs w:val="22"/>
            </w:rPr>
            <w:alias w:val="Title"/>
            <w:id w:val="78735415"/>
            <w:placeholder>
              <w:docPart w:val="CC8DC354BCC94DDDBFF68A6DBEC03365"/>
            </w:placeholder>
            <w:dataBinding w:prefixMappings="xmlns:ns0='http://schemas.openxmlformats.org/package/2006/metadata/core-properties' xmlns:ns1='http://purl.org/dc/elements/1.1/'" w:xpath="/ns0:coreProperties[1]/ns1:title[1]" w:storeItemID="{6C3C8BC8-F283-45AE-878A-BAB7291924A1}"/>
            <w:text/>
          </w:sdtPr>
          <w:sdtEndPr/>
          <w:sdtContent>
            <w:p w:rsidR="008A5560" w:rsidRDefault="008A5560">
              <w:pPr>
                <w:pStyle w:val="Header"/>
                <w:jc w:val="right"/>
                <w:rPr>
                  <w:b/>
                  <w:bCs/>
                </w:rPr>
              </w:pPr>
              <w:r w:rsidRPr="008A5560">
                <w:rPr>
                  <w:b/>
                  <w:bCs/>
                  <w:sz w:val="22"/>
                  <w:szCs w:val="22"/>
                  <w:lang w:val="en-US"/>
                </w:rPr>
                <w:t>Case No. SC 67/14</w:t>
              </w:r>
            </w:p>
          </w:sdtContent>
        </w:sdt>
        <w:bookmarkEnd w:id="0" w:displacedByCustomXml="prev"/>
      </w:tc>
      <w:tc>
        <w:tcPr>
          <w:tcW w:w="1152" w:type="dxa"/>
          <w:tcBorders>
            <w:left w:val="single" w:sz="6" w:space="0" w:color="000000" w:themeColor="text1"/>
          </w:tcBorders>
        </w:tcPr>
        <w:p w:rsidR="008A5560" w:rsidRDefault="008A5560">
          <w:pPr>
            <w:pStyle w:val="Header"/>
            <w:rPr>
              <w:b/>
              <w:bCs/>
            </w:rPr>
          </w:pPr>
          <w:r>
            <w:fldChar w:fldCharType="begin"/>
          </w:r>
          <w:r>
            <w:instrText xml:space="preserve"> PAGE   \* MERGEFORMAT </w:instrText>
          </w:r>
          <w:r>
            <w:fldChar w:fldCharType="separate"/>
          </w:r>
          <w:r w:rsidR="00EA715E">
            <w:rPr>
              <w:noProof/>
            </w:rPr>
            <w:t>1</w:t>
          </w:r>
          <w:r>
            <w:rPr>
              <w:noProof/>
            </w:rPr>
            <w:fldChar w:fldCharType="end"/>
          </w:r>
        </w:p>
      </w:tc>
    </w:tr>
  </w:tbl>
  <w:p w:rsidR="00475844" w:rsidRPr="00272765" w:rsidRDefault="00475844" w:rsidP="00386038">
    <w:pPr>
      <w:pStyle w:val="Header"/>
      <w:jc w:val="right"/>
      <w:rPr>
        <w:rFonts w:ascii="Book Antiqua" w:hAnsi="Book Antiqu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15E" w:rsidRDefault="00EA7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54170"/>
    <w:multiLevelType w:val="hybridMultilevel"/>
    <w:tmpl w:val="ED0C8D80"/>
    <w:lvl w:ilvl="0" w:tplc="9B92D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794BBC"/>
    <w:multiLevelType w:val="hybridMultilevel"/>
    <w:tmpl w:val="B40CAF56"/>
    <w:lvl w:ilvl="0" w:tplc="7FE848E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5D"/>
    <w:rsid w:val="00002850"/>
    <w:rsid w:val="0002331C"/>
    <w:rsid w:val="00062230"/>
    <w:rsid w:val="000731C4"/>
    <w:rsid w:val="000F1112"/>
    <w:rsid w:val="000F6F32"/>
    <w:rsid w:val="00135615"/>
    <w:rsid w:val="00141378"/>
    <w:rsid w:val="001436F8"/>
    <w:rsid w:val="001C66F0"/>
    <w:rsid w:val="001E245B"/>
    <w:rsid w:val="001E26E2"/>
    <w:rsid w:val="001F6C7E"/>
    <w:rsid w:val="0020215E"/>
    <w:rsid w:val="00222F74"/>
    <w:rsid w:val="00250283"/>
    <w:rsid w:val="00253AE9"/>
    <w:rsid w:val="00272765"/>
    <w:rsid w:val="00273E40"/>
    <w:rsid w:val="002C737A"/>
    <w:rsid w:val="002D0CA8"/>
    <w:rsid w:val="002D0DAD"/>
    <w:rsid w:val="00305F74"/>
    <w:rsid w:val="003235C5"/>
    <w:rsid w:val="00350C51"/>
    <w:rsid w:val="00366F5D"/>
    <w:rsid w:val="00383032"/>
    <w:rsid w:val="003849B4"/>
    <w:rsid w:val="00386038"/>
    <w:rsid w:val="003A7DB9"/>
    <w:rsid w:val="003B7E4F"/>
    <w:rsid w:val="003C7BEC"/>
    <w:rsid w:val="003E0F83"/>
    <w:rsid w:val="003F0CB5"/>
    <w:rsid w:val="003F0D84"/>
    <w:rsid w:val="00412229"/>
    <w:rsid w:val="00416D42"/>
    <w:rsid w:val="00435536"/>
    <w:rsid w:val="004439E5"/>
    <w:rsid w:val="00475844"/>
    <w:rsid w:val="004A0853"/>
    <w:rsid w:val="004B026E"/>
    <w:rsid w:val="004D17B7"/>
    <w:rsid w:val="004D7AD8"/>
    <w:rsid w:val="004F020F"/>
    <w:rsid w:val="004F12C5"/>
    <w:rsid w:val="0050064D"/>
    <w:rsid w:val="005021E4"/>
    <w:rsid w:val="005A10B0"/>
    <w:rsid w:val="005C6D91"/>
    <w:rsid w:val="005E4C64"/>
    <w:rsid w:val="00624777"/>
    <w:rsid w:val="006537B6"/>
    <w:rsid w:val="00657433"/>
    <w:rsid w:val="006636E4"/>
    <w:rsid w:val="006A4F2E"/>
    <w:rsid w:val="006B7B5C"/>
    <w:rsid w:val="006C4E70"/>
    <w:rsid w:val="006C6DEC"/>
    <w:rsid w:val="006E0951"/>
    <w:rsid w:val="006F26A7"/>
    <w:rsid w:val="00703603"/>
    <w:rsid w:val="00741128"/>
    <w:rsid w:val="007777DD"/>
    <w:rsid w:val="007B28FC"/>
    <w:rsid w:val="00815096"/>
    <w:rsid w:val="00837726"/>
    <w:rsid w:val="008A53DD"/>
    <w:rsid w:val="008A5560"/>
    <w:rsid w:val="008E3E30"/>
    <w:rsid w:val="00912E63"/>
    <w:rsid w:val="009570E4"/>
    <w:rsid w:val="009C055B"/>
    <w:rsid w:val="009C7FA3"/>
    <w:rsid w:val="009D728C"/>
    <w:rsid w:val="009E10E1"/>
    <w:rsid w:val="009F315B"/>
    <w:rsid w:val="00A00250"/>
    <w:rsid w:val="00AC7CFA"/>
    <w:rsid w:val="00AD18C1"/>
    <w:rsid w:val="00AE4E72"/>
    <w:rsid w:val="00AF48D9"/>
    <w:rsid w:val="00B032EE"/>
    <w:rsid w:val="00B2395A"/>
    <w:rsid w:val="00B30AE0"/>
    <w:rsid w:val="00B52BA6"/>
    <w:rsid w:val="00B74196"/>
    <w:rsid w:val="00B763ED"/>
    <w:rsid w:val="00B95985"/>
    <w:rsid w:val="00C076D2"/>
    <w:rsid w:val="00CC4169"/>
    <w:rsid w:val="00D45C75"/>
    <w:rsid w:val="00D46F42"/>
    <w:rsid w:val="00D55C6C"/>
    <w:rsid w:val="00D60394"/>
    <w:rsid w:val="00D7375A"/>
    <w:rsid w:val="00D90EDB"/>
    <w:rsid w:val="00D96B5A"/>
    <w:rsid w:val="00DB2839"/>
    <w:rsid w:val="00E34CC0"/>
    <w:rsid w:val="00E404FC"/>
    <w:rsid w:val="00E56862"/>
    <w:rsid w:val="00E73279"/>
    <w:rsid w:val="00E74FEB"/>
    <w:rsid w:val="00E81D67"/>
    <w:rsid w:val="00E829E0"/>
    <w:rsid w:val="00E91792"/>
    <w:rsid w:val="00EA715E"/>
    <w:rsid w:val="00EF0867"/>
    <w:rsid w:val="00F1235E"/>
    <w:rsid w:val="00F352F5"/>
    <w:rsid w:val="00F40F35"/>
    <w:rsid w:val="00F47370"/>
    <w:rsid w:val="00F7784D"/>
    <w:rsid w:val="00F905A6"/>
    <w:rsid w:val="00FE5309"/>
    <w:rsid w:val="00FF340A"/>
    <w:rsid w:val="00FF3CB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D4078031-D115-4EC6-95FF-978615D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366F5D"/>
    <w:pPr>
      <w:ind w:left="720"/>
      <w:contextualSpacing/>
    </w:pPr>
  </w:style>
  <w:style w:type="paragraph" w:styleId="BalloonText">
    <w:name w:val="Balloon Text"/>
    <w:basedOn w:val="Normal"/>
    <w:link w:val="BalloonTextChar"/>
    <w:rsid w:val="008A5560"/>
    <w:rPr>
      <w:rFonts w:ascii="Tahoma" w:hAnsi="Tahoma" w:cs="Tahoma"/>
      <w:sz w:val="16"/>
      <w:szCs w:val="16"/>
    </w:rPr>
  </w:style>
  <w:style w:type="character" w:customStyle="1" w:styleId="BalloonTextChar">
    <w:name w:val="Balloon Text Char"/>
    <w:basedOn w:val="DefaultParagraphFont"/>
    <w:link w:val="BalloonText"/>
    <w:rsid w:val="008A5560"/>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6\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EAEE99D2F245669D99834F6BD33C86"/>
        <w:category>
          <w:name w:val="General"/>
          <w:gallery w:val="placeholder"/>
        </w:category>
        <w:types>
          <w:type w:val="bbPlcHdr"/>
        </w:types>
        <w:behaviors>
          <w:behavior w:val="content"/>
        </w:behaviors>
        <w:guid w:val="{F225A6C8-5C7D-4826-9E9C-DBD7724C3A86}"/>
      </w:docPartPr>
      <w:docPartBody>
        <w:p w:rsidR="005404FA" w:rsidRDefault="005F7852" w:rsidP="005F7852">
          <w:pPr>
            <w:pStyle w:val="C0EAEE99D2F245669D99834F6BD33C86"/>
          </w:pPr>
          <w:r>
            <w:t>[Type the company name]</w:t>
          </w:r>
        </w:p>
      </w:docPartBody>
    </w:docPart>
    <w:docPart>
      <w:docPartPr>
        <w:name w:val="CC8DC354BCC94DDDBFF68A6DBEC03365"/>
        <w:category>
          <w:name w:val="General"/>
          <w:gallery w:val="placeholder"/>
        </w:category>
        <w:types>
          <w:type w:val="bbPlcHdr"/>
        </w:types>
        <w:behaviors>
          <w:behavior w:val="content"/>
        </w:behaviors>
        <w:guid w:val="{493ED38D-B65C-48C6-8298-208BBBD42EE8}"/>
      </w:docPartPr>
      <w:docPartBody>
        <w:p w:rsidR="005404FA" w:rsidRDefault="005F7852" w:rsidP="005F7852">
          <w:pPr>
            <w:pStyle w:val="CC8DC354BCC94DDDBFF68A6DBEC0336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852"/>
    <w:rsid w:val="0005060D"/>
    <w:rsid w:val="001B4714"/>
    <w:rsid w:val="004322F4"/>
    <w:rsid w:val="005404FA"/>
    <w:rsid w:val="005F7852"/>
    <w:rsid w:val="00851477"/>
    <w:rsid w:val="00C3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AEE99D2F245669D99834F6BD33C86">
    <w:name w:val="C0EAEE99D2F245669D99834F6BD33C86"/>
    <w:rsid w:val="005F7852"/>
  </w:style>
  <w:style w:type="paragraph" w:customStyle="1" w:styleId="CC8DC354BCC94DDDBFF68A6DBEC03365">
    <w:name w:val="CC8DC354BCC94DDDBFF68A6DBEC03365"/>
    <w:rsid w:val="005F7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Case No. SC 67/14</vt:lpstr>
    </vt:vector>
  </TitlesOfParts>
  <Company>Judgment No. SC 11/16</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 SC 67/14</dc:title>
  <dc:creator>Patel</dc:creator>
  <cp:lastModifiedBy>Takudzwa.Chatora</cp:lastModifiedBy>
  <cp:revision>2</cp:revision>
  <cp:lastPrinted>2016-02-25T17:22:00Z</cp:lastPrinted>
  <dcterms:created xsi:type="dcterms:W3CDTF">2016-04-10T16:24:00Z</dcterms:created>
  <dcterms:modified xsi:type="dcterms:W3CDTF">2016-04-10T16:24:00Z</dcterms:modified>
</cp:coreProperties>
</file>