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62414A" w14:textId="3F3EC045" w:rsidR="004B3AC0" w:rsidRDefault="00C7211C" w:rsidP="00191D4C">
      <w:pPr>
        <w:tabs>
          <w:tab w:val="left" w:pos="720"/>
          <w:tab w:val="left" w:pos="1440"/>
        </w:tabs>
        <w:jc w:val="both"/>
        <w:rPr>
          <w:rFonts w:ascii="Times New Roman" w:hAnsi="Times New Roman" w:cs="Times New Roman"/>
          <w:b/>
          <w:sz w:val="24"/>
          <w:szCs w:val="24"/>
          <w:u w:val="single"/>
        </w:rPr>
      </w:pPr>
      <w:r w:rsidRPr="000F60D0">
        <w:rPr>
          <w:rFonts w:ascii="Times New Roman" w:hAnsi="Times New Roman" w:cs="Times New Roman"/>
          <w:b/>
          <w:sz w:val="24"/>
          <w:szCs w:val="24"/>
          <w:u w:val="single"/>
        </w:rPr>
        <w:t xml:space="preserve"> </w:t>
      </w:r>
      <w:r w:rsidR="000F60D0" w:rsidRPr="000F60D0">
        <w:rPr>
          <w:rFonts w:ascii="Times New Roman" w:hAnsi="Times New Roman" w:cs="Times New Roman"/>
          <w:b/>
          <w:sz w:val="24"/>
          <w:szCs w:val="24"/>
          <w:u w:val="single"/>
        </w:rPr>
        <w:t>REPORTABLE   (</w:t>
      </w:r>
      <w:r w:rsidR="00E67AC8">
        <w:rPr>
          <w:rFonts w:ascii="Times New Roman" w:hAnsi="Times New Roman" w:cs="Times New Roman"/>
          <w:b/>
          <w:sz w:val="24"/>
          <w:szCs w:val="24"/>
          <w:u w:val="single"/>
        </w:rPr>
        <w:t>49</w:t>
      </w:r>
      <w:r w:rsidR="000F60D0" w:rsidRPr="000F60D0">
        <w:rPr>
          <w:rFonts w:ascii="Times New Roman" w:hAnsi="Times New Roman" w:cs="Times New Roman"/>
          <w:b/>
          <w:sz w:val="24"/>
          <w:szCs w:val="24"/>
          <w:u w:val="single"/>
        </w:rPr>
        <w:t>)</w:t>
      </w:r>
    </w:p>
    <w:p w14:paraId="7E38689B" w14:textId="77777777" w:rsidR="000F60D0" w:rsidRPr="000F60D0" w:rsidRDefault="000F60D0" w:rsidP="000F60D0">
      <w:pPr>
        <w:jc w:val="both"/>
        <w:rPr>
          <w:rFonts w:ascii="Times New Roman" w:hAnsi="Times New Roman" w:cs="Times New Roman"/>
          <w:b/>
          <w:sz w:val="24"/>
          <w:szCs w:val="24"/>
          <w:u w:val="single"/>
        </w:rPr>
      </w:pPr>
    </w:p>
    <w:p w14:paraId="5A3FC2FA" w14:textId="3753EB31" w:rsidR="004B3AC0" w:rsidRPr="000F60D0" w:rsidRDefault="004B3AC0" w:rsidP="000F60D0">
      <w:pPr>
        <w:spacing w:after="0" w:line="240" w:lineRule="auto"/>
        <w:jc w:val="center"/>
        <w:rPr>
          <w:rFonts w:ascii="Times New Roman" w:hAnsi="Times New Roman" w:cs="Times New Roman"/>
          <w:b/>
          <w:sz w:val="24"/>
          <w:szCs w:val="24"/>
        </w:rPr>
      </w:pPr>
      <w:r w:rsidRPr="000F60D0">
        <w:rPr>
          <w:rFonts w:ascii="Times New Roman" w:hAnsi="Times New Roman" w:cs="Times New Roman"/>
          <w:b/>
          <w:sz w:val="24"/>
          <w:szCs w:val="24"/>
        </w:rPr>
        <w:t>L</w:t>
      </w:r>
      <w:r w:rsidR="000F60D0">
        <w:rPr>
          <w:rFonts w:ascii="Times New Roman" w:hAnsi="Times New Roman" w:cs="Times New Roman"/>
          <w:b/>
          <w:sz w:val="24"/>
          <w:szCs w:val="24"/>
        </w:rPr>
        <w:t xml:space="preserve">LOYD     MUNYARADZI     </w:t>
      </w:r>
      <w:r w:rsidRPr="000F60D0">
        <w:rPr>
          <w:rFonts w:ascii="Times New Roman" w:hAnsi="Times New Roman" w:cs="Times New Roman"/>
          <w:b/>
          <w:sz w:val="24"/>
          <w:szCs w:val="24"/>
        </w:rPr>
        <w:t>MANOKORE</w:t>
      </w:r>
    </w:p>
    <w:p w14:paraId="29729476" w14:textId="3E7BA110" w:rsidR="000F60D0" w:rsidRDefault="000F60D0" w:rsidP="000F60D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v</w:t>
      </w:r>
    </w:p>
    <w:p w14:paraId="2B4340C2" w14:textId="0579B73B" w:rsidR="004B3AC0" w:rsidRDefault="000F60D0" w:rsidP="000F60D0">
      <w:pPr>
        <w:pStyle w:val="ListParagraph"/>
        <w:numPr>
          <w:ilvl w:val="0"/>
          <w:numId w:val="10"/>
        </w:num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    PERKINS     ZHAWARI     (2)     LILIAN     </w:t>
      </w:r>
      <w:r w:rsidR="004B3AC0" w:rsidRPr="000F60D0">
        <w:rPr>
          <w:rFonts w:ascii="Times New Roman" w:hAnsi="Times New Roman" w:cs="Times New Roman"/>
          <w:b/>
          <w:sz w:val="24"/>
          <w:szCs w:val="24"/>
        </w:rPr>
        <w:t>ZHAWARI</w:t>
      </w:r>
    </w:p>
    <w:p w14:paraId="0B5BA9C3" w14:textId="77777777" w:rsidR="000F60D0" w:rsidRDefault="000F60D0" w:rsidP="000F60D0">
      <w:pPr>
        <w:spacing w:after="0" w:line="240" w:lineRule="auto"/>
        <w:jc w:val="center"/>
        <w:rPr>
          <w:rFonts w:ascii="Times New Roman" w:hAnsi="Times New Roman" w:cs="Times New Roman"/>
          <w:b/>
          <w:sz w:val="24"/>
          <w:szCs w:val="24"/>
        </w:rPr>
      </w:pPr>
    </w:p>
    <w:p w14:paraId="555C4445" w14:textId="77777777" w:rsidR="000F60D0" w:rsidRPr="000F60D0" w:rsidRDefault="000F60D0" w:rsidP="000F60D0">
      <w:pPr>
        <w:spacing w:after="0" w:line="240" w:lineRule="auto"/>
        <w:jc w:val="center"/>
        <w:rPr>
          <w:rFonts w:ascii="Times New Roman" w:hAnsi="Times New Roman" w:cs="Times New Roman"/>
          <w:b/>
          <w:sz w:val="24"/>
          <w:szCs w:val="24"/>
        </w:rPr>
      </w:pPr>
    </w:p>
    <w:p w14:paraId="00FAB7C2" w14:textId="77777777" w:rsidR="004B3AC0" w:rsidRDefault="004B3AC0" w:rsidP="004B3AC0">
      <w:pPr>
        <w:jc w:val="both"/>
        <w:rPr>
          <w:rFonts w:ascii="Times New Roman" w:hAnsi="Times New Roman" w:cs="Times New Roman"/>
          <w:sz w:val="24"/>
          <w:szCs w:val="24"/>
        </w:rPr>
      </w:pPr>
    </w:p>
    <w:p w14:paraId="146B187D" w14:textId="20935CD4" w:rsidR="004B3AC0" w:rsidRPr="000F60D0" w:rsidRDefault="004B3AC0" w:rsidP="000F60D0">
      <w:pPr>
        <w:spacing w:after="0" w:line="240" w:lineRule="auto"/>
        <w:jc w:val="both"/>
        <w:rPr>
          <w:rFonts w:ascii="Times New Roman" w:hAnsi="Times New Roman" w:cs="Times New Roman"/>
          <w:b/>
          <w:sz w:val="24"/>
          <w:szCs w:val="24"/>
        </w:rPr>
      </w:pPr>
      <w:r w:rsidRPr="000F60D0">
        <w:rPr>
          <w:rFonts w:ascii="Times New Roman" w:hAnsi="Times New Roman" w:cs="Times New Roman"/>
          <w:b/>
          <w:sz w:val="24"/>
          <w:szCs w:val="24"/>
        </w:rPr>
        <w:t>SUPREME COURT OF ZIMBABWE</w:t>
      </w:r>
    </w:p>
    <w:p w14:paraId="1B5F71C7" w14:textId="19D5BC0E" w:rsidR="004B3AC0" w:rsidRPr="000F60D0" w:rsidRDefault="000F60D0" w:rsidP="000F60D0">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GUVAVA JA, KUDYA </w:t>
      </w:r>
      <w:r w:rsidR="00C93A72">
        <w:rPr>
          <w:rFonts w:ascii="Times New Roman" w:hAnsi="Times New Roman" w:cs="Times New Roman"/>
          <w:b/>
          <w:sz w:val="24"/>
          <w:szCs w:val="24"/>
        </w:rPr>
        <w:t>JA &amp;</w:t>
      </w:r>
      <w:r w:rsidR="004B3AC0" w:rsidRPr="000F60D0">
        <w:rPr>
          <w:rFonts w:ascii="Times New Roman" w:hAnsi="Times New Roman" w:cs="Times New Roman"/>
          <w:b/>
          <w:sz w:val="24"/>
          <w:szCs w:val="24"/>
        </w:rPr>
        <w:t xml:space="preserve"> MWAYERA JA</w:t>
      </w:r>
    </w:p>
    <w:p w14:paraId="573817E6" w14:textId="034878E9" w:rsidR="004B3AC0" w:rsidRPr="000F60D0" w:rsidRDefault="000F60D0" w:rsidP="000F60D0">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HARARE: 25 NOVEMBER 2021 </w:t>
      </w:r>
      <w:r w:rsidR="00B25621">
        <w:rPr>
          <w:rFonts w:ascii="Times New Roman" w:hAnsi="Times New Roman" w:cs="Times New Roman"/>
          <w:b/>
          <w:sz w:val="24"/>
          <w:szCs w:val="24"/>
        </w:rPr>
        <w:t xml:space="preserve">&amp; 31 </w:t>
      </w:r>
      <w:r>
        <w:rPr>
          <w:rFonts w:ascii="Times New Roman" w:hAnsi="Times New Roman" w:cs="Times New Roman"/>
          <w:b/>
          <w:sz w:val="24"/>
          <w:szCs w:val="24"/>
        </w:rPr>
        <w:t xml:space="preserve">MAY </w:t>
      </w:r>
      <w:r w:rsidR="004B3AC0" w:rsidRPr="000F60D0">
        <w:rPr>
          <w:rFonts w:ascii="Times New Roman" w:hAnsi="Times New Roman" w:cs="Times New Roman"/>
          <w:b/>
          <w:sz w:val="24"/>
          <w:szCs w:val="24"/>
        </w:rPr>
        <w:t>202</w:t>
      </w:r>
      <w:r w:rsidR="00B25621">
        <w:rPr>
          <w:rFonts w:ascii="Times New Roman" w:hAnsi="Times New Roman" w:cs="Times New Roman"/>
          <w:b/>
          <w:sz w:val="24"/>
          <w:szCs w:val="24"/>
        </w:rPr>
        <w:t>4</w:t>
      </w:r>
    </w:p>
    <w:p w14:paraId="060C625C" w14:textId="77777777" w:rsidR="004B3AC0" w:rsidRDefault="004B3AC0" w:rsidP="00671EF4">
      <w:pPr>
        <w:spacing w:after="0"/>
        <w:jc w:val="both"/>
        <w:rPr>
          <w:rFonts w:ascii="Times New Roman" w:hAnsi="Times New Roman" w:cs="Times New Roman"/>
          <w:sz w:val="24"/>
          <w:szCs w:val="24"/>
        </w:rPr>
      </w:pPr>
    </w:p>
    <w:p w14:paraId="640EDA93" w14:textId="77777777" w:rsidR="000F60D0" w:rsidRDefault="000F60D0" w:rsidP="004B3AC0">
      <w:pPr>
        <w:jc w:val="both"/>
        <w:rPr>
          <w:rFonts w:ascii="Times New Roman" w:hAnsi="Times New Roman" w:cs="Times New Roman"/>
          <w:sz w:val="24"/>
          <w:szCs w:val="24"/>
        </w:rPr>
      </w:pPr>
    </w:p>
    <w:p w14:paraId="6315B510" w14:textId="3C8D08F5" w:rsidR="004B3AC0" w:rsidRDefault="004B3AC0" w:rsidP="004B3AC0">
      <w:pPr>
        <w:jc w:val="both"/>
        <w:rPr>
          <w:rFonts w:ascii="Times New Roman" w:hAnsi="Times New Roman" w:cs="Times New Roman"/>
          <w:sz w:val="24"/>
          <w:szCs w:val="24"/>
        </w:rPr>
      </w:pPr>
      <w:r w:rsidRPr="004B3AC0">
        <w:rPr>
          <w:rFonts w:ascii="Times New Roman" w:hAnsi="Times New Roman" w:cs="Times New Roman"/>
          <w:i/>
          <w:iCs/>
          <w:sz w:val="24"/>
          <w:szCs w:val="24"/>
        </w:rPr>
        <w:t xml:space="preserve">F </w:t>
      </w:r>
      <w:proofErr w:type="spellStart"/>
      <w:r w:rsidRPr="004B3AC0">
        <w:rPr>
          <w:rFonts w:ascii="Times New Roman" w:hAnsi="Times New Roman" w:cs="Times New Roman"/>
          <w:i/>
          <w:iCs/>
          <w:sz w:val="24"/>
          <w:szCs w:val="24"/>
        </w:rPr>
        <w:t>Girach</w:t>
      </w:r>
      <w:proofErr w:type="spellEnd"/>
      <w:r>
        <w:rPr>
          <w:rFonts w:ascii="Times New Roman" w:hAnsi="Times New Roman" w:cs="Times New Roman"/>
          <w:sz w:val="24"/>
          <w:szCs w:val="24"/>
        </w:rPr>
        <w:t>, for the appellant</w:t>
      </w:r>
    </w:p>
    <w:p w14:paraId="74DEA839" w14:textId="311E8BFD" w:rsidR="000F60D0" w:rsidRDefault="004B3AC0" w:rsidP="00191D4C">
      <w:pPr>
        <w:tabs>
          <w:tab w:val="left" w:pos="1080"/>
          <w:tab w:val="left" w:pos="1350"/>
        </w:tabs>
        <w:jc w:val="both"/>
        <w:rPr>
          <w:rFonts w:ascii="Times New Roman" w:hAnsi="Times New Roman" w:cs="Times New Roman"/>
          <w:sz w:val="24"/>
          <w:szCs w:val="24"/>
        </w:rPr>
      </w:pPr>
      <w:r w:rsidRPr="004B3AC0">
        <w:rPr>
          <w:rFonts w:ascii="Times New Roman" w:hAnsi="Times New Roman" w:cs="Times New Roman"/>
          <w:i/>
          <w:iCs/>
          <w:sz w:val="24"/>
          <w:szCs w:val="24"/>
        </w:rPr>
        <w:t>H Mukonoweshuro</w:t>
      </w:r>
      <w:r>
        <w:rPr>
          <w:rFonts w:ascii="Times New Roman" w:hAnsi="Times New Roman" w:cs="Times New Roman"/>
          <w:sz w:val="24"/>
          <w:szCs w:val="24"/>
        </w:rPr>
        <w:t>, for the respondents</w:t>
      </w:r>
    </w:p>
    <w:p w14:paraId="1CA85227" w14:textId="77777777" w:rsidR="00BA3E27" w:rsidRDefault="00BA3E27" w:rsidP="00D36046">
      <w:pPr>
        <w:jc w:val="both"/>
        <w:rPr>
          <w:rFonts w:ascii="Times New Roman" w:hAnsi="Times New Roman" w:cs="Times New Roman"/>
          <w:sz w:val="24"/>
          <w:szCs w:val="24"/>
        </w:rPr>
      </w:pPr>
    </w:p>
    <w:p w14:paraId="7BED3688" w14:textId="77777777" w:rsidR="00D36046" w:rsidRDefault="00D36046" w:rsidP="00D36046">
      <w:pPr>
        <w:jc w:val="both"/>
        <w:rPr>
          <w:rFonts w:ascii="Times New Roman" w:hAnsi="Times New Roman" w:cs="Times New Roman"/>
          <w:sz w:val="24"/>
          <w:szCs w:val="24"/>
        </w:rPr>
      </w:pPr>
    </w:p>
    <w:p w14:paraId="3EE47930" w14:textId="57581C19" w:rsidR="00045BD3" w:rsidRDefault="004B3AC0" w:rsidP="00D36046">
      <w:pPr>
        <w:tabs>
          <w:tab w:val="left" w:pos="2880"/>
        </w:tabs>
        <w:spacing w:after="0" w:line="480" w:lineRule="auto"/>
        <w:ind w:firstLine="1134"/>
        <w:jc w:val="both"/>
        <w:rPr>
          <w:rFonts w:ascii="Times New Roman" w:hAnsi="Times New Roman" w:cs="Times New Roman"/>
          <w:sz w:val="24"/>
          <w:szCs w:val="24"/>
        </w:rPr>
      </w:pPr>
      <w:r w:rsidRPr="000F60D0">
        <w:rPr>
          <w:rFonts w:ascii="Times New Roman" w:hAnsi="Times New Roman" w:cs="Times New Roman"/>
          <w:b/>
          <w:sz w:val="24"/>
          <w:szCs w:val="24"/>
        </w:rPr>
        <w:t xml:space="preserve">KUDYA JA: </w:t>
      </w:r>
      <w:r w:rsidR="000F60D0">
        <w:rPr>
          <w:rFonts w:ascii="Times New Roman" w:hAnsi="Times New Roman" w:cs="Times New Roman"/>
          <w:b/>
          <w:sz w:val="24"/>
          <w:szCs w:val="24"/>
        </w:rPr>
        <w:tab/>
      </w:r>
      <w:r w:rsidR="007F067C" w:rsidRPr="00671EF4">
        <w:rPr>
          <w:rFonts w:ascii="Times New Roman" w:hAnsi="Times New Roman" w:cs="Times New Roman"/>
          <w:sz w:val="24"/>
          <w:szCs w:val="24"/>
        </w:rPr>
        <w:t xml:space="preserve">The appellant appeals against an order </w:t>
      </w:r>
      <w:r w:rsidR="00F45E5B" w:rsidRPr="00671EF4">
        <w:rPr>
          <w:rFonts w:ascii="Times New Roman" w:hAnsi="Times New Roman" w:cs="Times New Roman"/>
          <w:sz w:val="24"/>
          <w:szCs w:val="24"/>
        </w:rPr>
        <w:t>handed down by the</w:t>
      </w:r>
      <w:r w:rsidR="007F067C" w:rsidRPr="00671EF4">
        <w:rPr>
          <w:rFonts w:ascii="Times New Roman" w:hAnsi="Times New Roman" w:cs="Times New Roman"/>
          <w:sz w:val="24"/>
          <w:szCs w:val="24"/>
        </w:rPr>
        <w:t xml:space="preserve"> High Court (the court </w:t>
      </w:r>
      <w:r w:rsidR="007F067C" w:rsidRPr="00671EF4">
        <w:rPr>
          <w:rFonts w:ascii="Times New Roman" w:hAnsi="Times New Roman" w:cs="Times New Roman"/>
          <w:i/>
          <w:iCs/>
          <w:sz w:val="24"/>
          <w:szCs w:val="24"/>
        </w:rPr>
        <w:t>a quo</w:t>
      </w:r>
      <w:r w:rsidR="00671EF4">
        <w:rPr>
          <w:rFonts w:ascii="Times New Roman" w:hAnsi="Times New Roman" w:cs="Times New Roman"/>
          <w:sz w:val="24"/>
          <w:szCs w:val="24"/>
        </w:rPr>
        <w:t xml:space="preserve">) on 29 June 2021. </w:t>
      </w:r>
      <w:r w:rsidR="007F646C">
        <w:rPr>
          <w:rFonts w:ascii="Times New Roman" w:hAnsi="Times New Roman" w:cs="Times New Roman"/>
          <w:sz w:val="24"/>
          <w:szCs w:val="24"/>
        </w:rPr>
        <w:t xml:space="preserve"> </w:t>
      </w:r>
      <w:r w:rsidR="007F067C" w:rsidRPr="00671EF4">
        <w:rPr>
          <w:rFonts w:ascii="Times New Roman" w:hAnsi="Times New Roman" w:cs="Times New Roman"/>
          <w:sz w:val="24"/>
          <w:szCs w:val="24"/>
        </w:rPr>
        <w:t xml:space="preserve">The court </w:t>
      </w:r>
      <w:r w:rsidR="007F067C" w:rsidRPr="00671EF4">
        <w:rPr>
          <w:rFonts w:ascii="Times New Roman" w:hAnsi="Times New Roman" w:cs="Times New Roman"/>
          <w:i/>
          <w:iCs/>
          <w:sz w:val="24"/>
          <w:szCs w:val="24"/>
        </w:rPr>
        <w:t>a quo</w:t>
      </w:r>
      <w:r w:rsidR="007F067C" w:rsidRPr="00671EF4">
        <w:rPr>
          <w:rFonts w:ascii="Times New Roman" w:hAnsi="Times New Roman" w:cs="Times New Roman"/>
          <w:sz w:val="24"/>
          <w:szCs w:val="24"/>
        </w:rPr>
        <w:t xml:space="preserve"> dismissed his application for condonation and </w:t>
      </w:r>
      <w:r w:rsidR="000255DA" w:rsidRPr="00671EF4">
        <w:rPr>
          <w:rFonts w:ascii="Times New Roman" w:hAnsi="Times New Roman" w:cs="Times New Roman"/>
          <w:sz w:val="24"/>
          <w:szCs w:val="24"/>
        </w:rPr>
        <w:t>upliftment of</w:t>
      </w:r>
      <w:r w:rsidR="007F067C" w:rsidRPr="00671EF4">
        <w:rPr>
          <w:rFonts w:ascii="Times New Roman" w:hAnsi="Times New Roman" w:cs="Times New Roman"/>
          <w:sz w:val="24"/>
          <w:szCs w:val="24"/>
        </w:rPr>
        <w:t xml:space="preserve"> </w:t>
      </w:r>
      <w:r w:rsidR="00F45E5B" w:rsidRPr="00671EF4">
        <w:rPr>
          <w:rFonts w:ascii="Times New Roman" w:hAnsi="Times New Roman" w:cs="Times New Roman"/>
          <w:sz w:val="24"/>
          <w:szCs w:val="24"/>
        </w:rPr>
        <w:t xml:space="preserve">the </w:t>
      </w:r>
      <w:r w:rsidR="007F067C" w:rsidRPr="00671EF4">
        <w:rPr>
          <w:rFonts w:ascii="Times New Roman" w:hAnsi="Times New Roman" w:cs="Times New Roman"/>
          <w:sz w:val="24"/>
          <w:szCs w:val="24"/>
        </w:rPr>
        <w:t>bar</w:t>
      </w:r>
      <w:r w:rsidR="00D70AB6" w:rsidRPr="00671EF4">
        <w:rPr>
          <w:rFonts w:ascii="Times New Roman" w:hAnsi="Times New Roman" w:cs="Times New Roman"/>
          <w:sz w:val="24"/>
          <w:szCs w:val="24"/>
        </w:rPr>
        <w:t>.</w:t>
      </w:r>
      <w:r w:rsidR="00763297" w:rsidRPr="00671EF4">
        <w:rPr>
          <w:rFonts w:ascii="Times New Roman" w:hAnsi="Times New Roman" w:cs="Times New Roman"/>
          <w:sz w:val="24"/>
          <w:szCs w:val="24"/>
        </w:rPr>
        <w:t xml:space="preserve"> </w:t>
      </w:r>
      <w:r w:rsidR="007F646C">
        <w:rPr>
          <w:rFonts w:ascii="Times New Roman" w:hAnsi="Times New Roman" w:cs="Times New Roman"/>
          <w:sz w:val="24"/>
          <w:szCs w:val="24"/>
        </w:rPr>
        <w:t xml:space="preserve"> </w:t>
      </w:r>
      <w:r w:rsidR="00D70AB6" w:rsidRPr="00671EF4">
        <w:rPr>
          <w:rFonts w:ascii="Times New Roman" w:hAnsi="Times New Roman" w:cs="Times New Roman"/>
          <w:sz w:val="24"/>
          <w:szCs w:val="24"/>
        </w:rPr>
        <w:t xml:space="preserve">The </w:t>
      </w:r>
      <w:r w:rsidR="00880A97">
        <w:rPr>
          <w:rFonts w:ascii="Times New Roman" w:hAnsi="Times New Roman" w:cs="Times New Roman"/>
          <w:sz w:val="24"/>
          <w:szCs w:val="24"/>
        </w:rPr>
        <w:t>bar</w:t>
      </w:r>
      <w:r w:rsidR="00D70AB6" w:rsidRPr="00671EF4">
        <w:rPr>
          <w:rFonts w:ascii="Times New Roman" w:hAnsi="Times New Roman" w:cs="Times New Roman"/>
          <w:sz w:val="24"/>
          <w:szCs w:val="24"/>
        </w:rPr>
        <w:t xml:space="preserve"> arose</w:t>
      </w:r>
      <w:r w:rsidR="00763297" w:rsidRPr="00671EF4">
        <w:rPr>
          <w:rFonts w:ascii="Times New Roman" w:hAnsi="Times New Roman" w:cs="Times New Roman"/>
          <w:sz w:val="24"/>
          <w:szCs w:val="24"/>
        </w:rPr>
        <w:t xml:space="preserve"> from </w:t>
      </w:r>
      <w:r w:rsidR="00D70AB6" w:rsidRPr="00671EF4">
        <w:rPr>
          <w:rFonts w:ascii="Times New Roman" w:hAnsi="Times New Roman" w:cs="Times New Roman"/>
          <w:sz w:val="24"/>
          <w:szCs w:val="24"/>
        </w:rPr>
        <w:t>the appellant’s</w:t>
      </w:r>
      <w:r w:rsidR="00763297" w:rsidRPr="00671EF4">
        <w:rPr>
          <w:rFonts w:ascii="Times New Roman" w:hAnsi="Times New Roman" w:cs="Times New Roman"/>
          <w:sz w:val="24"/>
          <w:szCs w:val="24"/>
        </w:rPr>
        <w:t xml:space="preserve"> </w:t>
      </w:r>
      <w:r w:rsidR="00B421BD" w:rsidRPr="00671EF4">
        <w:rPr>
          <w:rFonts w:ascii="Times New Roman" w:hAnsi="Times New Roman" w:cs="Times New Roman"/>
          <w:sz w:val="24"/>
          <w:szCs w:val="24"/>
        </w:rPr>
        <w:t xml:space="preserve">failure to serve his </w:t>
      </w:r>
      <w:r w:rsidR="00763297" w:rsidRPr="00671EF4">
        <w:rPr>
          <w:rFonts w:ascii="Times New Roman" w:hAnsi="Times New Roman" w:cs="Times New Roman"/>
          <w:sz w:val="24"/>
          <w:szCs w:val="24"/>
        </w:rPr>
        <w:t>appearance to defend on the respondents within 24 hours</w:t>
      </w:r>
      <w:r w:rsidR="00B421BD" w:rsidRPr="00671EF4">
        <w:rPr>
          <w:rFonts w:ascii="Times New Roman" w:hAnsi="Times New Roman" w:cs="Times New Roman"/>
          <w:sz w:val="24"/>
          <w:szCs w:val="24"/>
        </w:rPr>
        <w:t>,</w:t>
      </w:r>
      <w:r w:rsidR="00763297" w:rsidRPr="00671EF4">
        <w:rPr>
          <w:rFonts w:ascii="Times New Roman" w:hAnsi="Times New Roman" w:cs="Times New Roman"/>
          <w:sz w:val="24"/>
          <w:szCs w:val="24"/>
        </w:rPr>
        <w:t xml:space="preserve"> in breach of r 49 of the </w:t>
      </w:r>
      <w:r w:rsidR="00D70AB6" w:rsidRPr="00671EF4">
        <w:rPr>
          <w:rFonts w:ascii="Times New Roman" w:hAnsi="Times New Roman" w:cs="Times New Roman"/>
          <w:sz w:val="24"/>
          <w:szCs w:val="24"/>
        </w:rPr>
        <w:t xml:space="preserve">then subsisting </w:t>
      </w:r>
      <w:r w:rsidR="0022411A">
        <w:rPr>
          <w:rFonts w:ascii="Times New Roman" w:hAnsi="Times New Roman" w:cs="Times New Roman"/>
          <w:sz w:val="24"/>
          <w:szCs w:val="24"/>
        </w:rPr>
        <w:t>High Court r</w:t>
      </w:r>
      <w:r w:rsidR="00763297" w:rsidRPr="00671EF4">
        <w:rPr>
          <w:rFonts w:ascii="Times New Roman" w:hAnsi="Times New Roman" w:cs="Times New Roman"/>
          <w:sz w:val="24"/>
          <w:szCs w:val="24"/>
        </w:rPr>
        <w:t>ules, 197</w:t>
      </w:r>
      <w:r w:rsidR="007F646C">
        <w:rPr>
          <w:rFonts w:ascii="Times New Roman" w:hAnsi="Times New Roman" w:cs="Times New Roman"/>
          <w:sz w:val="24"/>
          <w:szCs w:val="24"/>
        </w:rPr>
        <w:t xml:space="preserve">1.  </w:t>
      </w:r>
      <w:r w:rsidR="00D011D5" w:rsidRPr="00671EF4">
        <w:rPr>
          <w:rFonts w:ascii="Times New Roman" w:hAnsi="Times New Roman" w:cs="Times New Roman"/>
          <w:sz w:val="24"/>
          <w:szCs w:val="24"/>
        </w:rPr>
        <w:t xml:space="preserve">These rules were repealed and replaced by the </w:t>
      </w:r>
      <w:r w:rsidR="00D70AB6" w:rsidRPr="00671EF4">
        <w:rPr>
          <w:rFonts w:ascii="Times New Roman" w:hAnsi="Times New Roman" w:cs="Times New Roman"/>
          <w:sz w:val="24"/>
          <w:szCs w:val="24"/>
        </w:rPr>
        <w:t xml:space="preserve">new rules, </w:t>
      </w:r>
      <w:r w:rsidR="0022411A">
        <w:rPr>
          <w:rFonts w:ascii="Times New Roman" w:hAnsi="Times New Roman" w:cs="Times New Roman"/>
          <w:sz w:val="24"/>
          <w:szCs w:val="24"/>
        </w:rPr>
        <w:t>High Court r</w:t>
      </w:r>
      <w:r w:rsidR="00D011D5" w:rsidRPr="00671EF4">
        <w:rPr>
          <w:rFonts w:ascii="Times New Roman" w:hAnsi="Times New Roman" w:cs="Times New Roman"/>
          <w:sz w:val="24"/>
          <w:szCs w:val="24"/>
        </w:rPr>
        <w:t>ules, 2021</w:t>
      </w:r>
      <w:r w:rsidR="006559FB" w:rsidRPr="00671EF4">
        <w:rPr>
          <w:rFonts w:ascii="Times New Roman" w:hAnsi="Times New Roman" w:cs="Times New Roman"/>
          <w:sz w:val="24"/>
          <w:szCs w:val="24"/>
        </w:rPr>
        <w:t xml:space="preserve"> on 23 July 2021. </w:t>
      </w:r>
    </w:p>
    <w:p w14:paraId="6448C441" w14:textId="77777777" w:rsidR="00DB2DF1" w:rsidRDefault="00DB2DF1" w:rsidP="00DB2DF1">
      <w:pPr>
        <w:tabs>
          <w:tab w:val="left" w:pos="2880"/>
        </w:tabs>
        <w:spacing w:after="0" w:line="240" w:lineRule="auto"/>
        <w:ind w:firstLine="1134"/>
        <w:jc w:val="both"/>
        <w:rPr>
          <w:rFonts w:ascii="Times New Roman" w:hAnsi="Times New Roman" w:cs="Times New Roman"/>
          <w:sz w:val="24"/>
          <w:szCs w:val="24"/>
        </w:rPr>
      </w:pPr>
    </w:p>
    <w:p w14:paraId="384B8A2D" w14:textId="15D58F91" w:rsidR="0066156B" w:rsidRDefault="0066156B" w:rsidP="00671EF4">
      <w:pPr>
        <w:spacing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The inordinate delay in </w:t>
      </w:r>
      <w:r w:rsidR="002D1D86">
        <w:rPr>
          <w:rFonts w:ascii="Times New Roman" w:hAnsi="Times New Roman" w:cs="Times New Roman"/>
          <w:sz w:val="24"/>
          <w:szCs w:val="24"/>
        </w:rPr>
        <w:t xml:space="preserve">the </w:t>
      </w:r>
      <w:r>
        <w:rPr>
          <w:rFonts w:ascii="Times New Roman" w:hAnsi="Times New Roman" w:cs="Times New Roman"/>
          <w:sz w:val="24"/>
          <w:szCs w:val="24"/>
        </w:rPr>
        <w:t>handing down of this judgment is sincerely regretted.</w:t>
      </w:r>
    </w:p>
    <w:p w14:paraId="0F6D06D8" w14:textId="77777777" w:rsidR="00671EF4" w:rsidRPr="00671EF4" w:rsidRDefault="00671EF4" w:rsidP="00671EF4">
      <w:pPr>
        <w:spacing w:after="0" w:line="240" w:lineRule="auto"/>
        <w:ind w:firstLine="1134"/>
        <w:jc w:val="both"/>
        <w:rPr>
          <w:rFonts w:ascii="Times New Roman" w:hAnsi="Times New Roman" w:cs="Times New Roman"/>
          <w:b/>
          <w:sz w:val="24"/>
          <w:szCs w:val="24"/>
        </w:rPr>
      </w:pPr>
    </w:p>
    <w:p w14:paraId="721FBD83" w14:textId="2CE4B19B" w:rsidR="00F3614F" w:rsidRPr="00671EF4" w:rsidRDefault="00671EF4" w:rsidP="00671EF4">
      <w:pPr>
        <w:spacing w:after="0" w:line="480" w:lineRule="auto"/>
        <w:jc w:val="both"/>
        <w:rPr>
          <w:rFonts w:ascii="Times New Roman" w:hAnsi="Times New Roman" w:cs="Times New Roman"/>
          <w:b/>
          <w:bCs/>
          <w:sz w:val="24"/>
          <w:szCs w:val="24"/>
          <w:u w:val="single"/>
        </w:rPr>
      </w:pPr>
      <w:r w:rsidRPr="00671EF4">
        <w:rPr>
          <w:rFonts w:ascii="Times New Roman" w:hAnsi="Times New Roman" w:cs="Times New Roman"/>
          <w:b/>
          <w:bCs/>
          <w:sz w:val="24"/>
          <w:szCs w:val="24"/>
          <w:u w:val="single"/>
        </w:rPr>
        <w:t>THE PRELIMINARY ISSUE</w:t>
      </w:r>
    </w:p>
    <w:p w14:paraId="0CC10595" w14:textId="6B11A9DF" w:rsidR="00F05EE8" w:rsidRDefault="00496292" w:rsidP="007F646C">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At the commencement of the hearing, </w:t>
      </w: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w:t>
      </w:r>
      <w:proofErr w:type="spellStart"/>
      <w:r w:rsidRPr="00496292">
        <w:rPr>
          <w:rFonts w:ascii="Times New Roman" w:hAnsi="Times New Roman" w:cs="Times New Roman"/>
          <w:i/>
          <w:iCs/>
          <w:sz w:val="24"/>
          <w:szCs w:val="24"/>
        </w:rPr>
        <w:t>Girach</w:t>
      </w:r>
      <w:proofErr w:type="spellEnd"/>
      <w:r>
        <w:rPr>
          <w:rFonts w:ascii="Times New Roman" w:hAnsi="Times New Roman" w:cs="Times New Roman"/>
          <w:sz w:val="24"/>
          <w:szCs w:val="24"/>
        </w:rPr>
        <w:t xml:space="preserve"> for the appellant and </w:t>
      </w: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w:t>
      </w:r>
      <w:proofErr w:type="spellStart"/>
      <w:r w:rsidRPr="00496292">
        <w:rPr>
          <w:rFonts w:ascii="Times New Roman" w:hAnsi="Times New Roman" w:cs="Times New Roman"/>
          <w:i/>
          <w:iCs/>
          <w:sz w:val="24"/>
          <w:szCs w:val="24"/>
        </w:rPr>
        <w:t>Mukon</w:t>
      </w:r>
      <w:r>
        <w:rPr>
          <w:rFonts w:ascii="Times New Roman" w:hAnsi="Times New Roman" w:cs="Times New Roman"/>
          <w:i/>
          <w:iCs/>
          <w:sz w:val="24"/>
          <w:szCs w:val="24"/>
        </w:rPr>
        <w:t>o</w:t>
      </w:r>
      <w:r w:rsidRPr="00496292">
        <w:rPr>
          <w:rFonts w:ascii="Times New Roman" w:hAnsi="Times New Roman" w:cs="Times New Roman"/>
          <w:i/>
          <w:iCs/>
          <w:sz w:val="24"/>
          <w:szCs w:val="24"/>
        </w:rPr>
        <w:t>weshuro</w:t>
      </w:r>
      <w:proofErr w:type="spellEnd"/>
      <w:r>
        <w:rPr>
          <w:rFonts w:ascii="Times New Roman" w:hAnsi="Times New Roman" w:cs="Times New Roman"/>
          <w:sz w:val="24"/>
          <w:szCs w:val="24"/>
        </w:rPr>
        <w:t xml:space="preserve">, for the respondents, agreed that the appellant’s </w:t>
      </w:r>
      <w:r w:rsidR="00FD15D3">
        <w:rPr>
          <w:rFonts w:ascii="Times New Roman" w:hAnsi="Times New Roman" w:cs="Times New Roman"/>
          <w:sz w:val="24"/>
          <w:szCs w:val="24"/>
        </w:rPr>
        <w:t xml:space="preserve">court </w:t>
      </w:r>
      <w:r>
        <w:rPr>
          <w:rFonts w:ascii="Times New Roman" w:hAnsi="Times New Roman" w:cs="Times New Roman"/>
          <w:sz w:val="24"/>
          <w:szCs w:val="24"/>
        </w:rPr>
        <w:t>application to consolidate SC300/2</w:t>
      </w:r>
      <w:r w:rsidR="00880A97">
        <w:rPr>
          <w:rFonts w:ascii="Times New Roman" w:hAnsi="Times New Roman" w:cs="Times New Roman"/>
          <w:sz w:val="24"/>
          <w:szCs w:val="24"/>
        </w:rPr>
        <w:t xml:space="preserve">1 </w:t>
      </w:r>
      <w:r w:rsidR="00EE5F97">
        <w:rPr>
          <w:rFonts w:ascii="Times New Roman" w:hAnsi="Times New Roman" w:cs="Times New Roman"/>
          <w:sz w:val="24"/>
          <w:szCs w:val="24"/>
        </w:rPr>
        <w:t>with the</w:t>
      </w:r>
      <w:r>
        <w:rPr>
          <w:rFonts w:ascii="Times New Roman" w:hAnsi="Times New Roman" w:cs="Times New Roman"/>
          <w:sz w:val="24"/>
          <w:szCs w:val="24"/>
        </w:rPr>
        <w:t xml:space="preserve"> present appeal was a misnomer. </w:t>
      </w:r>
      <w:r w:rsidR="00671EF4">
        <w:rPr>
          <w:rFonts w:ascii="Times New Roman" w:hAnsi="Times New Roman" w:cs="Times New Roman"/>
          <w:sz w:val="24"/>
          <w:szCs w:val="24"/>
        </w:rPr>
        <w:t xml:space="preserve"> </w:t>
      </w:r>
      <w:r>
        <w:rPr>
          <w:rFonts w:ascii="Times New Roman" w:hAnsi="Times New Roman" w:cs="Times New Roman"/>
          <w:sz w:val="24"/>
          <w:szCs w:val="24"/>
        </w:rPr>
        <w:t xml:space="preserve">This was because SC 300/21 was a court </w:t>
      </w:r>
      <w:r>
        <w:rPr>
          <w:rFonts w:ascii="Times New Roman" w:hAnsi="Times New Roman" w:cs="Times New Roman"/>
          <w:sz w:val="24"/>
          <w:szCs w:val="24"/>
        </w:rPr>
        <w:lastRenderedPageBreak/>
        <w:t>application to amend the appellant’s grounds of appeal in SC 100/21, an appeal against the Legal Practitioner</w:t>
      </w:r>
      <w:r w:rsidR="00A95986">
        <w:rPr>
          <w:rFonts w:ascii="Times New Roman" w:hAnsi="Times New Roman" w:cs="Times New Roman"/>
          <w:sz w:val="24"/>
          <w:szCs w:val="24"/>
        </w:rPr>
        <w:t>s</w:t>
      </w:r>
      <w:r>
        <w:rPr>
          <w:rFonts w:ascii="Times New Roman" w:hAnsi="Times New Roman" w:cs="Times New Roman"/>
          <w:sz w:val="24"/>
          <w:szCs w:val="24"/>
        </w:rPr>
        <w:t xml:space="preserve"> Disciplinary Tribunal’s adverse order against the appellant. </w:t>
      </w:r>
      <w:r w:rsidR="007F646C">
        <w:rPr>
          <w:rFonts w:ascii="Times New Roman" w:hAnsi="Times New Roman" w:cs="Times New Roman"/>
          <w:sz w:val="24"/>
          <w:szCs w:val="24"/>
        </w:rPr>
        <w:t xml:space="preserve"> </w:t>
      </w:r>
      <w:r>
        <w:rPr>
          <w:rFonts w:ascii="Times New Roman" w:hAnsi="Times New Roman" w:cs="Times New Roman"/>
          <w:sz w:val="24"/>
          <w:szCs w:val="24"/>
        </w:rPr>
        <w:t xml:space="preserve">The application had already been moved and granted in SC 100/21. </w:t>
      </w:r>
      <w:r w:rsidR="007F646C">
        <w:rPr>
          <w:rFonts w:ascii="Times New Roman" w:hAnsi="Times New Roman" w:cs="Times New Roman"/>
          <w:sz w:val="24"/>
          <w:szCs w:val="24"/>
        </w:rPr>
        <w:t xml:space="preserve"> </w:t>
      </w:r>
      <w:r>
        <w:rPr>
          <w:rFonts w:ascii="Times New Roman" w:hAnsi="Times New Roman" w:cs="Times New Roman"/>
          <w:sz w:val="24"/>
          <w:szCs w:val="24"/>
        </w:rPr>
        <w:t>We therefore, on the turn, made the following order</w:t>
      </w:r>
      <w:r w:rsidR="00FD15D3">
        <w:rPr>
          <w:rFonts w:ascii="Times New Roman" w:hAnsi="Times New Roman" w:cs="Times New Roman"/>
          <w:sz w:val="24"/>
          <w:szCs w:val="24"/>
        </w:rPr>
        <w:t>:</w:t>
      </w:r>
    </w:p>
    <w:p w14:paraId="3C4E179F" w14:textId="7B44E74E" w:rsidR="00FD15D3" w:rsidRDefault="00F05EE8" w:rsidP="007F646C">
      <w:pPr>
        <w:pStyle w:val="BodyTextIndent"/>
        <w:spacing w:after="0"/>
      </w:pPr>
      <w:r>
        <w:t>“</w:t>
      </w:r>
      <w:r w:rsidR="00FD15D3">
        <w:t>B</w:t>
      </w:r>
      <w:r>
        <w:t>y consent</w:t>
      </w:r>
      <w:r w:rsidR="00FD15D3">
        <w:t>,</w:t>
      </w:r>
      <w:r>
        <w:t xml:space="preserve"> </w:t>
      </w:r>
      <w:r w:rsidR="00FD15D3">
        <w:t>the application in SC 300/21 be and is hereby dismissed with no order as to costs.”</w:t>
      </w:r>
    </w:p>
    <w:p w14:paraId="035612C0" w14:textId="1AECF054" w:rsidR="00496292" w:rsidRDefault="00496292" w:rsidP="00191D4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417F234C" w14:textId="77E5E7C6" w:rsidR="00750ED1" w:rsidRPr="00CD3070" w:rsidRDefault="00CD3070" w:rsidP="00CD3070">
      <w:pPr>
        <w:spacing w:after="0" w:line="480" w:lineRule="auto"/>
        <w:jc w:val="both"/>
        <w:rPr>
          <w:rFonts w:ascii="Times New Roman" w:hAnsi="Times New Roman" w:cs="Times New Roman"/>
          <w:b/>
          <w:bCs/>
          <w:sz w:val="24"/>
          <w:szCs w:val="24"/>
          <w:u w:val="single"/>
        </w:rPr>
      </w:pPr>
      <w:r w:rsidRPr="00CD3070">
        <w:rPr>
          <w:rFonts w:ascii="Times New Roman" w:hAnsi="Times New Roman" w:cs="Times New Roman"/>
          <w:b/>
          <w:bCs/>
          <w:sz w:val="24"/>
          <w:szCs w:val="24"/>
          <w:u w:val="single"/>
        </w:rPr>
        <w:t>THE BACKGROUND</w:t>
      </w:r>
    </w:p>
    <w:p w14:paraId="77F87FC3" w14:textId="2736F8AE" w:rsidR="00033A2C" w:rsidRDefault="00033A2C" w:rsidP="00CD3070">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The appellant is a former legal practitioner and managing partner of Manokore</w:t>
      </w:r>
      <w:r w:rsidR="00CD3070">
        <w:rPr>
          <w:rFonts w:ascii="Times New Roman" w:hAnsi="Times New Roman" w:cs="Times New Roman"/>
          <w:sz w:val="24"/>
          <w:szCs w:val="24"/>
        </w:rPr>
        <w:t xml:space="preserve"> Attorneys legal practitioners.  </w:t>
      </w:r>
      <w:r>
        <w:rPr>
          <w:rFonts w:ascii="Times New Roman" w:hAnsi="Times New Roman" w:cs="Times New Roman"/>
          <w:sz w:val="24"/>
          <w:szCs w:val="24"/>
        </w:rPr>
        <w:t>He was disbarred from practicing as a legal practitioner, conveyancer and notary public by the Legal Practitioners Disciplinary Tribunal (LPDT or the tribunal) on 15 April 2021 in case No. LPDT 09/18 (judgement No. HH 167/21</w:t>
      </w:r>
      <w:r w:rsidR="00A95986">
        <w:rPr>
          <w:rFonts w:ascii="Times New Roman" w:hAnsi="Times New Roman" w:cs="Times New Roman"/>
          <w:sz w:val="24"/>
          <w:szCs w:val="24"/>
        </w:rPr>
        <w:t>)</w:t>
      </w:r>
      <w:r>
        <w:rPr>
          <w:rFonts w:ascii="Times New Roman" w:hAnsi="Times New Roman" w:cs="Times New Roman"/>
          <w:sz w:val="24"/>
          <w:szCs w:val="24"/>
        </w:rPr>
        <w:t xml:space="preserve">. </w:t>
      </w:r>
      <w:r w:rsidR="00524187">
        <w:rPr>
          <w:rFonts w:ascii="Times New Roman" w:hAnsi="Times New Roman" w:cs="Times New Roman"/>
          <w:sz w:val="24"/>
          <w:szCs w:val="24"/>
        </w:rPr>
        <w:t xml:space="preserve"> </w:t>
      </w:r>
      <w:r w:rsidR="009830A6">
        <w:rPr>
          <w:rFonts w:ascii="Times New Roman" w:hAnsi="Times New Roman" w:cs="Times New Roman"/>
          <w:sz w:val="24"/>
          <w:szCs w:val="24"/>
        </w:rPr>
        <w:t xml:space="preserve">His fate was sealed, notwithstanding his appeal in SC 100/21, by the </w:t>
      </w:r>
      <w:r w:rsidR="00314414">
        <w:rPr>
          <w:rFonts w:ascii="Times New Roman" w:hAnsi="Times New Roman" w:cs="Times New Roman"/>
          <w:sz w:val="24"/>
          <w:szCs w:val="24"/>
        </w:rPr>
        <w:t>T</w:t>
      </w:r>
      <w:r w:rsidR="009830A6">
        <w:rPr>
          <w:rFonts w:ascii="Times New Roman" w:hAnsi="Times New Roman" w:cs="Times New Roman"/>
          <w:sz w:val="24"/>
          <w:szCs w:val="24"/>
        </w:rPr>
        <w:t xml:space="preserve">ribunal on 12 May 2021(LPDT 1/21, HH 230/21), when it dismissed his application for the suspension </w:t>
      </w:r>
      <w:r w:rsidR="00A95986">
        <w:rPr>
          <w:rFonts w:ascii="Times New Roman" w:hAnsi="Times New Roman" w:cs="Times New Roman"/>
          <w:sz w:val="24"/>
          <w:szCs w:val="24"/>
        </w:rPr>
        <w:t xml:space="preserve">of </w:t>
      </w:r>
      <w:r w:rsidR="009830A6">
        <w:rPr>
          <w:rFonts w:ascii="Times New Roman" w:hAnsi="Times New Roman" w:cs="Times New Roman"/>
          <w:sz w:val="24"/>
          <w:szCs w:val="24"/>
        </w:rPr>
        <w:t>its order, pe</w:t>
      </w:r>
      <w:r w:rsidR="00CD3070">
        <w:rPr>
          <w:rFonts w:ascii="Times New Roman" w:hAnsi="Times New Roman" w:cs="Times New Roman"/>
          <w:sz w:val="24"/>
          <w:szCs w:val="24"/>
        </w:rPr>
        <w:t xml:space="preserve">nding his appeal to this </w:t>
      </w:r>
      <w:r w:rsidR="00A95986">
        <w:rPr>
          <w:rFonts w:ascii="Times New Roman" w:hAnsi="Times New Roman" w:cs="Times New Roman"/>
          <w:sz w:val="24"/>
          <w:szCs w:val="24"/>
        </w:rPr>
        <w:t>C</w:t>
      </w:r>
      <w:r w:rsidR="00CD3070">
        <w:rPr>
          <w:rFonts w:ascii="Times New Roman" w:hAnsi="Times New Roman" w:cs="Times New Roman"/>
          <w:sz w:val="24"/>
          <w:szCs w:val="24"/>
        </w:rPr>
        <w:t xml:space="preserve">ourt.  </w:t>
      </w:r>
      <w:r w:rsidR="009830A6">
        <w:rPr>
          <w:rFonts w:ascii="Times New Roman" w:hAnsi="Times New Roman" w:cs="Times New Roman"/>
          <w:sz w:val="24"/>
          <w:szCs w:val="24"/>
        </w:rPr>
        <w:t xml:space="preserve">This is because, in terms of s 29 (3) of the Legal Practitioners’ Act </w:t>
      </w:r>
      <w:r w:rsidR="009830A6" w:rsidRPr="00524187">
        <w:rPr>
          <w:rFonts w:ascii="Times New Roman" w:hAnsi="Times New Roman" w:cs="Times New Roman"/>
          <w:iCs/>
          <w:sz w:val="24"/>
          <w:szCs w:val="24"/>
        </w:rPr>
        <w:t>[</w:t>
      </w:r>
      <w:r w:rsidR="009830A6" w:rsidRPr="009830A6">
        <w:rPr>
          <w:rFonts w:ascii="Times New Roman" w:hAnsi="Times New Roman" w:cs="Times New Roman"/>
          <w:i/>
          <w:iCs/>
          <w:sz w:val="24"/>
          <w:szCs w:val="24"/>
        </w:rPr>
        <w:t>Chapter 27:07</w:t>
      </w:r>
      <w:r w:rsidR="009830A6" w:rsidRPr="00524187">
        <w:rPr>
          <w:rFonts w:ascii="Times New Roman" w:hAnsi="Times New Roman" w:cs="Times New Roman"/>
          <w:iCs/>
          <w:sz w:val="24"/>
          <w:szCs w:val="24"/>
        </w:rPr>
        <w:t>],</w:t>
      </w:r>
      <w:r w:rsidR="009830A6">
        <w:rPr>
          <w:rFonts w:ascii="Times New Roman" w:hAnsi="Times New Roman" w:cs="Times New Roman"/>
          <w:sz w:val="24"/>
          <w:szCs w:val="24"/>
        </w:rPr>
        <w:t xml:space="preserve"> an appeal against an order of the tribunal does not suspend the order unless</w:t>
      </w:r>
      <w:r w:rsidR="00E05D3A">
        <w:rPr>
          <w:rFonts w:ascii="Times New Roman" w:hAnsi="Times New Roman" w:cs="Times New Roman"/>
          <w:sz w:val="24"/>
          <w:szCs w:val="24"/>
        </w:rPr>
        <w:t>, on application, it directs otherwise.</w:t>
      </w:r>
    </w:p>
    <w:p w14:paraId="75CEAB6B" w14:textId="77777777" w:rsidR="00CD3070" w:rsidRDefault="00CD3070" w:rsidP="006C5EF3">
      <w:pPr>
        <w:spacing w:after="0" w:line="480" w:lineRule="auto"/>
        <w:jc w:val="both"/>
        <w:rPr>
          <w:rFonts w:ascii="Times New Roman" w:hAnsi="Times New Roman" w:cs="Times New Roman"/>
          <w:sz w:val="24"/>
          <w:szCs w:val="24"/>
        </w:rPr>
      </w:pPr>
    </w:p>
    <w:p w14:paraId="1BAA26CD" w14:textId="055C126B" w:rsidR="00012AA6" w:rsidRDefault="00012AA6" w:rsidP="00CD3070">
      <w:pPr>
        <w:spacing w:line="480" w:lineRule="auto"/>
        <w:ind w:firstLine="1134"/>
        <w:jc w:val="both"/>
        <w:rPr>
          <w:rFonts w:ascii="Times New Roman" w:hAnsi="Times New Roman" w:cs="Times New Roman"/>
          <w:sz w:val="24"/>
          <w:szCs w:val="24"/>
        </w:rPr>
      </w:pPr>
      <w:r>
        <w:rPr>
          <w:rFonts w:ascii="Times New Roman" w:hAnsi="Times New Roman" w:cs="Times New Roman"/>
          <w:sz w:val="24"/>
          <w:szCs w:val="24"/>
        </w:rPr>
        <w:t>The respondents are husband and wife, who were the joint owners of an immovable property situated in Bellevue Bulawayo</w:t>
      </w:r>
      <w:r w:rsidR="00400716">
        <w:rPr>
          <w:rFonts w:ascii="Times New Roman" w:hAnsi="Times New Roman" w:cs="Times New Roman"/>
          <w:sz w:val="24"/>
          <w:szCs w:val="24"/>
        </w:rPr>
        <w:t xml:space="preserve"> until it was sold by the appellant</w:t>
      </w:r>
      <w:r w:rsidR="00E97B39">
        <w:rPr>
          <w:rFonts w:ascii="Times New Roman" w:hAnsi="Times New Roman" w:cs="Times New Roman"/>
          <w:sz w:val="24"/>
          <w:szCs w:val="24"/>
        </w:rPr>
        <w:t>, who also facilitated</w:t>
      </w:r>
      <w:r w:rsidR="002D4751">
        <w:rPr>
          <w:rFonts w:ascii="Times New Roman" w:hAnsi="Times New Roman" w:cs="Times New Roman"/>
          <w:sz w:val="24"/>
          <w:szCs w:val="24"/>
        </w:rPr>
        <w:t xml:space="preserve"> its </w:t>
      </w:r>
      <w:r w:rsidR="00E97B39">
        <w:rPr>
          <w:rFonts w:ascii="Times New Roman" w:hAnsi="Times New Roman" w:cs="Times New Roman"/>
          <w:sz w:val="24"/>
          <w:szCs w:val="24"/>
        </w:rPr>
        <w:t>transfer,</w:t>
      </w:r>
      <w:r w:rsidR="00400716">
        <w:rPr>
          <w:rFonts w:ascii="Times New Roman" w:hAnsi="Times New Roman" w:cs="Times New Roman"/>
          <w:sz w:val="24"/>
          <w:szCs w:val="24"/>
        </w:rPr>
        <w:t xml:space="preserve"> </w:t>
      </w:r>
      <w:r w:rsidR="00E97B39">
        <w:rPr>
          <w:rFonts w:ascii="Times New Roman" w:hAnsi="Times New Roman" w:cs="Times New Roman"/>
          <w:sz w:val="24"/>
          <w:szCs w:val="24"/>
        </w:rPr>
        <w:t>t</w:t>
      </w:r>
      <w:r w:rsidR="00400716">
        <w:rPr>
          <w:rFonts w:ascii="Times New Roman" w:hAnsi="Times New Roman" w:cs="Times New Roman"/>
          <w:sz w:val="24"/>
          <w:szCs w:val="24"/>
        </w:rPr>
        <w:t>o Grace Nyoni</w:t>
      </w:r>
      <w:r w:rsidR="00E97B39">
        <w:rPr>
          <w:rFonts w:ascii="Times New Roman" w:hAnsi="Times New Roman" w:cs="Times New Roman"/>
          <w:sz w:val="24"/>
          <w:szCs w:val="24"/>
        </w:rPr>
        <w:t xml:space="preserve"> (the purchaser) </w:t>
      </w:r>
      <w:r w:rsidR="00400716">
        <w:rPr>
          <w:rFonts w:ascii="Times New Roman" w:hAnsi="Times New Roman" w:cs="Times New Roman"/>
          <w:sz w:val="24"/>
          <w:szCs w:val="24"/>
        </w:rPr>
        <w:t>on 12 December 2014</w:t>
      </w:r>
      <w:r w:rsidR="00E97B39">
        <w:rPr>
          <w:rFonts w:ascii="Times New Roman" w:hAnsi="Times New Roman" w:cs="Times New Roman"/>
          <w:sz w:val="24"/>
          <w:szCs w:val="24"/>
        </w:rPr>
        <w:t>.</w:t>
      </w:r>
    </w:p>
    <w:p w14:paraId="277DC77C" w14:textId="77777777" w:rsidR="00CD3070" w:rsidRPr="00033A2C" w:rsidRDefault="00CD3070" w:rsidP="00CD3070">
      <w:pPr>
        <w:spacing w:line="240" w:lineRule="auto"/>
        <w:ind w:firstLine="1134"/>
        <w:jc w:val="both"/>
        <w:rPr>
          <w:rFonts w:ascii="Times New Roman" w:hAnsi="Times New Roman" w:cs="Times New Roman"/>
          <w:sz w:val="24"/>
          <w:szCs w:val="24"/>
        </w:rPr>
      </w:pPr>
    </w:p>
    <w:p w14:paraId="7ADE9E08" w14:textId="02FD4148" w:rsidR="00DA5F5C" w:rsidRDefault="00400716" w:rsidP="00CD3070">
      <w:pPr>
        <w:spacing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 </w:t>
      </w:r>
      <w:r w:rsidR="001F3B8D">
        <w:rPr>
          <w:rFonts w:ascii="Times New Roman" w:hAnsi="Times New Roman" w:cs="Times New Roman"/>
          <w:sz w:val="24"/>
          <w:szCs w:val="24"/>
        </w:rPr>
        <w:t xml:space="preserve">On </w:t>
      </w:r>
      <w:r>
        <w:rPr>
          <w:rFonts w:ascii="Times New Roman" w:hAnsi="Times New Roman" w:cs="Times New Roman"/>
          <w:sz w:val="24"/>
          <w:szCs w:val="24"/>
        </w:rPr>
        <w:t>6 November 20</w:t>
      </w:r>
      <w:r w:rsidR="001F3B8D">
        <w:rPr>
          <w:rFonts w:ascii="Times New Roman" w:hAnsi="Times New Roman" w:cs="Times New Roman"/>
          <w:sz w:val="24"/>
          <w:szCs w:val="24"/>
        </w:rPr>
        <w:t>1</w:t>
      </w:r>
      <w:r>
        <w:rPr>
          <w:rFonts w:ascii="Times New Roman" w:hAnsi="Times New Roman" w:cs="Times New Roman"/>
          <w:sz w:val="24"/>
          <w:szCs w:val="24"/>
        </w:rPr>
        <w:t>2, the respondents signed a power of attorney</w:t>
      </w:r>
      <w:r w:rsidR="00A90811">
        <w:rPr>
          <w:rFonts w:ascii="Times New Roman" w:hAnsi="Times New Roman" w:cs="Times New Roman"/>
          <w:sz w:val="24"/>
          <w:szCs w:val="24"/>
        </w:rPr>
        <w:t xml:space="preserve"> (the surety)</w:t>
      </w:r>
      <w:r>
        <w:rPr>
          <w:rFonts w:ascii="Times New Roman" w:hAnsi="Times New Roman" w:cs="Times New Roman"/>
          <w:sz w:val="24"/>
          <w:szCs w:val="24"/>
        </w:rPr>
        <w:t xml:space="preserve"> and an affidavit.</w:t>
      </w:r>
      <w:r w:rsidR="001F3B8D">
        <w:rPr>
          <w:rFonts w:ascii="Times New Roman" w:hAnsi="Times New Roman" w:cs="Times New Roman"/>
          <w:sz w:val="24"/>
          <w:szCs w:val="24"/>
        </w:rPr>
        <w:t xml:space="preserve"> </w:t>
      </w:r>
      <w:r w:rsidR="00524187">
        <w:rPr>
          <w:rFonts w:ascii="Times New Roman" w:hAnsi="Times New Roman" w:cs="Times New Roman"/>
          <w:sz w:val="24"/>
          <w:szCs w:val="24"/>
        </w:rPr>
        <w:t xml:space="preserve"> </w:t>
      </w:r>
      <w:r w:rsidR="00DA5F5C">
        <w:rPr>
          <w:rFonts w:ascii="Times New Roman" w:hAnsi="Times New Roman" w:cs="Times New Roman"/>
          <w:sz w:val="24"/>
          <w:szCs w:val="24"/>
        </w:rPr>
        <w:t xml:space="preserve">The power of attorney served the following purposes. </w:t>
      </w:r>
      <w:r w:rsidR="00524187">
        <w:rPr>
          <w:rFonts w:ascii="Times New Roman" w:hAnsi="Times New Roman" w:cs="Times New Roman"/>
          <w:sz w:val="24"/>
          <w:szCs w:val="24"/>
        </w:rPr>
        <w:t xml:space="preserve"> </w:t>
      </w:r>
      <w:r w:rsidR="001F4489">
        <w:rPr>
          <w:rFonts w:ascii="Times New Roman" w:hAnsi="Times New Roman" w:cs="Times New Roman"/>
          <w:sz w:val="24"/>
          <w:szCs w:val="24"/>
        </w:rPr>
        <w:t>It</w:t>
      </w:r>
      <w:r w:rsidR="00DA5F5C">
        <w:rPr>
          <w:rFonts w:ascii="Times New Roman" w:hAnsi="Times New Roman" w:cs="Times New Roman"/>
          <w:sz w:val="24"/>
          <w:szCs w:val="24"/>
        </w:rPr>
        <w:t xml:space="preserve"> </w:t>
      </w:r>
      <w:r w:rsidR="00C306DC">
        <w:rPr>
          <w:rFonts w:ascii="Times New Roman" w:hAnsi="Times New Roman" w:cs="Times New Roman"/>
          <w:sz w:val="24"/>
          <w:szCs w:val="24"/>
        </w:rPr>
        <w:t xml:space="preserve">appointed the attorneys of </w:t>
      </w:r>
      <w:r w:rsidR="00C306DC">
        <w:rPr>
          <w:rFonts w:ascii="Times New Roman" w:hAnsi="Times New Roman" w:cs="Times New Roman"/>
          <w:sz w:val="24"/>
          <w:szCs w:val="24"/>
        </w:rPr>
        <w:lastRenderedPageBreak/>
        <w:t>National Foods Operations Ltd (NFL)</w:t>
      </w:r>
      <w:r w:rsidR="001F4489">
        <w:rPr>
          <w:rFonts w:ascii="Times New Roman" w:hAnsi="Times New Roman" w:cs="Times New Roman"/>
          <w:sz w:val="24"/>
          <w:szCs w:val="24"/>
        </w:rPr>
        <w:t xml:space="preserve"> as the respondents’</w:t>
      </w:r>
      <w:r w:rsidR="00C306DC">
        <w:rPr>
          <w:rFonts w:ascii="Times New Roman" w:hAnsi="Times New Roman" w:cs="Times New Roman"/>
          <w:sz w:val="24"/>
          <w:szCs w:val="24"/>
        </w:rPr>
        <w:t xml:space="preserve"> attorney</w:t>
      </w:r>
      <w:r w:rsidR="00025DD3">
        <w:rPr>
          <w:rFonts w:ascii="Times New Roman" w:hAnsi="Times New Roman" w:cs="Times New Roman"/>
          <w:sz w:val="24"/>
          <w:szCs w:val="24"/>
        </w:rPr>
        <w:t xml:space="preserve"> and agent. </w:t>
      </w:r>
      <w:r w:rsidR="00524187">
        <w:rPr>
          <w:rFonts w:ascii="Times New Roman" w:hAnsi="Times New Roman" w:cs="Times New Roman"/>
          <w:sz w:val="24"/>
          <w:szCs w:val="24"/>
        </w:rPr>
        <w:t xml:space="preserve"> </w:t>
      </w:r>
      <w:r w:rsidR="00717F2E">
        <w:rPr>
          <w:rFonts w:ascii="Times New Roman" w:hAnsi="Times New Roman" w:cs="Times New Roman"/>
          <w:sz w:val="24"/>
          <w:szCs w:val="24"/>
        </w:rPr>
        <w:t xml:space="preserve">The appellant was the attorney for NFL. </w:t>
      </w:r>
      <w:r w:rsidR="00524187">
        <w:rPr>
          <w:rFonts w:ascii="Times New Roman" w:hAnsi="Times New Roman" w:cs="Times New Roman"/>
          <w:sz w:val="24"/>
          <w:szCs w:val="24"/>
        </w:rPr>
        <w:t xml:space="preserve"> </w:t>
      </w:r>
      <w:r w:rsidR="001F4489">
        <w:rPr>
          <w:rFonts w:ascii="Times New Roman" w:hAnsi="Times New Roman" w:cs="Times New Roman"/>
          <w:sz w:val="24"/>
          <w:szCs w:val="24"/>
        </w:rPr>
        <w:t>It</w:t>
      </w:r>
      <w:r w:rsidR="00025DD3">
        <w:rPr>
          <w:rFonts w:ascii="Times New Roman" w:hAnsi="Times New Roman" w:cs="Times New Roman"/>
          <w:sz w:val="24"/>
          <w:szCs w:val="24"/>
        </w:rPr>
        <w:t xml:space="preserve"> further empowered the attorney, in the event that their own indebtedness to NFL remained </w:t>
      </w:r>
      <w:r w:rsidR="00CD3070">
        <w:rPr>
          <w:rFonts w:ascii="Times New Roman" w:hAnsi="Times New Roman" w:cs="Times New Roman"/>
          <w:sz w:val="24"/>
          <w:szCs w:val="24"/>
        </w:rPr>
        <w:t>seven (</w:t>
      </w:r>
      <w:r w:rsidR="00025DD3">
        <w:rPr>
          <w:rFonts w:ascii="Times New Roman" w:hAnsi="Times New Roman" w:cs="Times New Roman"/>
          <w:sz w:val="24"/>
          <w:szCs w:val="24"/>
        </w:rPr>
        <w:t>7</w:t>
      </w:r>
      <w:r w:rsidR="00CD3070">
        <w:rPr>
          <w:rFonts w:ascii="Times New Roman" w:hAnsi="Times New Roman" w:cs="Times New Roman"/>
          <w:sz w:val="24"/>
          <w:szCs w:val="24"/>
        </w:rPr>
        <w:t>)</w:t>
      </w:r>
      <w:r w:rsidR="00025DD3">
        <w:rPr>
          <w:rFonts w:ascii="Times New Roman" w:hAnsi="Times New Roman" w:cs="Times New Roman"/>
          <w:sz w:val="24"/>
          <w:szCs w:val="24"/>
        </w:rPr>
        <w:t xml:space="preserve"> days</w:t>
      </w:r>
      <w:r w:rsidR="00C306DC">
        <w:rPr>
          <w:rFonts w:ascii="Times New Roman" w:hAnsi="Times New Roman" w:cs="Times New Roman"/>
          <w:sz w:val="24"/>
          <w:szCs w:val="24"/>
        </w:rPr>
        <w:t xml:space="preserve"> </w:t>
      </w:r>
      <w:r w:rsidR="00025DD3">
        <w:rPr>
          <w:rFonts w:ascii="Times New Roman" w:hAnsi="Times New Roman" w:cs="Times New Roman"/>
          <w:sz w:val="24"/>
          <w:szCs w:val="24"/>
        </w:rPr>
        <w:t xml:space="preserve">past </w:t>
      </w:r>
      <w:r w:rsidR="009C76DE">
        <w:rPr>
          <w:rFonts w:ascii="Times New Roman" w:hAnsi="Times New Roman" w:cs="Times New Roman"/>
          <w:sz w:val="24"/>
          <w:szCs w:val="24"/>
        </w:rPr>
        <w:t xml:space="preserve">the </w:t>
      </w:r>
      <w:r w:rsidR="00025DD3">
        <w:rPr>
          <w:rFonts w:ascii="Times New Roman" w:hAnsi="Times New Roman" w:cs="Times New Roman"/>
          <w:sz w:val="24"/>
          <w:szCs w:val="24"/>
        </w:rPr>
        <w:t>due</w:t>
      </w:r>
      <w:r w:rsidR="00A95986">
        <w:rPr>
          <w:rFonts w:ascii="Times New Roman" w:hAnsi="Times New Roman" w:cs="Times New Roman"/>
          <w:sz w:val="24"/>
          <w:szCs w:val="24"/>
        </w:rPr>
        <w:t xml:space="preserve"> date</w:t>
      </w:r>
      <w:r w:rsidR="00025DD3">
        <w:rPr>
          <w:rFonts w:ascii="Times New Roman" w:hAnsi="Times New Roman" w:cs="Times New Roman"/>
          <w:sz w:val="24"/>
          <w:szCs w:val="24"/>
        </w:rPr>
        <w:t xml:space="preserve">, to alienate their Bellevue property, whose title deeds they voluntarily surrendered to NFL, in satisfaction of </w:t>
      </w:r>
      <w:r w:rsidR="001F4489">
        <w:rPr>
          <w:rFonts w:ascii="Times New Roman" w:hAnsi="Times New Roman" w:cs="Times New Roman"/>
          <w:sz w:val="24"/>
          <w:szCs w:val="24"/>
        </w:rPr>
        <w:t xml:space="preserve">any such </w:t>
      </w:r>
      <w:r w:rsidR="00025DD3">
        <w:rPr>
          <w:rFonts w:ascii="Times New Roman" w:hAnsi="Times New Roman" w:cs="Times New Roman"/>
          <w:sz w:val="24"/>
          <w:szCs w:val="24"/>
        </w:rPr>
        <w:t xml:space="preserve">debt. </w:t>
      </w:r>
      <w:r w:rsidR="00524187">
        <w:rPr>
          <w:rFonts w:ascii="Times New Roman" w:hAnsi="Times New Roman" w:cs="Times New Roman"/>
          <w:sz w:val="24"/>
          <w:szCs w:val="24"/>
        </w:rPr>
        <w:t xml:space="preserve"> </w:t>
      </w:r>
      <w:r w:rsidR="00025DD3">
        <w:rPr>
          <w:rFonts w:ascii="Times New Roman" w:hAnsi="Times New Roman" w:cs="Times New Roman"/>
          <w:sz w:val="24"/>
          <w:szCs w:val="24"/>
        </w:rPr>
        <w:t xml:space="preserve">The attorney was </w:t>
      </w:r>
      <w:r w:rsidR="001F4489">
        <w:rPr>
          <w:rFonts w:ascii="Times New Roman" w:hAnsi="Times New Roman" w:cs="Times New Roman"/>
          <w:sz w:val="24"/>
          <w:szCs w:val="24"/>
        </w:rPr>
        <w:t xml:space="preserve">required </w:t>
      </w:r>
      <w:r w:rsidR="00025DD3">
        <w:rPr>
          <w:rFonts w:ascii="Times New Roman" w:hAnsi="Times New Roman" w:cs="Times New Roman"/>
          <w:sz w:val="24"/>
          <w:szCs w:val="24"/>
        </w:rPr>
        <w:t>to remit the balance of the purchase price to them</w:t>
      </w:r>
      <w:r w:rsidR="00DA5F5C">
        <w:rPr>
          <w:rFonts w:ascii="Times New Roman" w:hAnsi="Times New Roman" w:cs="Times New Roman"/>
          <w:sz w:val="24"/>
          <w:szCs w:val="24"/>
        </w:rPr>
        <w:t xml:space="preserve">. </w:t>
      </w:r>
    </w:p>
    <w:p w14:paraId="1194C959" w14:textId="77777777" w:rsidR="00CD3070" w:rsidRDefault="00CD3070" w:rsidP="006C5EF3">
      <w:pPr>
        <w:spacing w:after="0" w:line="240" w:lineRule="auto"/>
        <w:ind w:firstLine="1134"/>
        <w:jc w:val="both"/>
        <w:rPr>
          <w:rFonts w:ascii="Times New Roman" w:hAnsi="Times New Roman" w:cs="Times New Roman"/>
          <w:sz w:val="24"/>
          <w:szCs w:val="24"/>
        </w:rPr>
      </w:pPr>
    </w:p>
    <w:p w14:paraId="5541D75F" w14:textId="48BE1097" w:rsidR="00CD3070" w:rsidRDefault="00DA5F5C" w:rsidP="00524187">
      <w:pPr>
        <w:pStyle w:val="BodyTextIndent2"/>
        <w:ind w:firstLine="1440"/>
      </w:pPr>
      <w:r>
        <w:t xml:space="preserve">The affidavit was deposed to by the husband. </w:t>
      </w:r>
      <w:r w:rsidR="00524187">
        <w:t xml:space="preserve"> </w:t>
      </w:r>
      <w:r>
        <w:t>He ceded the Bellevue property to NFL “</w:t>
      </w:r>
      <w:r w:rsidRPr="00512C6F">
        <w:t>to support the credit application of Celgrim Bakeries (Private) Limited t/a Freshbake</w:t>
      </w:r>
      <w:r>
        <w:t xml:space="preserve">” (the debtor). </w:t>
      </w:r>
    </w:p>
    <w:p w14:paraId="79446B12" w14:textId="48B64DAB" w:rsidR="0024297A" w:rsidRDefault="00DA5F5C" w:rsidP="00524187">
      <w:pPr>
        <w:pStyle w:val="BodyTextIndent2"/>
        <w:spacing w:before="240"/>
        <w:ind w:firstLine="1530"/>
      </w:pPr>
      <w:r>
        <w:t>NFL duly advanced a credit facility to the debtor, which failed to repay on due date.</w:t>
      </w:r>
      <w:r w:rsidR="0059543A">
        <w:t xml:space="preserve"> On 19 February 2013, the debtor executed two a</w:t>
      </w:r>
      <w:r w:rsidR="00CD3070">
        <w:t xml:space="preserve">cknowledgements of debt to NFL.  </w:t>
      </w:r>
      <w:r w:rsidR="0059543A">
        <w:t>It undertook to repay the debt in monthly installments failing which NFL would be entitled to “issue summons in any competent court” for the unpaid principal debt.</w:t>
      </w:r>
      <w:r w:rsidR="00CD3070">
        <w:t xml:space="preserve">  </w:t>
      </w:r>
      <w:r w:rsidR="00C055A7">
        <w:t>The debtor, however, further defaulted. On 24 January</w:t>
      </w:r>
      <w:r w:rsidR="00054C54">
        <w:t xml:space="preserve"> 2014</w:t>
      </w:r>
      <w:r w:rsidR="00C055A7">
        <w:t>, the</w:t>
      </w:r>
      <w:r w:rsidR="00A90811">
        <w:t xml:space="preserve"> appellant</w:t>
      </w:r>
      <w:r w:rsidR="00C055A7">
        <w:t>, on behalf of NFL,</w:t>
      </w:r>
      <w:r w:rsidR="00A90811">
        <w:t xml:space="preserve"> call</w:t>
      </w:r>
      <w:r w:rsidR="00C77647">
        <w:t>ed</w:t>
      </w:r>
      <w:r w:rsidR="00A90811">
        <w:t xml:space="preserve"> on the respondent’s surety of 6 November 2012</w:t>
      </w:r>
      <w:r w:rsidR="00C77647">
        <w:t xml:space="preserve">. </w:t>
      </w:r>
      <w:r w:rsidR="00524187">
        <w:t xml:space="preserve"> </w:t>
      </w:r>
      <w:r w:rsidR="00C77647">
        <w:t>The respondent</w:t>
      </w:r>
      <w:r w:rsidR="001F4489">
        <w:t xml:space="preserve">s </w:t>
      </w:r>
      <w:r w:rsidR="00C77647">
        <w:t>contacted the debtor</w:t>
      </w:r>
      <w:r w:rsidR="00CD3070">
        <w:t xml:space="preserve">.  </w:t>
      </w:r>
      <w:r w:rsidR="00B568B3">
        <w:t>On 7 February 2014, the debtor’s legal practi</w:t>
      </w:r>
      <w:r w:rsidR="00CD3070">
        <w:t xml:space="preserve">tioners wrote to the appellant.  </w:t>
      </w:r>
      <w:r w:rsidR="00B568B3">
        <w:t xml:space="preserve">They indicated the impropriety of the appellant’s intention to sell the respondent’s </w:t>
      </w:r>
      <w:r w:rsidR="00CD3070">
        <w:t xml:space="preserve">property without a court order.  </w:t>
      </w:r>
      <w:r w:rsidR="00B568B3">
        <w:t xml:space="preserve">They also conveyed the debtor’s offer to sell </w:t>
      </w:r>
      <w:r w:rsidR="00F51341">
        <w:t>an array of its</w:t>
      </w:r>
      <w:r w:rsidR="00B568B3">
        <w:t xml:space="preserve"> own equipment</w:t>
      </w:r>
      <w:r w:rsidR="00F51341">
        <w:t xml:space="preserve"> that would adequately meet</w:t>
      </w:r>
      <w:r w:rsidR="00F251CF">
        <w:t xml:space="preserve"> its indebtedness.</w:t>
      </w:r>
      <w:r w:rsidR="00F51341">
        <w:t xml:space="preserve"> </w:t>
      </w:r>
      <w:r w:rsidR="00524187">
        <w:t xml:space="preserve"> </w:t>
      </w:r>
      <w:r w:rsidR="00F251CF">
        <w:t>The debtor further offered to place the equipment under</w:t>
      </w:r>
      <w:r w:rsidR="00CD3070">
        <w:t xml:space="preserve"> NFL’s custody during the sale.  </w:t>
      </w:r>
      <w:r w:rsidR="00524187">
        <w:t xml:space="preserve"> </w:t>
      </w:r>
      <w:r w:rsidR="00F51341">
        <w:t xml:space="preserve">The appellant rejected the debtor’s </w:t>
      </w:r>
      <w:r w:rsidR="00F251CF">
        <w:t xml:space="preserve">offer and </w:t>
      </w:r>
      <w:r w:rsidR="00F51341">
        <w:t>advice</w:t>
      </w:r>
      <w:r w:rsidR="00F251CF">
        <w:t xml:space="preserve">. </w:t>
      </w:r>
    </w:p>
    <w:p w14:paraId="5FB71C88" w14:textId="6B881A44" w:rsidR="0024297A" w:rsidRDefault="00F251CF" w:rsidP="003A5353">
      <w:pPr>
        <w:pStyle w:val="BodyTextIndent2"/>
        <w:spacing w:before="240"/>
      </w:pPr>
      <w:r>
        <w:t xml:space="preserve">On </w:t>
      </w:r>
      <w:r w:rsidR="00F51341">
        <w:t xml:space="preserve">11 February 2014, </w:t>
      </w:r>
      <w:r>
        <w:t>t</w:t>
      </w:r>
      <w:r w:rsidR="00F51341">
        <w:t xml:space="preserve">he </w:t>
      </w:r>
      <w:r w:rsidR="001F4489">
        <w:t xml:space="preserve">appellant </w:t>
      </w:r>
      <w:r w:rsidR="00F51341">
        <w:t>advised the respondents of the impending sale of their property</w:t>
      </w:r>
      <w:r>
        <w:t>.</w:t>
      </w:r>
      <w:r w:rsidR="00CD3070">
        <w:t xml:space="preserve">  </w:t>
      </w:r>
      <w:r w:rsidR="00524187">
        <w:t xml:space="preserve"> </w:t>
      </w:r>
      <w:r w:rsidR="00787B42">
        <w:t xml:space="preserve">He also undertook to remit the balance from the purchase price to the respondents. </w:t>
      </w:r>
      <w:r w:rsidR="002D7989">
        <w:t xml:space="preserve"> The property was duly sold to Grace Nyoni</w:t>
      </w:r>
      <w:r w:rsidR="00054C54">
        <w:t xml:space="preserve"> (the purchaser)</w:t>
      </w:r>
      <w:r w:rsidR="002D7989">
        <w:t xml:space="preserve"> in September 2014 for US$35 000. </w:t>
      </w:r>
      <w:r w:rsidR="00A95986">
        <w:lastRenderedPageBreak/>
        <w:t>S</w:t>
      </w:r>
      <w:r w:rsidR="002D7989">
        <w:t xml:space="preserve">he took transfer </w:t>
      </w:r>
      <w:r w:rsidR="00CD3070">
        <w:t xml:space="preserve">on 12 December 2014.  </w:t>
      </w:r>
      <w:r w:rsidR="00524187">
        <w:t xml:space="preserve"> </w:t>
      </w:r>
      <w:r w:rsidR="002D7989">
        <w:t>The credit balance due to the respondents</w:t>
      </w:r>
      <w:r w:rsidR="00717F2E">
        <w:t>,</w:t>
      </w:r>
      <w:r w:rsidR="002D7989">
        <w:t xml:space="preserve"> after deducting the principal debt and interest, expenses, collection commission and legal fees, was in the sum of </w:t>
      </w:r>
      <w:r w:rsidR="00CD3070">
        <w:t xml:space="preserve">                               </w:t>
      </w:r>
      <w:r w:rsidR="002D7989">
        <w:t>US$</w:t>
      </w:r>
      <w:r w:rsidR="00CD3070">
        <w:t>6 802</w:t>
      </w:r>
      <w:r w:rsidR="00A95986">
        <w:t>.54</w:t>
      </w:r>
      <w:r w:rsidR="00054C54">
        <w:t>.</w:t>
      </w:r>
      <w:r w:rsidR="00CD3070">
        <w:t xml:space="preserve"> </w:t>
      </w:r>
      <w:r w:rsidR="00524187">
        <w:t xml:space="preserve"> </w:t>
      </w:r>
      <w:r w:rsidR="002D7989">
        <w:t>The appellant remitted this amount to NFL and not the respondents.</w:t>
      </w:r>
    </w:p>
    <w:p w14:paraId="0E3AD85A" w14:textId="3082EA35" w:rsidR="00480EB4" w:rsidRDefault="00480EB4" w:rsidP="0024297A">
      <w:pPr>
        <w:spacing w:before="240" w:line="480" w:lineRule="auto"/>
        <w:ind w:firstLine="1134"/>
        <w:jc w:val="both"/>
        <w:rPr>
          <w:rFonts w:ascii="Times New Roman" w:hAnsi="Times New Roman" w:cs="Times New Roman"/>
          <w:sz w:val="24"/>
          <w:szCs w:val="24"/>
        </w:rPr>
      </w:pPr>
      <w:r>
        <w:rPr>
          <w:rFonts w:ascii="Times New Roman" w:hAnsi="Times New Roman" w:cs="Times New Roman"/>
          <w:sz w:val="24"/>
          <w:szCs w:val="24"/>
        </w:rPr>
        <w:t>It was common cause that the respondents did not provide the sellers’ pow</w:t>
      </w:r>
      <w:r w:rsidR="00524187">
        <w:rPr>
          <w:rFonts w:ascii="Times New Roman" w:hAnsi="Times New Roman" w:cs="Times New Roman"/>
          <w:sz w:val="24"/>
          <w:szCs w:val="24"/>
        </w:rPr>
        <w:t>er of attorney to pass transfer</w:t>
      </w:r>
      <w:r w:rsidR="003A5353" w:rsidRPr="003A5353">
        <w:rPr>
          <w:rFonts w:ascii="Times New Roman" w:hAnsi="Times New Roman" w:cs="Times New Roman"/>
          <w:sz w:val="24"/>
          <w:szCs w:val="24"/>
        </w:rPr>
        <w:t xml:space="preserve"> </w:t>
      </w:r>
      <w:r w:rsidR="003A5353">
        <w:rPr>
          <w:rFonts w:ascii="Times New Roman" w:hAnsi="Times New Roman" w:cs="Times New Roman"/>
          <w:sz w:val="24"/>
          <w:szCs w:val="24"/>
        </w:rPr>
        <w:t>and declaration</w:t>
      </w:r>
    </w:p>
    <w:p w14:paraId="4FF8CDEA" w14:textId="77777777" w:rsidR="00CD3070" w:rsidRDefault="00CD3070" w:rsidP="00CD3070">
      <w:pPr>
        <w:spacing w:after="0" w:line="240" w:lineRule="auto"/>
        <w:ind w:firstLine="1134"/>
        <w:jc w:val="both"/>
        <w:rPr>
          <w:rFonts w:ascii="Times New Roman" w:hAnsi="Times New Roman" w:cs="Times New Roman"/>
          <w:sz w:val="24"/>
          <w:szCs w:val="24"/>
        </w:rPr>
      </w:pPr>
    </w:p>
    <w:p w14:paraId="45D54BDF" w14:textId="71261423" w:rsidR="00C87F9E" w:rsidRDefault="00480EB4" w:rsidP="00CD3070">
      <w:pPr>
        <w:spacing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Aggrieved by the appellant’s conduct, on </w:t>
      </w:r>
      <w:r w:rsidR="00C87F9E">
        <w:rPr>
          <w:rFonts w:ascii="Times New Roman" w:hAnsi="Times New Roman" w:cs="Times New Roman"/>
          <w:sz w:val="24"/>
          <w:szCs w:val="24"/>
        </w:rPr>
        <w:t xml:space="preserve">20 June 2016, </w:t>
      </w:r>
      <w:r>
        <w:rPr>
          <w:rFonts w:ascii="Times New Roman" w:hAnsi="Times New Roman" w:cs="Times New Roman"/>
          <w:sz w:val="24"/>
          <w:szCs w:val="24"/>
        </w:rPr>
        <w:t>the respondents complained to the Law Society of Zimbabwe (LSZ) that their property had been sold and transferred without their consent.</w:t>
      </w:r>
      <w:r w:rsidR="00CD3070">
        <w:rPr>
          <w:rFonts w:ascii="Times New Roman" w:hAnsi="Times New Roman" w:cs="Times New Roman"/>
          <w:sz w:val="24"/>
          <w:szCs w:val="24"/>
        </w:rPr>
        <w:t xml:space="preserve">  </w:t>
      </w:r>
      <w:r w:rsidR="00C87F9E">
        <w:rPr>
          <w:rFonts w:ascii="Times New Roman" w:hAnsi="Times New Roman" w:cs="Times New Roman"/>
          <w:sz w:val="24"/>
          <w:szCs w:val="24"/>
        </w:rPr>
        <w:t>The LSZ hauled</w:t>
      </w:r>
      <w:r w:rsidR="00CD3070">
        <w:rPr>
          <w:rFonts w:ascii="Times New Roman" w:hAnsi="Times New Roman" w:cs="Times New Roman"/>
          <w:sz w:val="24"/>
          <w:szCs w:val="24"/>
        </w:rPr>
        <w:t xml:space="preserve"> the appellant before the LPDT.  </w:t>
      </w:r>
      <w:r w:rsidR="00C87F9E">
        <w:rPr>
          <w:rFonts w:ascii="Times New Roman" w:hAnsi="Times New Roman" w:cs="Times New Roman"/>
          <w:sz w:val="24"/>
          <w:szCs w:val="24"/>
        </w:rPr>
        <w:t xml:space="preserve">The tribunal found him guilty of </w:t>
      </w:r>
      <w:r w:rsidR="00C87F9E" w:rsidRPr="00512C6F">
        <w:rPr>
          <w:rFonts w:ascii="Times New Roman" w:hAnsi="Times New Roman" w:cs="Times New Roman"/>
          <w:sz w:val="24"/>
          <w:szCs w:val="24"/>
        </w:rPr>
        <w:t xml:space="preserve">unprofessional, </w:t>
      </w:r>
      <w:r w:rsidR="00CD3070" w:rsidRPr="00512C6F">
        <w:rPr>
          <w:rFonts w:ascii="Times New Roman" w:hAnsi="Times New Roman" w:cs="Times New Roman"/>
          <w:sz w:val="24"/>
          <w:szCs w:val="24"/>
        </w:rPr>
        <w:t>dishonorable</w:t>
      </w:r>
      <w:r w:rsidR="00C87F9E" w:rsidRPr="00512C6F">
        <w:rPr>
          <w:rFonts w:ascii="Times New Roman" w:hAnsi="Times New Roman" w:cs="Times New Roman"/>
          <w:sz w:val="24"/>
          <w:szCs w:val="24"/>
        </w:rPr>
        <w:t xml:space="preserve"> and unworthy </w:t>
      </w:r>
      <w:r w:rsidR="00C87F9E">
        <w:rPr>
          <w:rFonts w:ascii="Times New Roman" w:hAnsi="Times New Roman" w:cs="Times New Roman"/>
          <w:sz w:val="24"/>
          <w:szCs w:val="24"/>
        </w:rPr>
        <w:t xml:space="preserve">conduct and duly disbarred him from legal practice. </w:t>
      </w:r>
    </w:p>
    <w:p w14:paraId="5CDF65FE" w14:textId="77777777" w:rsidR="00CD3070" w:rsidRDefault="00CD3070" w:rsidP="00CD3070">
      <w:pPr>
        <w:spacing w:line="240" w:lineRule="auto"/>
        <w:ind w:firstLine="1134"/>
        <w:jc w:val="both"/>
        <w:rPr>
          <w:rFonts w:ascii="Times New Roman" w:hAnsi="Times New Roman" w:cs="Times New Roman"/>
          <w:sz w:val="24"/>
          <w:szCs w:val="24"/>
        </w:rPr>
      </w:pPr>
    </w:p>
    <w:p w14:paraId="5AB762C6" w14:textId="5A1E10F8" w:rsidR="005638BA" w:rsidRDefault="00C87F9E" w:rsidP="00CD3070">
      <w:pPr>
        <w:spacing w:line="480" w:lineRule="auto"/>
        <w:ind w:firstLine="1134"/>
        <w:jc w:val="both"/>
        <w:rPr>
          <w:rFonts w:ascii="Times New Roman" w:hAnsi="Times New Roman" w:cs="Times New Roman"/>
          <w:sz w:val="24"/>
          <w:szCs w:val="24"/>
        </w:rPr>
      </w:pPr>
      <w:r>
        <w:rPr>
          <w:rFonts w:ascii="Times New Roman" w:hAnsi="Times New Roman" w:cs="Times New Roman"/>
          <w:sz w:val="24"/>
          <w:szCs w:val="24"/>
        </w:rPr>
        <w:t>The appellant noted an appeal</w:t>
      </w:r>
      <w:r w:rsidR="005638BA">
        <w:rPr>
          <w:rFonts w:ascii="Times New Roman" w:hAnsi="Times New Roman" w:cs="Times New Roman"/>
          <w:sz w:val="24"/>
          <w:szCs w:val="24"/>
        </w:rPr>
        <w:t>, which, in terms of s 29 (3) of the Legal Practitioners Act, did not susp</w:t>
      </w:r>
      <w:r w:rsidR="00CD3070">
        <w:rPr>
          <w:rFonts w:ascii="Times New Roman" w:hAnsi="Times New Roman" w:cs="Times New Roman"/>
          <w:sz w:val="24"/>
          <w:szCs w:val="24"/>
        </w:rPr>
        <w:t>e</w:t>
      </w:r>
      <w:r w:rsidR="00524187">
        <w:rPr>
          <w:rFonts w:ascii="Times New Roman" w:hAnsi="Times New Roman" w:cs="Times New Roman"/>
          <w:sz w:val="24"/>
          <w:szCs w:val="24"/>
        </w:rPr>
        <w:t xml:space="preserve">nd his conviction and penalty.  </w:t>
      </w:r>
      <w:r w:rsidR="005638BA">
        <w:rPr>
          <w:rFonts w:ascii="Times New Roman" w:hAnsi="Times New Roman" w:cs="Times New Roman"/>
          <w:sz w:val="24"/>
          <w:szCs w:val="24"/>
        </w:rPr>
        <w:t xml:space="preserve">His application to the tribunal for the suspension of its order, pending the determination of the appeal, was unsuccessful. </w:t>
      </w:r>
    </w:p>
    <w:p w14:paraId="4951A05A" w14:textId="77777777" w:rsidR="00CD3070" w:rsidRDefault="00CD3070" w:rsidP="00CD3070">
      <w:pPr>
        <w:spacing w:line="240" w:lineRule="auto"/>
        <w:ind w:firstLine="1134"/>
        <w:jc w:val="both"/>
        <w:rPr>
          <w:rFonts w:ascii="Times New Roman" w:hAnsi="Times New Roman" w:cs="Times New Roman"/>
          <w:sz w:val="24"/>
          <w:szCs w:val="24"/>
        </w:rPr>
      </w:pPr>
    </w:p>
    <w:p w14:paraId="77EE7893" w14:textId="44672802" w:rsidR="00FD4B7B" w:rsidRPr="00CD3070" w:rsidRDefault="00CD3070" w:rsidP="00CD3070">
      <w:pPr>
        <w:spacing w:after="0" w:line="480" w:lineRule="auto"/>
        <w:jc w:val="both"/>
        <w:rPr>
          <w:rFonts w:ascii="Times New Roman" w:hAnsi="Times New Roman" w:cs="Times New Roman"/>
          <w:b/>
          <w:bCs/>
          <w:sz w:val="24"/>
          <w:szCs w:val="24"/>
          <w:u w:val="single"/>
        </w:rPr>
      </w:pPr>
      <w:r w:rsidRPr="00CD3070">
        <w:rPr>
          <w:rFonts w:ascii="Times New Roman" w:hAnsi="Times New Roman" w:cs="Times New Roman"/>
          <w:b/>
          <w:bCs/>
          <w:sz w:val="24"/>
          <w:szCs w:val="24"/>
          <w:u w:val="single"/>
        </w:rPr>
        <w:t>THE PR</w:t>
      </w:r>
      <w:r w:rsidR="00E04023">
        <w:rPr>
          <w:rFonts w:ascii="Times New Roman" w:hAnsi="Times New Roman" w:cs="Times New Roman"/>
          <w:b/>
          <w:bCs/>
          <w:sz w:val="24"/>
          <w:szCs w:val="24"/>
          <w:u w:val="single"/>
        </w:rPr>
        <w:t xml:space="preserve">OCEEDINGS IN THE COURT </w:t>
      </w:r>
      <w:r w:rsidR="00E04023" w:rsidRPr="00D525BA">
        <w:rPr>
          <w:rFonts w:ascii="Times New Roman" w:hAnsi="Times New Roman" w:cs="Times New Roman"/>
          <w:b/>
          <w:bCs/>
          <w:i/>
          <w:iCs/>
          <w:sz w:val="24"/>
          <w:szCs w:val="24"/>
          <w:u w:val="single"/>
        </w:rPr>
        <w:t>A QUO</w:t>
      </w:r>
    </w:p>
    <w:p w14:paraId="01138158" w14:textId="065386FA" w:rsidR="00FD4B7B" w:rsidRDefault="00FD4B7B" w:rsidP="00524187">
      <w:pPr>
        <w:spacing w:after="0" w:line="480" w:lineRule="auto"/>
        <w:ind w:firstLine="1440"/>
        <w:jc w:val="both"/>
        <w:rPr>
          <w:rFonts w:ascii="Times New Roman" w:hAnsi="Times New Roman" w:cs="Times New Roman"/>
          <w:sz w:val="24"/>
          <w:szCs w:val="24"/>
        </w:rPr>
      </w:pPr>
      <w:r>
        <w:rPr>
          <w:rFonts w:ascii="Times New Roman" w:hAnsi="Times New Roman" w:cs="Times New Roman"/>
          <w:sz w:val="24"/>
          <w:szCs w:val="24"/>
        </w:rPr>
        <w:t>In March 2017, the respondents issued summons out of the Harare High Court in case No. HC 22</w:t>
      </w:r>
      <w:r w:rsidR="003D13D0">
        <w:rPr>
          <w:rFonts w:ascii="Times New Roman" w:hAnsi="Times New Roman" w:cs="Times New Roman"/>
          <w:sz w:val="24"/>
          <w:szCs w:val="24"/>
        </w:rPr>
        <w:t>10</w:t>
      </w:r>
      <w:r>
        <w:rPr>
          <w:rFonts w:ascii="Times New Roman" w:hAnsi="Times New Roman" w:cs="Times New Roman"/>
          <w:sz w:val="24"/>
          <w:szCs w:val="24"/>
        </w:rPr>
        <w:t>/17</w:t>
      </w:r>
      <w:r w:rsidR="000321DD">
        <w:rPr>
          <w:rFonts w:ascii="Times New Roman" w:hAnsi="Times New Roman" w:cs="Times New Roman"/>
          <w:sz w:val="24"/>
          <w:szCs w:val="24"/>
        </w:rPr>
        <w:t xml:space="preserve"> against NFL, the appellant, the debtor, the purchaser and th</w:t>
      </w:r>
      <w:r w:rsidR="00AF7C98">
        <w:rPr>
          <w:rFonts w:ascii="Times New Roman" w:hAnsi="Times New Roman" w:cs="Times New Roman"/>
          <w:sz w:val="24"/>
          <w:szCs w:val="24"/>
        </w:rPr>
        <w:t xml:space="preserve">e Registrar of Deeds, Bulawayo.  </w:t>
      </w:r>
      <w:r>
        <w:rPr>
          <w:rFonts w:ascii="Times New Roman" w:hAnsi="Times New Roman" w:cs="Times New Roman"/>
          <w:sz w:val="24"/>
          <w:szCs w:val="24"/>
        </w:rPr>
        <w:t>They sought the cancellation of the sale and transfer of their immovable property, alternatively</w:t>
      </w:r>
      <w:r w:rsidR="000321DD">
        <w:rPr>
          <w:rFonts w:ascii="Times New Roman" w:hAnsi="Times New Roman" w:cs="Times New Roman"/>
          <w:sz w:val="24"/>
          <w:szCs w:val="24"/>
        </w:rPr>
        <w:t>, amongst others,</w:t>
      </w:r>
      <w:r>
        <w:rPr>
          <w:rFonts w:ascii="Times New Roman" w:hAnsi="Times New Roman" w:cs="Times New Roman"/>
          <w:sz w:val="24"/>
          <w:szCs w:val="24"/>
        </w:rPr>
        <w:t xml:space="preserve"> damages in the sum equivalent to the replacement value of the property</w:t>
      </w:r>
      <w:r w:rsidR="000321DD">
        <w:rPr>
          <w:rFonts w:ascii="Times New Roman" w:hAnsi="Times New Roman" w:cs="Times New Roman"/>
          <w:sz w:val="24"/>
          <w:szCs w:val="24"/>
        </w:rPr>
        <w:t>.</w:t>
      </w:r>
      <w:r w:rsidR="00AF7C98">
        <w:rPr>
          <w:rFonts w:ascii="Times New Roman" w:hAnsi="Times New Roman" w:cs="Times New Roman"/>
          <w:sz w:val="24"/>
          <w:szCs w:val="24"/>
        </w:rPr>
        <w:t xml:space="preserve">  </w:t>
      </w:r>
      <w:r w:rsidR="00BD0B38">
        <w:rPr>
          <w:rFonts w:ascii="Times New Roman" w:hAnsi="Times New Roman" w:cs="Times New Roman"/>
          <w:sz w:val="24"/>
          <w:szCs w:val="24"/>
        </w:rPr>
        <w:t>The summons was served on the appellant on 15 March 2017.</w:t>
      </w:r>
    </w:p>
    <w:p w14:paraId="4D6DCF28" w14:textId="77777777" w:rsidR="00AF7C98" w:rsidRDefault="00AF7C98" w:rsidP="00CD3070">
      <w:pPr>
        <w:spacing w:after="0" w:line="480" w:lineRule="auto"/>
        <w:ind w:firstLine="1134"/>
        <w:jc w:val="both"/>
        <w:rPr>
          <w:rFonts w:ascii="Times New Roman" w:hAnsi="Times New Roman" w:cs="Times New Roman"/>
          <w:sz w:val="24"/>
          <w:szCs w:val="24"/>
        </w:rPr>
      </w:pPr>
    </w:p>
    <w:p w14:paraId="1194D78C" w14:textId="3EC6BF5F" w:rsidR="00375968" w:rsidRDefault="00375968" w:rsidP="00524187">
      <w:pPr>
        <w:spacing w:line="480" w:lineRule="auto"/>
        <w:ind w:firstLine="1440"/>
        <w:jc w:val="both"/>
        <w:rPr>
          <w:rFonts w:ascii="Times New Roman" w:hAnsi="Times New Roman" w:cs="Times New Roman"/>
          <w:sz w:val="24"/>
          <w:szCs w:val="24"/>
        </w:rPr>
      </w:pPr>
      <w:r>
        <w:rPr>
          <w:rFonts w:ascii="Times New Roman" w:hAnsi="Times New Roman" w:cs="Times New Roman"/>
          <w:sz w:val="24"/>
          <w:szCs w:val="24"/>
        </w:rPr>
        <w:lastRenderedPageBreak/>
        <w:t>The appellant enter</w:t>
      </w:r>
      <w:r w:rsidR="00AF7C98">
        <w:rPr>
          <w:rFonts w:ascii="Times New Roman" w:hAnsi="Times New Roman" w:cs="Times New Roman"/>
          <w:sz w:val="24"/>
          <w:szCs w:val="24"/>
        </w:rPr>
        <w:t xml:space="preserve">ed appearance on 20 March 2017.  </w:t>
      </w:r>
      <w:r>
        <w:rPr>
          <w:rFonts w:ascii="Times New Roman" w:hAnsi="Times New Roman" w:cs="Times New Roman"/>
          <w:sz w:val="24"/>
          <w:szCs w:val="24"/>
        </w:rPr>
        <w:t xml:space="preserve">He did not serve </w:t>
      </w:r>
      <w:r w:rsidR="00D525BA">
        <w:rPr>
          <w:rFonts w:ascii="Times New Roman" w:hAnsi="Times New Roman" w:cs="Times New Roman"/>
          <w:sz w:val="24"/>
          <w:szCs w:val="24"/>
        </w:rPr>
        <w:t>it on the respondents</w:t>
      </w:r>
      <w:r w:rsidR="0024297A">
        <w:rPr>
          <w:rFonts w:ascii="Times New Roman" w:hAnsi="Times New Roman" w:cs="Times New Roman"/>
          <w:sz w:val="24"/>
          <w:szCs w:val="24"/>
        </w:rPr>
        <w:t xml:space="preserve"> within the 24 </w:t>
      </w:r>
      <w:r>
        <w:rPr>
          <w:rFonts w:ascii="Times New Roman" w:hAnsi="Times New Roman" w:cs="Times New Roman"/>
          <w:sz w:val="24"/>
          <w:szCs w:val="24"/>
        </w:rPr>
        <w:t>hour period</w:t>
      </w:r>
      <w:r w:rsidR="00BD0B38">
        <w:rPr>
          <w:rFonts w:ascii="Times New Roman" w:hAnsi="Times New Roman" w:cs="Times New Roman"/>
          <w:sz w:val="24"/>
          <w:szCs w:val="24"/>
        </w:rPr>
        <w:t xml:space="preserve"> (by 22 March 2017)</w:t>
      </w:r>
      <w:r>
        <w:rPr>
          <w:rFonts w:ascii="Times New Roman" w:hAnsi="Times New Roman" w:cs="Times New Roman"/>
          <w:sz w:val="24"/>
          <w:szCs w:val="24"/>
        </w:rPr>
        <w:t xml:space="preserve"> prescribed in r 49 of the old rules</w:t>
      </w:r>
      <w:r w:rsidR="00AF7C98">
        <w:rPr>
          <w:rFonts w:ascii="Times New Roman" w:hAnsi="Times New Roman" w:cs="Times New Roman"/>
          <w:sz w:val="24"/>
          <w:szCs w:val="24"/>
        </w:rPr>
        <w:t xml:space="preserve">. </w:t>
      </w:r>
      <w:r w:rsidR="00524187">
        <w:rPr>
          <w:rFonts w:ascii="Times New Roman" w:hAnsi="Times New Roman" w:cs="Times New Roman"/>
          <w:sz w:val="24"/>
          <w:szCs w:val="24"/>
        </w:rPr>
        <w:t xml:space="preserve"> </w:t>
      </w:r>
      <w:r w:rsidR="00045BD3" w:rsidRPr="00671EF4">
        <w:rPr>
          <w:rFonts w:ascii="Times New Roman" w:hAnsi="Times New Roman" w:cs="Times New Roman"/>
          <w:sz w:val="24"/>
          <w:szCs w:val="24"/>
        </w:rPr>
        <w:t>R</w:t>
      </w:r>
      <w:r w:rsidR="00045BD3">
        <w:rPr>
          <w:rFonts w:ascii="Times New Roman" w:hAnsi="Times New Roman" w:cs="Times New Roman"/>
          <w:sz w:val="24"/>
          <w:szCs w:val="24"/>
        </w:rPr>
        <w:t>ule 49 was replaced by r 20 (6)</w:t>
      </w:r>
      <w:r w:rsidR="00D525BA">
        <w:rPr>
          <w:rFonts w:ascii="Times New Roman" w:hAnsi="Times New Roman" w:cs="Times New Roman"/>
          <w:sz w:val="24"/>
          <w:szCs w:val="24"/>
        </w:rPr>
        <w:t xml:space="preserve"> of the new rules</w:t>
      </w:r>
      <w:r w:rsidR="00045BD3">
        <w:rPr>
          <w:rFonts w:ascii="Times New Roman" w:hAnsi="Times New Roman" w:cs="Times New Roman"/>
          <w:sz w:val="24"/>
          <w:szCs w:val="24"/>
        </w:rPr>
        <w:t xml:space="preserve">. </w:t>
      </w:r>
      <w:r w:rsidR="00524187">
        <w:rPr>
          <w:rFonts w:ascii="Times New Roman" w:hAnsi="Times New Roman" w:cs="Times New Roman"/>
          <w:sz w:val="24"/>
          <w:szCs w:val="24"/>
        </w:rPr>
        <w:t xml:space="preserve"> </w:t>
      </w:r>
      <w:r w:rsidR="00045BD3" w:rsidRPr="00671EF4">
        <w:rPr>
          <w:rFonts w:ascii="Times New Roman" w:hAnsi="Times New Roman" w:cs="Times New Roman"/>
          <w:sz w:val="24"/>
          <w:szCs w:val="24"/>
        </w:rPr>
        <w:t xml:space="preserve">The new rule, unlike r 49, provides a sanction against a defendant who fails to serve an appearance to defend within </w:t>
      </w:r>
      <w:r w:rsidR="00045BD3">
        <w:rPr>
          <w:rFonts w:ascii="Times New Roman" w:hAnsi="Times New Roman" w:cs="Times New Roman"/>
          <w:sz w:val="24"/>
          <w:szCs w:val="24"/>
        </w:rPr>
        <w:t>seven (</w:t>
      </w:r>
      <w:r w:rsidR="00045BD3" w:rsidRPr="00671EF4">
        <w:rPr>
          <w:rFonts w:ascii="Times New Roman" w:hAnsi="Times New Roman" w:cs="Times New Roman"/>
          <w:sz w:val="24"/>
          <w:szCs w:val="24"/>
        </w:rPr>
        <w:t>7</w:t>
      </w:r>
      <w:r w:rsidR="00045BD3">
        <w:rPr>
          <w:rFonts w:ascii="Times New Roman" w:hAnsi="Times New Roman" w:cs="Times New Roman"/>
          <w:sz w:val="24"/>
          <w:szCs w:val="24"/>
        </w:rPr>
        <w:t>)</w:t>
      </w:r>
      <w:r w:rsidR="00045BD3" w:rsidRPr="00671EF4">
        <w:rPr>
          <w:rFonts w:ascii="Times New Roman" w:hAnsi="Times New Roman" w:cs="Times New Roman"/>
          <w:sz w:val="24"/>
          <w:szCs w:val="24"/>
        </w:rPr>
        <w:t xml:space="preserve"> days from the date of filing</w:t>
      </w:r>
      <w:r w:rsidR="007546BF">
        <w:rPr>
          <w:rFonts w:ascii="Times New Roman" w:hAnsi="Times New Roman" w:cs="Times New Roman"/>
          <w:sz w:val="24"/>
          <w:szCs w:val="24"/>
        </w:rPr>
        <w:t>.</w:t>
      </w:r>
      <w:r w:rsidR="00045BD3">
        <w:rPr>
          <w:rFonts w:ascii="Times New Roman" w:hAnsi="Times New Roman" w:cs="Times New Roman"/>
          <w:sz w:val="24"/>
          <w:szCs w:val="24"/>
        </w:rPr>
        <w:t xml:space="preserve"> </w:t>
      </w:r>
      <w:r w:rsidR="00524187">
        <w:rPr>
          <w:rFonts w:ascii="Times New Roman" w:hAnsi="Times New Roman" w:cs="Times New Roman"/>
          <w:sz w:val="24"/>
          <w:szCs w:val="24"/>
        </w:rPr>
        <w:t xml:space="preserve"> </w:t>
      </w:r>
      <w:r w:rsidR="00BD0B38">
        <w:rPr>
          <w:rFonts w:ascii="Times New Roman" w:hAnsi="Times New Roman" w:cs="Times New Roman"/>
          <w:sz w:val="24"/>
          <w:szCs w:val="24"/>
        </w:rPr>
        <w:t>The anomaly was brought to his attention by the respondents’ erstwhile legal</w:t>
      </w:r>
      <w:r w:rsidR="00AF7C98">
        <w:rPr>
          <w:rFonts w:ascii="Times New Roman" w:hAnsi="Times New Roman" w:cs="Times New Roman"/>
          <w:sz w:val="24"/>
          <w:szCs w:val="24"/>
        </w:rPr>
        <w:t xml:space="preserve"> practitioners on 4 April 2017.  </w:t>
      </w:r>
      <w:r w:rsidR="00BD0B38">
        <w:rPr>
          <w:rFonts w:ascii="Times New Roman" w:hAnsi="Times New Roman" w:cs="Times New Roman"/>
          <w:sz w:val="24"/>
          <w:szCs w:val="24"/>
        </w:rPr>
        <w:t>They requested the appellant to regulariz</w:t>
      </w:r>
      <w:r w:rsidR="0022411A">
        <w:rPr>
          <w:rFonts w:ascii="Times New Roman" w:hAnsi="Times New Roman" w:cs="Times New Roman"/>
          <w:sz w:val="24"/>
          <w:szCs w:val="24"/>
        </w:rPr>
        <w:t>e the anomaly, in terms of the rules of c</w:t>
      </w:r>
      <w:r w:rsidR="00BD0B38">
        <w:rPr>
          <w:rFonts w:ascii="Times New Roman" w:hAnsi="Times New Roman" w:cs="Times New Roman"/>
          <w:sz w:val="24"/>
          <w:szCs w:val="24"/>
        </w:rPr>
        <w:t xml:space="preserve">ourt. </w:t>
      </w:r>
      <w:r w:rsidR="00524187">
        <w:rPr>
          <w:rFonts w:ascii="Times New Roman" w:hAnsi="Times New Roman" w:cs="Times New Roman"/>
          <w:sz w:val="24"/>
          <w:szCs w:val="24"/>
        </w:rPr>
        <w:t xml:space="preserve"> </w:t>
      </w:r>
      <w:r w:rsidR="00BD0B38">
        <w:rPr>
          <w:rFonts w:ascii="Times New Roman" w:hAnsi="Times New Roman" w:cs="Times New Roman"/>
          <w:sz w:val="24"/>
          <w:szCs w:val="24"/>
        </w:rPr>
        <w:t>T</w:t>
      </w:r>
      <w:r w:rsidR="00AF7C98">
        <w:rPr>
          <w:rFonts w:ascii="Times New Roman" w:hAnsi="Times New Roman" w:cs="Times New Roman"/>
          <w:sz w:val="24"/>
          <w:szCs w:val="24"/>
        </w:rPr>
        <w:t xml:space="preserve">he appellant declined to do so.  </w:t>
      </w:r>
      <w:r w:rsidR="00BD0B38">
        <w:rPr>
          <w:rFonts w:ascii="Times New Roman" w:hAnsi="Times New Roman" w:cs="Times New Roman"/>
          <w:sz w:val="24"/>
          <w:szCs w:val="24"/>
        </w:rPr>
        <w:t xml:space="preserve">He proceeded to file a special plea and exception on </w:t>
      </w:r>
      <w:r w:rsidR="003A5353">
        <w:rPr>
          <w:rFonts w:ascii="Times New Roman" w:hAnsi="Times New Roman" w:cs="Times New Roman"/>
          <w:sz w:val="24"/>
          <w:szCs w:val="24"/>
        </w:rPr>
        <w:t xml:space="preserve">                           </w:t>
      </w:r>
      <w:r w:rsidR="00BD0B38">
        <w:rPr>
          <w:rFonts w:ascii="Times New Roman" w:hAnsi="Times New Roman" w:cs="Times New Roman"/>
          <w:sz w:val="24"/>
          <w:szCs w:val="24"/>
        </w:rPr>
        <w:t>5 April 2017, which he served together with the appearance to defend on the respondents on the same date.</w:t>
      </w:r>
      <w:r w:rsidR="00AF7C98">
        <w:rPr>
          <w:rFonts w:ascii="Times New Roman" w:hAnsi="Times New Roman" w:cs="Times New Roman"/>
          <w:sz w:val="24"/>
          <w:szCs w:val="24"/>
        </w:rPr>
        <w:t xml:space="preserve">  </w:t>
      </w:r>
      <w:r w:rsidR="00AB573E">
        <w:rPr>
          <w:rFonts w:ascii="Times New Roman" w:hAnsi="Times New Roman" w:cs="Times New Roman"/>
          <w:sz w:val="24"/>
          <w:szCs w:val="24"/>
        </w:rPr>
        <w:t xml:space="preserve">He ignored the protestations of the respondent’s legal practitioners that his actions were alien to the </w:t>
      </w:r>
      <w:r w:rsidR="0022411A">
        <w:rPr>
          <w:rFonts w:ascii="Times New Roman" w:hAnsi="Times New Roman" w:cs="Times New Roman"/>
          <w:sz w:val="24"/>
          <w:szCs w:val="24"/>
        </w:rPr>
        <w:t>r</w:t>
      </w:r>
      <w:r w:rsidR="00AB573E">
        <w:rPr>
          <w:rFonts w:ascii="Times New Roman" w:hAnsi="Times New Roman" w:cs="Times New Roman"/>
          <w:sz w:val="24"/>
          <w:szCs w:val="24"/>
        </w:rPr>
        <w:t xml:space="preserve">ules of </w:t>
      </w:r>
      <w:r w:rsidR="001F4489">
        <w:rPr>
          <w:rFonts w:ascii="Times New Roman" w:hAnsi="Times New Roman" w:cs="Times New Roman"/>
          <w:sz w:val="24"/>
          <w:szCs w:val="24"/>
        </w:rPr>
        <w:t>C</w:t>
      </w:r>
      <w:r w:rsidR="00AB573E">
        <w:rPr>
          <w:rFonts w:ascii="Times New Roman" w:hAnsi="Times New Roman" w:cs="Times New Roman"/>
          <w:sz w:val="24"/>
          <w:szCs w:val="24"/>
        </w:rPr>
        <w:t xml:space="preserve">ourt. </w:t>
      </w:r>
      <w:r w:rsidR="00524187">
        <w:rPr>
          <w:rFonts w:ascii="Times New Roman" w:hAnsi="Times New Roman" w:cs="Times New Roman"/>
          <w:sz w:val="24"/>
          <w:szCs w:val="24"/>
        </w:rPr>
        <w:t xml:space="preserve"> </w:t>
      </w:r>
      <w:r w:rsidR="00AB573E">
        <w:rPr>
          <w:rFonts w:ascii="Times New Roman" w:hAnsi="Times New Roman" w:cs="Times New Roman"/>
          <w:sz w:val="24"/>
          <w:szCs w:val="24"/>
        </w:rPr>
        <w:t>At his request, the special plea and exception, were set down. In an unreported judgment issued on</w:t>
      </w:r>
      <w:r w:rsidR="00417F76">
        <w:rPr>
          <w:rFonts w:ascii="Times New Roman" w:hAnsi="Times New Roman" w:cs="Times New Roman"/>
          <w:sz w:val="24"/>
          <w:szCs w:val="24"/>
        </w:rPr>
        <w:t xml:space="preserve"> </w:t>
      </w:r>
      <w:r w:rsidR="00AB573E">
        <w:rPr>
          <w:rFonts w:ascii="Times New Roman" w:hAnsi="Times New Roman" w:cs="Times New Roman"/>
          <w:sz w:val="24"/>
          <w:szCs w:val="24"/>
        </w:rPr>
        <w:t xml:space="preserve">15 September 2020, the court </w:t>
      </w:r>
      <w:r w:rsidR="00AB573E" w:rsidRPr="00AB573E">
        <w:rPr>
          <w:rFonts w:ascii="Times New Roman" w:hAnsi="Times New Roman" w:cs="Times New Roman"/>
          <w:i/>
          <w:iCs/>
          <w:sz w:val="24"/>
          <w:szCs w:val="24"/>
        </w:rPr>
        <w:t>a quo</w:t>
      </w:r>
      <w:r w:rsidR="00AB573E">
        <w:rPr>
          <w:rFonts w:ascii="Times New Roman" w:hAnsi="Times New Roman" w:cs="Times New Roman"/>
          <w:sz w:val="24"/>
          <w:szCs w:val="24"/>
        </w:rPr>
        <w:t xml:space="preserve"> </w:t>
      </w:r>
      <w:r w:rsidR="004C0FD9">
        <w:rPr>
          <w:rFonts w:ascii="Times New Roman" w:hAnsi="Times New Roman" w:cs="Times New Roman"/>
          <w:sz w:val="24"/>
          <w:szCs w:val="24"/>
        </w:rPr>
        <w:t>struck the matter off the roll with costs on the basis that the appellant had “flagrantly and knowingly” refused to seek condonation for a breach of a mandat</w:t>
      </w:r>
      <w:r w:rsidR="00AF7C98">
        <w:rPr>
          <w:rFonts w:ascii="Times New Roman" w:hAnsi="Times New Roman" w:cs="Times New Roman"/>
          <w:sz w:val="24"/>
          <w:szCs w:val="24"/>
        </w:rPr>
        <w:t xml:space="preserve">ory rule of the Court.  </w:t>
      </w:r>
      <w:r w:rsidR="004C0FD9">
        <w:rPr>
          <w:rFonts w:ascii="Times New Roman" w:hAnsi="Times New Roman" w:cs="Times New Roman"/>
          <w:sz w:val="24"/>
          <w:szCs w:val="24"/>
        </w:rPr>
        <w:t>It warned him that he would remain barred until he sought and was granted condonation for the breach.</w:t>
      </w:r>
    </w:p>
    <w:p w14:paraId="0487F91B" w14:textId="77777777" w:rsidR="00AF7C98" w:rsidRDefault="00AF7C98" w:rsidP="00000C12">
      <w:pPr>
        <w:spacing w:after="0" w:line="240" w:lineRule="auto"/>
        <w:jc w:val="both"/>
        <w:rPr>
          <w:rFonts w:ascii="Times New Roman" w:hAnsi="Times New Roman" w:cs="Times New Roman"/>
          <w:sz w:val="24"/>
          <w:szCs w:val="24"/>
        </w:rPr>
      </w:pPr>
    </w:p>
    <w:p w14:paraId="694848E3" w14:textId="4E98BA3F" w:rsidR="004C0FD9" w:rsidRDefault="004C0FD9" w:rsidP="00524187">
      <w:pPr>
        <w:spacing w:line="480" w:lineRule="auto"/>
        <w:ind w:firstLine="1440"/>
        <w:jc w:val="both"/>
        <w:rPr>
          <w:rFonts w:ascii="Times New Roman" w:hAnsi="Times New Roman" w:cs="Times New Roman"/>
          <w:sz w:val="24"/>
          <w:szCs w:val="24"/>
        </w:rPr>
      </w:pPr>
      <w:r>
        <w:rPr>
          <w:rFonts w:ascii="Times New Roman" w:hAnsi="Times New Roman" w:cs="Times New Roman"/>
          <w:sz w:val="24"/>
          <w:szCs w:val="24"/>
        </w:rPr>
        <w:t xml:space="preserve">The appellant abided by the order and sought condonation </w:t>
      </w:r>
      <w:r w:rsidRPr="008A7DFD">
        <w:rPr>
          <w:rFonts w:ascii="Times New Roman" w:hAnsi="Times New Roman" w:cs="Times New Roman"/>
          <w:i/>
          <w:iCs/>
          <w:sz w:val="24"/>
          <w:szCs w:val="24"/>
        </w:rPr>
        <w:t>a quo</w:t>
      </w:r>
      <w:r>
        <w:rPr>
          <w:rFonts w:ascii="Times New Roman" w:hAnsi="Times New Roman" w:cs="Times New Roman"/>
          <w:sz w:val="24"/>
          <w:szCs w:val="24"/>
        </w:rPr>
        <w:t xml:space="preserve"> on 30 September 2020.</w:t>
      </w:r>
      <w:r w:rsidR="0036028B">
        <w:rPr>
          <w:rFonts w:ascii="Times New Roman" w:hAnsi="Times New Roman" w:cs="Times New Roman"/>
          <w:sz w:val="24"/>
          <w:szCs w:val="24"/>
        </w:rPr>
        <w:t xml:space="preserve">  </w:t>
      </w:r>
      <w:r w:rsidR="008A7DFD">
        <w:rPr>
          <w:rFonts w:ascii="Times New Roman" w:hAnsi="Times New Roman" w:cs="Times New Roman"/>
          <w:sz w:val="24"/>
          <w:szCs w:val="24"/>
        </w:rPr>
        <w:t>The application was contested.</w:t>
      </w:r>
      <w:r w:rsidR="007578C7">
        <w:rPr>
          <w:rFonts w:ascii="Times New Roman" w:hAnsi="Times New Roman" w:cs="Times New Roman"/>
          <w:sz w:val="24"/>
          <w:szCs w:val="24"/>
        </w:rPr>
        <w:t xml:space="preserve"> In the court </w:t>
      </w:r>
      <w:r w:rsidR="007578C7" w:rsidRPr="009C7AFC">
        <w:rPr>
          <w:rFonts w:ascii="Times New Roman" w:hAnsi="Times New Roman" w:cs="Times New Roman"/>
          <w:i/>
          <w:iCs/>
          <w:sz w:val="24"/>
          <w:szCs w:val="24"/>
        </w:rPr>
        <w:t>a quo,</w:t>
      </w:r>
      <w:r w:rsidR="007578C7">
        <w:rPr>
          <w:rFonts w:ascii="Times New Roman" w:hAnsi="Times New Roman" w:cs="Times New Roman"/>
          <w:sz w:val="24"/>
          <w:szCs w:val="24"/>
        </w:rPr>
        <w:t xml:space="preserve"> the parties were </w:t>
      </w:r>
      <w:r w:rsidR="007578C7" w:rsidRPr="009C7AFC">
        <w:rPr>
          <w:rFonts w:ascii="Times New Roman" w:hAnsi="Times New Roman" w:cs="Times New Roman"/>
          <w:i/>
          <w:iCs/>
          <w:sz w:val="24"/>
          <w:szCs w:val="24"/>
        </w:rPr>
        <w:t>ad idem</w:t>
      </w:r>
      <w:r w:rsidR="007578C7">
        <w:rPr>
          <w:rFonts w:ascii="Times New Roman" w:hAnsi="Times New Roman" w:cs="Times New Roman"/>
          <w:sz w:val="24"/>
          <w:szCs w:val="24"/>
        </w:rPr>
        <w:t xml:space="preserve"> on th</w:t>
      </w:r>
      <w:r w:rsidR="0036028B">
        <w:rPr>
          <w:rFonts w:ascii="Times New Roman" w:hAnsi="Times New Roman" w:cs="Times New Roman"/>
          <w:sz w:val="24"/>
          <w:szCs w:val="24"/>
        </w:rPr>
        <w:t xml:space="preserve">e requirements for condonation.  </w:t>
      </w:r>
      <w:r w:rsidR="00E33C7E">
        <w:rPr>
          <w:rFonts w:ascii="Times New Roman" w:hAnsi="Times New Roman" w:cs="Times New Roman"/>
          <w:sz w:val="24"/>
          <w:szCs w:val="24"/>
        </w:rPr>
        <w:t>While the list of considerations is</w:t>
      </w:r>
      <w:r w:rsidR="00045BD3">
        <w:rPr>
          <w:rFonts w:ascii="Times New Roman" w:hAnsi="Times New Roman" w:cs="Times New Roman"/>
          <w:sz w:val="24"/>
          <w:szCs w:val="24"/>
        </w:rPr>
        <w:t xml:space="preserve"> not</w:t>
      </w:r>
      <w:r w:rsidR="0036028B">
        <w:rPr>
          <w:rFonts w:ascii="Times New Roman" w:hAnsi="Times New Roman" w:cs="Times New Roman"/>
          <w:sz w:val="24"/>
          <w:szCs w:val="24"/>
        </w:rPr>
        <w:t xml:space="preserve"> exhaustive</w:t>
      </w:r>
      <w:r w:rsidR="00E33C7E">
        <w:rPr>
          <w:rFonts w:ascii="Times New Roman" w:hAnsi="Times New Roman" w:cs="Times New Roman"/>
          <w:sz w:val="24"/>
          <w:szCs w:val="24"/>
        </w:rPr>
        <w:t>, they limit</w:t>
      </w:r>
      <w:r w:rsidR="0036028B">
        <w:rPr>
          <w:rFonts w:ascii="Times New Roman" w:hAnsi="Times New Roman" w:cs="Times New Roman"/>
          <w:sz w:val="24"/>
          <w:szCs w:val="24"/>
        </w:rPr>
        <w:t>ed themselves to th</w:t>
      </w:r>
      <w:r w:rsidR="00E33C7E">
        <w:rPr>
          <w:rFonts w:ascii="Times New Roman" w:hAnsi="Times New Roman" w:cs="Times New Roman"/>
          <w:sz w:val="24"/>
          <w:szCs w:val="24"/>
        </w:rPr>
        <w:t>e extent of the delay, the reasonableness of the explanation for the delay, prospects of success and prejudice to the appellant and interests of justice.</w:t>
      </w:r>
      <w:r w:rsidR="00352BF2">
        <w:rPr>
          <w:rFonts w:ascii="Times New Roman" w:hAnsi="Times New Roman" w:cs="Times New Roman"/>
          <w:sz w:val="24"/>
          <w:szCs w:val="24"/>
        </w:rPr>
        <w:t xml:space="preserve"> </w:t>
      </w:r>
      <w:r w:rsidR="007F6BDC">
        <w:rPr>
          <w:rFonts w:ascii="Times New Roman" w:hAnsi="Times New Roman" w:cs="Times New Roman"/>
          <w:sz w:val="24"/>
          <w:szCs w:val="24"/>
        </w:rPr>
        <w:t>In his founding affidavit, th</w:t>
      </w:r>
      <w:r w:rsidR="00352BF2">
        <w:rPr>
          <w:rFonts w:ascii="Times New Roman" w:hAnsi="Times New Roman" w:cs="Times New Roman"/>
          <w:sz w:val="24"/>
          <w:szCs w:val="24"/>
        </w:rPr>
        <w:t xml:space="preserve">e appellant provided an explanation for the non-service of the appearance </w:t>
      </w:r>
      <w:r w:rsidR="007F6BDC">
        <w:rPr>
          <w:rFonts w:ascii="Times New Roman" w:hAnsi="Times New Roman" w:cs="Times New Roman"/>
          <w:sz w:val="24"/>
          <w:szCs w:val="24"/>
        </w:rPr>
        <w:t xml:space="preserve">but did not </w:t>
      </w:r>
      <w:r w:rsidR="001F28B1">
        <w:rPr>
          <w:rFonts w:ascii="Times New Roman" w:hAnsi="Times New Roman" w:cs="Times New Roman"/>
          <w:sz w:val="24"/>
          <w:szCs w:val="24"/>
        </w:rPr>
        <w:t xml:space="preserve">do so </w:t>
      </w:r>
      <w:r w:rsidR="007F6BDC">
        <w:rPr>
          <w:rFonts w:ascii="Times New Roman" w:hAnsi="Times New Roman" w:cs="Times New Roman"/>
          <w:sz w:val="24"/>
          <w:szCs w:val="24"/>
        </w:rPr>
        <w:t>for the late filing of the application for condonation</w:t>
      </w:r>
      <w:r w:rsidR="00352BF2">
        <w:rPr>
          <w:rFonts w:ascii="Times New Roman" w:hAnsi="Times New Roman" w:cs="Times New Roman"/>
          <w:sz w:val="24"/>
          <w:szCs w:val="24"/>
        </w:rPr>
        <w:t>. He, however, explained the reason for filing the application out of time in his answering affidavit. He further relied on the contents of the respondents’ power of attorney and affidavit of</w:t>
      </w:r>
      <w:r w:rsidR="007F6BDC">
        <w:rPr>
          <w:rFonts w:ascii="Times New Roman" w:hAnsi="Times New Roman" w:cs="Times New Roman"/>
          <w:sz w:val="24"/>
          <w:szCs w:val="24"/>
        </w:rPr>
        <w:t xml:space="preserve"> </w:t>
      </w:r>
      <w:r w:rsidR="00352BF2">
        <w:rPr>
          <w:rFonts w:ascii="Times New Roman" w:hAnsi="Times New Roman" w:cs="Times New Roman"/>
          <w:sz w:val="24"/>
          <w:szCs w:val="24"/>
        </w:rPr>
        <w:t>6</w:t>
      </w:r>
      <w:r w:rsidR="0036028B">
        <w:rPr>
          <w:rFonts w:ascii="Times New Roman" w:hAnsi="Times New Roman" w:cs="Times New Roman"/>
          <w:sz w:val="24"/>
          <w:szCs w:val="24"/>
        </w:rPr>
        <w:t xml:space="preserve"> November 2012 for his defence.  </w:t>
      </w:r>
      <w:r w:rsidR="00352BF2">
        <w:rPr>
          <w:rFonts w:ascii="Times New Roman" w:hAnsi="Times New Roman" w:cs="Times New Roman"/>
          <w:sz w:val="24"/>
          <w:szCs w:val="24"/>
        </w:rPr>
        <w:t xml:space="preserve">He also averred </w:t>
      </w:r>
      <w:r w:rsidR="00352BF2">
        <w:rPr>
          <w:rFonts w:ascii="Times New Roman" w:hAnsi="Times New Roman" w:cs="Times New Roman"/>
          <w:sz w:val="24"/>
          <w:szCs w:val="24"/>
        </w:rPr>
        <w:lastRenderedPageBreak/>
        <w:t xml:space="preserve">that if his application were unsuccessful, he would be prejudiced in that he would be forced to pay the replacement </w:t>
      </w:r>
      <w:r w:rsidR="0036028B">
        <w:rPr>
          <w:rFonts w:ascii="Times New Roman" w:hAnsi="Times New Roman" w:cs="Times New Roman"/>
          <w:sz w:val="24"/>
          <w:szCs w:val="24"/>
        </w:rPr>
        <w:t xml:space="preserve">value of the Bellevue property.  </w:t>
      </w:r>
      <w:r w:rsidR="00352BF2">
        <w:rPr>
          <w:rFonts w:ascii="Times New Roman" w:hAnsi="Times New Roman" w:cs="Times New Roman"/>
          <w:sz w:val="24"/>
          <w:szCs w:val="24"/>
        </w:rPr>
        <w:t>He further averred that th</w:t>
      </w:r>
      <w:r w:rsidR="005E1D66">
        <w:rPr>
          <w:rFonts w:ascii="Times New Roman" w:hAnsi="Times New Roman" w:cs="Times New Roman"/>
          <w:sz w:val="24"/>
          <w:szCs w:val="24"/>
        </w:rPr>
        <w:t>e balance of co</w:t>
      </w:r>
      <w:r w:rsidR="0036028B">
        <w:rPr>
          <w:rFonts w:ascii="Times New Roman" w:hAnsi="Times New Roman" w:cs="Times New Roman"/>
          <w:sz w:val="24"/>
          <w:szCs w:val="24"/>
        </w:rPr>
        <w:t xml:space="preserve">nvenience </w:t>
      </w:r>
      <w:r w:rsidR="00A11BFD">
        <w:rPr>
          <w:rFonts w:ascii="Times New Roman" w:hAnsi="Times New Roman" w:cs="Times New Roman"/>
          <w:sz w:val="24"/>
          <w:szCs w:val="24"/>
        </w:rPr>
        <w:t xml:space="preserve">was </w:t>
      </w:r>
      <w:r w:rsidR="0036028B">
        <w:rPr>
          <w:rFonts w:ascii="Times New Roman" w:hAnsi="Times New Roman" w:cs="Times New Roman"/>
          <w:sz w:val="24"/>
          <w:szCs w:val="24"/>
        </w:rPr>
        <w:t xml:space="preserve">tilted in his favour.  </w:t>
      </w:r>
      <w:r w:rsidR="005E1D66">
        <w:rPr>
          <w:rFonts w:ascii="Times New Roman" w:hAnsi="Times New Roman" w:cs="Times New Roman"/>
          <w:sz w:val="24"/>
          <w:szCs w:val="24"/>
        </w:rPr>
        <w:t>This was because a dismissal of his application would firstly, prejudice the interest of justice by abridging</w:t>
      </w:r>
      <w:r w:rsidR="00352BF2">
        <w:rPr>
          <w:rFonts w:ascii="Times New Roman" w:hAnsi="Times New Roman" w:cs="Times New Roman"/>
          <w:sz w:val="24"/>
          <w:szCs w:val="24"/>
        </w:rPr>
        <w:t xml:space="preserve"> </w:t>
      </w:r>
      <w:r w:rsidR="007D7EFE">
        <w:rPr>
          <w:rFonts w:ascii="Times New Roman" w:hAnsi="Times New Roman" w:cs="Times New Roman"/>
          <w:sz w:val="24"/>
          <w:szCs w:val="24"/>
        </w:rPr>
        <w:t>his right to be he</w:t>
      </w:r>
      <w:r w:rsidR="005E1D66">
        <w:rPr>
          <w:rFonts w:ascii="Times New Roman" w:hAnsi="Times New Roman" w:cs="Times New Roman"/>
          <w:sz w:val="24"/>
          <w:szCs w:val="24"/>
        </w:rPr>
        <w:t>ard</w:t>
      </w:r>
      <w:r w:rsidR="001F28B1">
        <w:rPr>
          <w:rFonts w:ascii="Times New Roman" w:hAnsi="Times New Roman" w:cs="Times New Roman"/>
          <w:sz w:val="24"/>
          <w:szCs w:val="24"/>
        </w:rPr>
        <w:t xml:space="preserve"> and s</w:t>
      </w:r>
      <w:r w:rsidR="005E1D66">
        <w:rPr>
          <w:rFonts w:ascii="Times New Roman" w:hAnsi="Times New Roman" w:cs="Times New Roman"/>
          <w:sz w:val="24"/>
          <w:szCs w:val="24"/>
        </w:rPr>
        <w:t xml:space="preserve">econdly, </w:t>
      </w:r>
      <w:r w:rsidR="00314414">
        <w:rPr>
          <w:rFonts w:ascii="Times New Roman" w:hAnsi="Times New Roman" w:cs="Times New Roman"/>
          <w:sz w:val="24"/>
          <w:szCs w:val="24"/>
        </w:rPr>
        <w:t xml:space="preserve">would </w:t>
      </w:r>
      <w:r w:rsidR="005E1D66">
        <w:rPr>
          <w:rFonts w:ascii="Times New Roman" w:hAnsi="Times New Roman" w:cs="Times New Roman"/>
          <w:sz w:val="24"/>
          <w:szCs w:val="24"/>
        </w:rPr>
        <w:t>prejudice him by making him liable for a claim that was unmeritorious</w:t>
      </w:r>
      <w:r w:rsidR="007D7EFE">
        <w:rPr>
          <w:rFonts w:ascii="Times New Roman" w:hAnsi="Times New Roman" w:cs="Times New Roman"/>
          <w:sz w:val="24"/>
          <w:szCs w:val="24"/>
        </w:rPr>
        <w:t>.</w:t>
      </w:r>
    </w:p>
    <w:p w14:paraId="6056FD9C" w14:textId="77777777" w:rsidR="0036028B" w:rsidRDefault="0036028B" w:rsidP="00000C12">
      <w:pPr>
        <w:spacing w:after="0" w:line="240" w:lineRule="auto"/>
        <w:ind w:firstLine="1134"/>
        <w:jc w:val="both"/>
        <w:rPr>
          <w:rFonts w:ascii="Times New Roman" w:hAnsi="Times New Roman" w:cs="Times New Roman"/>
          <w:sz w:val="24"/>
          <w:szCs w:val="24"/>
        </w:rPr>
      </w:pPr>
    </w:p>
    <w:p w14:paraId="2ED80683" w14:textId="2E7F35C8" w:rsidR="00E33C7E" w:rsidRPr="0036028B" w:rsidRDefault="0036028B" w:rsidP="0036028B">
      <w:pPr>
        <w:spacing w:after="0" w:line="480" w:lineRule="auto"/>
        <w:jc w:val="both"/>
        <w:rPr>
          <w:rFonts w:ascii="Times New Roman" w:hAnsi="Times New Roman" w:cs="Times New Roman"/>
          <w:b/>
          <w:bCs/>
          <w:i/>
          <w:iCs/>
          <w:sz w:val="24"/>
          <w:szCs w:val="24"/>
          <w:u w:val="single"/>
        </w:rPr>
      </w:pPr>
      <w:r w:rsidRPr="0036028B">
        <w:rPr>
          <w:rFonts w:ascii="Times New Roman" w:hAnsi="Times New Roman" w:cs="Times New Roman"/>
          <w:b/>
          <w:bCs/>
          <w:sz w:val="24"/>
          <w:szCs w:val="24"/>
          <w:u w:val="single"/>
        </w:rPr>
        <w:t xml:space="preserve">THE CONTENTIONS BEFORE THE COURT </w:t>
      </w:r>
      <w:r w:rsidRPr="0036028B">
        <w:rPr>
          <w:rFonts w:ascii="Times New Roman" w:hAnsi="Times New Roman" w:cs="Times New Roman"/>
          <w:b/>
          <w:bCs/>
          <w:i/>
          <w:iCs/>
          <w:sz w:val="24"/>
          <w:szCs w:val="24"/>
          <w:u w:val="single"/>
        </w:rPr>
        <w:t>A QUO</w:t>
      </w:r>
    </w:p>
    <w:p w14:paraId="2BAE2E22" w14:textId="591DAED0" w:rsidR="00194B75" w:rsidRDefault="00E33C7E" w:rsidP="00F202DA">
      <w:pPr>
        <w:spacing w:after="0" w:line="480" w:lineRule="auto"/>
        <w:ind w:firstLine="1134"/>
        <w:jc w:val="both"/>
        <w:rPr>
          <w:rFonts w:ascii="Times New Roman" w:hAnsi="Times New Roman" w:cs="Times New Roman"/>
          <w:sz w:val="24"/>
          <w:szCs w:val="24"/>
        </w:rPr>
      </w:pP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w:t>
      </w:r>
      <w:proofErr w:type="spellStart"/>
      <w:r w:rsidRPr="00FB0C26">
        <w:rPr>
          <w:rFonts w:ascii="Times New Roman" w:hAnsi="Times New Roman" w:cs="Times New Roman"/>
          <w:i/>
          <w:sz w:val="24"/>
          <w:szCs w:val="24"/>
        </w:rPr>
        <w:t>Kadye</w:t>
      </w:r>
      <w:proofErr w:type="spellEnd"/>
      <w:r w:rsidRPr="00FB0C26">
        <w:rPr>
          <w:rFonts w:ascii="Times New Roman" w:hAnsi="Times New Roman" w:cs="Times New Roman"/>
          <w:i/>
          <w:sz w:val="24"/>
          <w:szCs w:val="24"/>
        </w:rPr>
        <w:t>,</w:t>
      </w:r>
      <w:r>
        <w:rPr>
          <w:rFonts w:ascii="Times New Roman" w:hAnsi="Times New Roman" w:cs="Times New Roman"/>
          <w:sz w:val="24"/>
          <w:szCs w:val="24"/>
        </w:rPr>
        <w:t xml:space="preserve"> </w:t>
      </w:r>
      <w:r w:rsidR="007252EF">
        <w:rPr>
          <w:rFonts w:ascii="Times New Roman" w:hAnsi="Times New Roman" w:cs="Times New Roman"/>
          <w:sz w:val="24"/>
          <w:szCs w:val="24"/>
        </w:rPr>
        <w:t xml:space="preserve">who appeared for the appellant </w:t>
      </w:r>
      <w:r w:rsidR="007252EF" w:rsidRPr="007252EF">
        <w:rPr>
          <w:rFonts w:ascii="Times New Roman" w:hAnsi="Times New Roman" w:cs="Times New Roman"/>
          <w:i/>
          <w:iCs/>
          <w:sz w:val="24"/>
          <w:szCs w:val="24"/>
        </w:rPr>
        <w:t>a quo</w:t>
      </w:r>
      <w:r w:rsidR="007252EF">
        <w:rPr>
          <w:rFonts w:ascii="Times New Roman" w:hAnsi="Times New Roman" w:cs="Times New Roman"/>
          <w:sz w:val="24"/>
          <w:szCs w:val="24"/>
        </w:rPr>
        <w:t xml:space="preserve">, </w:t>
      </w:r>
      <w:r w:rsidR="007D7EFE">
        <w:rPr>
          <w:rFonts w:ascii="Times New Roman" w:hAnsi="Times New Roman" w:cs="Times New Roman"/>
          <w:sz w:val="24"/>
          <w:szCs w:val="24"/>
        </w:rPr>
        <w:t>relied on the averments in the appellant’s papers and contended that</w:t>
      </w:r>
      <w:r>
        <w:rPr>
          <w:rFonts w:ascii="Times New Roman" w:hAnsi="Times New Roman" w:cs="Times New Roman"/>
          <w:sz w:val="24"/>
          <w:szCs w:val="24"/>
        </w:rPr>
        <w:t xml:space="preserve"> the delay was </w:t>
      </w:r>
      <w:r w:rsidR="007252EF">
        <w:rPr>
          <w:rFonts w:ascii="Times New Roman" w:hAnsi="Times New Roman" w:cs="Times New Roman"/>
          <w:sz w:val="24"/>
          <w:szCs w:val="24"/>
        </w:rPr>
        <w:t xml:space="preserve">not </w:t>
      </w:r>
      <w:r>
        <w:rPr>
          <w:rFonts w:ascii="Times New Roman" w:hAnsi="Times New Roman" w:cs="Times New Roman"/>
          <w:sz w:val="24"/>
          <w:szCs w:val="24"/>
        </w:rPr>
        <w:t xml:space="preserve">inordinate, the explanation thereof reasonable and the prospects of success of </w:t>
      </w:r>
      <w:r w:rsidR="00FE679F">
        <w:rPr>
          <w:rFonts w:ascii="Times New Roman" w:hAnsi="Times New Roman" w:cs="Times New Roman"/>
          <w:sz w:val="24"/>
          <w:szCs w:val="24"/>
        </w:rPr>
        <w:t xml:space="preserve">his defence on the merits high.  </w:t>
      </w:r>
      <w:r w:rsidR="007D7EFE">
        <w:rPr>
          <w:rFonts w:ascii="Times New Roman" w:hAnsi="Times New Roman" w:cs="Times New Roman"/>
          <w:sz w:val="24"/>
          <w:szCs w:val="24"/>
        </w:rPr>
        <w:t>He further submitted that the appellant would be prejudice</w:t>
      </w:r>
      <w:r w:rsidR="007252EF">
        <w:rPr>
          <w:rFonts w:ascii="Times New Roman" w:hAnsi="Times New Roman" w:cs="Times New Roman"/>
          <w:sz w:val="24"/>
          <w:szCs w:val="24"/>
        </w:rPr>
        <w:t>d</w:t>
      </w:r>
      <w:r w:rsidR="007D7EFE">
        <w:rPr>
          <w:rFonts w:ascii="Times New Roman" w:hAnsi="Times New Roman" w:cs="Times New Roman"/>
          <w:sz w:val="24"/>
          <w:szCs w:val="24"/>
        </w:rPr>
        <w:t xml:space="preserve"> in the manner highlighted in his founding papers. </w:t>
      </w:r>
      <w:r w:rsidR="00314743">
        <w:rPr>
          <w:rFonts w:ascii="Times New Roman" w:hAnsi="Times New Roman" w:cs="Times New Roman"/>
          <w:sz w:val="24"/>
          <w:szCs w:val="24"/>
        </w:rPr>
        <w:t xml:space="preserve"> Couns</w:t>
      </w:r>
      <w:r w:rsidR="00194B75">
        <w:rPr>
          <w:rFonts w:ascii="Times New Roman" w:hAnsi="Times New Roman" w:cs="Times New Roman"/>
          <w:sz w:val="24"/>
          <w:szCs w:val="24"/>
        </w:rPr>
        <w:t>e</w:t>
      </w:r>
      <w:r w:rsidR="00314743">
        <w:rPr>
          <w:rFonts w:ascii="Times New Roman" w:hAnsi="Times New Roman" w:cs="Times New Roman"/>
          <w:sz w:val="24"/>
          <w:szCs w:val="24"/>
        </w:rPr>
        <w:t xml:space="preserve">l </w:t>
      </w:r>
      <w:r w:rsidR="0068394B">
        <w:rPr>
          <w:rFonts w:ascii="Times New Roman" w:hAnsi="Times New Roman" w:cs="Times New Roman"/>
          <w:sz w:val="24"/>
          <w:szCs w:val="24"/>
        </w:rPr>
        <w:t>took two points to demonstrate that the appellant genuinely held that condonation was not required. Firstly, that r 49 unlike 50 and later r 20 (6) did not provide a sanction for f</w:t>
      </w:r>
      <w:r w:rsidR="00FE679F">
        <w:rPr>
          <w:rFonts w:ascii="Times New Roman" w:hAnsi="Times New Roman" w:cs="Times New Roman"/>
          <w:sz w:val="24"/>
          <w:szCs w:val="24"/>
        </w:rPr>
        <w:t xml:space="preserve">ailing to serve the appearance.  </w:t>
      </w:r>
      <w:r w:rsidR="0068394B">
        <w:rPr>
          <w:rFonts w:ascii="Times New Roman" w:hAnsi="Times New Roman" w:cs="Times New Roman"/>
          <w:sz w:val="24"/>
          <w:szCs w:val="24"/>
        </w:rPr>
        <w:t xml:space="preserve">Secondly, </w:t>
      </w:r>
      <w:r w:rsidR="00587E00">
        <w:rPr>
          <w:rFonts w:ascii="Times New Roman" w:hAnsi="Times New Roman" w:cs="Times New Roman"/>
          <w:sz w:val="24"/>
          <w:szCs w:val="24"/>
        </w:rPr>
        <w:t xml:space="preserve">he invoked </w:t>
      </w:r>
      <w:r w:rsidR="0068394B">
        <w:rPr>
          <w:rFonts w:ascii="Times New Roman" w:hAnsi="Times New Roman" w:cs="Times New Roman"/>
          <w:sz w:val="24"/>
          <w:szCs w:val="24"/>
        </w:rPr>
        <w:t>the</w:t>
      </w:r>
      <w:r w:rsidR="00194B75">
        <w:rPr>
          <w:rFonts w:ascii="Times New Roman" w:hAnsi="Times New Roman" w:cs="Times New Roman"/>
          <w:sz w:val="24"/>
          <w:szCs w:val="24"/>
        </w:rPr>
        <w:t xml:space="preserve"> common law principle, “</w:t>
      </w:r>
      <w:proofErr w:type="spellStart"/>
      <w:r w:rsidR="00194B75" w:rsidRPr="002F4ACB">
        <w:rPr>
          <w:rFonts w:ascii="Times New Roman" w:hAnsi="Times New Roman" w:cs="Times New Roman"/>
          <w:i/>
          <w:iCs/>
          <w:sz w:val="24"/>
          <w:szCs w:val="24"/>
        </w:rPr>
        <w:t>cessante</w:t>
      </w:r>
      <w:proofErr w:type="spellEnd"/>
      <w:r w:rsidR="00194B75" w:rsidRPr="002F4ACB">
        <w:rPr>
          <w:rFonts w:ascii="Times New Roman" w:hAnsi="Times New Roman" w:cs="Times New Roman"/>
          <w:i/>
          <w:iCs/>
          <w:sz w:val="24"/>
          <w:szCs w:val="24"/>
        </w:rPr>
        <w:t xml:space="preserve"> </w:t>
      </w:r>
      <w:proofErr w:type="spellStart"/>
      <w:r w:rsidR="00194B75" w:rsidRPr="002F4ACB">
        <w:rPr>
          <w:rFonts w:ascii="Times New Roman" w:hAnsi="Times New Roman" w:cs="Times New Roman"/>
          <w:i/>
          <w:iCs/>
          <w:sz w:val="24"/>
          <w:szCs w:val="24"/>
        </w:rPr>
        <w:t>ratione</w:t>
      </w:r>
      <w:proofErr w:type="spellEnd"/>
      <w:r w:rsidR="00194B75" w:rsidRPr="002F4ACB">
        <w:rPr>
          <w:rFonts w:ascii="Times New Roman" w:hAnsi="Times New Roman" w:cs="Times New Roman"/>
          <w:i/>
          <w:iCs/>
          <w:sz w:val="24"/>
          <w:szCs w:val="24"/>
        </w:rPr>
        <w:t xml:space="preserve"> </w:t>
      </w:r>
      <w:proofErr w:type="spellStart"/>
      <w:r w:rsidR="00194B75" w:rsidRPr="002F4ACB">
        <w:rPr>
          <w:rFonts w:ascii="Times New Roman" w:hAnsi="Times New Roman" w:cs="Times New Roman"/>
          <w:i/>
          <w:iCs/>
          <w:sz w:val="24"/>
          <w:szCs w:val="24"/>
        </w:rPr>
        <w:t>legis</w:t>
      </w:r>
      <w:proofErr w:type="spellEnd"/>
      <w:r w:rsidR="00194B75" w:rsidRPr="002F4ACB">
        <w:rPr>
          <w:rFonts w:ascii="Times New Roman" w:hAnsi="Times New Roman" w:cs="Times New Roman"/>
          <w:i/>
          <w:iCs/>
          <w:sz w:val="24"/>
          <w:szCs w:val="24"/>
        </w:rPr>
        <w:t xml:space="preserve">, </w:t>
      </w:r>
      <w:proofErr w:type="spellStart"/>
      <w:r w:rsidR="00194B75" w:rsidRPr="002F4ACB">
        <w:rPr>
          <w:rFonts w:ascii="Times New Roman" w:hAnsi="Times New Roman" w:cs="Times New Roman"/>
          <w:i/>
          <w:iCs/>
          <w:sz w:val="24"/>
          <w:szCs w:val="24"/>
        </w:rPr>
        <w:t>cessat</w:t>
      </w:r>
      <w:proofErr w:type="spellEnd"/>
      <w:r w:rsidR="00194B75" w:rsidRPr="002F4ACB">
        <w:rPr>
          <w:rFonts w:ascii="Times New Roman" w:hAnsi="Times New Roman" w:cs="Times New Roman"/>
          <w:i/>
          <w:iCs/>
          <w:sz w:val="24"/>
          <w:szCs w:val="24"/>
        </w:rPr>
        <w:t xml:space="preserve"> ipse </w:t>
      </w:r>
      <w:proofErr w:type="spellStart"/>
      <w:r w:rsidR="00194B75" w:rsidRPr="002F4ACB">
        <w:rPr>
          <w:rFonts w:ascii="Times New Roman" w:hAnsi="Times New Roman" w:cs="Times New Roman"/>
          <w:i/>
          <w:iCs/>
          <w:sz w:val="24"/>
          <w:szCs w:val="24"/>
        </w:rPr>
        <w:t>lex</w:t>
      </w:r>
      <w:proofErr w:type="spellEnd"/>
      <w:r w:rsidR="00194B75">
        <w:rPr>
          <w:rFonts w:ascii="Times New Roman" w:hAnsi="Times New Roman" w:cs="Times New Roman"/>
          <w:sz w:val="24"/>
          <w:szCs w:val="24"/>
        </w:rPr>
        <w:t>”, which translates to “if the reason of the law falls away, the law falls away”</w:t>
      </w:r>
      <w:r w:rsidR="00FE679F">
        <w:rPr>
          <w:rFonts w:ascii="Times New Roman" w:hAnsi="Times New Roman" w:cs="Times New Roman"/>
          <w:sz w:val="24"/>
          <w:szCs w:val="24"/>
        </w:rPr>
        <w:t xml:space="preserve">.  </w:t>
      </w:r>
      <w:r w:rsidR="0068394B">
        <w:rPr>
          <w:rFonts w:ascii="Times New Roman" w:hAnsi="Times New Roman" w:cs="Times New Roman"/>
          <w:sz w:val="24"/>
          <w:szCs w:val="24"/>
        </w:rPr>
        <w:t>He argued that the latter principle</w:t>
      </w:r>
      <w:r w:rsidR="00587E00">
        <w:rPr>
          <w:rFonts w:ascii="Times New Roman" w:hAnsi="Times New Roman" w:cs="Times New Roman"/>
          <w:sz w:val="24"/>
          <w:szCs w:val="24"/>
        </w:rPr>
        <w:t xml:space="preserve"> obviated the need for service, once the respondents became aware of its presence in the chamber</w:t>
      </w:r>
      <w:r w:rsidR="00EA34B8">
        <w:rPr>
          <w:rFonts w:ascii="Times New Roman" w:hAnsi="Times New Roman" w:cs="Times New Roman"/>
          <w:sz w:val="24"/>
          <w:szCs w:val="24"/>
        </w:rPr>
        <w:t xml:space="preserve"> book on 4 April 2017.  </w:t>
      </w:r>
      <w:r w:rsidR="00587E00">
        <w:rPr>
          <w:rFonts w:ascii="Times New Roman" w:hAnsi="Times New Roman" w:cs="Times New Roman"/>
          <w:sz w:val="24"/>
          <w:szCs w:val="24"/>
        </w:rPr>
        <w:t xml:space="preserve">He thus submitted that the failure to serve in these circumstances constituted a mere technical breach. </w:t>
      </w:r>
      <w:r w:rsidR="0068394B">
        <w:rPr>
          <w:rFonts w:ascii="Times New Roman" w:hAnsi="Times New Roman" w:cs="Times New Roman"/>
          <w:sz w:val="24"/>
          <w:szCs w:val="24"/>
        </w:rPr>
        <w:t xml:space="preserve"> </w:t>
      </w:r>
      <w:r w:rsidR="00194B75">
        <w:rPr>
          <w:rFonts w:ascii="Times New Roman" w:hAnsi="Times New Roman" w:cs="Times New Roman"/>
          <w:sz w:val="24"/>
          <w:szCs w:val="24"/>
        </w:rPr>
        <w:t>He thus argued that such an awareness prior to the service cured the automatic bar.</w:t>
      </w:r>
    </w:p>
    <w:p w14:paraId="0F673C12" w14:textId="77777777" w:rsidR="00FE679F" w:rsidRDefault="00FE679F" w:rsidP="00F202DA">
      <w:pPr>
        <w:spacing w:after="0" w:line="480" w:lineRule="auto"/>
        <w:ind w:firstLine="1134"/>
        <w:jc w:val="both"/>
        <w:rPr>
          <w:rFonts w:ascii="Times New Roman" w:hAnsi="Times New Roman" w:cs="Times New Roman"/>
          <w:sz w:val="24"/>
          <w:szCs w:val="24"/>
        </w:rPr>
      </w:pPr>
    </w:p>
    <w:p w14:paraId="1C017620" w14:textId="389B5912" w:rsidR="009F6F16" w:rsidRDefault="00194B75" w:rsidP="00FE679F">
      <w:pPr>
        <w:spacing w:line="480" w:lineRule="auto"/>
        <w:ind w:firstLine="1134"/>
        <w:jc w:val="both"/>
        <w:rPr>
          <w:rFonts w:ascii="Times New Roman" w:hAnsi="Times New Roman" w:cs="Times New Roman"/>
          <w:sz w:val="24"/>
          <w:szCs w:val="24"/>
        </w:rPr>
      </w:pP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w:t>
      </w:r>
      <w:proofErr w:type="spellStart"/>
      <w:r w:rsidRPr="00FB0C26">
        <w:rPr>
          <w:rFonts w:ascii="Times New Roman" w:hAnsi="Times New Roman" w:cs="Times New Roman"/>
          <w:i/>
          <w:sz w:val="24"/>
          <w:szCs w:val="24"/>
        </w:rPr>
        <w:t>Kadye</w:t>
      </w:r>
      <w:proofErr w:type="spellEnd"/>
      <w:r w:rsidRPr="00FE679F">
        <w:rPr>
          <w:rFonts w:ascii="Times New Roman" w:hAnsi="Times New Roman" w:cs="Times New Roman"/>
          <w:sz w:val="24"/>
          <w:szCs w:val="24"/>
        </w:rPr>
        <w:t xml:space="preserve"> </w:t>
      </w:r>
      <w:r>
        <w:rPr>
          <w:rFonts w:ascii="Times New Roman" w:hAnsi="Times New Roman" w:cs="Times New Roman"/>
          <w:sz w:val="24"/>
          <w:szCs w:val="24"/>
        </w:rPr>
        <w:t xml:space="preserve">also </w:t>
      </w:r>
      <w:r w:rsidR="00314743">
        <w:rPr>
          <w:rFonts w:ascii="Times New Roman" w:hAnsi="Times New Roman" w:cs="Times New Roman"/>
          <w:sz w:val="24"/>
          <w:szCs w:val="24"/>
        </w:rPr>
        <w:t xml:space="preserve">argued that the power of attorney constituted a surety and consent to </w:t>
      </w:r>
      <w:r w:rsidR="00615A49">
        <w:rPr>
          <w:rFonts w:ascii="Times New Roman" w:hAnsi="Times New Roman" w:cs="Times New Roman"/>
          <w:sz w:val="24"/>
          <w:szCs w:val="24"/>
        </w:rPr>
        <w:t xml:space="preserve">the </w:t>
      </w:r>
      <w:r w:rsidR="00314743">
        <w:rPr>
          <w:rFonts w:ascii="Times New Roman" w:hAnsi="Times New Roman" w:cs="Times New Roman"/>
          <w:sz w:val="24"/>
          <w:szCs w:val="24"/>
        </w:rPr>
        <w:t xml:space="preserve">sale </w:t>
      </w:r>
      <w:r w:rsidR="00FE679F">
        <w:rPr>
          <w:rFonts w:ascii="Times New Roman" w:hAnsi="Times New Roman" w:cs="Times New Roman"/>
          <w:sz w:val="24"/>
          <w:szCs w:val="24"/>
        </w:rPr>
        <w:t>and transfer</w:t>
      </w:r>
      <w:r w:rsidR="00314743">
        <w:rPr>
          <w:rFonts w:ascii="Times New Roman" w:hAnsi="Times New Roman" w:cs="Times New Roman"/>
          <w:sz w:val="24"/>
          <w:szCs w:val="24"/>
        </w:rPr>
        <w:t xml:space="preserve"> </w:t>
      </w:r>
      <w:r w:rsidR="00615A49">
        <w:rPr>
          <w:rFonts w:ascii="Times New Roman" w:hAnsi="Times New Roman" w:cs="Times New Roman"/>
          <w:sz w:val="24"/>
          <w:szCs w:val="24"/>
        </w:rPr>
        <w:t xml:space="preserve">of </w:t>
      </w:r>
      <w:r w:rsidR="00314743">
        <w:rPr>
          <w:rFonts w:ascii="Times New Roman" w:hAnsi="Times New Roman" w:cs="Times New Roman"/>
          <w:sz w:val="24"/>
          <w:szCs w:val="24"/>
        </w:rPr>
        <w:t xml:space="preserve">the immovable property in the event that the debtor failed to pay the outstanding principal amount. </w:t>
      </w:r>
      <w:r w:rsidR="00EA34B8">
        <w:rPr>
          <w:rFonts w:ascii="Times New Roman" w:hAnsi="Times New Roman" w:cs="Times New Roman"/>
          <w:sz w:val="24"/>
          <w:szCs w:val="24"/>
        </w:rPr>
        <w:t xml:space="preserve"> </w:t>
      </w:r>
      <w:r w:rsidR="00314743">
        <w:rPr>
          <w:rFonts w:ascii="Times New Roman" w:hAnsi="Times New Roman" w:cs="Times New Roman"/>
          <w:sz w:val="24"/>
          <w:szCs w:val="24"/>
        </w:rPr>
        <w:t xml:space="preserve">The debtor had failed to meet its pending obligations. </w:t>
      </w:r>
      <w:r w:rsidR="00EA34B8">
        <w:rPr>
          <w:rFonts w:ascii="Times New Roman" w:hAnsi="Times New Roman" w:cs="Times New Roman"/>
          <w:sz w:val="24"/>
          <w:szCs w:val="24"/>
        </w:rPr>
        <w:t xml:space="preserve"> </w:t>
      </w:r>
      <w:r w:rsidR="00314743">
        <w:rPr>
          <w:rFonts w:ascii="Times New Roman" w:hAnsi="Times New Roman" w:cs="Times New Roman"/>
          <w:sz w:val="24"/>
          <w:szCs w:val="24"/>
        </w:rPr>
        <w:t xml:space="preserve">The appellant </w:t>
      </w:r>
      <w:r w:rsidR="00314743">
        <w:rPr>
          <w:rFonts w:ascii="Times New Roman" w:hAnsi="Times New Roman" w:cs="Times New Roman"/>
          <w:sz w:val="24"/>
          <w:szCs w:val="24"/>
        </w:rPr>
        <w:lastRenderedPageBreak/>
        <w:t>was therefore empowered by the surety agreement to alienate the property to settle the indebtedness.</w:t>
      </w:r>
    </w:p>
    <w:p w14:paraId="4A7D812F" w14:textId="77777777" w:rsidR="00FE679F" w:rsidRDefault="00FE679F" w:rsidP="00FE679F">
      <w:pPr>
        <w:spacing w:after="0" w:line="240" w:lineRule="auto"/>
        <w:ind w:firstLine="1134"/>
        <w:jc w:val="both"/>
        <w:rPr>
          <w:rFonts w:ascii="Times New Roman" w:hAnsi="Times New Roman" w:cs="Times New Roman"/>
          <w:sz w:val="24"/>
          <w:szCs w:val="24"/>
        </w:rPr>
      </w:pPr>
    </w:p>
    <w:p w14:paraId="038CB4D5" w14:textId="3AB4DC49" w:rsidR="00FE679F" w:rsidRDefault="007D7EFE" w:rsidP="00CE236F">
      <w:pPr>
        <w:spacing w:line="480" w:lineRule="auto"/>
        <w:ind w:firstLine="1134"/>
        <w:jc w:val="both"/>
        <w:rPr>
          <w:rFonts w:ascii="Times New Roman" w:hAnsi="Times New Roman" w:cs="Times New Roman"/>
          <w:sz w:val="24"/>
          <w:szCs w:val="24"/>
        </w:rPr>
      </w:pPr>
      <w:r>
        <w:rPr>
          <w:rFonts w:ascii="Times New Roman" w:hAnsi="Times New Roman" w:cs="Times New Roman"/>
          <w:sz w:val="24"/>
          <w:szCs w:val="24"/>
        </w:rPr>
        <w:t>On the other hand,</w:t>
      </w:r>
      <w:r w:rsidR="00352BF2">
        <w:rPr>
          <w:rFonts w:ascii="Times New Roman" w:hAnsi="Times New Roman" w:cs="Times New Roman"/>
          <w:sz w:val="24"/>
          <w:szCs w:val="24"/>
        </w:rPr>
        <w:t xml:space="preserve"> </w:t>
      </w:r>
      <w:proofErr w:type="spellStart"/>
      <w:r w:rsidR="00E33C7E">
        <w:rPr>
          <w:rFonts w:ascii="Times New Roman" w:hAnsi="Times New Roman" w:cs="Times New Roman"/>
          <w:sz w:val="24"/>
          <w:szCs w:val="24"/>
        </w:rPr>
        <w:t>Mr</w:t>
      </w:r>
      <w:proofErr w:type="spellEnd"/>
      <w:r w:rsidR="00E33C7E">
        <w:rPr>
          <w:rFonts w:ascii="Times New Roman" w:hAnsi="Times New Roman" w:cs="Times New Roman"/>
          <w:sz w:val="24"/>
          <w:szCs w:val="24"/>
        </w:rPr>
        <w:t xml:space="preserve"> </w:t>
      </w:r>
      <w:proofErr w:type="spellStart"/>
      <w:r w:rsidR="00E33C7E" w:rsidRPr="004F734C">
        <w:rPr>
          <w:rFonts w:ascii="Times New Roman" w:hAnsi="Times New Roman" w:cs="Times New Roman"/>
          <w:i/>
          <w:iCs/>
          <w:sz w:val="24"/>
          <w:szCs w:val="24"/>
        </w:rPr>
        <w:t>Mukonoweshuro</w:t>
      </w:r>
      <w:proofErr w:type="spellEnd"/>
      <w:r w:rsidR="00E33C7E">
        <w:rPr>
          <w:rFonts w:ascii="Times New Roman" w:hAnsi="Times New Roman" w:cs="Times New Roman"/>
          <w:sz w:val="24"/>
          <w:szCs w:val="24"/>
        </w:rPr>
        <w:t>, for the respondents conceded that the explanation for the failure to serve the appearance within the prescribe</w:t>
      </w:r>
      <w:r w:rsidR="00A11BFD">
        <w:rPr>
          <w:rFonts w:ascii="Times New Roman" w:hAnsi="Times New Roman" w:cs="Times New Roman"/>
          <w:sz w:val="24"/>
          <w:szCs w:val="24"/>
        </w:rPr>
        <w:t>d</w:t>
      </w:r>
      <w:r w:rsidR="00E33C7E">
        <w:rPr>
          <w:rFonts w:ascii="Times New Roman" w:hAnsi="Times New Roman" w:cs="Times New Roman"/>
          <w:sz w:val="24"/>
          <w:szCs w:val="24"/>
        </w:rPr>
        <w:t xml:space="preserve"> time frame was reasonable. </w:t>
      </w:r>
      <w:r w:rsidR="00EA34B8">
        <w:rPr>
          <w:rFonts w:ascii="Times New Roman" w:hAnsi="Times New Roman" w:cs="Times New Roman"/>
          <w:sz w:val="24"/>
          <w:szCs w:val="24"/>
        </w:rPr>
        <w:t xml:space="preserve"> </w:t>
      </w:r>
      <w:r w:rsidR="00E33C7E">
        <w:rPr>
          <w:rFonts w:ascii="Times New Roman" w:hAnsi="Times New Roman" w:cs="Times New Roman"/>
          <w:sz w:val="24"/>
          <w:szCs w:val="24"/>
        </w:rPr>
        <w:t>He however contended that</w:t>
      </w:r>
      <w:r w:rsidR="004F734C">
        <w:rPr>
          <w:rFonts w:ascii="Times New Roman" w:hAnsi="Times New Roman" w:cs="Times New Roman"/>
          <w:sz w:val="24"/>
          <w:szCs w:val="24"/>
        </w:rPr>
        <w:t xml:space="preserve">, as the appellant had not proffered an explanation for the delay in filing the application in his founding affidavit, the extent of the delay was overly inordinate. </w:t>
      </w:r>
      <w:r w:rsidR="00E33C7E">
        <w:rPr>
          <w:rFonts w:ascii="Times New Roman" w:hAnsi="Times New Roman" w:cs="Times New Roman"/>
          <w:sz w:val="24"/>
          <w:szCs w:val="24"/>
        </w:rPr>
        <w:t xml:space="preserve"> </w:t>
      </w:r>
      <w:r w:rsidR="00587E00">
        <w:rPr>
          <w:rFonts w:ascii="Times New Roman" w:hAnsi="Times New Roman" w:cs="Times New Roman"/>
          <w:sz w:val="24"/>
          <w:szCs w:val="24"/>
        </w:rPr>
        <w:t>He argued on the strength of</w:t>
      </w:r>
      <w:r w:rsidR="00ED3DEC">
        <w:rPr>
          <w:rFonts w:ascii="Times New Roman" w:hAnsi="Times New Roman" w:cs="Times New Roman"/>
          <w:kern w:val="0"/>
          <w:sz w:val="24"/>
          <w:szCs w:val="24"/>
          <w:lang w:val="en-ZW"/>
        </w:rPr>
        <w:t xml:space="preserve"> </w:t>
      </w:r>
      <w:proofErr w:type="spellStart"/>
      <w:r w:rsidR="00ED3DEC" w:rsidRPr="00ED3DEC">
        <w:rPr>
          <w:rFonts w:ascii="Times New Roman" w:hAnsi="Times New Roman" w:cs="Times New Roman"/>
          <w:i/>
          <w:iCs/>
          <w:kern w:val="0"/>
          <w:sz w:val="24"/>
          <w:szCs w:val="24"/>
          <w:lang w:val="en-ZW"/>
        </w:rPr>
        <w:t>Fuyana</w:t>
      </w:r>
      <w:proofErr w:type="spellEnd"/>
      <w:r w:rsidR="00ED3DEC" w:rsidRPr="00ED3DEC">
        <w:rPr>
          <w:rFonts w:ascii="Times New Roman" w:hAnsi="Times New Roman" w:cs="Times New Roman"/>
          <w:i/>
          <w:iCs/>
          <w:kern w:val="0"/>
          <w:sz w:val="24"/>
          <w:szCs w:val="24"/>
          <w:lang w:val="en-ZW"/>
        </w:rPr>
        <w:t xml:space="preserve"> </w:t>
      </w:r>
      <w:r w:rsidR="00ED3DEC" w:rsidRPr="00EA34B8">
        <w:rPr>
          <w:rFonts w:ascii="Times New Roman" w:hAnsi="Times New Roman" w:cs="Times New Roman"/>
          <w:iCs/>
          <w:kern w:val="0"/>
          <w:sz w:val="24"/>
          <w:szCs w:val="24"/>
          <w:lang w:val="en-ZW"/>
        </w:rPr>
        <w:t>v</w:t>
      </w:r>
      <w:r w:rsidR="00ED3DEC" w:rsidRPr="00ED3DEC">
        <w:rPr>
          <w:rFonts w:ascii="Times New Roman" w:hAnsi="Times New Roman" w:cs="Times New Roman"/>
          <w:i/>
          <w:iCs/>
          <w:kern w:val="0"/>
          <w:sz w:val="24"/>
          <w:szCs w:val="24"/>
          <w:lang w:val="en-ZW"/>
        </w:rPr>
        <w:t xml:space="preserve"> </w:t>
      </w:r>
      <w:proofErr w:type="spellStart"/>
      <w:r w:rsidR="00ED3DEC" w:rsidRPr="00ED3DEC">
        <w:rPr>
          <w:rFonts w:ascii="Times New Roman" w:hAnsi="Times New Roman" w:cs="Times New Roman"/>
          <w:i/>
          <w:iCs/>
          <w:kern w:val="0"/>
          <w:sz w:val="24"/>
          <w:szCs w:val="24"/>
          <w:lang w:val="en-ZW"/>
        </w:rPr>
        <w:t>Moyo</w:t>
      </w:r>
      <w:proofErr w:type="spellEnd"/>
      <w:r w:rsidR="00ED3DEC">
        <w:rPr>
          <w:rFonts w:ascii="Times New Roman" w:hAnsi="Times New Roman" w:cs="Times New Roman"/>
          <w:kern w:val="0"/>
          <w:sz w:val="24"/>
          <w:szCs w:val="24"/>
          <w:lang w:val="en-ZW"/>
        </w:rPr>
        <w:t xml:space="preserve"> SC 54/06 </w:t>
      </w:r>
      <w:r w:rsidR="00000C12">
        <w:rPr>
          <w:rFonts w:ascii="Times New Roman" w:hAnsi="Times New Roman" w:cs="Times New Roman"/>
          <w:kern w:val="0"/>
          <w:sz w:val="24"/>
          <w:szCs w:val="24"/>
          <w:lang w:val="en-ZW"/>
        </w:rPr>
        <w:t xml:space="preserve">at p </w:t>
      </w:r>
      <w:r w:rsidR="0091609C">
        <w:rPr>
          <w:rFonts w:ascii="Times New Roman" w:hAnsi="Times New Roman" w:cs="Times New Roman"/>
          <w:kern w:val="0"/>
          <w:sz w:val="24"/>
          <w:szCs w:val="24"/>
          <w:lang w:val="en-ZW"/>
        </w:rPr>
        <w:t xml:space="preserve">10 </w:t>
      </w:r>
      <w:r w:rsidR="00ED3DEC">
        <w:rPr>
          <w:rFonts w:ascii="Times New Roman" w:hAnsi="Times New Roman" w:cs="Times New Roman"/>
          <w:kern w:val="0"/>
          <w:sz w:val="24"/>
          <w:szCs w:val="24"/>
          <w:lang w:val="en-ZW"/>
        </w:rPr>
        <w:t xml:space="preserve">and </w:t>
      </w:r>
      <w:r w:rsidR="00587E00" w:rsidRPr="00CF77A2">
        <w:rPr>
          <w:rFonts w:ascii="Times New Roman" w:hAnsi="Times New Roman" w:cs="Times New Roman"/>
          <w:i/>
          <w:iCs/>
          <w:sz w:val="24"/>
          <w:szCs w:val="24"/>
        </w:rPr>
        <w:t xml:space="preserve">Muchini </w:t>
      </w:r>
      <w:r w:rsidR="00587E00" w:rsidRPr="00EA34B8">
        <w:rPr>
          <w:rFonts w:ascii="Times New Roman" w:hAnsi="Times New Roman" w:cs="Times New Roman"/>
          <w:iCs/>
          <w:sz w:val="24"/>
          <w:szCs w:val="24"/>
        </w:rPr>
        <w:t>v</w:t>
      </w:r>
      <w:r w:rsidR="00587E00" w:rsidRPr="00CF77A2">
        <w:rPr>
          <w:rFonts w:ascii="Times New Roman" w:hAnsi="Times New Roman" w:cs="Times New Roman"/>
          <w:i/>
          <w:iCs/>
          <w:sz w:val="24"/>
          <w:szCs w:val="24"/>
        </w:rPr>
        <w:t xml:space="preserve"> Adam</w:t>
      </w:r>
      <w:r w:rsidR="00587E00">
        <w:rPr>
          <w:rFonts w:ascii="Times New Roman" w:hAnsi="Times New Roman" w:cs="Times New Roman"/>
          <w:i/>
          <w:iCs/>
          <w:sz w:val="24"/>
          <w:szCs w:val="24"/>
        </w:rPr>
        <w:t xml:space="preserve">s </w:t>
      </w:r>
      <w:r w:rsidR="00587E00">
        <w:rPr>
          <w:rFonts w:ascii="Times New Roman" w:hAnsi="Times New Roman" w:cs="Times New Roman"/>
          <w:sz w:val="24"/>
          <w:szCs w:val="24"/>
        </w:rPr>
        <w:t>2013 (1) ZLR 67 (S) at 70A that</w:t>
      </w:r>
      <w:r w:rsidR="00A757EB">
        <w:rPr>
          <w:rFonts w:ascii="Times New Roman" w:hAnsi="Times New Roman" w:cs="Times New Roman"/>
          <w:sz w:val="24"/>
          <w:szCs w:val="24"/>
        </w:rPr>
        <w:t>, for it to be valid, the</w:t>
      </w:r>
      <w:r w:rsidR="00587E00">
        <w:rPr>
          <w:rFonts w:ascii="Times New Roman" w:hAnsi="Times New Roman" w:cs="Times New Roman"/>
          <w:sz w:val="24"/>
          <w:szCs w:val="24"/>
        </w:rPr>
        <w:t xml:space="preserve"> </w:t>
      </w:r>
      <w:r w:rsidR="00587E00" w:rsidRPr="00A757EB">
        <w:rPr>
          <w:rFonts w:ascii="Times New Roman" w:hAnsi="Times New Roman" w:cs="Times New Roman"/>
          <w:i/>
          <w:iCs/>
          <w:sz w:val="24"/>
          <w:szCs w:val="24"/>
        </w:rPr>
        <w:t xml:space="preserve">cessante </w:t>
      </w:r>
      <w:r w:rsidR="00A757EB">
        <w:rPr>
          <w:rFonts w:ascii="Times New Roman" w:hAnsi="Times New Roman" w:cs="Times New Roman"/>
          <w:sz w:val="24"/>
          <w:szCs w:val="24"/>
        </w:rPr>
        <w:t xml:space="preserve">based explanation should </w:t>
      </w:r>
      <w:r w:rsidR="00587E00">
        <w:rPr>
          <w:rFonts w:ascii="Times New Roman" w:hAnsi="Times New Roman" w:cs="Times New Roman"/>
          <w:sz w:val="24"/>
          <w:szCs w:val="24"/>
        </w:rPr>
        <w:t xml:space="preserve">have been raised in the founding affidavit and not in the answering </w:t>
      </w:r>
      <w:r w:rsidR="00FE679F">
        <w:rPr>
          <w:rFonts w:ascii="Times New Roman" w:hAnsi="Times New Roman" w:cs="Times New Roman"/>
          <w:sz w:val="24"/>
          <w:szCs w:val="24"/>
        </w:rPr>
        <w:t xml:space="preserve">affidavit.  </w:t>
      </w:r>
      <w:r w:rsidR="000B126E">
        <w:rPr>
          <w:rFonts w:ascii="Times New Roman" w:hAnsi="Times New Roman" w:cs="Times New Roman"/>
          <w:sz w:val="24"/>
          <w:szCs w:val="24"/>
        </w:rPr>
        <w:t xml:space="preserve">He therefore requested the court </w:t>
      </w:r>
      <w:r w:rsidR="000B126E" w:rsidRPr="008F4A2F">
        <w:rPr>
          <w:rFonts w:ascii="Times New Roman" w:hAnsi="Times New Roman" w:cs="Times New Roman"/>
          <w:i/>
          <w:iCs/>
          <w:sz w:val="24"/>
          <w:szCs w:val="24"/>
        </w:rPr>
        <w:t>a quo</w:t>
      </w:r>
      <w:r w:rsidR="000B126E">
        <w:rPr>
          <w:rFonts w:ascii="Times New Roman" w:hAnsi="Times New Roman" w:cs="Times New Roman"/>
          <w:sz w:val="24"/>
          <w:szCs w:val="24"/>
        </w:rPr>
        <w:t xml:space="preserve"> to </w:t>
      </w:r>
      <w:r w:rsidR="00FE679F">
        <w:rPr>
          <w:rFonts w:ascii="Times New Roman" w:hAnsi="Times New Roman" w:cs="Times New Roman"/>
          <w:sz w:val="24"/>
          <w:szCs w:val="24"/>
        </w:rPr>
        <w:t xml:space="preserve">ignore the belated explanation.  </w:t>
      </w:r>
      <w:r w:rsidR="000B126E">
        <w:rPr>
          <w:rFonts w:ascii="Times New Roman" w:hAnsi="Times New Roman" w:cs="Times New Roman"/>
          <w:sz w:val="24"/>
          <w:szCs w:val="24"/>
        </w:rPr>
        <w:t>He also argued that the failure to comply with a mandatory legislative decree</w:t>
      </w:r>
      <w:r w:rsidR="003F0578">
        <w:rPr>
          <w:rFonts w:ascii="Times New Roman" w:hAnsi="Times New Roman" w:cs="Times New Roman"/>
          <w:sz w:val="24"/>
          <w:szCs w:val="24"/>
        </w:rPr>
        <w:t xml:space="preserve"> was a material breach, which could only be rectified by a condonation order. </w:t>
      </w:r>
    </w:p>
    <w:p w14:paraId="131A4E6E" w14:textId="77777777" w:rsidR="00CE236F" w:rsidRDefault="00CE236F" w:rsidP="00CE236F">
      <w:pPr>
        <w:spacing w:after="0" w:line="240" w:lineRule="auto"/>
        <w:jc w:val="both"/>
        <w:rPr>
          <w:rFonts w:ascii="Times New Roman" w:hAnsi="Times New Roman" w:cs="Times New Roman"/>
          <w:sz w:val="24"/>
          <w:szCs w:val="24"/>
        </w:rPr>
      </w:pPr>
    </w:p>
    <w:p w14:paraId="33BCEB12" w14:textId="069520CD" w:rsidR="00E33C7E" w:rsidRDefault="00615A49" w:rsidP="00FE679F">
      <w:pPr>
        <w:spacing w:line="480" w:lineRule="auto"/>
        <w:ind w:firstLine="1134"/>
        <w:jc w:val="both"/>
        <w:rPr>
          <w:rFonts w:ascii="Times New Roman" w:hAnsi="Times New Roman" w:cs="Times New Roman"/>
          <w:sz w:val="24"/>
          <w:szCs w:val="24"/>
        </w:rPr>
      </w:pP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w:t>
      </w:r>
      <w:proofErr w:type="spellStart"/>
      <w:r w:rsidRPr="00615A49">
        <w:rPr>
          <w:rFonts w:ascii="Times New Roman" w:hAnsi="Times New Roman" w:cs="Times New Roman"/>
          <w:i/>
          <w:iCs/>
          <w:sz w:val="24"/>
          <w:szCs w:val="24"/>
        </w:rPr>
        <w:t>Mukonweshuro</w:t>
      </w:r>
      <w:proofErr w:type="spellEnd"/>
      <w:r>
        <w:rPr>
          <w:rFonts w:ascii="Times New Roman" w:hAnsi="Times New Roman" w:cs="Times New Roman"/>
          <w:sz w:val="24"/>
          <w:szCs w:val="24"/>
        </w:rPr>
        <w:t xml:space="preserve"> further </w:t>
      </w:r>
      <w:r w:rsidR="004F734C">
        <w:rPr>
          <w:rFonts w:ascii="Times New Roman" w:hAnsi="Times New Roman" w:cs="Times New Roman"/>
          <w:sz w:val="24"/>
          <w:szCs w:val="24"/>
        </w:rPr>
        <w:t>contended that, as the appellant did not have a</w:t>
      </w:r>
      <w:r w:rsidR="005F2F28">
        <w:rPr>
          <w:rFonts w:ascii="Times New Roman" w:hAnsi="Times New Roman" w:cs="Times New Roman"/>
          <w:sz w:val="24"/>
          <w:szCs w:val="24"/>
        </w:rPr>
        <w:t xml:space="preserve"> good and</w:t>
      </w:r>
      <w:r w:rsidR="004F734C">
        <w:rPr>
          <w:rFonts w:ascii="Times New Roman" w:hAnsi="Times New Roman" w:cs="Times New Roman"/>
          <w:sz w:val="24"/>
          <w:szCs w:val="24"/>
        </w:rPr>
        <w:t xml:space="preserve"> </w:t>
      </w:r>
      <w:r w:rsidR="004F734C" w:rsidRPr="004F734C">
        <w:rPr>
          <w:rFonts w:ascii="Times New Roman" w:hAnsi="Times New Roman" w:cs="Times New Roman"/>
          <w:i/>
          <w:iCs/>
          <w:sz w:val="24"/>
          <w:szCs w:val="24"/>
        </w:rPr>
        <w:t>bona fide</w:t>
      </w:r>
      <w:r w:rsidR="004F734C">
        <w:rPr>
          <w:rFonts w:ascii="Times New Roman" w:hAnsi="Times New Roman" w:cs="Times New Roman"/>
          <w:sz w:val="24"/>
          <w:szCs w:val="24"/>
        </w:rPr>
        <w:t xml:space="preserve"> defence to the claim, he did not have any prospects of success on the merits. </w:t>
      </w:r>
      <w:r w:rsidR="00E346BB">
        <w:rPr>
          <w:rFonts w:ascii="Times New Roman" w:hAnsi="Times New Roman" w:cs="Times New Roman"/>
          <w:sz w:val="24"/>
          <w:szCs w:val="24"/>
        </w:rPr>
        <w:t xml:space="preserve"> He </w:t>
      </w:r>
      <w:r>
        <w:rPr>
          <w:rFonts w:ascii="Times New Roman" w:hAnsi="Times New Roman" w:cs="Times New Roman"/>
          <w:sz w:val="24"/>
          <w:szCs w:val="24"/>
        </w:rPr>
        <w:t xml:space="preserve">also argued </w:t>
      </w:r>
      <w:r w:rsidR="00E346BB">
        <w:rPr>
          <w:rFonts w:ascii="Times New Roman" w:hAnsi="Times New Roman" w:cs="Times New Roman"/>
          <w:sz w:val="24"/>
          <w:szCs w:val="24"/>
        </w:rPr>
        <w:t xml:space="preserve">that the surety agreement, encapsulated in the power of attorney, as between NFL and the respondents, </w:t>
      </w:r>
      <w:r w:rsidR="00584420">
        <w:rPr>
          <w:rFonts w:ascii="Times New Roman" w:hAnsi="Times New Roman" w:cs="Times New Roman"/>
          <w:sz w:val="24"/>
          <w:szCs w:val="24"/>
        </w:rPr>
        <w:t xml:space="preserve">would have </w:t>
      </w:r>
      <w:r w:rsidR="00E346BB">
        <w:rPr>
          <w:rFonts w:ascii="Times New Roman" w:hAnsi="Times New Roman" w:cs="Times New Roman"/>
          <w:sz w:val="24"/>
          <w:szCs w:val="24"/>
        </w:rPr>
        <w:t xml:space="preserve">constituted an illegal and therefore unenforceable </w:t>
      </w:r>
      <w:r w:rsidR="00E346BB" w:rsidRPr="00E346BB">
        <w:rPr>
          <w:rFonts w:ascii="Times New Roman" w:hAnsi="Times New Roman" w:cs="Times New Roman"/>
          <w:i/>
          <w:iCs/>
          <w:sz w:val="24"/>
          <w:szCs w:val="24"/>
        </w:rPr>
        <w:t xml:space="preserve">pactum </w:t>
      </w:r>
      <w:r w:rsidR="00584420">
        <w:rPr>
          <w:rFonts w:ascii="Times New Roman" w:hAnsi="Times New Roman" w:cs="Times New Roman"/>
          <w:i/>
          <w:iCs/>
          <w:sz w:val="24"/>
          <w:szCs w:val="24"/>
        </w:rPr>
        <w:t>commi</w:t>
      </w:r>
      <w:r w:rsidR="00E346BB" w:rsidRPr="00E346BB">
        <w:rPr>
          <w:rFonts w:ascii="Times New Roman" w:hAnsi="Times New Roman" w:cs="Times New Roman"/>
          <w:i/>
          <w:iCs/>
          <w:sz w:val="24"/>
          <w:szCs w:val="24"/>
        </w:rPr>
        <w:t>ssorium</w:t>
      </w:r>
      <w:r w:rsidR="00584420">
        <w:rPr>
          <w:rFonts w:ascii="Times New Roman" w:hAnsi="Times New Roman" w:cs="Times New Roman"/>
          <w:i/>
          <w:iCs/>
          <w:sz w:val="24"/>
          <w:szCs w:val="24"/>
        </w:rPr>
        <w:t xml:space="preserve">, </w:t>
      </w:r>
      <w:r w:rsidR="00584420">
        <w:rPr>
          <w:rFonts w:ascii="Times New Roman" w:hAnsi="Times New Roman" w:cs="Times New Roman"/>
          <w:sz w:val="24"/>
          <w:szCs w:val="24"/>
        </w:rPr>
        <w:t>had the respondents been indebted to NFL.</w:t>
      </w:r>
      <w:r w:rsidR="00EA34B8">
        <w:rPr>
          <w:rFonts w:ascii="Times New Roman" w:hAnsi="Times New Roman" w:cs="Times New Roman"/>
          <w:sz w:val="24"/>
          <w:szCs w:val="24"/>
        </w:rPr>
        <w:t xml:space="preserve">  </w:t>
      </w:r>
      <w:r w:rsidR="005B0ACC">
        <w:rPr>
          <w:rFonts w:ascii="Times New Roman" w:hAnsi="Times New Roman" w:cs="Times New Roman"/>
          <w:sz w:val="24"/>
          <w:szCs w:val="24"/>
        </w:rPr>
        <w:t>Further, that, as the respondents did not bind themselves as co-prin</w:t>
      </w:r>
      <w:r w:rsidR="00F10007">
        <w:rPr>
          <w:rFonts w:ascii="Times New Roman" w:hAnsi="Times New Roman" w:cs="Times New Roman"/>
          <w:sz w:val="24"/>
          <w:szCs w:val="24"/>
        </w:rPr>
        <w:t>c</w:t>
      </w:r>
      <w:r w:rsidR="005B0ACC">
        <w:rPr>
          <w:rFonts w:ascii="Times New Roman" w:hAnsi="Times New Roman" w:cs="Times New Roman"/>
          <w:sz w:val="24"/>
          <w:szCs w:val="24"/>
        </w:rPr>
        <w:t xml:space="preserve">ipal debtors with the debtor, their property could only be sold and transferred by an order of court or with their consent. </w:t>
      </w:r>
      <w:r w:rsidR="00421218">
        <w:rPr>
          <w:rFonts w:ascii="Times New Roman" w:hAnsi="Times New Roman" w:cs="Times New Roman"/>
          <w:sz w:val="24"/>
          <w:szCs w:val="24"/>
        </w:rPr>
        <w:t xml:space="preserve">He also contended that the </w:t>
      </w:r>
      <w:r w:rsidR="00F10007">
        <w:rPr>
          <w:rFonts w:ascii="Times New Roman" w:hAnsi="Times New Roman" w:cs="Times New Roman"/>
          <w:sz w:val="24"/>
          <w:szCs w:val="24"/>
        </w:rPr>
        <w:t xml:space="preserve">absence of the seller’s power of attorney and declaration to transfer the property affirmed that they never consented to the sale and transfer. </w:t>
      </w:r>
      <w:r w:rsidR="00EA34B8">
        <w:rPr>
          <w:rFonts w:ascii="Times New Roman" w:hAnsi="Times New Roman" w:cs="Times New Roman"/>
          <w:sz w:val="24"/>
          <w:szCs w:val="24"/>
        </w:rPr>
        <w:t xml:space="preserve"> </w:t>
      </w:r>
      <w:r w:rsidR="00F10007">
        <w:rPr>
          <w:rFonts w:ascii="Times New Roman" w:hAnsi="Times New Roman" w:cs="Times New Roman"/>
          <w:sz w:val="24"/>
          <w:szCs w:val="24"/>
        </w:rPr>
        <w:t xml:space="preserve">The </w:t>
      </w:r>
      <w:r w:rsidR="00601A86">
        <w:rPr>
          <w:rFonts w:ascii="Times New Roman" w:hAnsi="Times New Roman" w:cs="Times New Roman"/>
          <w:sz w:val="24"/>
          <w:szCs w:val="24"/>
        </w:rPr>
        <w:t>overall</w:t>
      </w:r>
      <w:r w:rsidR="005B0ACC">
        <w:rPr>
          <w:rFonts w:ascii="Times New Roman" w:hAnsi="Times New Roman" w:cs="Times New Roman"/>
          <w:sz w:val="24"/>
          <w:szCs w:val="24"/>
        </w:rPr>
        <w:t xml:space="preserve"> absence of either of these two, </w:t>
      </w:r>
      <w:r w:rsidR="00421218">
        <w:rPr>
          <w:rFonts w:ascii="Times New Roman" w:hAnsi="Times New Roman" w:cs="Times New Roman"/>
          <w:sz w:val="24"/>
          <w:szCs w:val="24"/>
        </w:rPr>
        <w:t xml:space="preserve">so his argument went, </w:t>
      </w:r>
      <w:r w:rsidR="005B0ACC">
        <w:rPr>
          <w:rFonts w:ascii="Times New Roman" w:hAnsi="Times New Roman" w:cs="Times New Roman"/>
          <w:sz w:val="24"/>
          <w:szCs w:val="24"/>
        </w:rPr>
        <w:t>invalidated the sale and transfer of t</w:t>
      </w:r>
      <w:r w:rsidR="00421218">
        <w:rPr>
          <w:rFonts w:ascii="Times New Roman" w:hAnsi="Times New Roman" w:cs="Times New Roman"/>
          <w:sz w:val="24"/>
          <w:szCs w:val="24"/>
        </w:rPr>
        <w:t xml:space="preserve">he </w:t>
      </w:r>
      <w:r w:rsidR="005B0ACC">
        <w:rPr>
          <w:rFonts w:ascii="Times New Roman" w:hAnsi="Times New Roman" w:cs="Times New Roman"/>
          <w:sz w:val="24"/>
          <w:szCs w:val="24"/>
        </w:rPr>
        <w:t>im</w:t>
      </w:r>
      <w:r w:rsidR="00F10007">
        <w:rPr>
          <w:rFonts w:ascii="Times New Roman" w:hAnsi="Times New Roman" w:cs="Times New Roman"/>
          <w:sz w:val="24"/>
          <w:szCs w:val="24"/>
        </w:rPr>
        <w:t>m</w:t>
      </w:r>
      <w:r w:rsidR="005B0ACC">
        <w:rPr>
          <w:rFonts w:ascii="Times New Roman" w:hAnsi="Times New Roman" w:cs="Times New Roman"/>
          <w:sz w:val="24"/>
          <w:szCs w:val="24"/>
        </w:rPr>
        <w:t xml:space="preserve">ovable property. </w:t>
      </w:r>
      <w:r w:rsidR="00EA34B8">
        <w:rPr>
          <w:rFonts w:ascii="Times New Roman" w:hAnsi="Times New Roman" w:cs="Times New Roman"/>
          <w:sz w:val="24"/>
          <w:szCs w:val="24"/>
        </w:rPr>
        <w:t xml:space="preserve"> </w:t>
      </w:r>
      <w:r w:rsidR="004F734C">
        <w:rPr>
          <w:rFonts w:ascii="Times New Roman" w:hAnsi="Times New Roman" w:cs="Times New Roman"/>
          <w:sz w:val="24"/>
          <w:szCs w:val="24"/>
        </w:rPr>
        <w:t xml:space="preserve">He further argued that </w:t>
      </w:r>
      <w:r w:rsidR="007D7EFE">
        <w:rPr>
          <w:rFonts w:ascii="Times New Roman" w:hAnsi="Times New Roman" w:cs="Times New Roman"/>
          <w:sz w:val="24"/>
          <w:szCs w:val="24"/>
        </w:rPr>
        <w:t xml:space="preserve">the </w:t>
      </w:r>
      <w:r w:rsidR="007D7EFE">
        <w:rPr>
          <w:rFonts w:ascii="Times New Roman" w:hAnsi="Times New Roman" w:cs="Times New Roman"/>
          <w:sz w:val="24"/>
          <w:szCs w:val="24"/>
        </w:rPr>
        <w:lastRenderedPageBreak/>
        <w:t>respondents had been seriously prejudiced by the deprivation of</w:t>
      </w:r>
      <w:r w:rsidR="00576666">
        <w:rPr>
          <w:rFonts w:ascii="Times New Roman" w:hAnsi="Times New Roman" w:cs="Times New Roman"/>
          <w:sz w:val="24"/>
          <w:szCs w:val="24"/>
        </w:rPr>
        <w:t xml:space="preserve"> their property and the US dollar</w:t>
      </w:r>
      <w:r w:rsidR="007D7EFE">
        <w:rPr>
          <w:rFonts w:ascii="Times New Roman" w:hAnsi="Times New Roman" w:cs="Times New Roman"/>
          <w:sz w:val="24"/>
          <w:szCs w:val="24"/>
        </w:rPr>
        <w:t xml:space="preserve"> denominated rentals that they were receivin</w:t>
      </w:r>
      <w:r w:rsidR="00576666">
        <w:rPr>
          <w:rFonts w:ascii="Times New Roman" w:hAnsi="Times New Roman" w:cs="Times New Roman"/>
          <w:sz w:val="24"/>
          <w:szCs w:val="24"/>
        </w:rPr>
        <w:t xml:space="preserve">g before the sale and transfer.  </w:t>
      </w:r>
      <w:r w:rsidR="007D7EFE">
        <w:rPr>
          <w:rFonts w:ascii="Times New Roman" w:hAnsi="Times New Roman" w:cs="Times New Roman"/>
          <w:sz w:val="24"/>
          <w:szCs w:val="24"/>
        </w:rPr>
        <w:t>He also contended that the purported breach of</w:t>
      </w:r>
      <w:r w:rsidR="00E7202A">
        <w:rPr>
          <w:rFonts w:ascii="Times New Roman" w:hAnsi="Times New Roman" w:cs="Times New Roman"/>
          <w:sz w:val="24"/>
          <w:szCs w:val="24"/>
        </w:rPr>
        <w:t xml:space="preserve"> the appellant’</w:t>
      </w:r>
      <w:r w:rsidR="007D7EFE">
        <w:rPr>
          <w:rFonts w:ascii="Times New Roman" w:hAnsi="Times New Roman" w:cs="Times New Roman"/>
          <w:sz w:val="24"/>
          <w:szCs w:val="24"/>
        </w:rPr>
        <w:t xml:space="preserve">s right to be heard was a necessary </w:t>
      </w:r>
      <w:r w:rsidR="00E346BB">
        <w:rPr>
          <w:rFonts w:ascii="Times New Roman" w:hAnsi="Times New Roman" w:cs="Times New Roman"/>
          <w:sz w:val="24"/>
          <w:szCs w:val="24"/>
        </w:rPr>
        <w:t xml:space="preserve">and unavoidable </w:t>
      </w:r>
      <w:r w:rsidR="007D7EFE">
        <w:rPr>
          <w:rFonts w:ascii="Times New Roman" w:hAnsi="Times New Roman" w:cs="Times New Roman"/>
          <w:sz w:val="24"/>
          <w:szCs w:val="24"/>
        </w:rPr>
        <w:t xml:space="preserve">consequence arising from his flagrant and intentional breach of the </w:t>
      </w:r>
      <w:r w:rsidR="008C66BF">
        <w:rPr>
          <w:rFonts w:ascii="Times New Roman" w:hAnsi="Times New Roman" w:cs="Times New Roman"/>
          <w:sz w:val="24"/>
          <w:szCs w:val="24"/>
        </w:rPr>
        <w:t xml:space="preserve">then </w:t>
      </w:r>
      <w:r w:rsidR="007D7EFE">
        <w:rPr>
          <w:rFonts w:ascii="Times New Roman" w:hAnsi="Times New Roman" w:cs="Times New Roman"/>
          <w:sz w:val="24"/>
          <w:szCs w:val="24"/>
        </w:rPr>
        <w:t>subsisting</w:t>
      </w:r>
      <w:r w:rsidR="00222F6E">
        <w:rPr>
          <w:rFonts w:ascii="Times New Roman" w:hAnsi="Times New Roman" w:cs="Times New Roman"/>
          <w:sz w:val="24"/>
          <w:szCs w:val="24"/>
        </w:rPr>
        <w:t xml:space="preserve"> </w:t>
      </w:r>
      <w:r w:rsidR="0022411A">
        <w:rPr>
          <w:rFonts w:ascii="Times New Roman" w:hAnsi="Times New Roman" w:cs="Times New Roman"/>
          <w:sz w:val="24"/>
          <w:szCs w:val="24"/>
        </w:rPr>
        <w:t>r</w:t>
      </w:r>
      <w:r w:rsidR="007D7EFE">
        <w:rPr>
          <w:rFonts w:ascii="Times New Roman" w:hAnsi="Times New Roman" w:cs="Times New Roman"/>
          <w:sz w:val="24"/>
          <w:szCs w:val="24"/>
        </w:rPr>
        <w:t xml:space="preserve">ules of Court. </w:t>
      </w:r>
    </w:p>
    <w:p w14:paraId="00FEE33B" w14:textId="77777777" w:rsidR="00576666" w:rsidRDefault="00576666" w:rsidP="00576666">
      <w:pPr>
        <w:spacing w:after="0" w:line="480" w:lineRule="auto"/>
        <w:ind w:firstLine="1134"/>
        <w:jc w:val="both"/>
        <w:rPr>
          <w:rFonts w:ascii="Times New Roman" w:hAnsi="Times New Roman" w:cs="Times New Roman"/>
          <w:sz w:val="24"/>
          <w:szCs w:val="24"/>
        </w:rPr>
      </w:pPr>
    </w:p>
    <w:p w14:paraId="472F8A84" w14:textId="3A9E9CAF" w:rsidR="007D7EFE" w:rsidRPr="00576666" w:rsidRDefault="00576666" w:rsidP="00576666">
      <w:pPr>
        <w:spacing w:after="0" w:line="480" w:lineRule="auto"/>
        <w:jc w:val="both"/>
        <w:rPr>
          <w:rFonts w:ascii="Times New Roman" w:hAnsi="Times New Roman" w:cs="Times New Roman"/>
          <w:b/>
          <w:bCs/>
          <w:sz w:val="24"/>
          <w:szCs w:val="24"/>
          <w:u w:val="single"/>
        </w:rPr>
      </w:pPr>
      <w:r w:rsidRPr="00576666">
        <w:rPr>
          <w:rFonts w:ascii="Times New Roman" w:hAnsi="Times New Roman" w:cs="Times New Roman"/>
          <w:b/>
          <w:bCs/>
          <w:sz w:val="24"/>
          <w:szCs w:val="24"/>
          <w:u w:val="single"/>
        </w:rPr>
        <w:t xml:space="preserve">THE FINDINGS OF THE COURT </w:t>
      </w:r>
      <w:r w:rsidRPr="00576666">
        <w:rPr>
          <w:rFonts w:ascii="Times New Roman" w:hAnsi="Times New Roman" w:cs="Times New Roman"/>
          <w:b/>
          <w:bCs/>
          <w:i/>
          <w:iCs/>
          <w:sz w:val="24"/>
          <w:szCs w:val="24"/>
          <w:u w:val="single"/>
        </w:rPr>
        <w:t>A QUO.</w:t>
      </w:r>
    </w:p>
    <w:p w14:paraId="3CFF0451" w14:textId="45A9AA98" w:rsidR="000F2FB6" w:rsidRDefault="000F2FB6" w:rsidP="00576666">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The</w:t>
      </w:r>
      <w:r w:rsidR="006141C3">
        <w:rPr>
          <w:rFonts w:ascii="Times New Roman" w:hAnsi="Times New Roman" w:cs="Times New Roman"/>
          <w:sz w:val="24"/>
          <w:szCs w:val="24"/>
        </w:rPr>
        <w:t xml:space="preserve"> parties argued on the import of the LPDT findings</w:t>
      </w:r>
      <w:r w:rsidR="00BC1F36">
        <w:rPr>
          <w:rFonts w:ascii="Times New Roman" w:hAnsi="Times New Roman" w:cs="Times New Roman"/>
          <w:sz w:val="24"/>
          <w:szCs w:val="24"/>
        </w:rPr>
        <w:t>,</w:t>
      </w:r>
      <w:r w:rsidR="006141C3">
        <w:rPr>
          <w:rFonts w:ascii="Times New Roman" w:hAnsi="Times New Roman" w:cs="Times New Roman"/>
          <w:sz w:val="24"/>
          <w:szCs w:val="24"/>
        </w:rPr>
        <w:t xml:space="preserve"> at the instance of the court </w:t>
      </w:r>
      <w:r w:rsidR="006141C3" w:rsidRPr="006141C3">
        <w:rPr>
          <w:rFonts w:ascii="Times New Roman" w:hAnsi="Times New Roman" w:cs="Times New Roman"/>
          <w:i/>
          <w:iCs/>
          <w:sz w:val="24"/>
          <w:szCs w:val="24"/>
        </w:rPr>
        <w:t>a quo</w:t>
      </w:r>
      <w:r w:rsidR="00AF4A90">
        <w:rPr>
          <w:rFonts w:ascii="Times New Roman" w:hAnsi="Times New Roman" w:cs="Times New Roman"/>
          <w:sz w:val="24"/>
          <w:szCs w:val="24"/>
        </w:rPr>
        <w:t xml:space="preserve">.  </w:t>
      </w:r>
      <w:r w:rsidR="006141C3">
        <w:rPr>
          <w:rFonts w:ascii="Times New Roman" w:hAnsi="Times New Roman" w:cs="Times New Roman"/>
          <w:sz w:val="24"/>
          <w:szCs w:val="24"/>
        </w:rPr>
        <w:t xml:space="preserve">The court </w:t>
      </w:r>
      <w:r w:rsidR="006141C3" w:rsidRPr="00013E80">
        <w:rPr>
          <w:rFonts w:ascii="Times New Roman" w:hAnsi="Times New Roman" w:cs="Times New Roman"/>
          <w:i/>
          <w:iCs/>
          <w:sz w:val="24"/>
          <w:szCs w:val="24"/>
        </w:rPr>
        <w:t>a quo</w:t>
      </w:r>
      <w:r w:rsidR="006141C3">
        <w:rPr>
          <w:rFonts w:ascii="Times New Roman" w:hAnsi="Times New Roman" w:cs="Times New Roman"/>
          <w:sz w:val="24"/>
          <w:szCs w:val="24"/>
        </w:rPr>
        <w:t xml:space="preserve"> </w:t>
      </w:r>
      <w:r>
        <w:rPr>
          <w:rFonts w:ascii="Times New Roman" w:hAnsi="Times New Roman" w:cs="Times New Roman"/>
          <w:sz w:val="24"/>
          <w:szCs w:val="24"/>
        </w:rPr>
        <w:t>found that</w:t>
      </w:r>
      <w:r w:rsidR="006141C3">
        <w:rPr>
          <w:rFonts w:ascii="Times New Roman" w:hAnsi="Times New Roman" w:cs="Times New Roman"/>
          <w:sz w:val="24"/>
          <w:szCs w:val="24"/>
        </w:rPr>
        <w:t>, even though the appellant was arrogant in refusing to seek condonation at the prompting of the respondents’ legal practitioners, his explanation for the delay in launching the applica</w:t>
      </w:r>
      <w:r w:rsidR="00AF4A90">
        <w:rPr>
          <w:rFonts w:ascii="Times New Roman" w:hAnsi="Times New Roman" w:cs="Times New Roman"/>
          <w:sz w:val="24"/>
          <w:szCs w:val="24"/>
        </w:rPr>
        <w:t>t</w:t>
      </w:r>
      <w:r w:rsidR="00EA34B8">
        <w:rPr>
          <w:rFonts w:ascii="Times New Roman" w:hAnsi="Times New Roman" w:cs="Times New Roman"/>
          <w:sz w:val="24"/>
          <w:szCs w:val="24"/>
        </w:rPr>
        <w:t xml:space="preserve">ion before it, was reasonable.  </w:t>
      </w:r>
      <w:r w:rsidR="006141C3">
        <w:rPr>
          <w:rFonts w:ascii="Times New Roman" w:hAnsi="Times New Roman" w:cs="Times New Roman"/>
          <w:sz w:val="24"/>
          <w:szCs w:val="24"/>
        </w:rPr>
        <w:t xml:space="preserve">He was awaiting the decision of the court </w:t>
      </w:r>
      <w:r w:rsidR="006141C3" w:rsidRPr="00013E80">
        <w:rPr>
          <w:rFonts w:ascii="Times New Roman" w:hAnsi="Times New Roman" w:cs="Times New Roman"/>
          <w:i/>
          <w:iCs/>
          <w:sz w:val="24"/>
          <w:szCs w:val="24"/>
        </w:rPr>
        <w:t>a quo</w:t>
      </w:r>
      <w:r w:rsidR="006141C3">
        <w:rPr>
          <w:rFonts w:ascii="Times New Roman" w:hAnsi="Times New Roman" w:cs="Times New Roman"/>
          <w:sz w:val="24"/>
          <w:szCs w:val="24"/>
        </w:rPr>
        <w:t xml:space="preserve"> on the propriety of his special plea and</w:t>
      </w:r>
      <w:r w:rsidR="00426EF0">
        <w:rPr>
          <w:rFonts w:ascii="Times New Roman" w:hAnsi="Times New Roman" w:cs="Times New Roman"/>
          <w:sz w:val="24"/>
          <w:szCs w:val="24"/>
        </w:rPr>
        <w:t xml:space="preserve"> exception in the face of r 49.  </w:t>
      </w:r>
      <w:r w:rsidR="006141C3">
        <w:rPr>
          <w:rFonts w:ascii="Times New Roman" w:hAnsi="Times New Roman" w:cs="Times New Roman"/>
          <w:sz w:val="24"/>
          <w:szCs w:val="24"/>
        </w:rPr>
        <w:t>It accordingly found th</w:t>
      </w:r>
      <w:r w:rsidR="00A11BFD">
        <w:rPr>
          <w:rFonts w:ascii="Times New Roman" w:hAnsi="Times New Roman" w:cs="Times New Roman"/>
          <w:sz w:val="24"/>
          <w:szCs w:val="24"/>
        </w:rPr>
        <w:t>at th</w:t>
      </w:r>
      <w:r w:rsidR="006141C3">
        <w:rPr>
          <w:rFonts w:ascii="Times New Roman" w:hAnsi="Times New Roman" w:cs="Times New Roman"/>
          <w:sz w:val="24"/>
          <w:szCs w:val="24"/>
        </w:rPr>
        <w:t>e delay</w:t>
      </w:r>
      <w:r w:rsidR="00A11BFD">
        <w:rPr>
          <w:rFonts w:ascii="Times New Roman" w:hAnsi="Times New Roman" w:cs="Times New Roman"/>
          <w:sz w:val="24"/>
          <w:szCs w:val="24"/>
        </w:rPr>
        <w:t xml:space="preserve"> was not inordinate</w:t>
      </w:r>
      <w:r w:rsidR="006141C3">
        <w:rPr>
          <w:rFonts w:ascii="Times New Roman" w:hAnsi="Times New Roman" w:cs="Times New Roman"/>
          <w:sz w:val="24"/>
          <w:szCs w:val="24"/>
        </w:rPr>
        <w:t xml:space="preserve">. </w:t>
      </w:r>
      <w:r w:rsidR="00EA34B8">
        <w:rPr>
          <w:rFonts w:ascii="Times New Roman" w:hAnsi="Times New Roman" w:cs="Times New Roman"/>
          <w:sz w:val="24"/>
          <w:szCs w:val="24"/>
        </w:rPr>
        <w:t xml:space="preserve"> </w:t>
      </w:r>
      <w:r w:rsidR="006141C3">
        <w:rPr>
          <w:rFonts w:ascii="Times New Roman" w:hAnsi="Times New Roman" w:cs="Times New Roman"/>
          <w:sz w:val="24"/>
          <w:szCs w:val="24"/>
        </w:rPr>
        <w:t xml:space="preserve">The court </w:t>
      </w:r>
      <w:r w:rsidR="006141C3" w:rsidRPr="00013E80">
        <w:rPr>
          <w:rFonts w:ascii="Times New Roman" w:hAnsi="Times New Roman" w:cs="Times New Roman"/>
          <w:i/>
          <w:iCs/>
          <w:sz w:val="24"/>
          <w:szCs w:val="24"/>
        </w:rPr>
        <w:t>a quo</w:t>
      </w:r>
      <w:r w:rsidR="006141C3">
        <w:rPr>
          <w:rFonts w:ascii="Times New Roman" w:hAnsi="Times New Roman" w:cs="Times New Roman"/>
          <w:sz w:val="24"/>
          <w:szCs w:val="24"/>
        </w:rPr>
        <w:t xml:space="preserve"> specifically held that </w:t>
      </w:r>
      <w:r w:rsidR="009A05D7">
        <w:rPr>
          <w:rFonts w:ascii="Times New Roman" w:hAnsi="Times New Roman" w:cs="Times New Roman"/>
          <w:sz w:val="24"/>
          <w:szCs w:val="24"/>
        </w:rPr>
        <w:t>the nub of the application was on prospects of success</w:t>
      </w:r>
      <w:r w:rsidR="00426EF0">
        <w:rPr>
          <w:rFonts w:ascii="Times New Roman" w:hAnsi="Times New Roman" w:cs="Times New Roman"/>
          <w:sz w:val="24"/>
          <w:szCs w:val="24"/>
        </w:rPr>
        <w:t xml:space="preserve">.  </w:t>
      </w:r>
      <w:r w:rsidR="009A05D7">
        <w:rPr>
          <w:rFonts w:ascii="Times New Roman" w:hAnsi="Times New Roman" w:cs="Times New Roman"/>
          <w:sz w:val="24"/>
          <w:szCs w:val="24"/>
        </w:rPr>
        <w:t>B</w:t>
      </w:r>
      <w:r w:rsidR="00493CE5">
        <w:rPr>
          <w:rFonts w:ascii="Times New Roman" w:hAnsi="Times New Roman" w:cs="Times New Roman"/>
          <w:sz w:val="24"/>
          <w:szCs w:val="24"/>
        </w:rPr>
        <w:t>y reference to the LPDT decision,</w:t>
      </w:r>
      <w:r w:rsidR="009A05D7">
        <w:rPr>
          <w:rFonts w:ascii="Times New Roman" w:hAnsi="Times New Roman" w:cs="Times New Roman"/>
          <w:sz w:val="24"/>
          <w:szCs w:val="24"/>
        </w:rPr>
        <w:t xml:space="preserve"> it held </w:t>
      </w:r>
      <w:r>
        <w:rPr>
          <w:rFonts w:ascii="Times New Roman" w:hAnsi="Times New Roman" w:cs="Times New Roman"/>
          <w:sz w:val="24"/>
          <w:szCs w:val="24"/>
        </w:rPr>
        <w:t>that the appellant did not have any prospects of success on the merits. It accordingly dismissed the application for condonation and upliftment of the bar.</w:t>
      </w:r>
    </w:p>
    <w:p w14:paraId="50A5B351" w14:textId="77777777" w:rsidR="00426EF0" w:rsidRDefault="00426EF0" w:rsidP="00C30310">
      <w:pPr>
        <w:spacing w:after="0" w:line="480" w:lineRule="auto"/>
        <w:ind w:firstLine="1134"/>
        <w:jc w:val="both"/>
        <w:rPr>
          <w:rFonts w:ascii="Times New Roman" w:hAnsi="Times New Roman" w:cs="Times New Roman"/>
          <w:sz w:val="24"/>
          <w:szCs w:val="24"/>
        </w:rPr>
      </w:pPr>
    </w:p>
    <w:p w14:paraId="713AB8B3" w14:textId="14C9E026" w:rsidR="000F2FB6" w:rsidRDefault="000F2FB6" w:rsidP="00426EF0">
      <w:pPr>
        <w:spacing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Dissatisfied with the findings </w:t>
      </w:r>
      <w:r w:rsidRPr="00013E80">
        <w:rPr>
          <w:rFonts w:ascii="Times New Roman" w:hAnsi="Times New Roman" w:cs="Times New Roman"/>
          <w:i/>
          <w:iCs/>
          <w:sz w:val="24"/>
          <w:szCs w:val="24"/>
        </w:rPr>
        <w:t>a quo,</w:t>
      </w:r>
      <w:r>
        <w:rPr>
          <w:rFonts w:ascii="Times New Roman" w:hAnsi="Times New Roman" w:cs="Times New Roman"/>
          <w:sz w:val="24"/>
          <w:szCs w:val="24"/>
        </w:rPr>
        <w:t xml:space="preserve"> the appellant appeals to this </w:t>
      </w:r>
      <w:r w:rsidR="00FC61B7">
        <w:rPr>
          <w:rFonts w:ascii="Times New Roman" w:hAnsi="Times New Roman" w:cs="Times New Roman"/>
          <w:sz w:val="24"/>
          <w:szCs w:val="24"/>
        </w:rPr>
        <w:t>C</w:t>
      </w:r>
      <w:r>
        <w:rPr>
          <w:rFonts w:ascii="Times New Roman" w:hAnsi="Times New Roman" w:cs="Times New Roman"/>
          <w:sz w:val="24"/>
          <w:szCs w:val="24"/>
        </w:rPr>
        <w:t>ourt on the following grounds of appeal.</w:t>
      </w:r>
    </w:p>
    <w:p w14:paraId="363842F4" w14:textId="77777777" w:rsidR="00426EF0" w:rsidRDefault="00426EF0" w:rsidP="00C30310">
      <w:pPr>
        <w:spacing w:after="0" w:line="240" w:lineRule="auto"/>
        <w:ind w:firstLine="1134"/>
        <w:jc w:val="both"/>
        <w:rPr>
          <w:rFonts w:ascii="Times New Roman" w:hAnsi="Times New Roman" w:cs="Times New Roman"/>
          <w:sz w:val="24"/>
          <w:szCs w:val="24"/>
        </w:rPr>
      </w:pPr>
    </w:p>
    <w:p w14:paraId="4152D2BF" w14:textId="7E67FDC0" w:rsidR="009645CF" w:rsidRPr="00426EF0" w:rsidRDefault="005B686C" w:rsidP="00426EF0">
      <w:pPr>
        <w:spacing w:after="0" w:line="48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w:t>
      </w:r>
      <w:r w:rsidR="00426EF0" w:rsidRPr="00426EF0">
        <w:rPr>
          <w:rFonts w:ascii="Times New Roman" w:hAnsi="Times New Roman" w:cs="Times New Roman"/>
          <w:b/>
          <w:bCs/>
          <w:sz w:val="24"/>
          <w:szCs w:val="24"/>
          <w:u w:val="single"/>
        </w:rPr>
        <w:t>THE GROUNDS OF APPEAL</w:t>
      </w:r>
    </w:p>
    <w:p w14:paraId="216BB571" w14:textId="550DEDB7" w:rsidR="009645CF" w:rsidRDefault="009645CF" w:rsidP="00426EF0">
      <w:pPr>
        <w:pStyle w:val="ListParagraph"/>
        <w:numPr>
          <w:ilvl w:val="0"/>
          <w:numId w:val="1"/>
        </w:numPr>
        <w:spacing w:after="0" w:line="480" w:lineRule="auto"/>
        <w:ind w:left="851" w:hanging="284"/>
        <w:jc w:val="both"/>
        <w:rPr>
          <w:rFonts w:ascii="Times New Roman" w:hAnsi="Times New Roman" w:cs="Times New Roman"/>
          <w:sz w:val="24"/>
          <w:szCs w:val="24"/>
        </w:rPr>
      </w:pPr>
      <w:r>
        <w:rPr>
          <w:rFonts w:ascii="Times New Roman" w:hAnsi="Times New Roman" w:cs="Times New Roman"/>
          <w:sz w:val="24"/>
          <w:szCs w:val="24"/>
        </w:rPr>
        <w:t xml:space="preserve">The court </w:t>
      </w:r>
      <w:r w:rsidRPr="00C957B4">
        <w:rPr>
          <w:rFonts w:ascii="Times New Roman" w:hAnsi="Times New Roman" w:cs="Times New Roman"/>
          <w:i/>
          <w:iCs/>
          <w:sz w:val="24"/>
          <w:szCs w:val="24"/>
        </w:rPr>
        <w:t>a quo</w:t>
      </w:r>
      <w:r>
        <w:rPr>
          <w:rFonts w:ascii="Times New Roman" w:hAnsi="Times New Roman" w:cs="Times New Roman"/>
          <w:sz w:val="24"/>
          <w:szCs w:val="24"/>
        </w:rPr>
        <w:t xml:space="preserve"> erred at law in finding that the High Court was bound by the factual findings of the Law Society Disciplinary Tribunal in HH 167/21 and HH 230/21.</w:t>
      </w:r>
    </w:p>
    <w:p w14:paraId="3C1C718A" w14:textId="77777777" w:rsidR="009645CF" w:rsidRDefault="009645CF" w:rsidP="001B386C">
      <w:pPr>
        <w:pStyle w:val="ListParagraph"/>
        <w:numPr>
          <w:ilvl w:val="0"/>
          <w:numId w:val="1"/>
        </w:numPr>
        <w:tabs>
          <w:tab w:val="left" w:pos="1170"/>
          <w:tab w:val="left" w:pos="1350"/>
        </w:tabs>
        <w:spacing w:line="480" w:lineRule="auto"/>
        <w:ind w:left="851" w:hanging="284"/>
        <w:jc w:val="both"/>
        <w:rPr>
          <w:rFonts w:ascii="Times New Roman" w:hAnsi="Times New Roman" w:cs="Times New Roman"/>
          <w:sz w:val="24"/>
          <w:szCs w:val="24"/>
        </w:rPr>
      </w:pPr>
      <w:r>
        <w:rPr>
          <w:rFonts w:ascii="Times New Roman" w:hAnsi="Times New Roman" w:cs="Times New Roman"/>
          <w:sz w:val="24"/>
          <w:szCs w:val="24"/>
        </w:rPr>
        <w:lastRenderedPageBreak/>
        <w:t xml:space="preserve">The court </w:t>
      </w:r>
      <w:r w:rsidRPr="00C957B4">
        <w:rPr>
          <w:rFonts w:ascii="Times New Roman" w:hAnsi="Times New Roman" w:cs="Times New Roman"/>
          <w:i/>
          <w:iCs/>
          <w:sz w:val="24"/>
          <w:szCs w:val="24"/>
        </w:rPr>
        <w:t>a quo</w:t>
      </w:r>
      <w:r>
        <w:rPr>
          <w:rFonts w:ascii="Times New Roman" w:hAnsi="Times New Roman" w:cs="Times New Roman"/>
          <w:sz w:val="24"/>
          <w:szCs w:val="24"/>
        </w:rPr>
        <w:t xml:space="preserve"> erred by making a finding that the prospects of success had already been dealt with in judgment number HH 167/21 and HH 230/21.</w:t>
      </w:r>
    </w:p>
    <w:p w14:paraId="2A3C8B88" w14:textId="77777777" w:rsidR="009645CF" w:rsidRDefault="009645CF" w:rsidP="00426EF0">
      <w:pPr>
        <w:pStyle w:val="ListParagraph"/>
        <w:numPr>
          <w:ilvl w:val="0"/>
          <w:numId w:val="1"/>
        </w:numPr>
        <w:spacing w:line="480" w:lineRule="auto"/>
        <w:ind w:left="851" w:hanging="284"/>
        <w:jc w:val="both"/>
        <w:rPr>
          <w:rFonts w:ascii="Times New Roman" w:hAnsi="Times New Roman" w:cs="Times New Roman"/>
          <w:sz w:val="24"/>
          <w:szCs w:val="24"/>
        </w:rPr>
      </w:pPr>
      <w:r>
        <w:rPr>
          <w:rFonts w:ascii="Times New Roman" w:hAnsi="Times New Roman" w:cs="Times New Roman"/>
          <w:sz w:val="24"/>
          <w:szCs w:val="24"/>
        </w:rPr>
        <w:t xml:space="preserve">In any event, the court </w:t>
      </w:r>
      <w:r w:rsidRPr="00C957B4">
        <w:rPr>
          <w:rFonts w:ascii="Times New Roman" w:hAnsi="Times New Roman" w:cs="Times New Roman"/>
          <w:i/>
          <w:iCs/>
          <w:sz w:val="24"/>
          <w:szCs w:val="24"/>
        </w:rPr>
        <w:t>a quo</w:t>
      </w:r>
      <w:r>
        <w:rPr>
          <w:rFonts w:ascii="Times New Roman" w:hAnsi="Times New Roman" w:cs="Times New Roman"/>
          <w:sz w:val="24"/>
          <w:szCs w:val="24"/>
        </w:rPr>
        <w:t xml:space="preserve"> erred in failing to place any consideration to the fact that HH 167/21 is the subject of an appeal.</w:t>
      </w:r>
    </w:p>
    <w:p w14:paraId="6FC1B66C" w14:textId="77777777" w:rsidR="009645CF" w:rsidRDefault="009645CF" w:rsidP="00426EF0">
      <w:pPr>
        <w:pStyle w:val="ListParagraph"/>
        <w:numPr>
          <w:ilvl w:val="0"/>
          <w:numId w:val="1"/>
        </w:numPr>
        <w:spacing w:line="480" w:lineRule="auto"/>
        <w:ind w:left="851" w:hanging="284"/>
        <w:jc w:val="both"/>
        <w:rPr>
          <w:rFonts w:ascii="Times New Roman" w:hAnsi="Times New Roman" w:cs="Times New Roman"/>
          <w:sz w:val="24"/>
          <w:szCs w:val="24"/>
        </w:rPr>
      </w:pPr>
      <w:r>
        <w:rPr>
          <w:rFonts w:ascii="Times New Roman" w:hAnsi="Times New Roman" w:cs="Times New Roman"/>
          <w:sz w:val="24"/>
          <w:szCs w:val="24"/>
        </w:rPr>
        <w:t xml:space="preserve">Further, the court </w:t>
      </w:r>
      <w:r w:rsidRPr="00C957B4">
        <w:rPr>
          <w:rFonts w:ascii="Times New Roman" w:hAnsi="Times New Roman" w:cs="Times New Roman"/>
          <w:i/>
          <w:iCs/>
          <w:sz w:val="24"/>
          <w:szCs w:val="24"/>
        </w:rPr>
        <w:t>a quo</w:t>
      </w:r>
      <w:r>
        <w:rPr>
          <w:rFonts w:ascii="Times New Roman" w:hAnsi="Times New Roman" w:cs="Times New Roman"/>
          <w:sz w:val="24"/>
          <w:szCs w:val="24"/>
        </w:rPr>
        <w:t xml:space="preserve"> erred by treating the respondents as if they were parties to the Law Society Disciplinary Tribunal proceedings.</w:t>
      </w:r>
    </w:p>
    <w:p w14:paraId="75803B27" w14:textId="77777777" w:rsidR="009645CF" w:rsidRDefault="009645CF" w:rsidP="00426EF0">
      <w:pPr>
        <w:pStyle w:val="ListParagraph"/>
        <w:numPr>
          <w:ilvl w:val="0"/>
          <w:numId w:val="1"/>
        </w:numPr>
        <w:spacing w:line="480" w:lineRule="auto"/>
        <w:ind w:left="851" w:hanging="284"/>
        <w:jc w:val="both"/>
        <w:rPr>
          <w:rFonts w:ascii="Times New Roman" w:hAnsi="Times New Roman" w:cs="Times New Roman"/>
          <w:sz w:val="24"/>
          <w:szCs w:val="24"/>
        </w:rPr>
      </w:pPr>
      <w:r>
        <w:rPr>
          <w:rFonts w:ascii="Times New Roman" w:hAnsi="Times New Roman" w:cs="Times New Roman"/>
          <w:sz w:val="24"/>
          <w:szCs w:val="24"/>
        </w:rPr>
        <w:t xml:space="preserve">The court </w:t>
      </w:r>
      <w:r w:rsidRPr="00C957B4">
        <w:rPr>
          <w:rFonts w:ascii="Times New Roman" w:hAnsi="Times New Roman" w:cs="Times New Roman"/>
          <w:i/>
          <w:iCs/>
          <w:sz w:val="24"/>
          <w:szCs w:val="24"/>
        </w:rPr>
        <w:t>a quo</w:t>
      </w:r>
      <w:r>
        <w:rPr>
          <w:rFonts w:ascii="Times New Roman" w:hAnsi="Times New Roman" w:cs="Times New Roman"/>
          <w:sz w:val="24"/>
          <w:szCs w:val="24"/>
        </w:rPr>
        <w:t xml:space="preserve"> misdirected itself by finding that there was no reasonable explanation of the delay in seeking condonation in circumstances where the respondents admitted on oath that the appellant did in fact have a reasonable explanation.</w:t>
      </w:r>
    </w:p>
    <w:p w14:paraId="536A32FD" w14:textId="77777777" w:rsidR="009645CF" w:rsidRDefault="009645CF" w:rsidP="00426EF0">
      <w:pPr>
        <w:pStyle w:val="ListParagraph"/>
        <w:numPr>
          <w:ilvl w:val="0"/>
          <w:numId w:val="1"/>
        </w:numPr>
        <w:spacing w:line="480" w:lineRule="auto"/>
        <w:ind w:left="851" w:hanging="284"/>
        <w:jc w:val="both"/>
        <w:rPr>
          <w:rFonts w:ascii="Times New Roman" w:hAnsi="Times New Roman" w:cs="Times New Roman"/>
          <w:sz w:val="24"/>
          <w:szCs w:val="24"/>
        </w:rPr>
      </w:pPr>
      <w:r>
        <w:rPr>
          <w:rFonts w:ascii="Times New Roman" w:hAnsi="Times New Roman" w:cs="Times New Roman"/>
          <w:sz w:val="24"/>
          <w:szCs w:val="24"/>
        </w:rPr>
        <w:t xml:space="preserve">The court </w:t>
      </w:r>
      <w:r w:rsidRPr="00C957B4">
        <w:rPr>
          <w:rFonts w:ascii="Times New Roman" w:hAnsi="Times New Roman" w:cs="Times New Roman"/>
          <w:i/>
          <w:iCs/>
          <w:sz w:val="24"/>
          <w:szCs w:val="24"/>
        </w:rPr>
        <w:t>a quo</w:t>
      </w:r>
      <w:r>
        <w:rPr>
          <w:rFonts w:ascii="Times New Roman" w:hAnsi="Times New Roman" w:cs="Times New Roman"/>
          <w:sz w:val="24"/>
          <w:szCs w:val="24"/>
        </w:rPr>
        <w:t xml:space="preserve"> erred in not finding that the appellant had shown, on the papers, that he had reasonable prospects of success in defending the claim.</w:t>
      </w:r>
    </w:p>
    <w:p w14:paraId="335E85D8" w14:textId="77777777" w:rsidR="00426EF0" w:rsidRDefault="00426EF0" w:rsidP="001B386C">
      <w:pPr>
        <w:pStyle w:val="ListParagraph"/>
        <w:spacing w:after="0" w:line="480" w:lineRule="auto"/>
        <w:ind w:left="851"/>
        <w:jc w:val="both"/>
        <w:rPr>
          <w:rFonts w:ascii="Times New Roman" w:hAnsi="Times New Roman" w:cs="Times New Roman"/>
          <w:sz w:val="24"/>
          <w:szCs w:val="24"/>
        </w:rPr>
      </w:pPr>
    </w:p>
    <w:p w14:paraId="2C32FC70" w14:textId="589BEA41" w:rsidR="009645CF" w:rsidRPr="005B686C" w:rsidRDefault="005B686C" w:rsidP="005B686C">
      <w:pPr>
        <w:spacing w:after="0" w:line="480" w:lineRule="auto"/>
        <w:ind w:firstLine="567"/>
        <w:jc w:val="both"/>
        <w:rPr>
          <w:rFonts w:ascii="Times New Roman" w:hAnsi="Times New Roman" w:cs="Times New Roman"/>
          <w:bCs/>
          <w:sz w:val="24"/>
          <w:szCs w:val="24"/>
          <w:u w:val="single"/>
        </w:rPr>
      </w:pPr>
      <w:r w:rsidRPr="005B686C">
        <w:rPr>
          <w:rFonts w:ascii="Times New Roman" w:hAnsi="Times New Roman" w:cs="Times New Roman"/>
          <w:bCs/>
          <w:sz w:val="24"/>
          <w:szCs w:val="24"/>
          <w:u w:val="single"/>
        </w:rPr>
        <w:t>RELIEF SOUGHT</w:t>
      </w:r>
    </w:p>
    <w:p w14:paraId="3B0B1713" w14:textId="5DFB3420" w:rsidR="009645CF" w:rsidRPr="00426EF0" w:rsidRDefault="008E59EF" w:rsidP="00426EF0">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WHEREFORE a</w:t>
      </w:r>
      <w:r w:rsidR="009645CF" w:rsidRPr="00426EF0">
        <w:rPr>
          <w:rFonts w:ascii="Times New Roman" w:hAnsi="Times New Roman" w:cs="Times New Roman"/>
          <w:sz w:val="24"/>
          <w:szCs w:val="24"/>
        </w:rPr>
        <w:t>ppellant prays that the appeal succeed</w:t>
      </w:r>
      <w:r w:rsidR="00426EF0">
        <w:rPr>
          <w:rFonts w:ascii="Times New Roman" w:hAnsi="Times New Roman" w:cs="Times New Roman"/>
          <w:sz w:val="24"/>
          <w:szCs w:val="24"/>
        </w:rPr>
        <w:t xml:space="preserve">s with costs and prays for the </w:t>
      </w:r>
      <w:r w:rsidR="009645CF" w:rsidRPr="00426EF0">
        <w:rPr>
          <w:rFonts w:ascii="Times New Roman" w:hAnsi="Times New Roman" w:cs="Times New Roman"/>
          <w:sz w:val="24"/>
          <w:szCs w:val="24"/>
        </w:rPr>
        <w:t>following order:</w:t>
      </w:r>
    </w:p>
    <w:p w14:paraId="33810B32" w14:textId="5868B3C8" w:rsidR="009645CF" w:rsidRPr="009C76DE" w:rsidRDefault="009645CF" w:rsidP="009C76DE">
      <w:pPr>
        <w:pStyle w:val="ListParagraph"/>
        <w:numPr>
          <w:ilvl w:val="0"/>
          <w:numId w:val="11"/>
        </w:numPr>
        <w:spacing w:line="480" w:lineRule="auto"/>
        <w:jc w:val="both"/>
        <w:rPr>
          <w:rFonts w:ascii="Times New Roman" w:hAnsi="Times New Roman" w:cs="Times New Roman"/>
          <w:sz w:val="24"/>
          <w:szCs w:val="24"/>
        </w:rPr>
      </w:pPr>
      <w:r w:rsidRPr="009C76DE">
        <w:rPr>
          <w:rFonts w:ascii="Times New Roman" w:hAnsi="Times New Roman" w:cs="Times New Roman"/>
          <w:sz w:val="24"/>
          <w:szCs w:val="24"/>
        </w:rPr>
        <w:t>The judgment of the H</w:t>
      </w:r>
      <w:bookmarkStart w:id="0" w:name="_GoBack"/>
      <w:bookmarkEnd w:id="0"/>
      <w:r w:rsidRPr="009C76DE">
        <w:rPr>
          <w:rFonts w:ascii="Times New Roman" w:hAnsi="Times New Roman" w:cs="Times New Roman"/>
          <w:sz w:val="24"/>
          <w:szCs w:val="24"/>
        </w:rPr>
        <w:t>igh Court is set aside and the following is substituted:</w:t>
      </w:r>
    </w:p>
    <w:p w14:paraId="78974817" w14:textId="4350A8CE" w:rsidR="009645CF" w:rsidRDefault="009645CF" w:rsidP="00426EF0">
      <w:pPr>
        <w:pStyle w:val="ListParagraph"/>
        <w:numPr>
          <w:ilvl w:val="0"/>
          <w:numId w:val="3"/>
        </w:numPr>
        <w:spacing w:line="480" w:lineRule="auto"/>
        <w:ind w:left="851" w:hanging="284"/>
        <w:jc w:val="both"/>
        <w:rPr>
          <w:rFonts w:ascii="Times New Roman" w:hAnsi="Times New Roman" w:cs="Times New Roman"/>
          <w:sz w:val="24"/>
          <w:szCs w:val="24"/>
        </w:rPr>
      </w:pPr>
      <w:r>
        <w:rPr>
          <w:rFonts w:ascii="Times New Roman" w:hAnsi="Times New Roman" w:cs="Times New Roman"/>
          <w:sz w:val="24"/>
          <w:szCs w:val="24"/>
        </w:rPr>
        <w:t>The application for condonation for non-compliance with time limits set ou</w:t>
      </w:r>
      <w:r w:rsidR="0022411A">
        <w:rPr>
          <w:rFonts w:ascii="Times New Roman" w:hAnsi="Times New Roman" w:cs="Times New Roman"/>
          <w:sz w:val="24"/>
          <w:szCs w:val="24"/>
        </w:rPr>
        <w:t>t in Rule 49 of the High Court r</w:t>
      </w:r>
      <w:r>
        <w:rPr>
          <w:rFonts w:ascii="Times New Roman" w:hAnsi="Times New Roman" w:cs="Times New Roman"/>
          <w:sz w:val="24"/>
          <w:szCs w:val="24"/>
        </w:rPr>
        <w:t>ules 1971, be and is hereby granted.</w:t>
      </w:r>
      <w:r w:rsidR="009C76DE">
        <w:rPr>
          <w:rFonts w:ascii="Times New Roman" w:hAnsi="Times New Roman" w:cs="Times New Roman"/>
          <w:sz w:val="24"/>
          <w:szCs w:val="24"/>
        </w:rPr>
        <w:t xml:space="preserve"> </w:t>
      </w:r>
    </w:p>
    <w:p w14:paraId="5EB58CC5" w14:textId="37E7A77C" w:rsidR="009645CF" w:rsidRDefault="009645CF" w:rsidP="00426EF0">
      <w:pPr>
        <w:pStyle w:val="ListParagraph"/>
        <w:numPr>
          <w:ilvl w:val="0"/>
          <w:numId w:val="3"/>
        </w:numPr>
        <w:spacing w:line="480" w:lineRule="auto"/>
        <w:ind w:left="851" w:hanging="284"/>
        <w:jc w:val="both"/>
        <w:rPr>
          <w:rFonts w:ascii="Times New Roman" w:hAnsi="Times New Roman" w:cs="Times New Roman"/>
          <w:sz w:val="24"/>
          <w:szCs w:val="24"/>
        </w:rPr>
      </w:pPr>
      <w:r>
        <w:rPr>
          <w:rFonts w:ascii="Times New Roman" w:hAnsi="Times New Roman" w:cs="Times New Roman"/>
          <w:sz w:val="24"/>
          <w:szCs w:val="24"/>
        </w:rPr>
        <w:t>The appearance to defend filed on 20 March 2017 shall be deemed to have been filed and served on the resp</w:t>
      </w:r>
      <w:r w:rsidR="001B386C">
        <w:rPr>
          <w:rFonts w:ascii="Times New Roman" w:hAnsi="Times New Roman" w:cs="Times New Roman"/>
          <w:sz w:val="24"/>
          <w:szCs w:val="24"/>
        </w:rPr>
        <w:t>ondents in accordance with the r</w:t>
      </w:r>
      <w:r>
        <w:rPr>
          <w:rFonts w:ascii="Times New Roman" w:hAnsi="Times New Roman" w:cs="Times New Roman"/>
          <w:sz w:val="24"/>
          <w:szCs w:val="24"/>
        </w:rPr>
        <w:t>ules of this Court.</w:t>
      </w:r>
    </w:p>
    <w:p w14:paraId="75E6497D" w14:textId="77777777" w:rsidR="009645CF" w:rsidRDefault="009645CF" w:rsidP="00426EF0">
      <w:pPr>
        <w:pStyle w:val="ListParagraph"/>
        <w:numPr>
          <w:ilvl w:val="0"/>
          <w:numId w:val="3"/>
        </w:numPr>
        <w:spacing w:line="480" w:lineRule="auto"/>
        <w:ind w:left="851" w:hanging="284"/>
        <w:jc w:val="both"/>
        <w:rPr>
          <w:rFonts w:ascii="Times New Roman" w:hAnsi="Times New Roman" w:cs="Times New Roman"/>
          <w:sz w:val="24"/>
          <w:szCs w:val="24"/>
        </w:rPr>
      </w:pPr>
      <w:r>
        <w:rPr>
          <w:rFonts w:ascii="Times New Roman" w:hAnsi="Times New Roman" w:cs="Times New Roman"/>
          <w:sz w:val="24"/>
          <w:szCs w:val="24"/>
        </w:rPr>
        <w:t>The bar operating against the applicant be and is hereby removed.</w:t>
      </w:r>
    </w:p>
    <w:p w14:paraId="1E9E3E24" w14:textId="696116EF" w:rsidR="009645CF" w:rsidRDefault="009645CF" w:rsidP="00426EF0">
      <w:pPr>
        <w:pStyle w:val="ListParagraph"/>
        <w:numPr>
          <w:ilvl w:val="0"/>
          <w:numId w:val="3"/>
        </w:numPr>
        <w:spacing w:line="480" w:lineRule="auto"/>
        <w:ind w:left="851" w:hanging="284"/>
        <w:jc w:val="both"/>
        <w:rPr>
          <w:rFonts w:ascii="Times New Roman" w:hAnsi="Times New Roman" w:cs="Times New Roman"/>
          <w:sz w:val="24"/>
          <w:szCs w:val="24"/>
        </w:rPr>
      </w:pPr>
      <w:r>
        <w:rPr>
          <w:rFonts w:ascii="Times New Roman" w:hAnsi="Times New Roman" w:cs="Times New Roman"/>
          <w:sz w:val="24"/>
          <w:szCs w:val="24"/>
        </w:rPr>
        <w:t>Leave be and is hereby given to applicant to take steps to set down the special plea and exception filed of rec</w:t>
      </w:r>
      <w:r w:rsidR="00BF021C">
        <w:rPr>
          <w:rFonts w:ascii="Times New Roman" w:hAnsi="Times New Roman" w:cs="Times New Roman"/>
          <w:sz w:val="24"/>
          <w:szCs w:val="24"/>
        </w:rPr>
        <w:t>ord in terms of the High Court r</w:t>
      </w:r>
      <w:r>
        <w:rPr>
          <w:rFonts w:ascii="Times New Roman" w:hAnsi="Times New Roman" w:cs="Times New Roman"/>
          <w:sz w:val="24"/>
          <w:szCs w:val="24"/>
        </w:rPr>
        <w:t>ules, 1971.</w:t>
      </w:r>
    </w:p>
    <w:p w14:paraId="37C2BD20" w14:textId="41B8279D" w:rsidR="009645CF" w:rsidRDefault="009645CF" w:rsidP="00426EF0">
      <w:pPr>
        <w:pStyle w:val="ListParagraph"/>
        <w:numPr>
          <w:ilvl w:val="0"/>
          <w:numId w:val="3"/>
        </w:numPr>
        <w:spacing w:line="480" w:lineRule="auto"/>
        <w:ind w:left="851" w:hanging="284"/>
        <w:jc w:val="both"/>
        <w:rPr>
          <w:rFonts w:ascii="Times New Roman" w:hAnsi="Times New Roman" w:cs="Times New Roman"/>
          <w:sz w:val="24"/>
          <w:szCs w:val="24"/>
        </w:rPr>
      </w:pPr>
      <w:r>
        <w:rPr>
          <w:rFonts w:ascii="Times New Roman" w:hAnsi="Times New Roman" w:cs="Times New Roman"/>
          <w:sz w:val="24"/>
          <w:szCs w:val="24"/>
        </w:rPr>
        <w:lastRenderedPageBreak/>
        <w:t>The respondents shall pay costs of suit.”</w:t>
      </w:r>
    </w:p>
    <w:p w14:paraId="3942F911" w14:textId="77777777" w:rsidR="003C6C4E" w:rsidRDefault="003C6C4E" w:rsidP="003C6C4E">
      <w:pPr>
        <w:pStyle w:val="ListParagraph"/>
        <w:spacing w:after="0" w:line="480" w:lineRule="auto"/>
        <w:ind w:left="851"/>
        <w:jc w:val="both"/>
        <w:rPr>
          <w:rFonts w:ascii="Times New Roman" w:hAnsi="Times New Roman" w:cs="Times New Roman"/>
          <w:sz w:val="24"/>
          <w:szCs w:val="24"/>
        </w:rPr>
      </w:pPr>
    </w:p>
    <w:p w14:paraId="541A4089" w14:textId="5ADCD8BE" w:rsidR="00AE2E15" w:rsidRPr="003C6C4E" w:rsidRDefault="003C6C4E" w:rsidP="003C6C4E">
      <w:pPr>
        <w:spacing w:after="0" w:line="480" w:lineRule="auto"/>
        <w:jc w:val="both"/>
        <w:rPr>
          <w:rFonts w:ascii="Times New Roman" w:hAnsi="Times New Roman" w:cs="Times New Roman"/>
          <w:b/>
          <w:bCs/>
          <w:sz w:val="24"/>
          <w:szCs w:val="24"/>
          <w:u w:val="single"/>
        </w:rPr>
      </w:pPr>
      <w:r w:rsidRPr="003C6C4E">
        <w:rPr>
          <w:rFonts w:ascii="Times New Roman" w:hAnsi="Times New Roman" w:cs="Times New Roman"/>
          <w:b/>
          <w:bCs/>
          <w:sz w:val="24"/>
          <w:szCs w:val="24"/>
          <w:u w:val="single"/>
        </w:rPr>
        <w:t>THE CONTENTIONS BEFORE THIS COURT</w:t>
      </w:r>
    </w:p>
    <w:p w14:paraId="19CA879C" w14:textId="66A15332" w:rsidR="002F5590" w:rsidRDefault="00591DF2" w:rsidP="00A94615">
      <w:pPr>
        <w:tabs>
          <w:tab w:val="left" w:pos="630"/>
          <w:tab w:val="left" w:pos="900"/>
        </w:tabs>
        <w:spacing w:after="0" w:line="480" w:lineRule="auto"/>
        <w:ind w:firstLine="1134"/>
        <w:jc w:val="both"/>
        <w:rPr>
          <w:rFonts w:ascii="Times New Roman" w:hAnsi="Times New Roman" w:cs="Times New Roman"/>
          <w:i/>
          <w:iCs/>
          <w:sz w:val="24"/>
          <w:szCs w:val="24"/>
        </w:rPr>
      </w:pPr>
      <w:proofErr w:type="spellStart"/>
      <w:r w:rsidRPr="00591DF2">
        <w:rPr>
          <w:rFonts w:ascii="Times New Roman" w:hAnsi="Times New Roman" w:cs="Times New Roman"/>
          <w:sz w:val="24"/>
          <w:szCs w:val="24"/>
        </w:rPr>
        <w:t>Mr</w:t>
      </w:r>
      <w:proofErr w:type="spellEnd"/>
      <w:r w:rsidRPr="00591DF2">
        <w:rPr>
          <w:rFonts w:ascii="Times New Roman" w:hAnsi="Times New Roman" w:cs="Times New Roman"/>
          <w:sz w:val="24"/>
          <w:szCs w:val="24"/>
        </w:rPr>
        <w:t xml:space="preserve"> </w:t>
      </w:r>
      <w:proofErr w:type="spellStart"/>
      <w:r w:rsidRPr="00591DF2">
        <w:rPr>
          <w:rFonts w:ascii="Times New Roman" w:hAnsi="Times New Roman" w:cs="Times New Roman"/>
          <w:i/>
          <w:iCs/>
          <w:sz w:val="24"/>
          <w:szCs w:val="24"/>
        </w:rPr>
        <w:t>Girach</w:t>
      </w:r>
      <w:proofErr w:type="spellEnd"/>
      <w:r>
        <w:rPr>
          <w:rFonts w:ascii="Times New Roman" w:hAnsi="Times New Roman" w:cs="Times New Roman"/>
          <w:sz w:val="24"/>
          <w:szCs w:val="24"/>
        </w:rPr>
        <w:t>,</w:t>
      </w:r>
      <w:r w:rsidRPr="00591DF2">
        <w:rPr>
          <w:rFonts w:ascii="Times New Roman" w:hAnsi="Times New Roman" w:cs="Times New Roman"/>
          <w:sz w:val="24"/>
          <w:szCs w:val="24"/>
        </w:rPr>
        <w:t xml:space="preserve"> for the appellant</w:t>
      </w:r>
      <w:r>
        <w:rPr>
          <w:rFonts w:ascii="Times New Roman" w:hAnsi="Times New Roman" w:cs="Times New Roman"/>
          <w:sz w:val="24"/>
          <w:szCs w:val="24"/>
        </w:rPr>
        <w:t>,</w:t>
      </w:r>
      <w:r w:rsidRPr="00591DF2">
        <w:rPr>
          <w:rFonts w:ascii="Times New Roman" w:hAnsi="Times New Roman" w:cs="Times New Roman"/>
          <w:sz w:val="24"/>
          <w:szCs w:val="24"/>
        </w:rPr>
        <w:t xml:space="preserve"> </w:t>
      </w:r>
      <w:r w:rsidR="00C05892">
        <w:rPr>
          <w:rFonts w:ascii="Times New Roman" w:hAnsi="Times New Roman" w:cs="Times New Roman"/>
          <w:sz w:val="24"/>
          <w:szCs w:val="24"/>
        </w:rPr>
        <w:t xml:space="preserve">while conceding that the LPDT matters were related to the present matter, </w:t>
      </w:r>
      <w:r w:rsidRPr="00591DF2">
        <w:rPr>
          <w:rFonts w:ascii="Times New Roman" w:hAnsi="Times New Roman" w:cs="Times New Roman"/>
          <w:sz w:val="24"/>
          <w:szCs w:val="24"/>
        </w:rPr>
        <w:t>submitted that the cause</w:t>
      </w:r>
      <w:r w:rsidR="00C05892">
        <w:rPr>
          <w:rFonts w:ascii="Times New Roman" w:hAnsi="Times New Roman" w:cs="Times New Roman"/>
          <w:sz w:val="24"/>
          <w:szCs w:val="24"/>
        </w:rPr>
        <w:t>s</w:t>
      </w:r>
      <w:r w:rsidRPr="00591DF2">
        <w:rPr>
          <w:rFonts w:ascii="Times New Roman" w:hAnsi="Times New Roman" w:cs="Times New Roman"/>
          <w:sz w:val="24"/>
          <w:szCs w:val="24"/>
        </w:rPr>
        <w:t xml:space="preserve"> of action in the</w:t>
      </w:r>
      <w:r w:rsidR="00C05892">
        <w:rPr>
          <w:rFonts w:ascii="Times New Roman" w:hAnsi="Times New Roman" w:cs="Times New Roman"/>
          <w:sz w:val="24"/>
          <w:szCs w:val="24"/>
        </w:rPr>
        <w:t>se two matters were different</w:t>
      </w:r>
      <w:r w:rsidR="00EA34B8">
        <w:rPr>
          <w:rFonts w:ascii="Times New Roman" w:hAnsi="Times New Roman" w:cs="Times New Roman"/>
          <w:sz w:val="24"/>
          <w:szCs w:val="24"/>
        </w:rPr>
        <w:t xml:space="preserve">.  </w:t>
      </w:r>
      <w:r w:rsidR="00C05892">
        <w:rPr>
          <w:rFonts w:ascii="Times New Roman" w:hAnsi="Times New Roman" w:cs="Times New Roman"/>
          <w:sz w:val="24"/>
          <w:szCs w:val="24"/>
        </w:rPr>
        <w:t xml:space="preserve">He therefore argued </w:t>
      </w:r>
      <w:r w:rsidRPr="00591DF2">
        <w:rPr>
          <w:rFonts w:ascii="Times New Roman" w:hAnsi="Times New Roman" w:cs="Times New Roman"/>
          <w:sz w:val="24"/>
          <w:szCs w:val="24"/>
        </w:rPr>
        <w:t>th</w:t>
      </w:r>
      <w:r w:rsidR="00E7202A">
        <w:rPr>
          <w:rFonts w:ascii="Times New Roman" w:hAnsi="Times New Roman" w:cs="Times New Roman"/>
          <w:sz w:val="24"/>
          <w:szCs w:val="24"/>
        </w:rPr>
        <w:t>at th</w:t>
      </w:r>
      <w:r w:rsidRPr="00591DF2">
        <w:rPr>
          <w:rFonts w:ascii="Times New Roman" w:hAnsi="Times New Roman" w:cs="Times New Roman"/>
          <w:sz w:val="24"/>
          <w:szCs w:val="24"/>
        </w:rPr>
        <w:t xml:space="preserve">e prospects of success </w:t>
      </w:r>
      <w:r w:rsidR="00CC3AD0">
        <w:rPr>
          <w:rFonts w:ascii="Times New Roman" w:hAnsi="Times New Roman" w:cs="Times New Roman"/>
          <w:sz w:val="24"/>
          <w:szCs w:val="24"/>
        </w:rPr>
        <w:t>c</w:t>
      </w:r>
      <w:r w:rsidR="00EA34B8">
        <w:rPr>
          <w:rFonts w:ascii="Times New Roman" w:hAnsi="Times New Roman" w:cs="Times New Roman"/>
          <w:sz w:val="24"/>
          <w:szCs w:val="24"/>
        </w:rPr>
        <w:t xml:space="preserve">ould not be the same.  </w:t>
      </w:r>
      <w:r w:rsidRPr="00591DF2">
        <w:rPr>
          <w:rFonts w:ascii="Times New Roman" w:hAnsi="Times New Roman" w:cs="Times New Roman"/>
          <w:sz w:val="24"/>
          <w:szCs w:val="24"/>
        </w:rPr>
        <w:t xml:space="preserve">He </w:t>
      </w:r>
      <w:r w:rsidR="00C05892">
        <w:rPr>
          <w:rFonts w:ascii="Times New Roman" w:hAnsi="Times New Roman" w:cs="Times New Roman"/>
          <w:sz w:val="24"/>
          <w:szCs w:val="24"/>
        </w:rPr>
        <w:t>contended</w:t>
      </w:r>
      <w:r w:rsidRPr="00591DF2">
        <w:rPr>
          <w:rFonts w:ascii="Times New Roman" w:hAnsi="Times New Roman" w:cs="Times New Roman"/>
          <w:sz w:val="24"/>
          <w:szCs w:val="24"/>
        </w:rPr>
        <w:t xml:space="preserve"> that the main LPDT matter sought to determine whether the appellant had breached the </w:t>
      </w:r>
      <w:r w:rsidR="00EA34B8">
        <w:rPr>
          <w:rFonts w:ascii="Times New Roman" w:hAnsi="Times New Roman" w:cs="Times New Roman"/>
          <w:sz w:val="24"/>
          <w:szCs w:val="24"/>
        </w:rPr>
        <w:t xml:space="preserve">ethics of the legal profession.  </w:t>
      </w:r>
      <w:r w:rsidRPr="00591DF2">
        <w:rPr>
          <w:rFonts w:ascii="Times New Roman" w:hAnsi="Times New Roman" w:cs="Times New Roman"/>
          <w:sz w:val="24"/>
          <w:szCs w:val="24"/>
        </w:rPr>
        <w:t>He also argued that the second matter was concerned with the suspension of the adverse penalty imposed a</w:t>
      </w:r>
      <w:r w:rsidR="003C6C4E">
        <w:rPr>
          <w:rFonts w:ascii="Times New Roman" w:hAnsi="Times New Roman" w:cs="Times New Roman"/>
          <w:sz w:val="24"/>
          <w:szCs w:val="24"/>
        </w:rPr>
        <w:t xml:space="preserve">gainst him in the first matter.  </w:t>
      </w:r>
      <w:r w:rsidRPr="00591DF2">
        <w:rPr>
          <w:rFonts w:ascii="Times New Roman" w:hAnsi="Times New Roman" w:cs="Times New Roman"/>
          <w:sz w:val="24"/>
          <w:szCs w:val="24"/>
        </w:rPr>
        <w:t>He submitted that these two causes are distinguishable from the present matter, which seeks to determine “the appellant’s civil liability to the respondents.” He contended that the prospects of success in the present matter</w:t>
      </w:r>
      <w:r w:rsidR="00B9707A">
        <w:rPr>
          <w:rFonts w:ascii="Times New Roman" w:hAnsi="Times New Roman" w:cs="Times New Roman"/>
          <w:sz w:val="24"/>
          <w:szCs w:val="24"/>
        </w:rPr>
        <w:t xml:space="preserve"> are therefore</w:t>
      </w:r>
      <w:r w:rsidRPr="00591DF2">
        <w:rPr>
          <w:rFonts w:ascii="Times New Roman" w:hAnsi="Times New Roman" w:cs="Times New Roman"/>
          <w:sz w:val="24"/>
          <w:szCs w:val="24"/>
        </w:rPr>
        <w:t xml:space="preserve"> different from those pertaining to the disciplinary matters because of the differences in their respective causes of action.</w:t>
      </w:r>
      <w:r w:rsidR="003C6C4E">
        <w:rPr>
          <w:rFonts w:ascii="Times New Roman" w:hAnsi="Times New Roman" w:cs="Times New Roman"/>
          <w:sz w:val="24"/>
          <w:szCs w:val="24"/>
        </w:rPr>
        <w:t xml:space="preserve">  </w:t>
      </w:r>
      <w:r w:rsidR="00B9707A">
        <w:rPr>
          <w:rFonts w:ascii="Times New Roman" w:hAnsi="Times New Roman" w:cs="Times New Roman"/>
          <w:sz w:val="24"/>
          <w:szCs w:val="24"/>
        </w:rPr>
        <w:t xml:space="preserve">He criticized the way the court </w:t>
      </w:r>
      <w:r w:rsidR="00B9707A" w:rsidRPr="00B9707A">
        <w:rPr>
          <w:rFonts w:ascii="Times New Roman" w:hAnsi="Times New Roman" w:cs="Times New Roman"/>
          <w:i/>
          <w:iCs/>
          <w:sz w:val="24"/>
          <w:szCs w:val="24"/>
        </w:rPr>
        <w:t>a quo</w:t>
      </w:r>
      <w:r w:rsidR="00B9707A">
        <w:rPr>
          <w:rFonts w:ascii="Times New Roman" w:hAnsi="Times New Roman" w:cs="Times New Roman"/>
          <w:sz w:val="24"/>
          <w:szCs w:val="24"/>
        </w:rPr>
        <w:t xml:space="preserve"> adopted the reasoning of the tribunal. </w:t>
      </w:r>
      <w:r w:rsidR="00EA34B8">
        <w:rPr>
          <w:rFonts w:ascii="Times New Roman" w:hAnsi="Times New Roman" w:cs="Times New Roman"/>
          <w:sz w:val="24"/>
          <w:szCs w:val="24"/>
        </w:rPr>
        <w:t xml:space="preserve"> </w:t>
      </w:r>
      <w:r w:rsidR="00B9707A">
        <w:rPr>
          <w:rFonts w:ascii="Times New Roman" w:hAnsi="Times New Roman" w:cs="Times New Roman"/>
          <w:sz w:val="24"/>
          <w:szCs w:val="24"/>
        </w:rPr>
        <w:t xml:space="preserve">He argued that it showed that </w:t>
      </w:r>
      <w:r w:rsidR="00F52B5B">
        <w:rPr>
          <w:rFonts w:ascii="Times New Roman" w:hAnsi="Times New Roman" w:cs="Times New Roman"/>
          <w:sz w:val="24"/>
          <w:szCs w:val="24"/>
        </w:rPr>
        <w:t xml:space="preserve">the </w:t>
      </w:r>
      <w:r w:rsidR="00F52B5B" w:rsidRPr="00F52B5B">
        <w:rPr>
          <w:rFonts w:ascii="Times New Roman" w:hAnsi="Times New Roman" w:cs="Times New Roman"/>
          <w:sz w:val="24"/>
          <w:szCs w:val="24"/>
        </w:rPr>
        <w:t>court</w:t>
      </w:r>
      <w:r w:rsidR="00F52B5B" w:rsidRPr="00F52B5B">
        <w:rPr>
          <w:rFonts w:ascii="Times New Roman" w:hAnsi="Times New Roman" w:cs="Times New Roman"/>
          <w:i/>
          <w:iCs/>
          <w:sz w:val="24"/>
          <w:szCs w:val="24"/>
        </w:rPr>
        <w:t xml:space="preserve"> a quo</w:t>
      </w:r>
      <w:r w:rsidR="00F52B5B">
        <w:rPr>
          <w:rFonts w:ascii="Times New Roman" w:hAnsi="Times New Roman" w:cs="Times New Roman"/>
          <w:sz w:val="24"/>
          <w:szCs w:val="24"/>
        </w:rPr>
        <w:t xml:space="preserve"> erroneously considered itself to have been bound by the factual findings of the tribunal.</w:t>
      </w:r>
      <w:r w:rsidR="008A43BC">
        <w:rPr>
          <w:rFonts w:ascii="Times New Roman" w:hAnsi="Times New Roman" w:cs="Times New Roman"/>
          <w:sz w:val="24"/>
          <w:szCs w:val="24"/>
        </w:rPr>
        <w:t xml:space="preserve"> </w:t>
      </w:r>
      <w:r w:rsidR="00EA34B8">
        <w:rPr>
          <w:rFonts w:ascii="Times New Roman" w:hAnsi="Times New Roman" w:cs="Times New Roman"/>
          <w:sz w:val="24"/>
          <w:szCs w:val="24"/>
        </w:rPr>
        <w:t xml:space="preserve"> </w:t>
      </w:r>
      <w:r w:rsidR="008A43BC">
        <w:rPr>
          <w:rFonts w:ascii="Times New Roman" w:hAnsi="Times New Roman" w:cs="Times New Roman"/>
          <w:sz w:val="24"/>
          <w:szCs w:val="24"/>
        </w:rPr>
        <w:t xml:space="preserve">He further argued that the court </w:t>
      </w:r>
      <w:r w:rsidR="008A43BC" w:rsidRPr="009141CC">
        <w:rPr>
          <w:rFonts w:ascii="Times New Roman" w:hAnsi="Times New Roman" w:cs="Times New Roman"/>
          <w:i/>
          <w:iCs/>
          <w:sz w:val="24"/>
          <w:szCs w:val="24"/>
        </w:rPr>
        <w:t>a quo’s</w:t>
      </w:r>
      <w:r w:rsidR="008A43BC">
        <w:rPr>
          <w:rFonts w:ascii="Times New Roman" w:hAnsi="Times New Roman" w:cs="Times New Roman"/>
          <w:sz w:val="24"/>
          <w:szCs w:val="24"/>
        </w:rPr>
        <w:t xml:space="preserve"> failure to consider whether the power of attorney constituted a </w:t>
      </w:r>
      <w:r w:rsidR="008A43BC" w:rsidRPr="008A43BC">
        <w:rPr>
          <w:rFonts w:ascii="Times New Roman" w:hAnsi="Times New Roman" w:cs="Times New Roman"/>
          <w:i/>
          <w:iCs/>
          <w:sz w:val="24"/>
          <w:szCs w:val="24"/>
        </w:rPr>
        <w:t xml:space="preserve">pactum </w:t>
      </w:r>
      <w:r w:rsidR="00880A97">
        <w:rPr>
          <w:rFonts w:ascii="Times New Roman" w:hAnsi="Times New Roman" w:cs="Times New Roman"/>
          <w:i/>
          <w:iCs/>
          <w:sz w:val="24"/>
          <w:szCs w:val="24"/>
        </w:rPr>
        <w:t>commi</w:t>
      </w:r>
      <w:r w:rsidR="008A43BC" w:rsidRPr="008A43BC">
        <w:rPr>
          <w:rFonts w:ascii="Times New Roman" w:hAnsi="Times New Roman" w:cs="Times New Roman"/>
          <w:i/>
          <w:iCs/>
          <w:sz w:val="24"/>
          <w:szCs w:val="24"/>
        </w:rPr>
        <w:t>ssorium</w:t>
      </w:r>
      <w:r w:rsidR="008A43BC">
        <w:rPr>
          <w:rFonts w:ascii="Times New Roman" w:hAnsi="Times New Roman" w:cs="Times New Roman"/>
          <w:sz w:val="24"/>
          <w:szCs w:val="24"/>
        </w:rPr>
        <w:t xml:space="preserve"> or a </w:t>
      </w:r>
      <w:r w:rsidR="008A43BC" w:rsidRPr="008A43BC">
        <w:rPr>
          <w:rFonts w:ascii="Times New Roman" w:hAnsi="Times New Roman" w:cs="Times New Roman"/>
          <w:i/>
          <w:iCs/>
          <w:sz w:val="24"/>
          <w:szCs w:val="24"/>
        </w:rPr>
        <w:t>parate executie</w:t>
      </w:r>
      <w:r w:rsidR="008A43BC">
        <w:rPr>
          <w:rFonts w:ascii="Times New Roman" w:hAnsi="Times New Roman" w:cs="Times New Roman"/>
          <w:sz w:val="24"/>
          <w:szCs w:val="24"/>
        </w:rPr>
        <w:t xml:space="preserve"> </w:t>
      </w:r>
      <w:r w:rsidR="008D2B5A">
        <w:rPr>
          <w:rFonts w:ascii="Times New Roman" w:hAnsi="Times New Roman" w:cs="Times New Roman"/>
          <w:sz w:val="24"/>
          <w:szCs w:val="24"/>
        </w:rPr>
        <w:t xml:space="preserve">between NFL and the respondents </w:t>
      </w:r>
      <w:r w:rsidR="008A43BC">
        <w:rPr>
          <w:rFonts w:ascii="Times New Roman" w:hAnsi="Times New Roman" w:cs="Times New Roman"/>
          <w:sz w:val="24"/>
          <w:szCs w:val="24"/>
        </w:rPr>
        <w:t>adversely affected its finding</w:t>
      </w:r>
      <w:r w:rsidR="0013648D">
        <w:rPr>
          <w:rFonts w:ascii="Times New Roman" w:hAnsi="Times New Roman" w:cs="Times New Roman"/>
          <w:sz w:val="24"/>
          <w:szCs w:val="24"/>
        </w:rPr>
        <w:t xml:space="preserve"> on the </w:t>
      </w:r>
      <w:r w:rsidR="009141CC">
        <w:rPr>
          <w:rFonts w:ascii="Times New Roman" w:hAnsi="Times New Roman" w:cs="Times New Roman"/>
          <w:sz w:val="24"/>
          <w:szCs w:val="24"/>
        </w:rPr>
        <w:t xml:space="preserve">appellant’s </w:t>
      </w:r>
      <w:r w:rsidR="0013648D">
        <w:rPr>
          <w:rFonts w:ascii="Times New Roman" w:hAnsi="Times New Roman" w:cs="Times New Roman"/>
          <w:sz w:val="24"/>
          <w:szCs w:val="24"/>
        </w:rPr>
        <w:t>prospects of success</w:t>
      </w:r>
      <w:r w:rsidR="009141CC">
        <w:rPr>
          <w:rFonts w:ascii="Times New Roman" w:hAnsi="Times New Roman" w:cs="Times New Roman"/>
          <w:sz w:val="24"/>
          <w:szCs w:val="24"/>
        </w:rPr>
        <w:t>.</w:t>
      </w:r>
      <w:r w:rsidR="00EA34B8">
        <w:rPr>
          <w:rFonts w:ascii="Times New Roman" w:hAnsi="Times New Roman" w:cs="Times New Roman"/>
          <w:sz w:val="24"/>
          <w:szCs w:val="24"/>
        </w:rPr>
        <w:t xml:space="preserve">  </w:t>
      </w:r>
      <w:r w:rsidR="0013648D">
        <w:rPr>
          <w:rFonts w:ascii="Times New Roman" w:hAnsi="Times New Roman" w:cs="Times New Roman"/>
          <w:sz w:val="24"/>
          <w:szCs w:val="24"/>
        </w:rPr>
        <w:t xml:space="preserve">He submitted that the arrangement between the respondents and NFL, which was embodied in the power of attorney, constituted a valid and therefore legal </w:t>
      </w:r>
      <w:proofErr w:type="spellStart"/>
      <w:r w:rsidR="0013648D" w:rsidRPr="0013648D">
        <w:rPr>
          <w:rFonts w:ascii="Times New Roman" w:hAnsi="Times New Roman" w:cs="Times New Roman"/>
          <w:i/>
          <w:iCs/>
          <w:sz w:val="24"/>
          <w:szCs w:val="24"/>
        </w:rPr>
        <w:t>paratie</w:t>
      </w:r>
      <w:proofErr w:type="spellEnd"/>
      <w:r w:rsidR="0013648D" w:rsidRPr="0013648D">
        <w:rPr>
          <w:rFonts w:ascii="Times New Roman" w:hAnsi="Times New Roman" w:cs="Times New Roman"/>
          <w:i/>
          <w:iCs/>
          <w:sz w:val="24"/>
          <w:szCs w:val="24"/>
        </w:rPr>
        <w:t xml:space="preserve"> </w:t>
      </w:r>
      <w:proofErr w:type="spellStart"/>
      <w:r w:rsidR="0013648D" w:rsidRPr="0013648D">
        <w:rPr>
          <w:rFonts w:ascii="Times New Roman" w:hAnsi="Times New Roman" w:cs="Times New Roman"/>
          <w:i/>
          <w:iCs/>
          <w:sz w:val="24"/>
          <w:szCs w:val="24"/>
        </w:rPr>
        <w:t>executie</w:t>
      </w:r>
      <w:proofErr w:type="spellEnd"/>
      <w:r w:rsidR="0013648D">
        <w:rPr>
          <w:rFonts w:ascii="Times New Roman" w:hAnsi="Times New Roman" w:cs="Times New Roman"/>
          <w:i/>
          <w:iCs/>
          <w:sz w:val="24"/>
          <w:szCs w:val="24"/>
        </w:rPr>
        <w:t xml:space="preserve">. </w:t>
      </w:r>
    </w:p>
    <w:p w14:paraId="347542E0" w14:textId="77777777" w:rsidR="003C6C4E" w:rsidRDefault="003C6C4E" w:rsidP="003C6C4E">
      <w:pPr>
        <w:spacing w:after="0" w:line="480" w:lineRule="auto"/>
        <w:ind w:firstLine="1134"/>
        <w:jc w:val="both"/>
        <w:rPr>
          <w:rFonts w:ascii="Times New Roman" w:hAnsi="Times New Roman" w:cs="Times New Roman"/>
          <w:sz w:val="24"/>
          <w:szCs w:val="24"/>
        </w:rPr>
      </w:pPr>
    </w:p>
    <w:p w14:paraId="7BBFDA7F" w14:textId="564C594A" w:rsidR="0039159F" w:rsidRDefault="0039159F" w:rsidP="003C6C4E">
      <w:pPr>
        <w:spacing w:line="480" w:lineRule="auto"/>
        <w:ind w:firstLine="1134"/>
        <w:jc w:val="both"/>
        <w:rPr>
          <w:rFonts w:ascii="Times New Roman" w:hAnsi="Times New Roman" w:cs="Times New Roman"/>
          <w:sz w:val="24"/>
          <w:szCs w:val="24"/>
        </w:rPr>
      </w:pPr>
      <w:r w:rsidRPr="004D58F8">
        <w:rPr>
          <w:rFonts w:ascii="Times New Roman" w:hAnsi="Times New Roman" w:cs="Times New Roman"/>
          <w:i/>
          <w:iCs/>
          <w:sz w:val="24"/>
          <w:szCs w:val="24"/>
        </w:rPr>
        <w:t>Per contra</w:t>
      </w:r>
      <w:r>
        <w:rPr>
          <w:rFonts w:ascii="Times New Roman" w:hAnsi="Times New Roman" w:cs="Times New Roman"/>
          <w:sz w:val="24"/>
          <w:szCs w:val="24"/>
        </w:rPr>
        <w:t xml:space="preserve">, </w:t>
      </w: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w:t>
      </w:r>
      <w:proofErr w:type="spellStart"/>
      <w:r w:rsidRPr="0039159F">
        <w:rPr>
          <w:rFonts w:ascii="Times New Roman" w:hAnsi="Times New Roman" w:cs="Times New Roman"/>
          <w:i/>
          <w:iCs/>
          <w:sz w:val="24"/>
          <w:szCs w:val="24"/>
        </w:rPr>
        <w:t>Mukon</w:t>
      </w:r>
      <w:r>
        <w:rPr>
          <w:rFonts w:ascii="Times New Roman" w:hAnsi="Times New Roman" w:cs="Times New Roman"/>
          <w:i/>
          <w:iCs/>
          <w:sz w:val="24"/>
          <w:szCs w:val="24"/>
        </w:rPr>
        <w:t>o</w:t>
      </w:r>
      <w:r w:rsidRPr="0039159F">
        <w:rPr>
          <w:rFonts w:ascii="Times New Roman" w:hAnsi="Times New Roman" w:cs="Times New Roman"/>
          <w:i/>
          <w:iCs/>
          <w:sz w:val="24"/>
          <w:szCs w:val="24"/>
        </w:rPr>
        <w:t>weshuro</w:t>
      </w:r>
      <w:proofErr w:type="spellEnd"/>
      <w:r>
        <w:rPr>
          <w:rFonts w:ascii="Times New Roman" w:hAnsi="Times New Roman" w:cs="Times New Roman"/>
          <w:sz w:val="24"/>
          <w:szCs w:val="24"/>
        </w:rPr>
        <w:t xml:space="preserve">, for the respondents supported the decision of the court </w:t>
      </w:r>
      <w:r w:rsidRPr="0039159F">
        <w:rPr>
          <w:rFonts w:ascii="Times New Roman" w:hAnsi="Times New Roman" w:cs="Times New Roman"/>
          <w:i/>
          <w:iCs/>
          <w:sz w:val="24"/>
          <w:szCs w:val="24"/>
        </w:rPr>
        <w:t>a quo</w:t>
      </w:r>
      <w:r>
        <w:rPr>
          <w:rFonts w:ascii="Times New Roman" w:hAnsi="Times New Roman" w:cs="Times New Roman"/>
          <w:sz w:val="24"/>
          <w:szCs w:val="24"/>
        </w:rPr>
        <w:t xml:space="preserve">. </w:t>
      </w:r>
      <w:r w:rsidR="00EA34B8">
        <w:rPr>
          <w:rFonts w:ascii="Times New Roman" w:hAnsi="Times New Roman" w:cs="Times New Roman"/>
          <w:sz w:val="24"/>
          <w:szCs w:val="24"/>
        </w:rPr>
        <w:t xml:space="preserve"> </w:t>
      </w:r>
      <w:r>
        <w:rPr>
          <w:rFonts w:ascii="Times New Roman" w:hAnsi="Times New Roman" w:cs="Times New Roman"/>
          <w:sz w:val="24"/>
          <w:szCs w:val="24"/>
        </w:rPr>
        <w:t xml:space="preserve">He submitted that the </w:t>
      </w:r>
      <w:r w:rsidR="00C62CF0">
        <w:rPr>
          <w:rFonts w:ascii="Times New Roman" w:hAnsi="Times New Roman" w:cs="Times New Roman"/>
          <w:sz w:val="24"/>
          <w:szCs w:val="24"/>
        </w:rPr>
        <w:t xml:space="preserve">court </w:t>
      </w:r>
      <w:r w:rsidR="00C62CF0" w:rsidRPr="00C62CF0">
        <w:rPr>
          <w:rFonts w:ascii="Times New Roman" w:hAnsi="Times New Roman" w:cs="Times New Roman"/>
          <w:i/>
          <w:iCs/>
          <w:sz w:val="24"/>
          <w:szCs w:val="24"/>
        </w:rPr>
        <w:t>a quo</w:t>
      </w:r>
      <w:r w:rsidR="00C62CF0">
        <w:rPr>
          <w:rFonts w:ascii="Times New Roman" w:hAnsi="Times New Roman" w:cs="Times New Roman"/>
          <w:sz w:val="24"/>
          <w:szCs w:val="24"/>
        </w:rPr>
        <w:t xml:space="preserve"> did not hold that it was bound by the findings of the tribunal but merely adopted </w:t>
      </w:r>
      <w:r w:rsidR="00EA34B8">
        <w:rPr>
          <w:rFonts w:ascii="Times New Roman" w:hAnsi="Times New Roman" w:cs="Times New Roman"/>
          <w:sz w:val="24"/>
          <w:szCs w:val="24"/>
        </w:rPr>
        <w:t xml:space="preserve">the reasoning of the tribunal.  </w:t>
      </w:r>
      <w:r w:rsidR="00C62CF0">
        <w:rPr>
          <w:rFonts w:ascii="Times New Roman" w:hAnsi="Times New Roman" w:cs="Times New Roman"/>
          <w:sz w:val="24"/>
          <w:szCs w:val="24"/>
        </w:rPr>
        <w:t xml:space="preserve">He contended that, like the tribunal, </w:t>
      </w:r>
      <w:r w:rsidR="00C62CF0">
        <w:rPr>
          <w:rFonts w:ascii="Times New Roman" w:hAnsi="Times New Roman" w:cs="Times New Roman"/>
          <w:sz w:val="24"/>
          <w:szCs w:val="24"/>
        </w:rPr>
        <w:lastRenderedPageBreak/>
        <w:t xml:space="preserve">the court </w:t>
      </w:r>
      <w:r w:rsidR="00C62CF0" w:rsidRPr="00013E80">
        <w:rPr>
          <w:rFonts w:ascii="Times New Roman" w:hAnsi="Times New Roman" w:cs="Times New Roman"/>
          <w:i/>
          <w:iCs/>
          <w:sz w:val="24"/>
          <w:szCs w:val="24"/>
        </w:rPr>
        <w:t>a quo</w:t>
      </w:r>
      <w:r w:rsidR="00C62CF0">
        <w:rPr>
          <w:rFonts w:ascii="Times New Roman" w:hAnsi="Times New Roman" w:cs="Times New Roman"/>
          <w:sz w:val="24"/>
          <w:szCs w:val="24"/>
        </w:rPr>
        <w:t xml:space="preserve"> found that the appellant breached his d</w:t>
      </w:r>
      <w:r w:rsidR="003C6C4E">
        <w:rPr>
          <w:rFonts w:ascii="Times New Roman" w:hAnsi="Times New Roman" w:cs="Times New Roman"/>
          <w:sz w:val="24"/>
          <w:szCs w:val="24"/>
        </w:rPr>
        <w:t xml:space="preserve">uty of care to the respondents.  </w:t>
      </w:r>
      <w:r w:rsidR="007D1CBF">
        <w:rPr>
          <w:rFonts w:ascii="Times New Roman" w:hAnsi="Times New Roman" w:cs="Times New Roman"/>
          <w:sz w:val="24"/>
          <w:szCs w:val="24"/>
        </w:rPr>
        <w:t xml:space="preserve">Firstly, by his erroneous treatment of the respondents as debtors to NFL. Secondly, </w:t>
      </w:r>
      <w:r w:rsidR="00413D3A">
        <w:rPr>
          <w:rFonts w:ascii="Times New Roman" w:hAnsi="Times New Roman" w:cs="Times New Roman"/>
          <w:sz w:val="24"/>
          <w:szCs w:val="24"/>
        </w:rPr>
        <w:t>by</w:t>
      </w:r>
      <w:r w:rsidR="007D1CBF">
        <w:rPr>
          <w:rFonts w:ascii="Times New Roman" w:hAnsi="Times New Roman" w:cs="Times New Roman"/>
          <w:sz w:val="24"/>
          <w:szCs w:val="24"/>
        </w:rPr>
        <w:t xml:space="preserve"> deliberately ignor</w:t>
      </w:r>
      <w:r w:rsidR="00413D3A">
        <w:rPr>
          <w:rFonts w:ascii="Times New Roman" w:hAnsi="Times New Roman" w:cs="Times New Roman"/>
          <w:sz w:val="24"/>
          <w:szCs w:val="24"/>
        </w:rPr>
        <w:t xml:space="preserve">ing the fact </w:t>
      </w:r>
      <w:r w:rsidR="007D1CBF">
        <w:rPr>
          <w:rFonts w:ascii="Times New Roman" w:hAnsi="Times New Roman" w:cs="Times New Roman"/>
          <w:sz w:val="24"/>
          <w:szCs w:val="24"/>
        </w:rPr>
        <w:t>that the respondent’s affidavit was “in support of” the debtor’s credit application.</w:t>
      </w:r>
      <w:r w:rsidR="00EA34B8">
        <w:rPr>
          <w:rFonts w:ascii="Times New Roman" w:hAnsi="Times New Roman" w:cs="Times New Roman"/>
          <w:sz w:val="24"/>
          <w:szCs w:val="24"/>
        </w:rPr>
        <w:t xml:space="preserve">  </w:t>
      </w:r>
      <w:r w:rsidR="001864D5">
        <w:rPr>
          <w:rFonts w:ascii="Times New Roman" w:hAnsi="Times New Roman" w:cs="Times New Roman"/>
          <w:sz w:val="24"/>
          <w:szCs w:val="24"/>
        </w:rPr>
        <w:t xml:space="preserve">He therefore submitted that the appellant’s argument that he alienated the immovable property on the authority and consent of the respondents was not supported by these two documents. </w:t>
      </w:r>
      <w:r w:rsidR="00EA34B8">
        <w:rPr>
          <w:rFonts w:ascii="Times New Roman" w:hAnsi="Times New Roman" w:cs="Times New Roman"/>
          <w:sz w:val="24"/>
          <w:szCs w:val="24"/>
        </w:rPr>
        <w:t xml:space="preserve"> </w:t>
      </w:r>
      <w:r w:rsidR="001864D5">
        <w:rPr>
          <w:rFonts w:ascii="Times New Roman" w:hAnsi="Times New Roman" w:cs="Times New Roman"/>
          <w:sz w:val="24"/>
          <w:szCs w:val="24"/>
        </w:rPr>
        <w:t>He also argued that, even if the power of attorney were regarded as a surety agreement, the appellant could not have sold and transferred the immovable property without a court order.</w:t>
      </w:r>
      <w:r w:rsidR="003C6C4E">
        <w:rPr>
          <w:rFonts w:ascii="Times New Roman" w:hAnsi="Times New Roman" w:cs="Times New Roman"/>
          <w:sz w:val="24"/>
          <w:szCs w:val="24"/>
        </w:rPr>
        <w:t xml:space="preserve">  </w:t>
      </w:r>
      <w:r w:rsidR="0038382F">
        <w:rPr>
          <w:rFonts w:ascii="Times New Roman" w:hAnsi="Times New Roman" w:cs="Times New Roman"/>
          <w:sz w:val="24"/>
          <w:szCs w:val="24"/>
        </w:rPr>
        <w:t xml:space="preserve">This, so he contended, was because the power of attorney did not </w:t>
      </w:r>
      <w:r w:rsidR="00191D75">
        <w:rPr>
          <w:rFonts w:ascii="Times New Roman" w:hAnsi="Times New Roman" w:cs="Times New Roman"/>
          <w:sz w:val="24"/>
          <w:szCs w:val="24"/>
        </w:rPr>
        <w:t>bind</w:t>
      </w:r>
      <w:r w:rsidR="0038382F">
        <w:rPr>
          <w:rFonts w:ascii="Times New Roman" w:hAnsi="Times New Roman" w:cs="Times New Roman"/>
          <w:sz w:val="24"/>
          <w:szCs w:val="24"/>
        </w:rPr>
        <w:t xml:space="preserve"> the respondents as co-principal debtors. </w:t>
      </w:r>
      <w:r w:rsidR="00EA34B8">
        <w:rPr>
          <w:rFonts w:ascii="Times New Roman" w:hAnsi="Times New Roman" w:cs="Times New Roman"/>
          <w:sz w:val="24"/>
          <w:szCs w:val="24"/>
        </w:rPr>
        <w:t xml:space="preserve"> </w:t>
      </w:r>
      <w:r w:rsidR="00ED3DEC">
        <w:rPr>
          <w:rFonts w:ascii="Times New Roman" w:hAnsi="Times New Roman" w:cs="Times New Roman"/>
          <w:sz w:val="24"/>
          <w:szCs w:val="24"/>
        </w:rPr>
        <w:t xml:space="preserve">He also argued that the appellant’s apparent failure to produce the sellers’ power of attorney and declaration to pass transfer clearly showed that his prospective defence did not have any prospects of success. </w:t>
      </w:r>
    </w:p>
    <w:p w14:paraId="11AA79B1" w14:textId="77777777" w:rsidR="003C6C4E" w:rsidRDefault="003C6C4E" w:rsidP="003C6C4E">
      <w:pPr>
        <w:spacing w:after="0" w:line="480" w:lineRule="auto"/>
        <w:ind w:firstLine="1134"/>
        <w:jc w:val="both"/>
        <w:rPr>
          <w:rFonts w:ascii="Times New Roman" w:hAnsi="Times New Roman" w:cs="Times New Roman"/>
          <w:sz w:val="24"/>
          <w:szCs w:val="24"/>
        </w:rPr>
      </w:pPr>
    </w:p>
    <w:p w14:paraId="26B49A67" w14:textId="40D6686A" w:rsidR="00A01630" w:rsidRPr="003C6C4E" w:rsidRDefault="003C6C4E" w:rsidP="003C6C4E">
      <w:pPr>
        <w:spacing w:after="0" w:line="480" w:lineRule="auto"/>
        <w:jc w:val="both"/>
        <w:rPr>
          <w:rFonts w:ascii="Times New Roman" w:hAnsi="Times New Roman" w:cs="Times New Roman"/>
          <w:b/>
          <w:bCs/>
          <w:sz w:val="24"/>
          <w:szCs w:val="24"/>
          <w:u w:val="single"/>
        </w:rPr>
      </w:pPr>
      <w:r w:rsidRPr="003C6C4E">
        <w:rPr>
          <w:rFonts w:ascii="Times New Roman" w:hAnsi="Times New Roman" w:cs="Times New Roman"/>
          <w:b/>
          <w:bCs/>
          <w:sz w:val="24"/>
          <w:szCs w:val="24"/>
          <w:u w:val="single"/>
        </w:rPr>
        <w:t>THE ISSUE</w:t>
      </w:r>
    </w:p>
    <w:p w14:paraId="74FB8125" w14:textId="3869C9D2" w:rsidR="00A01630" w:rsidRDefault="00A01630" w:rsidP="003C6C4E">
      <w:pPr>
        <w:spacing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The sole issue that arises from the appellant’s grounds of appeal is whether the court </w:t>
      </w:r>
      <w:r w:rsidRPr="00013E80">
        <w:rPr>
          <w:rFonts w:ascii="Times New Roman" w:hAnsi="Times New Roman" w:cs="Times New Roman"/>
          <w:i/>
          <w:iCs/>
          <w:sz w:val="24"/>
          <w:szCs w:val="24"/>
        </w:rPr>
        <w:t>a quo</w:t>
      </w:r>
      <w:r>
        <w:rPr>
          <w:rFonts w:ascii="Times New Roman" w:hAnsi="Times New Roman" w:cs="Times New Roman"/>
          <w:sz w:val="24"/>
          <w:szCs w:val="24"/>
        </w:rPr>
        <w:t xml:space="preserve"> erred in finding that the appellant’s prospective defence did not have any d</w:t>
      </w:r>
      <w:r w:rsidR="003C6C4E">
        <w:rPr>
          <w:rFonts w:ascii="Times New Roman" w:hAnsi="Times New Roman" w:cs="Times New Roman"/>
          <w:sz w:val="24"/>
          <w:szCs w:val="24"/>
        </w:rPr>
        <w:t>iscernible prospects of success.</w:t>
      </w:r>
    </w:p>
    <w:p w14:paraId="5CDCE980" w14:textId="77777777" w:rsidR="003C6C4E" w:rsidRDefault="003C6C4E" w:rsidP="003C6C4E">
      <w:pPr>
        <w:spacing w:after="0" w:line="240" w:lineRule="auto"/>
        <w:ind w:firstLine="1134"/>
        <w:jc w:val="both"/>
        <w:rPr>
          <w:rFonts w:ascii="Times New Roman" w:hAnsi="Times New Roman" w:cs="Times New Roman"/>
          <w:sz w:val="24"/>
          <w:szCs w:val="24"/>
        </w:rPr>
      </w:pPr>
    </w:p>
    <w:p w14:paraId="29AEC4F9" w14:textId="30C75934" w:rsidR="00A94615" w:rsidRDefault="003C6C4E" w:rsidP="00A94615">
      <w:pPr>
        <w:pStyle w:val="Heading1"/>
      </w:pPr>
      <w:r w:rsidRPr="00A94615">
        <w:t>ANALYSIS</w:t>
      </w:r>
    </w:p>
    <w:p w14:paraId="6AB5E413" w14:textId="77777777" w:rsidR="00A94615" w:rsidRPr="00A94615" w:rsidRDefault="00A94615" w:rsidP="00284A17">
      <w:pPr>
        <w:pStyle w:val="Header"/>
        <w:tabs>
          <w:tab w:val="clear" w:pos="4680"/>
          <w:tab w:val="clear" w:pos="9360"/>
        </w:tabs>
        <w:spacing w:line="259" w:lineRule="auto"/>
      </w:pPr>
    </w:p>
    <w:p w14:paraId="7EDBD09C" w14:textId="4A0A6292" w:rsidR="00524A42" w:rsidRDefault="00A01630" w:rsidP="003C6C4E">
      <w:pPr>
        <w:spacing w:after="0" w:line="480" w:lineRule="auto"/>
        <w:ind w:firstLine="1134"/>
        <w:jc w:val="both"/>
        <w:rPr>
          <w:rFonts w:ascii="Times New Roman" w:eastAsia="Calibri" w:hAnsi="Times New Roman" w:cs="Times New Roman"/>
          <w:bCs/>
          <w:sz w:val="24"/>
          <w:szCs w:val="24"/>
        </w:rPr>
      </w:pPr>
      <w:r>
        <w:rPr>
          <w:rFonts w:ascii="Times New Roman" w:hAnsi="Times New Roman" w:cs="Times New Roman"/>
          <w:sz w:val="24"/>
          <w:szCs w:val="24"/>
        </w:rPr>
        <w:t xml:space="preserve">The </w:t>
      </w:r>
      <w:r w:rsidR="00524A42">
        <w:rPr>
          <w:rFonts w:ascii="Times New Roman" w:hAnsi="Times New Roman" w:cs="Times New Roman"/>
          <w:sz w:val="24"/>
          <w:szCs w:val="24"/>
        </w:rPr>
        <w:t xml:space="preserve">requirements for an application for condonation in this jurisdiction are well </w:t>
      </w:r>
      <w:r w:rsidR="003C6C4E">
        <w:rPr>
          <w:rFonts w:ascii="Times New Roman" w:hAnsi="Times New Roman" w:cs="Times New Roman"/>
          <w:sz w:val="24"/>
          <w:szCs w:val="24"/>
        </w:rPr>
        <w:t xml:space="preserve">established.  </w:t>
      </w:r>
      <w:r w:rsidR="00524A42">
        <w:rPr>
          <w:rFonts w:ascii="Times New Roman" w:hAnsi="Times New Roman" w:cs="Times New Roman"/>
          <w:sz w:val="24"/>
          <w:szCs w:val="24"/>
        </w:rPr>
        <w:t>The primary ones are: the exten</w:t>
      </w:r>
      <w:r w:rsidR="0027081F">
        <w:rPr>
          <w:rFonts w:ascii="Times New Roman" w:hAnsi="Times New Roman" w:cs="Times New Roman"/>
          <w:sz w:val="24"/>
          <w:szCs w:val="24"/>
        </w:rPr>
        <w:t>t</w:t>
      </w:r>
      <w:r w:rsidR="00524A42">
        <w:rPr>
          <w:rFonts w:ascii="Times New Roman" w:hAnsi="Times New Roman" w:cs="Times New Roman"/>
          <w:sz w:val="24"/>
          <w:szCs w:val="24"/>
        </w:rPr>
        <w:t xml:space="preserve"> of the </w:t>
      </w:r>
      <w:r w:rsidR="0022411A">
        <w:rPr>
          <w:rFonts w:ascii="Times New Roman" w:hAnsi="Times New Roman" w:cs="Times New Roman"/>
          <w:sz w:val="24"/>
          <w:szCs w:val="24"/>
        </w:rPr>
        <w:t>non-compliance with the rules of c</w:t>
      </w:r>
      <w:r w:rsidR="008F44E7">
        <w:rPr>
          <w:rFonts w:ascii="Times New Roman" w:hAnsi="Times New Roman" w:cs="Times New Roman"/>
          <w:sz w:val="24"/>
          <w:szCs w:val="24"/>
        </w:rPr>
        <w:t>ourt</w:t>
      </w:r>
      <w:r w:rsidR="00524A42">
        <w:rPr>
          <w:rFonts w:ascii="Times New Roman" w:hAnsi="Times New Roman" w:cs="Times New Roman"/>
          <w:sz w:val="24"/>
          <w:szCs w:val="24"/>
        </w:rPr>
        <w:t xml:space="preserve">, the reasonableness of the explanation and the prospects of success. </w:t>
      </w:r>
      <w:r w:rsidR="00EA34B8">
        <w:rPr>
          <w:rFonts w:ascii="Times New Roman" w:hAnsi="Times New Roman" w:cs="Times New Roman"/>
          <w:sz w:val="24"/>
          <w:szCs w:val="24"/>
        </w:rPr>
        <w:t xml:space="preserve"> </w:t>
      </w:r>
      <w:r w:rsidR="00524A42">
        <w:rPr>
          <w:rFonts w:ascii="Times New Roman" w:hAnsi="Times New Roman" w:cs="Times New Roman"/>
          <w:sz w:val="24"/>
          <w:szCs w:val="24"/>
        </w:rPr>
        <w:t xml:space="preserve">See </w:t>
      </w:r>
      <w:r w:rsidR="00524A42" w:rsidRPr="00524A42">
        <w:rPr>
          <w:rFonts w:ascii="Times New Roman" w:hAnsi="Times New Roman" w:cs="Times New Roman"/>
          <w:i/>
          <w:iCs/>
          <w:sz w:val="24"/>
          <w:szCs w:val="24"/>
        </w:rPr>
        <w:t>Forestry Commission v Moyo</w:t>
      </w:r>
      <w:r w:rsidR="00524A42">
        <w:rPr>
          <w:rFonts w:ascii="Times New Roman" w:hAnsi="Times New Roman" w:cs="Times New Roman"/>
          <w:sz w:val="24"/>
          <w:szCs w:val="24"/>
        </w:rPr>
        <w:t xml:space="preserve"> 1997 (1) ZLR 254 (S) </w:t>
      </w:r>
      <w:r w:rsidR="0027081F">
        <w:rPr>
          <w:rFonts w:ascii="Times New Roman" w:hAnsi="Times New Roman" w:cs="Times New Roman"/>
          <w:sz w:val="24"/>
          <w:szCs w:val="24"/>
        </w:rPr>
        <w:t xml:space="preserve">at 260E-F </w:t>
      </w:r>
      <w:r w:rsidR="00524A42">
        <w:rPr>
          <w:rFonts w:ascii="Times New Roman" w:hAnsi="Times New Roman" w:cs="Times New Roman"/>
          <w:sz w:val="24"/>
          <w:szCs w:val="24"/>
        </w:rPr>
        <w:t xml:space="preserve">and </w:t>
      </w:r>
      <w:proofErr w:type="spellStart"/>
      <w:r w:rsidR="00524A42" w:rsidRPr="00524A42">
        <w:rPr>
          <w:rFonts w:ascii="Times New Roman" w:eastAsia="Calibri" w:hAnsi="Times New Roman" w:cs="Times New Roman"/>
          <w:bCs/>
          <w:i/>
          <w:iCs/>
          <w:sz w:val="24"/>
          <w:szCs w:val="24"/>
        </w:rPr>
        <w:t>Mhora</w:t>
      </w:r>
      <w:proofErr w:type="spellEnd"/>
      <w:r w:rsidR="00524A42" w:rsidRPr="00524A42">
        <w:rPr>
          <w:rFonts w:ascii="Times New Roman" w:eastAsia="Calibri" w:hAnsi="Times New Roman" w:cs="Times New Roman"/>
          <w:bCs/>
          <w:i/>
          <w:iCs/>
          <w:sz w:val="24"/>
          <w:szCs w:val="24"/>
        </w:rPr>
        <w:t xml:space="preserve"> v </w:t>
      </w:r>
      <w:proofErr w:type="spellStart"/>
      <w:r w:rsidR="00524A42" w:rsidRPr="00524A42">
        <w:rPr>
          <w:rFonts w:ascii="Times New Roman" w:eastAsia="Calibri" w:hAnsi="Times New Roman" w:cs="Times New Roman"/>
          <w:bCs/>
          <w:i/>
          <w:iCs/>
          <w:sz w:val="24"/>
          <w:szCs w:val="24"/>
        </w:rPr>
        <w:t>Mhora</w:t>
      </w:r>
      <w:proofErr w:type="spellEnd"/>
      <w:r w:rsidR="00524A42">
        <w:rPr>
          <w:rFonts w:ascii="Times New Roman" w:eastAsia="Calibri" w:hAnsi="Times New Roman" w:cs="Times New Roman"/>
          <w:bCs/>
          <w:sz w:val="24"/>
          <w:szCs w:val="24"/>
        </w:rPr>
        <w:t xml:space="preserve"> CCZ 5/22 at p 8.  </w:t>
      </w:r>
      <w:r w:rsidR="003C6C4E">
        <w:rPr>
          <w:rFonts w:ascii="Times New Roman" w:eastAsia="Calibri" w:hAnsi="Times New Roman" w:cs="Times New Roman"/>
          <w:bCs/>
          <w:sz w:val="24"/>
          <w:szCs w:val="24"/>
        </w:rPr>
        <w:t>The submissions in this C</w:t>
      </w:r>
      <w:r w:rsidR="00C05892">
        <w:rPr>
          <w:rFonts w:ascii="Times New Roman" w:eastAsia="Calibri" w:hAnsi="Times New Roman" w:cs="Times New Roman"/>
          <w:bCs/>
          <w:sz w:val="24"/>
          <w:szCs w:val="24"/>
        </w:rPr>
        <w:t>ourt revolved</w:t>
      </w:r>
      <w:r w:rsidR="00B847C0">
        <w:rPr>
          <w:rFonts w:ascii="Times New Roman" w:eastAsia="Calibri" w:hAnsi="Times New Roman" w:cs="Times New Roman"/>
          <w:bCs/>
          <w:sz w:val="24"/>
          <w:szCs w:val="24"/>
        </w:rPr>
        <w:t xml:space="preserve"> around</w:t>
      </w:r>
      <w:r w:rsidR="00C05892">
        <w:rPr>
          <w:rFonts w:ascii="Times New Roman" w:eastAsia="Calibri" w:hAnsi="Times New Roman" w:cs="Times New Roman"/>
          <w:bCs/>
          <w:sz w:val="24"/>
          <w:szCs w:val="24"/>
        </w:rPr>
        <w:t xml:space="preserve"> the prospects of success.</w:t>
      </w:r>
    </w:p>
    <w:p w14:paraId="20CCF3FD" w14:textId="18488ECD" w:rsidR="00B847C0" w:rsidRDefault="00B847C0" w:rsidP="00187A57">
      <w:pPr>
        <w:spacing w:line="480" w:lineRule="auto"/>
        <w:ind w:firstLine="1134"/>
        <w:jc w:val="both"/>
        <w:rPr>
          <w:rFonts w:ascii="Times New Roman" w:eastAsia="Calibri" w:hAnsi="Times New Roman" w:cs="Times New Roman"/>
          <w:bCs/>
          <w:sz w:val="24"/>
          <w:szCs w:val="24"/>
        </w:rPr>
      </w:pPr>
      <w:r>
        <w:rPr>
          <w:rFonts w:ascii="Times New Roman" w:eastAsia="Calibri" w:hAnsi="Times New Roman" w:cs="Times New Roman"/>
          <w:bCs/>
          <w:sz w:val="24"/>
          <w:szCs w:val="24"/>
        </w:rPr>
        <w:lastRenderedPageBreak/>
        <w:t>The</w:t>
      </w:r>
      <w:r w:rsidR="00CC3AD0">
        <w:rPr>
          <w:rFonts w:ascii="Times New Roman" w:eastAsia="Calibri" w:hAnsi="Times New Roman" w:cs="Times New Roman"/>
          <w:bCs/>
          <w:sz w:val="24"/>
          <w:szCs w:val="24"/>
        </w:rPr>
        <w:t xml:space="preserve"> submissions of both</w:t>
      </w:r>
      <w:r>
        <w:rPr>
          <w:rFonts w:ascii="Times New Roman" w:eastAsia="Calibri" w:hAnsi="Times New Roman" w:cs="Times New Roman"/>
          <w:bCs/>
          <w:sz w:val="24"/>
          <w:szCs w:val="24"/>
        </w:rPr>
        <w:t xml:space="preserve"> </w:t>
      </w:r>
      <w:proofErr w:type="spellStart"/>
      <w:r>
        <w:rPr>
          <w:rFonts w:ascii="Times New Roman" w:eastAsia="Calibri" w:hAnsi="Times New Roman" w:cs="Times New Roman"/>
          <w:bCs/>
          <w:sz w:val="24"/>
          <w:szCs w:val="24"/>
        </w:rPr>
        <w:t>Mr</w:t>
      </w:r>
      <w:proofErr w:type="spellEnd"/>
      <w:r>
        <w:rPr>
          <w:rFonts w:ascii="Times New Roman" w:eastAsia="Calibri" w:hAnsi="Times New Roman" w:cs="Times New Roman"/>
          <w:bCs/>
          <w:sz w:val="24"/>
          <w:szCs w:val="24"/>
        </w:rPr>
        <w:t xml:space="preserve"> </w:t>
      </w:r>
      <w:proofErr w:type="spellStart"/>
      <w:r w:rsidRPr="00B847C0">
        <w:rPr>
          <w:rFonts w:ascii="Times New Roman" w:eastAsia="Calibri" w:hAnsi="Times New Roman" w:cs="Times New Roman"/>
          <w:bCs/>
          <w:i/>
          <w:iCs/>
          <w:sz w:val="24"/>
          <w:szCs w:val="24"/>
        </w:rPr>
        <w:t>Girach</w:t>
      </w:r>
      <w:proofErr w:type="spellEnd"/>
      <w:r>
        <w:rPr>
          <w:rFonts w:ascii="Times New Roman" w:eastAsia="Calibri" w:hAnsi="Times New Roman" w:cs="Times New Roman"/>
          <w:bCs/>
          <w:sz w:val="24"/>
          <w:szCs w:val="24"/>
        </w:rPr>
        <w:t xml:space="preserve"> and </w:t>
      </w:r>
      <w:proofErr w:type="spellStart"/>
      <w:r>
        <w:rPr>
          <w:rFonts w:ascii="Times New Roman" w:eastAsia="Calibri" w:hAnsi="Times New Roman" w:cs="Times New Roman"/>
          <w:bCs/>
          <w:sz w:val="24"/>
          <w:szCs w:val="24"/>
        </w:rPr>
        <w:t>Mr</w:t>
      </w:r>
      <w:proofErr w:type="spellEnd"/>
      <w:r>
        <w:rPr>
          <w:rFonts w:ascii="Times New Roman" w:eastAsia="Calibri" w:hAnsi="Times New Roman" w:cs="Times New Roman"/>
          <w:bCs/>
          <w:sz w:val="24"/>
          <w:szCs w:val="24"/>
        </w:rPr>
        <w:t xml:space="preserve"> </w:t>
      </w:r>
      <w:r w:rsidR="00B30E96" w:rsidRPr="00B847C0">
        <w:rPr>
          <w:rFonts w:ascii="Times New Roman" w:eastAsia="Calibri" w:hAnsi="Times New Roman" w:cs="Times New Roman"/>
          <w:bCs/>
          <w:i/>
          <w:iCs/>
          <w:sz w:val="24"/>
          <w:szCs w:val="24"/>
        </w:rPr>
        <w:t>Mukonoweshuro</w:t>
      </w:r>
      <w:r>
        <w:rPr>
          <w:rFonts w:ascii="Times New Roman" w:eastAsia="Calibri" w:hAnsi="Times New Roman" w:cs="Times New Roman"/>
          <w:bCs/>
          <w:sz w:val="24"/>
          <w:szCs w:val="24"/>
        </w:rPr>
        <w:t xml:space="preserve"> were predicated on the construction of the power of attorney and the affidavit.  </w:t>
      </w:r>
      <w:proofErr w:type="spellStart"/>
      <w:r>
        <w:rPr>
          <w:rFonts w:ascii="Times New Roman" w:eastAsia="Calibri" w:hAnsi="Times New Roman" w:cs="Times New Roman"/>
          <w:bCs/>
          <w:sz w:val="24"/>
          <w:szCs w:val="24"/>
        </w:rPr>
        <w:t>Mr</w:t>
      </w:r>
      <w:proofErr w:type="spellEnd"/>
      <w:r>
        <w:rPr>
          <w:rFonts w:ascii="Times New Roman" w:eastAsia="Calibri" w:hAnsi="Times New Roman" w:cs="Times New Roman"/>
          <w:bCs/>
          <w:sz w:val="24"/>
          <w:szCs w:val="24"/>
        </w:rPr>
        <w:t xml:space="preserve"> </w:t>
      </w:r>
      <w:proofErr w:type="spellStart"/>
      <w:r w:rsidRPr="00296DF8">
        <w:rPr>
          <w:rFonts w:ascii="Times New Roman" w:eastAsia="Calibri" w:hAnsi="Times New Roman" w:cs="Times New Roman"/>
          <w:bCs/>
          <w:i/>
          <w:iCs/>
          <w:sz w:val="24"/>
          <w:szCs w:val="24"/>
        </w:rPr>
        <w:t>Girach</w:t>
      </w:r>
      <w:proofErr w:type="spellEnd"/>
      <w:r>
        <w:rPr>
          <w:rFonts w:ascii="Times New Roman" w:eastAsia="Calibri" w:hAnsi="Times New Roman" w:cs="Times New Roman"/>
          <w:bCs/>
          <w:sz w:val="24"/>
          <w:szCs w:val="24"/>
        </w:rPr>
        <w:t xml:space="preserve"> argued that these two documents constituted a </w:t>
      </w:r>
      <w:r w:rsidRPr="00296DF8">
        <w:rPr>
          <w:rFonts w:ascii="Times New Roman" w:eastAsia="Calibri" w:hAnsi="Times New Roman" w:cs="Times New Roman"/>
          <w:bCs/>
          <w:i/>
          <w:iCs/>
          <w:sz w:val="24"/>
          <w:szCs w:val="24"/>
        </w:rPr>
        <w:t>parate executie</w:t>
      </w:r>
      <w:r>
        <w:rPr>
          <w:rFonts w:ascii="Times New Roman" w:eastAsia="Calibri" w:hAnsi="Times New Roman" w:cs="Times New Roman"/>
          <w:bCs/>
          <w:sz w:val="24"/>
          <w:szCs w:val="24"/>
        </w:rPr>
        <w:t xml:space="preserve">, which essentially permitted the appellant to alienate the immovable property without a court order or the respondent’s power of attorney and declaration to sell </w:t>
      </w:r>
      <w:r w:rsidR="00296DF8">
        <w:rPr>
          <w:rFonts w:ascii="Times New Roman" w:eastAsia="Calibri" w:hAnsi="Times New Roman" w:cs="Times New Roman"/>
          <w:bCs/>
          <w:sz w:val="24"/>
          <w:szCs w:val="24"/>
        </w:rPr>
        <w:t xml:space="preserve">and </w:t>
      </w:r>
      <w:r>
        <w:rPr>
          <w:rFonts w:ascii="Times New Roman" w:eastAsia="Calibri" w:hAnsi="Times New Roman" w:cs="Times New Roman"/>
          <w:bCs/>
          <w:sz w:val="24"/>
          <w:szCs w:val="24"/>
        </w:rPr>
        <w:t xml:space="preserve">pass transfer </w:t>
      </w:r>
      <w:r w:rsidR="00296DF8">
        <w:rPr>
          <w:rFonts w:ascii="Times New Roman" w:eastAsia="Calibri" w:hAnsi="Times New Roman" w:cs="Times New Roman"/>
          <w:bCs/>
          <w:sz w:val="24"/>
          <w:szCs w:val="24"/>
        </w:rPr>
        <w:t>to the purcha</w:t>
      </w:r>
      <w:r w:rsidR="00EA34B8">
        <w:rPr>
          <w:rFonts w:ascii="Times New Roman" w:eastAsia="Calibri" w:hAnsi="Times New Roman" w:cs="Times New Roman"/>
          <w:bCs/>
          <w:sz w:val="24"/>
          <w:szCs w:val="24"/>
        </w:rPr>
        <w:t xml:space="preserve">ser.  </w:t>
      </w:r>
      <w:r w:rsidR="00187A57">
        <w:rPr>
          <w:rFonts w:ascii="Times New Roman" w:eastAsia="Calibri" w:hAnsi="Times New Roman" w:cs="Times New Roman"/>
          <w:bCs/>
          <w:sz w:val="24"/>
          <w:szCs w:val="24"/>
        </w:rPr>
        <w:t xml:space="preserve"> </w:t>
      </w:r>
      <w:r w:rsidR="00296DF8">
        <w:rPr>
          <w:rFonts w:ascii="Times New Roman" w:eastAsia="Calibri" w:hAnsi="Times New Roman" w:cs="Times New Roman"/>
          <w:bCs/>
          <w:sz w:val="24"/>
          <w:szCs w:val="24"/>
        </w:rPr>
        <w:t xml:space="preserve">He therefore contended that the appellant’s prospective defence, based as it was on his valid and legal conduct, had discernible prospects of success. </w:t>
      </w:r>
      <w:r w:rsidR="00EA34B8">
        <w:rPr>
          <w:rFonts w:ascii="Times New Roman" w:eastAsia="Calibri" w:hAnsi="Times New Roman" w:cs="Times New Roman"/>
          <w:bCs/>
          <w:sz w:val="24"/>
          <w:szCs w:val="24"/>
        </w:rPr>
        <w:t xml:space="preserve"> </w:t>
      </w:r>
      <w:r w:rsidR="00296DF8">
        <w:rPr>
          <w:rFonts w:ascii="Times New Roman" w:eastAsia="Calibri" w:hAnsi="Times New Roman" w:cs="Times New Roman"/>
          <w:bCs/>
          <w:sz w:val="24"/>
          <w:szCs w:val="24"/>
        </w:rPr>
        <w:t xml:space="preserve">He </w:t>
      </w:r>
      <w:r w:rsidR="009B0BE2">
        <w:rPr>
          <w:rFonts w:ascii="Times New Roman" w:eastAsia="Calibri" w:hAnsi="Times New Roman" w:cs="Times New Roman"/>
          <w:bCs/>
          <w:sz w:val="24"/>
          <w:szCs w:val="24"/>
        </w:rPr>
        <w:t>thus</w:t>
      </w:r>
      <w:r w:rsidR="00296DF8">
        <w:rPr>
          <w:rFonts w:ascii="Times New Roman" w:eastAsia="Calibri" w:hAnsi="Times New Roman" w:cs="Times New Roman"/>
          <w:bCs/>
          <w:sz w:val="24"/>
          <w:szCs w:val="24"/>
        </w:rPr>
        <w:t xml:space="preserve"> submitted that the court </w:t>
      </w:r>
      <w:r w:rsidR="00296DF8" w:rsidRPr="009B0BE2">
        <w:rPr>
          <w:rFonts w:ascii="Times New Roman" w:eastAsia="Calibri" w:hAnsi="Times New Roman" w:cs="Times New Roman"/>
          <w:bCs/>
          <w:i/>
          <w:iCs/>
          <w:sz w:val="24"/>
          <w:szCs w:val="24"/>
        </w:rPr>
        <w:t>a quo</w:t>
      </w:r>
      <w:r w:rsidR="00296DF8">
        <w:rPr>
          <w:rFonts w:ascii="Times New Roman" w:eastAsia="Calibri" w:hAnsi="Times New Roman" w:cs="Times New Roman"/>
          <w:bCs/>
          <w:sz w:val="24"/>
          <w:szCs w:val="24"/>
        </w:rPr>
        <w:t xml:space="preserve"> erred in finding that his prospective defence w</w:t>
      </w:r>
      <w:r w:rsidR="00B30E96">
        <w:rPr>
          <w:rFonts w:ascii="Times New Roman" w:eastAsia="Calibri" w:hAnsi="Times New Roman" w:cs="Times New Roman"/>
          <w:bCs/>
          <w:sz w:val="24"/>
          <w:szCs w:val="24"/>
        </w:rPr>
        <w:t>as unlikely</w:t>
      </w:r>
      <w:r w:rsidR="00296DF8">
        <w:rPr>
          <w:rFonts w:ascii="Times New Roman" w:eastAsia="Calibri" w:hAnsi="Times New Roman" w:cs="Times New Roman"/>
          <w:bCs/>
          <w:sz w:val="24"/>
          <w:szCs w:val="24"/>
        </w:rPr>
        <w:t xml:space="preserve"> </w:t>
      </w:r>
      <w:r w:rsidR="00B30E96">
        <w:rPr>
          <w:rFonts w:ascii="Times New Roman" w:eastAsia="Calibri" w:hAnsi="Times New Roman" w:cs="Times New Roman"/>
          <w:bCs/>
          <w:sz w:val="24"/>
          <w:szCs w:val="24"/>
        </w:rPr>
        <w:t xml:space="preserve">to succeed </w:t>
      </w:r>
      <w:r w:rsidR="00296DF8">
        <w:rPr>
          <w:rFonts w:ascii="Times New Roman" w:eastAsia="Calibri" w:hAnsi="Times New Roman" w:cs="Times New Roman"/>
          <w:bCs/>
          <w:sz w:val="24"/>
          <w:szCs w:val="24"/>
        </w:rPr>
        <w:t xml:space="preserve">on the merits. </w:t>
      </w:r>
    </w:p>
    <w:p w14:paraId="123544F2" w14:textId="77777777" w:rsidR="00187A57" w:rsidRDefault="00187A57" w:rsidP="00187A57">
      <w:pPr>
        <w:spacing w:after="0" w:line="240" w:lineRule="auto"/>
        <w:ind w:firstLine="1134"/>
        <w:jc w:val="both"/>
        <w:rPr>
          <w:rFonts w:ascii="Times New Roman" w:eastAsia="Calibri" w:hAnsi="Times New Roman" w:cs="Times New Roman"/>
          <w:bCs/>
          <w:sz w:val="24"/>
          <w:szCs w:val="24"/>
        </w:rPr>
      </w:pPr>
    </w:p>
    <w:p w14:paraId="742C48CC" w14:textId="329AFC41" w:rsidR="00D77748" w:rsidRDefault="00441316" w:rsidP="00187A57">
      <w:pPr>
        <w:spacing w:line="480" w:lineRule="auto"/>
        <w:ind w:firstLine="1134"/>
        <w:jc w:val="both"/>
        <w:rPr>
          <w:rFonts w:ascii="Times New Roman" w:hAnsi="Times New Roman" w:cs="Times New Roman"/>
          <w:sz w:val="24"/>
          <w:szCs w:val="24"/>
        </w:rPr>
      </w:pPr>
      <w:r>
        <w:rPr>
          <w:rFonts w:ascii="Times New Roman" w:eastAsia="Calibri" w:hAnsi="Times New Roman" w:cs="Times New Roman"/>
          <w:bCs/>
          <w:sz w:val="24"/>
          <w:szCs w:val="24"/>
        </w:rPr>
        <w:t xml:space="preserve">A </w:t>
      </w:r>
      <w:r w:rsidRPr="00D77748">
        <w:rPr>
          <w:rFonts w:ascii="Times New Roman" w:eastAsia="Calibri" w:hAnsi="Times New Roman" w:cs="Times New Roman"/>
          <w:bCs/>
          <w:i/>
          <w:iCs/>
          <w:sz w:val="24"/>
          <w:szCs w:val="24"/>
        </w:rPr>
        <w:t>parate executie</w:t>
      </w:r>
      <w:r>
        <w:rPr>
          <w:rFonts w:ascii="Times New Roman" w:eastAsia="Calibri" w:hAnsi="Times New Roman" w:cs="Times New Roman"/>
          <w:bCs/>
          <w:sz w:val="24"/>
          <w:szCs w:val="24"/>
        </w:rPr>
        <w:t>, which is translated as “immediate execution” is the right of a creditor to dispose of the hypothecated property of its debtor without first obtai</w:t>
      </w:r>
      <w:r w:rsidR="00187A57">
        <w:rPr>
          <w:rFonts w:ascii="Times New Roman" w:eastAsia="Calibri" w:hAnsi="Times New Roman" w:cs="Times New Roman"/>
          <w:bCs/>
          <w:sz w:val="24"/>
          <w:szCs w:val="24"/>
        </w:rPr>
        <w:t xml:space="preserve">ning the permission of a court.  </w:t>
      </w:r>
      <w:r w:rsidR="00E2068C">
        <w:rPr>
          <w:rFonts w:ascii="Times New Roman" w:eastAsia="Calibri" w:hAnsi="Times New Roman" w:cs="Times New Roman"/>
          <w:bCs/>
          <w:sz w:val="24"/>
          <w:szCs w:val="24"/>
        </w:rPr>
        <w:t>Such an arrangement is constitutional, valid, legal and enforceable in Zimbab</w:t>
      </w:r>
      <w:r w:rsidR="00C4170C">
        <w:rPr>
          <w:rFonts w:ascii="Times New Roman" w:eastAsia="Calibri" w:hAnsi="Times New Roman" w:cs="Times New Roman"/>
          <w:bCs/>
          <w:sz w:val="24"/>
          <w:szCs w:val="24"/>
        </w:rPr>
        <w:t>w</w:t>
      </w:r>
      <w:r w:rsidR="00E2068C">
        <w:rPr>
          <w:rFonts w:ascii="Times New Roman" w:eastAsia="Calibri" w:hAnsi="Times New Roman" w:cs="Times New Roman"/>
          <w:bCs/>
          <w:sz w:val="24"/>
          <w:szCs w:val="24"/>
        </w:rPr>
        <w:t>e</w:t>
      </w:r>
      <w:r w:rsidR="00C4170C">
        <w:rPr>
          <w:rFonts w:ascii="Times New Roman" w:eastAsia="Calibri" w:hAnsi="Times New Roman" w:cs="Times New Roman"/>
          <w:bCs/>
          <w:sz w:val="24"/>
          <w:szCs w:val="24"/>
        </w:rPr>
        <w:t>, in respect of both movable and immovable property</w:t>
      </w:r>
      <w:r w:rsidR="00187A57">
        <w:rPr>
          <w:rFonts w:ascii="Times New Roman" w:eastAsia="Calibri" w:hAnsi="Times New Roman" w:cs="Times New Roman"/>
          <w:bCs/>
          <w:sz w:val="24"/>
          <w:szCs w:val="24"/>
        </w:rPr>
        <w:t xml:space="preserve">.  </w:t>
      </w:r>
      <w:r w:rsidR="00EA34B8">
        <w:rPr>
          <w:rFonts w:ascii="Times New Roman" w:eastAsia="Calibri" w:hAnsi="Times New Roman" w:cs="Times New Roman"/>
          <w:bCs/>
          <w:sz w:val="24"/>
          <w:szCs w:val="24"/>
        </w:rPr>
        <w:t xml:space="preserve"> </w:t>
      </w:r>
      <w:r>
        <w:rPr>
          <w:rFonts w:ascii="Times New Roman" w:eastAsia="Calibri" w:hAnsi="Times New Roman" w:cs="Times New Roman"/>
          <w:bCs/>
          <w:sz w:val="24"/>
          <w:szCs w:val="24"/>
        </w:rPr>
        <w:t>See</w:t>
      </w:r>
      <w:r w:rsidRPr="00441316">
        <w:rPr>
          <w:b/>
        </w:rPr>
        <w:t xml:space="preserve"> </w:t>
      </w:r>
      <w:r>
        <w:rPr>
          <w:rFonts w:ascii="Times New Roman" w:hAnsi="Times New Roman" w:cs="Times New Roman"/>
          <w:bCs/>
          <w:i/>
          <w:iCs/>
          <w:sz w:val="24"/>
          <w:szCs w:val="24"/>
        </w:rPr>
        <w:t>G</w:t>
      </w:r>
      <w:r w:rsidRPr="00441316">
        <w:rPr>
          <w:rFonts w:ascii="Times New Roman" w:hAnsi="Times New Roman" w:cs="Times New Roman"/>
          <w:bCs/>
          <w:i/>
          <w:iCs/>
          <w:sz w:val="24"/>
          <w:szCs w:val="24"/>
        </w:rPr>
        <w:t xml:space="preserve">lens </w:t>
      </w:r>
      <w:r>
        <w:rPr>
          <w:rFonts w:ascii="Times New Roman" w:hAnsi="Times New Roman" w:cs="Times New Roman"/>
          <w:bCs/>
          <w:i/>
          <w:iCs/>
          <w:sz w:val="24"/>
          <w:szCs w:val="24"/>
        </w:rPr>
        <w:t>R</w:t>
      </w:r>
      <w:r w:rsidRPr="00441316">
        <w:rPr>
          <w:rFonts w:ascii="Times New Roman" w:hAnsi="Times New Roman" w:cs="Times New Roman"/>
          <w:bCs/>
          <w:i/>
          <w:iCs/>
          <w:sz w:val="24"/>
          <w:szCs w:val="24"/>
        </w:rPr>
        <w:t>emoval</w:t>
      </w:r>
      <w:r>
        <w:rPr>
          <w:rFonts w:ascii="Times New Roman" w:hAnsi="Times New Roman" w:cs="Times New Roman"/>
          <w:bCs/>
          <w:i/>
          <w:iCs/>
          <w:sz w:val="24"/>
          <w:szCs w:val="24"/>
        </w:rPr>
        <w:t xml:space="preserve"> &amp;</w:t>
      </w:r>
      <w:r w:rsidRPr="00441316">
        <w:rPr>
          <w:rFonts w:ascii="Times New Roman" w:hAnsi="Times New Roman" w:cs="Times New Roman"/>
          <w:bCs/>
          <w:i/>
          <w:iCs/>
          <w:sz w:val="24"/>
          <w:szCs w:val="24"/>
        </w:rPr>
        <w:t xml:space="preserve"> </w:t>
      </w:r>
      <w:r>
        <w:rPr>
          <w:rFonts w:ascii="Times New Roman" w:hAnsi="Times New Roman" w:cs="Times New Roman"/>
          <w:bCs/>
          <w:i/>
          <w:iCs/>
          <w:sz w:val="24"/>
          <w:szCs w:val="24"/>
        </w:rPr>
        <w:t>S</w:t>
      </w:r>
      <w:r w:rsidRPr="00441316">
        <w:rPr>
          <w:rFonts w:ascii="Times New Roman" w:hAnsi="Times New Roman" w:cs="Times New Roman"/>
          <w:bCs/>
          <w:i/>
          <w:iCs/>
          <w:sz w:val="24"/>
          <w:szCs w:val="24"/>
        </w:rPr>
        <w:t xml:space="preserve">torage </w:t>
      </w:r>
      <w:r>
        <w:rPr>
          <w:rFonts w:ascii="Times New Roman" w:hAnsi="Times New Roman" w:cs="Times New Roman"/>
          <w:bCs/>
          <w:i/>
          <w:iCs/>
          <w:sz w:val="24"/>
          <w:szCs w:val="24"/>
        </w:rPr>
        <w:t>Z</w:t>
      </w:r>
      <w:r w:rsidRPr="00441316">
        <w:rPr>
          <w:rFonts w:ascii="Times New Roman" w:hAnsi="Times New Roman" w:cs="Times New Roman"/>
          <w:bCs/>
          <w:i/>
          <w:iCs/>
          <w:sz w:val="24"/>
          <w:szCs w:val="24"/>
        </w:rPr>
        <w:t>imbabwe (</w:t>
      </w:r>
      <w:r>
        <w:rPr>
          <w:rFonts w:ascii="Times New Roman" w:hAnsi="Times New Roman" w:cs="Times New Roman"/>
          <w:bCs/>
          <w:i/>
          <w:iCs/>
          <w:sz w:val="24"/>
          <w:szCs w:val="24"/>
        </w:rPr>
        <w:t>Pvt</w:t>
      </w:r>
      <w:r w:rsidRPr="00441316">
        <w:rPr>
          <w:rFonts w:ascii="Times New Roman" w:hAnsi="Times New Roman" w:cs="Times New Roman"/>
          <w:bCs/>
          <w:i/>
          <w:iCs/>
          <w:sz w:val="24"/>
          <w:szCs w:val="24"/>
        </w:rPr>
        <w:t>)</w:t>
      </w:r>
      <w:r>
        <w:rPr>
          <w:rFonts w:ascii="Times New Roman" w:hAnsi="Times New Roman" w:cs="Times New Roman"/>
          <w:bCs/>
          <w:i/>
          <w:iCs/>
          <w:sz w:val="24"/>
          <w:szCs w:val="24"/>
        </w:rPr>
        <w:t xml:space="preserve"> Ltd </w:t>
      </w:r>
      <w:r w:rsidRPr="00EA34B8">
        <w:rPr>
          <w:rFonts w:ascii="Times New Roman" w:hAnsi="Times New Roman" w:cs="Times New Roman"/>
          <w:bCs/>
          <w:iCs/>
          <w:sz w:val="24"/>
          <w:szCs w:val="24"/>
        </w:rPr>
        <w:t>v</w:t>
      </w:r>
      <w:r w:rsidRPr="00441316">
        <w:rPr>
          <w:rFonts w:ascii="Times New Roman" w:hAnsi="Times New Roman" w:cs="Times New Roman"/>
          <w:bCs/>
          <w:i/>
          <w:iCs/>
          <w:sz w:val="24"/>
          <w:szCs w:val="24"/>
        </w:rPr>
        <w:t xml:space="preserve"> </w:t>
      </w:r>
      <w:r>
        <w:rPr>
          <w:rFonts w:ascii="Times New Roman" w:hAnsi="Times New Roman" w:cs="Times New Roman"/>
          <w:bCs/>
          <w:i/>
          <w:iCs/>
          <w:sz w:val="24"/>
          <w:szCs w:val="24"/>
        </w:rPr>
        <w:t>M</w:t>
      </w:r>
      <w:r w:rsidRPr="00441316">
        <w:rPr>
          <w:rFonts w:ascii="Times New Roman" w:hAnsi="Times New Roman" w:cs="Times New Roman"/>
          <w:bCs/>
          <w:i/>
          <w:iCs/>
          <w:sz w:val="24"/>
          <w:szCs w:val="24"/>
        </w:rPr>
        <w:t xml:space="preserve">andala </w:t>
      </w:r>
      <w:r w:rsidR="00FB0C26">
        <w:rPr>
          <w:rFonts w:ascii="Times New Roman" w:hAnsi="Times New Roman" w:cs="Times New Roman"/>
          <w:bCs/>
          <w:sz w:val="24"/>
          <w:szCs w:val="24"/>
        </w:rPr>
        <w:t>2017 (1) ZLR 20 (CC)</w:t>
      </w:r>
      <w:r>
        <w:rPr>
          <w:rFonts w:ascii="Times New Roman" w:hAnsi="Times New Roman" w:cs="Times New Roman"/>
          <w:bCs/>
          <w:sz w:val="24"/>
          <w:szCs w:val="24"/>
        </w:rPr>
        <w:t xml:space="preserve">, </w:t>
      </w:r>
      <w:r w:rsidR="00D77748" w:rsidRPr="000F6C1F">
        <w:rPr>
          <w:rFonts w:ascii="Times New Roman" w:hAnsi="Times New Roman" w:cs="Times New Roman"/>
          <w:i/>
          <w:sz w:val="24"/>
          <w:szCs w:val="24"/>
        </w:rPr>
        <w:t>Nyamukusa</w:t>
      </w:r>
      <w:r w:rsidR="00D77748" w:rsidRPr="000F6C1F">
        <w:rPr>
          <w:rFonts w:ascii="Times New Roman" w:hAnsi="Times New Roman" w:cs="Times New Roman"/>
          <w:sz w:val="24"/>
          <w:szCs w:val="24"/>
        </w:rPr>
        <w:t xml:space="preserve"> </w:t>
      </w:r>
      <w:r w:rsidR="00D77748" w:rsidRPr="00EA34B8">
        <w:rPr>
          <w:rFonts w:ascii="Times New Roman" w:hAnsi="Times New Roman" w:cs="Times New Roman"/>
          <w:sz w:val="24"/>
          <w:szCs w:val="24"/>
        </w:rPr>
        <w:t>v</w:t>
      </w:r>
      <w:r w:rsidR="00D77748" w:rsidRPr="000F6C1F">
        <w:rPr>
          <w:rFonts w:ascii="Times New Roman" w:hAnsi="Times New Roman" w:cs="Times New Roman"/>
          <w:sz w:val="24"/>
          <w:szCs w:val="24"/>
        </w:rPr>
        <w:t xml:space="preserve"> </w:t>
      </w:r>
      <w:r w:rsidR="00D77748" w:rsidRPr="000F6C1F">
        <w:rPr>
          <w:rFonts w:ascii="Times New Roman" w:hAnsi="Times New Roman" w:cs="Times New Roman"/>
          <w:i/>
          <w:sz w:val="24"/>
          <w:szCs w:val="24"/>
        </w:rPr>
        <w:t>Agricultural Finance Corporation</w:t>
      </w:r>
      <w:r w:rsidR="00D77748" w:rsidRPr="000F6C1F">
        <w:rPr>
          <w:rFonts w:ascii="Times New Roman" w:hAnsi="Times New Roman" w:cs="Times New Roman"/>
          <w:sz w:val="24"/>
          <w:szCs w:val="24"/>
        </w:rPr>
        <w:t xml:space="preserve"> </w:t>
      </w:r>
      <w:r w:rsidR="000F6C1F" w:rsidRPr="000F6C1F">
        <w:rPr>
          <w:rFonts w:ascii="Times New Roman" w:hAnsi="Times New Roman" w:cs="Times New Roman"/>
          <w:sz w:val="24"/>
          <w:szCs w:val="24"/>
        </w:rPr>
        <w:t>SC 174/9</w:t>
      </w:r>
      <w:r w:rsidR="000F6C1F">
        <w:rPr>
          <w:rFonts w:ascii="Times New Roman" w:hAnsi="Times New Roman" w:cs="Times New Roman"/>
          <w:sz w:val="24"/>
          <w:szCs w:val="24"/>
        </w:rPr>
        <w:t>4</w:t>
      </w:r>
      <w:r w:rsidR="000F6C1F">
        <w:t>,</w:t>
      </w:r>
      <w:r w:rsidR="00D77748">
        <w:rPr>
          <w:rFonts w:ascii="Times New Roman" w:hAnsi="Times New Roman" w:cs="Times New Roman"/>
          <w:sz w:val="24"/>
          <w:szCs w:val="24"/>
        </w:rPr>
        <w:t xml:space="preserve"> </w:t>
      </w:r>
      <w:r w:rsidR="00187A57">
        <w:rPr>
          <w:rFonts w:ascii="Times New Roman" w:hAnsi="Times New Roman" w:cs="Times New Roman"/>
          <w:sz w:val="24"/>
          <w:szCs w:val="24"/>
        </w:rPr>
        <w:t xml:space="preserve">                       </w:t>
      </w:r>
      <w:r w:rsidR="00D77748">
        <w:rPr>
          <w:rFonts w:ascii="Times New Roman" w:hAnsi="Times New Roman" w:cs="Times New Roman"/>
          <w:i/>
          <w:iCs/>
          <w:sz w:val="24"/>
          <w:szCs w:val="24"/>
        </w:rPr>
        <w:t>C</w:t>
      </w:r>
      <w:r w:rsidR="00D77748" w:rsidRPr="00D77748">
        <w:rPr>
          <w:rFonts w:ascii="Times New Roman" w:hAnsi="Times New Roman" w:cs="Times New Roman"/>
          <w:i/>
          <w:iCs/>
          <w:sz w:val="24"/>
          <w:szCs w:val="24"/>
        </w:rPr>
        <w:t xml:space="preserve">hange </w:t>
      </w:r>
      <w:r w:rsidR="00D77748" w:rsidRPr="00EA34B8">
        <w:rPr>
          <w:rFonts w:ascii="Times New Roman" w:hAnsi="Times New Roman" w:cs="Times New Roman"/>
          <w:iCs/>
          <w:sz w:val="24"/>
          <w:szCs w:val="24"/>
        </w:rPr>
        <w:t>v</w:t>
      </w:r>
      <w:r w:rsidR="00D77748" w:rsidRPr="00D77748">
        <w:rPr>
          <w:rFonts w:ascii="Times New Roman" w:hAnsi="Times New Roman" w:cs="Times New Roman"/>
          <w:i/>
          <w:iCs/>
          <w:sz w:val="24"/>
          <w:szCs w:val="24"/>
        </w:rPr>
        <w:t xml:space="preserve"> </w:t>
      </w:r>
      <w:r w:rsidR="00D77748">
        <w:rPr>
          <w:rFonts w:ascii="Times New Roman" w:hAnsi="Times New Roman" w:cs="Times New Roman"/>
          <w:i/>
          <w:iCs/>
          <w:sz w:val="24"/>
          <w:szCs w:val="24"/>
        </w:rPr>
        <w:t>S</w:t>
      </w:r>
      <w:r w:rsidR="00D77748" w:rsidRPr="00D77748">
        <w:rPr>
          <w:rFonts w:ascii="Times New Roman" w:hAnsi="Times New Roman" w:cs="Times New Roman"/>
          <w:i/>
          <w:iCs/>
          <w:sz w:val="24"/>
          <w:szCs w:val="24"/>
        </w:rPr>
        <w:t xml:space="preserve">tandard </w:t>
      </w:r>
      <w:r w:rsidR="00D77748">
        <w:rPr>
          <w:rFonts w:ascii="Times New Roman" w:hAnsi="Times New Roman" w:cs="Times New Roman"/>
          <w:i/>
          <w:iCs/>
          <w:sz w:val="24"/>
          <w:szCs w:val="24"/>
        </w:rPr>
        <w:t>F</w:t>
      </w:r>
      <w:r w:rsidR="00D77748" w:rsidRPr="00D77748">
        <w:rPr>
          <w:rFonts w:ascii="Times New Roman" w:hAnsi="Times New Roman" w:cs="Times New Roman"/>
          <w:i/>
          <w:iCs/>
          <w:sz w:val="24"/>
          <w:szCs w:val="24"/>
        </w:rPr>
        <w:t>inance</w:t>
      </w:r>
      <w:r w:rsidR="00D77748">
        <w:rPr>
          <w:rFonts w:ascii="Times New Roman" w:hAnsi="Times New Roman" w:cs="Times New Roman"/>
          <w:i/>
          <w:iCs/>
          <w:sz w:val="24"/>
          <w:szCs w:val="24"/>
        </w:rPr>
        <w:t xml:space="preserve"> Ltd</w:t>
      </w:r>
      <w:r w:rsidR="00D77748" w:rsidRPr="001A5F94">
        <w:rPr>
          <w:rFonts w:ascii="Times New Roman" w:hAnsi="Times New Roman" w:cs="Times New Roman"/>
          <w:sz w:val="24"/>
          <w:szCs w:val="24"/>
        </w:rPr>
        <w:t xml:space="preserve"> 1990 (2) ZLR 412 (S)</w:t>
      </w:r>
      <w:r w:rsidR="00D77748">
        <w:rPr>
          <w:rFonts w:ascii="Times New Roman" w:hAnsi="Times New Roman" w:cs="Times New Roman"/>
          <w:sz w:val="24"/>
          <w:szCs w:val="24"/>
        </w:rPr>
        <w:t xml:space="preserve"> at 414A-C</w:t>
      </w:r>
      <w:r w:rsidR="000F6C1F">
        <w:rPr>
          <w:rFonts w:ascii="Times New Roman" w:hAnsi="Times New Roman" w:cs="Times New Roman"/>
          <w:sz w:val="24"/>
          <w:szCs w:val="24"/>
        </w:rPr>
        <w:t xml:space="preserve">, </w:t>
      </w:r>
      <w:r w:rsidR="000F6C1F" w:rsidRPr="00E2068C">
        <w:rPr>
          <w:rFonts w:ascii="Times New Roman" w:hAnsi="Times New Roman" w:cs="Times New Roman"/>
          <w:i/>
          <w:iCs/>
          <w:sz w:val="24"/>
          <w:szCs w:val="24"/>
        </w:rPr>
        <w:t xml:space="preserve">Agricultural Finance Corporation </w:t>
      </w:r>
      <w:r w:rsidR="000F6C1F" w:rsidRPr="00EA34B8">
        <w:rPr>
          <w:rFonts w:ascii="Times New Roman" w:hAnsi="Times New Roman" w:cs="Times New Roman"/>
          <w:iCs/>
          <w:sz w:val="24"/>
          <w:szCs w:val="24"/>
        </w:rPr>
        <w:t>v</w:t>
      </w:r>
      <w:r w:rsidR="000F6C1F" w:rsidRPr="00E2068C">
        <w:rPr>
          <w:rFonts w:ascii="Times New Roman" w:hAnsi="Times New Roman" w:cs="Times New Roman"/>
          <w:i/>
          <w:iCs/>
          <w:sz w:val="24"/>
          <w:szCs w:val="24"/>
        </w:rPr>
        <w:t xml:space="preserve"> Pocock</w:t>
      </w:r>
      <w:r w:rsidR="000F6C1F">
        <w:rPr>
          <w:rFonts w:ascii="Times New Roman" w:hAnsi="Times New Roman" w:cs="Times New Roman"/>
          <w:sz w:val="24"/>
          <w:szCs w:val="24"/>
        </w:rPr>
        <w:t xml:space="preserve"> 1986 (2) ZLR 229 (S) </w:t>
      </w:r>
      <w:r w:rsidR="00FD4ACE">
        <w:rPr>
          <w:rFonts w:ascii="Times New Roman" w:hAnsi="Times New Roman" w:cs="Times New Roman"/>
          <w:sz w:val="24"/>
          <w:szCs w:val="24"/>
        </w:rPr>
        <w:t xml:space="preserve">and </w:t>
      </w:r>
      <w:r w:rsidR="00FD4ACE" w:rsidRPr="009A55C7">
        <w:rPr>
          <w:rFonts w:ascii="Times New Roman" w:hAnsi="Times New Roman" w:cs="Times New Roman"/>
          <w:i/>
          <w:iCs/>
          <w:sz w:val="24"/>
          <w:szCs w:val="24"/>
        </w:rPr>
        <w:t xml:space="preserve">Aitken </w:t>
      </w:r>
      <w:r w:rsidR="00FD4ACE" w:rsidRPr="00EA34B8">
        <w:rPr>
          <w:rFonts w:ascii="Times New Roman" w:hAnsi="Times New Roman" w:cs="Times New Roman"/>
          <w:iCs/>
          <w:sz w:val="24"/>
          <w:szCs w:val="24"/>
        </w:rPr>
        <w:t>v</w:t>
      </w:r>
      <w:r w:rsidR="00FD4ACE" w:rsidRPr="009A55C7">
        <w:rPr>
          <w:rFonts w:ascii="Times New Roman" w:hAnsi="Times New Roman" w:cs="Times New Roman"/>
          <w:i/>
          <w:iCs/>
          <w:sz w:val="24"/>
          <w:szCs w:val="24"/>
        </w:rPr>
        <w:t xml:space="preserve"> Miller</w:t>
      </w:r>
      <w:r w:rsidR="00FD4ACE" w:rsidRPr="00C71A28">
        <w:rPr>
          <w:rFonts w:ascii="Times New Roman" w:hAnsi="Times New Roman" w:cs="Times New Roman"/>
          <w:sz w:val="24"/>
          <w:szCs w:val="24"/>
        </w:rPr>
        <w:t xml:space="preserve"> 1951 (1) SA 153 (SR)</w:t>
      </w:r>
      <w:r w:rsidR="00FD4ACE">
        <w:rPr>
          <w:rFonts w:ascii="Times New Roman" w:hAnsi="Times New Roman" w:cs="Times New Roman"/>
          <w:sz w:val="24"/>
          <w:szCs w:val="24"/>
        </w:rPr>
        <w:t xml:space="preserve"> at 155H</w:t>
      </w:r>
      <w:r w:rsidR="00852BB2">
        <w:rPr>
          <w:rFonts w:ascii="Times New Roman" w:hAnsi="Times New Roman" w:cs="Times New Roman"/>
          <w:sz w:val="24"/>
          <w:szCs w:val="24"/>
        </w:rPr>
        <w:t>.</w:t>
      </w:r>
    </w:p>
    <w:p w14:paraId="5D9C4736" w14:textId="77777777" w:rsidR="00AF36B1" w:rsidRDefault="00AF36B1" w:rsidP="00284A17">
      <w:pPr>
        <w:spacing w:after="0" w:line="240" w:lineRule="auto"/>
        <w:ind w:firstLine="1134"/>
        <w:jc w:val="both"/>
        <w:rPr>
          <w:rFonts w:ascii="Times New Roman" w:hAnsi="Times New Roman" w:cs="Times New Roman"/>
          <w:sz w:val="24"/>
          <w:szCs w:val="24"/>
        </w:rPr>
      </w:pPr>
    </w:p>
    <w:p w14:paraId="54243F69" w14:textId="4824AA9D" w:rsidR="00C14B74" w:rsidRDefault="00C14B74" w:rsidP="00F44FE3">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It is necessary at this stage to reproduce both the power of attorney and affidavit of </w:t>
      </w:r>
      <w:r w:rsidR="00AF36B1">
        <w:rPr>
          <w:rFonts w:ascii="Times New Roman" w:hAnsi="Times New Roman" w:cs="Times New Roman"/>
          <w:sz w:val="24"/>
          <w:szCs w:val="24"/>
        </w:rPr>
        <w:t xml:space="preserve">              </w:t>
      </w:r>
      <w:r>
        <w:rPr>
          <w:rFonts w:ascii="Times New Roman" w:hAnsi="Times New Roman" w:cs="Times New Roman"/>
          <w:sz w:val="24"/>
          <w:szCs w:val="24"/>
        </w:rPr>
        <w:t xml:space="preserve">6 November 2012. </w:t>
      </w:r>
      <w:r w:rsidR="00EA34B8">
        <w:rPr>
          <w:rFonts w:ascii="Times New Roman" w:hAnsi="Times New Roman" w:cs="Times New Roman"/>
          <w:sz w:val="24"/>
          <w:szCs w:val="24"/>
        </w:rPr>
        <w:t xml:space="preserve"> </w:t>
      </w:r>
      <w:r>
        <w:rPr>
          <w:rFonts w:ascii="Times New Roman" w:hAnsi="Times New Roman" w:cs="Times New Roman"/>
          <w:sz w:val="24"/>
          <w:szCs w:val="24"/>
        </w:rPr>
        <w:t xml:space="preserve">They are found in the main judgment of the </w:t>
      </w:r>
      <w:r w:rsidR="00AF36B1">
        <w:rPr>
          <w:rFonts w:ascii="Times New Roman" w:hAnsi="Times New Roman" w:cs="Times New Roman"/>
          <w:sz w:val="24"/>
          <w:szCs w:val="24"/>
        </w:rPr>
        <w:t>tribunal that</w:t>
      </w:r>
      <w:r>
        <w:rPr>
          <w:rFonts w:ascii="Times New Roman" w:hAnsi="Times New Roman" w:cs="Times New Roman"/>
          <w:sz w:val="24"/>
          <w:szCs w:val="24"/>
        </w:rPr>
        <w:t xml:space="preserve"> was attached to the appellant’s written heads of argument. </w:t>
      </w:r>
      <w:r w:rsidR="00EA34B8">
        <w:rPr>
          <w:rFonts w:ascii="Times New Roman" w:hAnsi="Times New Roman" w:cs="Times New Roman"/>
          <w:sz w:val="24"/>
          <w:szCs w:val="24"/>
        </w:rPr>
        <w:t xml:space="preserve">  </w:t>
      </w:r>
      <w:r>
        <w:rPr>
          <w:rFonts w:ascii="Times New Roman" w:hAnsi="Times New Roman" w:cs="Times New Roman"/>
          <w:sz w:val="24"/>
          <w:szCs w:val="24"/>
        </w:rPr>
        <w:t>The power of attorney reads as follows:</w:t>
      </w:r>
    </w:p>
    <w:p w14:paraId="3888B136" w14:textId="67DA1519" w:rsidR="00C14B74" w:rsidRDefault="00C14B74" w:rsidP="00EA34B8">
      <w:pPr>
        <w:tabs>
          <w:tab w:val="left" w:pos="1440"/>
        </w:tabs>
        <w:spacing w:after="0" w:line="240" w:lineRule="auto"/>
        <w:ind w:left="720"/>
        <w:jc w:val="both"/>
        <w:rPr>
          <w:rFonts w:ascii="Times New Roman" w:hAnsi="Times New Roman"/>
          <w:sz w:val="24"/>
          <w:lang w:val="en-GB"/>
        </w:rPr>
      </w:pPr>
      <w:r w:rsidRPr="00BA5A45">
        <w:rPr>
          <w:rFonts w:ascii="Times New Roman" w:hAnsi="Times New Roman"/>
          <w:sz w:val="24"/>
          <w:lang w:val="en-GB"/>
        </w:rPr>
        <w:t>“We Perkins Zhawari and Lilian Zhawari …</w:t>
      </w:r>
      <w:r>
        <w:rPr>
          <w:rFonts w:ascii="Times New Roman" w:hAnsi="Times New Roman"/>
          <w:sz w:val="24"/>
          <w:lang w:val="en-GB"/>
        </w:rPr>
        <w:t>d</w:t>
      </w:r>
      <w:r w:rsidRPr="00BA5A45">
        <w:rPr>
          <w:rFonts w:ascii="Times New Roman" w:hAnsi="Times New Roman"/>
          <w:sz w:val="24"/>
          <w:lang w:val="en-GB"/>
        </w:rPr>
        <w:t xml:space="preserve">o hereby appoint </w:t>
      </w:r>
      <w:r w:rsidR="00AF36B1">
        <w:rPr>
          <w:rFonts w:ascii="Times New Roman" w:hAnsi="Times New Roman"/>
          <w:sz w:val="24"/>
          <w:u w:val="single"/>
          <w:lang w:val="en-GB"/>
        </w:rPr>
        <w:t>Manokore and</w:t>
      </w:r>
      <w:r w:rsidRPr="00363F29">
        <w:rPr>
          <w:rFonts w:ascii="Times New Roman" w:hAnsi="Times New Roman"/>
          <w:sz w:val="24"/>
          <w:u w:val="single"/>
          <w:lang w:val="en-GB"/>
        </w:rPr>
        <w:t xml:space="preserve"> Partners</w:t>
      </w:r>
      <w:r w:rsidRPr="00BA5A45">
        <w:rPr>
          <w:rFonts w:ascii="Times New Roman" w:hAnsi="Times New Roman"/>
          <w:sz w:val="24"/>
          <w:lang w:val="en-GB"/>
        </w:rPr>
        <w:t xml:space="preserve"> </w:t>
      </w:r>
      <w:r w:rsidR="00B202D0">
        <w:rPr>
          <w:rFonts w:ascii="Times New Roman" w:hAnsi="Times New Roman"/>
          <w:sz w:val="24"/>
          <w:lang w:val="en-GB"/>
        </w:rPr>
        <w:t xml:space="preserve">  </w:t>
      </w:r>
      <w:r w:rsidRPr="00BA5A45">
        <w:rPr>
          <w:rFonts w:ascii="Times New Roman" w:hAnsi="Times New Roman"/>
          <w:sz w:val="24"/>
          <w:lang w:val="en-GB"/>
        </w:rPr>
        <w:t>the Attorneys of National Foods Operations Limited (hereinafter referred to as “NFOL”) or his nominee duly approved by NFOL</w:t>
      </w:r>
      <w:r w:rsidRPr="00363F29">
        <w:rPr>
          <w:rFonts w:ascii="Times New Roman" w:hAnsi="Times New Roman"/>
          <w:i/>
          <w:iCs/>
          <w:sz w:val="24"/>
          <w:lang w:val="en-GB"/>
        </w:rPr>
        <w:t xml:space="preserve">, </w:t>
      </w:r>
      <w:r w:rsidRPr="00363F29">
        <w:rPr>
          <w:rFonts w:ascii="Times New Roman" w:hAnsi="Times New Roman"/>
          <w:bCs/>
          <w:i/>
          <w:iCs/>
          <w:sz w:val="24"/>
          <w:lang w:val="en-GB"/>
        </w:rPr>
        <w:t xml:space="preserve">to be my attorney and agent, </w:t>
      </w:r>
      <w:r w:rsidRPr="00363F29">
        <w:rPr>
          <w:rFonts w:ascii="Times New Roman" w:hAnsi="Times New Roman"/>
          <w:bCs/>
          <w:sz w:val="24"/>
          <w:u w:val="single"/>
          <w:lang w:val="en-GB"/>
        </w:rPr>
        <w:t xml:space="preserve">whenever any debt owed to NFOL by me </w:t>
      </w:r>
      <w:r w:rsidRPr="00363F29">
        <w:rPr>
          <w:rFonts w:ascii="Times New Roman" w:hAnsi="Times New Roman"/>
          <w:bCs/>
          <w:sz w:val="24"/>
          <w:lang w:val="en-GB"/>
        </w:rPr>
        <w:t xml:space="preserve">falls due </w:t>
      </w:r>
      <w:r w:rsidRPr="00BA5A45">
        <w:rPr>
          <w:rFonts w:ascii="Times New Roman" w:hAnsi="Times New Roman"/>
          <w:sz w:val="24"/>
          <w:lang w:val="en-GB"/>
        </w:rPr>
        <w:t xml:space="preserve">and remains unpaid for 7 days, to sell or otherwise dispose of, on my behalf, the properties specified in the Schedule to this Power of Attorney, the Title Deeds to which I have voluntarily surrendered to NFOL, and to use my proceeds for the </w:t>
      </w:r>
      <w:r w:rsidRPr="00BA5A45">
        <w:rPr>
          <w:rFonts w:ascii="Times New Roman" w:hAnsi="Times New Roman"/>
          <w:sz w:val="24"/>
          <w:lang w:val="en-GB"/>
        </w:rPr>
        <w:lastRenderedPageBreak/>
        <w:t xml:space="preserve">sale or disposal to </w:t>
      </w:r>
      <w:r w:rsidRPr="00363F29">
        <w:rPr>
          <w:rFonts w:ascii="Times New Roman" w:hAnsi="Times New Roman"/>
          <w:sz w:val="24"/>
          <w:u w:val="single"/>
          <w:lang w:val="en-GB"/>
        </w:rPr>
        <w:t xml:space="preserve">settle the debt owing and due by me to NFOL </w:t>
      </w:r>
      <w:r w:rsidRPr="00BA5A45">
        <w:rPr>
          <w:rFonts w:ascii="Times New Roman" w:hAnsi="Times New Roman"/>
          <w:sz w:val="24"/>
          <w:lang w:val="en-GB"/>
        </w:rPr>
        <w:t>and, if there is any balance remaining, to return the balance to me forthwith.”</w:t>
      </w:r>
      <w:r w:rsidR="00363F29">
        <w:rPr>
          <w:rFonts w:ascii="Times New Roman" w:hAnsi="Times New Roman"/>
          <w:sz w:val="24"/>
          <w:lang w:val="en-GB"/>
        </w:rPr>
        <w:t>(</w:t>
      </w:r>
      <w:r w:rsidR="00EA34B8">
        <w:rPr>
          <w:rFonts w:ascii="Times New Roman" w:hAnsi="Times New Roman"/>
          <w:sz w:val="24"/>
          <w:lang w:val="en-GB"/>
        </w:rPr>
        <w:t>My</w:t>
      </w:r>
      <w:r w:rsidR="00363F29">
        <w:rPr>
          <w:rFonts w:ascii="Times New Roman" w:hAnsi="Times New Roman"/>
          <w:sz w:val="24"/>
          <w:lang w:val="en-GB"/>
        </w:rPr>
        <w:t xml:space="preserve"> emphasis)</w:t>
      </w:r>
    </w:p>
    <w:p w14:paraId="0BF47AD1" w14:textId="77777777" w:rsidR="00AF36B1" w:rsidRDefault="00AF36B1" w:rsidP="00F77588">
      <w:pPr>
        <w:spacing w:line="240" w:lineRule="auto"/>
        <w:jc w:val="both"/>
        <w:rPr>
          <w:rFonts w:ascii="Times New Roman" w:hAnsi="Times New Roman"/>
          <w:sz w:val="24"/>
          <w:lang w:val="en-GB"/>
        </w:rPr>
      </w:pPr>
    </w:p>
    <w:p w14:paraId="40E8C80C" w14:textId="45206DC3" w:rsidR="00C14B74" w:rsidRDefault="00C14B74" w:rsidP="00FE6B7C">
      <w:pPr>
        <w:spacing w:line="480" w:lineRule="auto"/>
        <w:ind w:left="720" w:firstLine="720"/>
        <w:jc w:val="both"/>
        <w:rPr>
          <w:rFonts w:ascii="Times New Roman" w:hAnsi="Times New Roman"/>
          <w:sz w:val="24"/>
          <w:lang w:val="en-GB"/>
        </w:rPr>
      </w:pPr>
      <w:r>
        <w:rPr>
          <w:rFonts w:ascii="Times New Roman" w:hAnsi="Times New Roman"/>
          <w:sz w:val="24"/>
          <w:lang w:val="en-GB"/>
        </w:rPr>
        <w:t>And the affidavit states:</w:t>
      </w:r>
    </w:p>
    <w:p w14:paraId="6E4F0CC8" w14:textId="533AABAA" w:rsidR="00363F29" w:rsidRPr="00512C6F" w:rsidRDefault="00C14B74" w:rsidP="00FE6B7C">
      <w:pPr>
        <w:spacing w:after="0" w:line="240" w:lineRule="auto"/>
        <w:ind w:left="720"/>
        <w:jc w:val="both"/>
        <w:rPr>
          <w:rFonts w:ascii="Times New Roman" w:hAnsi="Times New Roman" w:cs="Times New Roman"/>
          <w:sz w:val="24"/>
          <w:szCs w:val="24"/>
        </w:rPr>
      </w:pPr>
      <w:r>
        <w:rPr>
          <w:rFonts w:ascii="Times New Roman" w:hAnsi="Times New Roman"/>
          <w:sz w:val="24"/>
          <w:lang w:val="en-GB"/>
        </w:rPr>
        <w:t>“</w:t>
      </w:r>
      <w:r w:rsidR="00363F29" w:rsidRPr="00512C6F">
        <w:rPr>
          <w:rFonts w:ascii="Times New Roman" w:hAnsi="Times New Roman" w:cs="Times New Roman"/>
          <w:sz w:val="24"/>
          <w:szCs w:val="24"/>
        </w:rPr>
        <w:t xml:space="preserve">I, Perkins Zhawari, ID No </w:t>
      </w:r>
      <w:r w:rsidR="00363F29">
        <w:rPr>
          <w:rFonts w:ascii="Times New Roman" w:hAnsi="Times New Roman" w:cs="Times New Roman"/>
          <w:sz w:val="24"/>
          <w:szCs w:val="24"/>
        </w:rPr>
        <w:t>0</w:t>
      </w:r>
      <w:r w:rsidR="00363F29" w:rsidRPr="00512C6F">
        <w:rPr>
          <w:rFonts w:ascii="Times New Roman" w:hAnsi="Times New Roman" w:cs="Times New Roman"/>
          <w:sz w:val="24"/>
          <w:szCs w:val="24"/>
        </w:rPr>
        <w:t>5-002888 W 75</w:t>
      </w:r>
    </w:p>
    <w:p w14:paraId="69AA4652" w14:textId="77777777" w:rsidR="00363F29" w:rsidRPr="00512C6F" w:rsidRDefault="00363F29" w:rsidP="00FE6B7C">
      <w:pPr>
        <w:spacing w:after="0" w:line="240" w:lineRule="auto"/>
        <w:ind w:left="720"/>
        <w:jc w:val="both"/>
        <w:rPr>
          <w:rFonts w:ascii="Times New Roman" w:hAnsi="Times New Roman" w:cs="Times New Roman"/>
          <w:sz w:val="24"/>
          <w:szCs w:val="24"/>
        </w:rPr>
      </w:pPr>
      <w:r w:rsidRPr="00512C6F">
        <w:rPr>
          <w:rFonts w:ascii="Times New Roman" w:hAnsi="Times New Roman" w:cs="Times New Roman"/>
          <w:sz w:val="24"/>
          <w:szCs w:val="24"/>
        </w:rPr>
        <w:t>……………………………………………………………….</w:t>
      </w:r>
    </w:p>
    <w:p w14:paraId="4458A6C2" w14:textId="77777777" w:rsidR="00363F29" w:rsidRPr="00512C6F" w:rsidRDefault="00363F29" w:rsidP="00FE6B7C">
      <w:pPr>
        <w:spacing w:after="0" w:line="240" w:lineRule="auto"/>
        <w:ind w:left="720"/>
        <w:jc w:val="both"/>
        <w:rPr>
          <w:rFonts w:ascii="Times New Roman" w:hAnsi="Times New Roman" w:cs="Times New Roman"/>
          <w:sz w:val="24"/>
          <w:szCs w:val="24"/>
        </w:rPr>
      </w:pPr>
      <w:r w:rsidRPr="00512C6F">
        <w:rPr>
          <w:rFonts w:ascii="Times New Roman" w:hAnsi="Times New Roman" w:cs="Times New Roman"/>
          <w:sz w:val="24"/>
          <w:szCs w:val="24"/>
        </w:rPr>
        <w:t>do hereby solemnly and sincerely swear/declare the following</w:t>
      </w:r>
    </w:p>
    <w:p w14:paraId="18023AB1" w14:textId="77777777" w:rsidR="00363F29" w:rsidRPr="00512C6F" w:rsidRDefault="00363F29" w:rsidP="00FE6B7C">
      <w:pPr>
        <w:spacing w:after="0" w:line="240" w:lineRule="auto"/>
        <w:jc w:val="both"/>
        <w:rPr>
          <w:rFonts w:ascii="Times New Roman" w:hAnsi="Times New Roman" w:cs="Times New Roman"/>
          <w:sz w:val="24"/>
          <w:szCs w:val="24"/>
        </w:rPr>
      </w:pPr>
    </w:p>
    <w:p w14:paraId="28926674" w14:textId="2314A443" w:rsidR="00363F29" w:rsidRPr="00512C6F" w:rsidRDefault="00363F29" w:rsidP="00FE6B7C">
      <w:pPr>
        <w:spacing w:after="0" w:line="240" w:lineRule="auto"/>
        <w:ind w:left="720"/>
        <w:jc w:val="both"/>
        <w:rPr>
          <w:rFonts w:ascii="Times New Roman" w:hAnsi="Times New Roman" w:cs="Times New Roman"/>
          <w:sz w:val="24"/>
          <w:szCs w:val="24"/>
        </w:rPr>
      </w:pPr>
      <w:r w:rsidRPr="00363F29">
        <w:rPr>
          <w:rFonts w:ascii="Times New Roman" w:hAnsi="Times New Roman" w:cs="Times New Roman"/>
          <w:sz w:val="24"/>
          <w:szCs w:val="24"/>
          <w:u w:val="single"/>
        </w:rPr>
        <w:t>Cede the property</w:t>
      </w:r>
      <w:r w:rsidRPr="00512C6F">
        <w:rPr>
          <w:rFonts w:ascii="Times New Roman" w:hAnsi="Times New Roman" w:cs="Times New Roman"/>
          <w:sz w:val="24"/>
          <w:szCs w:val="24"/>
        </w:rPr>
        <w:t xml:space="preserve"> (Lot 2 of Stand 91m Bellevue Township of subdivision A of Bellevue) to National Foods </w:t>
      </w:r>
      <w:r w:rsidRPr="00363F29">
        <w:rPr>
          <w:rFonts w:ascii="Times New Roman" w:hAnsi="Times New Roman" w:cs="Times New Roman"/>
          <w:sz w:val="24"/>
          <w:szCs w:val="24"/>
          <w:u w:val="single"/>
        </w:rPr>
        <w:t>to support the credit application of Celgrim Bakeries</w:t>
      </w:r>
      <w:r w:rsidRPr="00512C6F">
        <w:rPr>
          <w:rFonts w:ascii="Times New Roman" w:hAnsi="Times New Roman" w:cs="Times New Roman"/>
          <w:sz w:val="24"/>
          <w:szCs w:val="24"/>
        </w:rPr>
        <w:t xml:space="preserve"> (Private) Limited t/a Freshbake.”</w:t>
      </w:r>
      <w:r>
        <w:rPr>
          <w:rFonts w:ascii="Times New Roman" w:hAnsi="Times New Roman" w:cs="Times New Roman"/>
          <w:sz w:val="24"/>
          <w:szCs w:val="24"/>
        </w:rPr>
        <w:t xml:space="preserve"> (</w:t>
      </w:r>
      <w:r w:rsidR="00EA34B8">
        <w:rPr>
          <w:rFonts w:ascii="Times New Roman" w:hAnsi="Times New Roman" w:cs="Times New Roman"/>
          <w:sz w:val="24"/>
          <w:szCs w:val="24"/>
        </w:rPr>
        <w:t>My</w:t>
      </w:r>
      <w:r>
        <w:rPr>
          <w:rFonts w:ascii="Times New Roman" w:hAnsi="Times New Roman" w:cs="Times New Roman"/>
          <w:sz w:val="24"/>
          <w:szCs w:val="24"/>
        </w:rPr>
        <w:t xml:space="preserve"> emphasis)</w:t>
      </w:r>
    </w:p>
    <w:p w14:paraId="3F976013" w14:textId="137134EE" w:rsidR="00C14B74" w:rsidRDefault="00C14B74" w:rsidP="00B458AD">
      <w:pPr>
        <w:spacing w:after="0" w:line="480" w:lineRule="auto"/>
        <w:jc w:val="both"/>
        <w:rPr>
          <w:rFonts w:ascii="Times New Roman" w:hAnsi="Times New Roman" w:cs="Times New Roman"/>
          <w:sz w:val="24"/>
          <w:szCs w:val="24"/>
        </w:rPr>
      </w:pPr>
    </w:p>
    <w:p w14:paraId="444468D1" w14:textId="0452C29A" w:rsidR="00C143CF" w:rsidRPr="00B458AD" w:rsidRDefault="00852BB2" w:rsidP="00F77588">
      <w:pPr>
        <w:spacing w:line="480" w:lineRule="auto"/>
        <w:ind w:firstLine="1134"/>
        <w:jc w:val="both"/>
        <w:rPr>
          <w:rFonts w:ascii="Times New Roman" w:hAnsi="Times New Roman" w:cs="Times New Roman"/>
          <w:sz w:val="24"/>
          <w:szCs w:val="24"/>
        </w:rPr>
      </w:pPr>
      <w:r>
        <w:rPr>
          <w:rFonts w:ascii="Times New Roman" w:hAnsi="Times New Roman" w:cs="Times New Roman"/>
          <w:sz w:val="24"/>
          <w:szCs w:val="24"/>
        </w:rPr>
        <w:t>The</w:t>
      </w:r>
      <w:r w:rsidR="00363F29">
        <w:rPr>
          <w:rFonts w:ascii="Times New Roman" w:hAnsi="Times New Roman" w:cs="Times New Roman"/>
          <w:sz w:val="24"/>
          <w:szCs w:val="24"/>
        </w:rPr>
        <w:t xml:space="preserve"> major</w:t>
      </w:r>
      <w:r>
        <w:rPr>
          <w:rFonts w:ascii="Times New Roman" w:hAnsi="Times New Roman" w:cs="Times New Roman"/>
          <w:sz w:val="24"/>
          <w:szCs w:val="24"/>
        </w:rPr>
        <w:t xml:space="preserve"> hurdle to the submission made by the </w:t>
      </w:r>
      <w:proofErr w:type="spellStart"/>
      <w:r w:rsidR="00363F29">
        <w:rPr>
          <w:rFonts w:ascii="Times New Roman" w:hAnsi="Times New Roman" w:cs="Times New Roman"/>
          <w:sz w:val="24"/>
          <w:szCs w:val="24"/>
        </w:rPr>
        <w:t>Mr</w:t>
      </w:r>
      <w:proofErr w:type="spellEnd"/>
      <w:r w:rsidR="00363F29">
        <w:rPr>
          <w:rFonts w:ascii="Times New Roman" w:hAnsi="Times New Roman" w:cs="Times New Roman"/>
          <w:sz w:val="24"/>
          <w:szCs w:val="24"/>
        </w:rPr>
        <w:t xml:space="preserve"> </w:t>
      </w:r>
      <w:proofErr w:type="spellStart"/>
      <w:r w:rsidR="00363F29" w:rsidRPr="00363F29">
        <w:rPr>
          <w:rFonts w:ascii="Times New Roman" w:hAnsi="Times New Roman" w:cs="Times New Roman"/>
          <w:i/>
          <w:iCs/>
          <w:sz w:val="24"/>
          <w:szCs w:val="24"/>
        </w:rPr>
        <w:t>Girach</w:t>
      </w:r>
      <w:proofErr w:type="spellEnd"/>
      <w:r>
        <w:rPr>
          <w:rFonts w:ascii="Times New Roman" w:hAnsi="Times New Roman" w:cs="Times New Roman"/>
          <w:sz w:val="24"/>
          <w:szCs w:val="24"/>
        </w:rPr>
        <w:t xml:space="preserve"> is that the power of attorney, which was </w:t>
      </w:r>
      <w:r w:rsidR="009B0BE2">
        <w:rPr>
          <w:rFonts w:ascii="Times New Roman" w:hAnsi="Times New Roman" w:cs="Times New Roman"/>
          <w:sz w:val="24"/>
          <w:szCs w:val="24"/>
        </w:rPr>
        <w:t xml:space="preserve">correctly </w:t>
      </w:r>
      <w:r>
        <w:rPr>
          <w:rFonts w:ascii="Times New Roman" w:hAnsi="Times New Roman" w:cs="Times New Roman"/>
          <w:sz w:val="24"/>
          <w:szCs w:val="24"/>
        </w:rPr>
        <w:t xml:space="preserve">recognized as a surety agreement by the court </w:t>
      </w:r>
      <w:r w:rsidRPr="00C14B74">
        <w:rPr>
          <w:rFonts w:ascii="Times New Roman" w:hAnsi="Times New Roman" w:cs="Times New Roman"/>
          <w:i/>
          <w:iCs/>
          <w:sz w:val="24"/>
          <w:szCs w:val="24"/>
        </w:rPr>
        <w:t>a quo</w:t>
      </w:r>
      <w:r>
        <w:rPr>
          <w:rFonts w:ascii="Times New Roman" w:hAnsi="Times New Roman" w:cs="Times New Roman"/>
          <w:sz w:val="24"/>
          <w:szCs w:val="24"/>
        </w:rPr>
        <w:t xml:space="preserve"> and before it, the tribunal</w:t>
      </w:r>
      <w:r w:rsidR="00363F29">
        <w:rPr>
          <w:rFonts w:ascii="Times New Roman" w:hAnsi="Times New Roman" w:cs="Times New Roman"/>
          <w:sz w:val="24"/>
          <w:szCs w:val="24"/>
        </w:rPr>
        <w:t>,</w:t>
      </w:r>
      <w:r>
        <w:rPr>
          <w:rFonts w:ascii="Times New Roman" w:hAnsi="Times New Roman" w:cs="Times New Roman"/>
          <w:sz w:val="24"/>
          <w:szCs w:val="24"/>
        </w:rPr>
        <w:t xml:space="preserve"> governed the creditor-debtor relationship b</w:t>
      </w:r>
      <w:r w:rsidR="00B458AD">
        <w:rPr>
          <w:rFonts w:ascii="Times New Roman" w:hAnsi="Times New Roman" w:cs="Times New Roman"/>
          <w:sz w:val="24"/>
          <w:szCs w:val="24"/>
        </w:rPr>
        <w:t xml:space="preserve">etween NFL and the respondents.  </w:t>
      </w:r>
      <w:r>
        <w:rPr>
          <w:rFonts w:ascii="Times New Roman" w:hAnsi="Times New Roman" w:cs="Times New Roman"/>
          <w:sz w:val="24"/>
          <w:szCs w:val="24"/>
        </w:rPr>
        <w:t>It did not relate to the creditor-debtor relationship be</w:t>
      </w:r>
      <w:r w:rsidR="00B458AD">
        <w:rPr>
          <w:rFonts w:ascii="Times New Roman" w:hAnsi="Times New Roman" w:cs="Times New Roman"/>
          <w:sz w:val="24"/>
          <w:szCs w:val="24"/>
        </w:rPr>
        <w:t xml:space="preserve">tween NFL and Celgrim Bakeries.  </w:t>
      </w:r>
      <w:r>
        <w:rPr>
          <w:rFonts w:ascii="Times New Roman" w:hAnsi="Times New Roman" w:cs="Times New Roman"/>
          <w:sz w:val="24"/>
          <w:szCs w:val="24"/>
        </w:rPr>
        <w:t xml:space="preserve">The common cause facts on which the summons claim is based confirm that the surety arrangement did not bind the respondents as co-principal debtors </w:t>
      </w:r>
      <w:r w:rsidR="00C14B74">
        <w:rPr>
          <w:rFonts w:ascii="Times New Roman" w:hAnsi="Times New Roman" w:cs="Times New Roman"/>
          <w:sz w:val="24"/>
          <w:szCs w:val="24"/>
        </w:rPr>
        <w:t xml:space="preserve">with Celgrim Bakeries. </w:t>
      </w:r>
      <w:r w:rsidR="00DB4228">
        <w:rPr>
          <w:rFonts w:ascii="Times New Roman" w:hAnsi="Times New Roman" w:cs="Times New Roman"/>
          <w:sz w:val="24"/>
          <w:szCs w:val="24"/>
        </w:rPr>
        <w:t xml:space="preserve"> It does not therefore constitute a </w:t>
      </w:r>
      <w:r w:rsidR="00DB4228" w:rsidRPr="00DB4228">
        <w:rPr>
          <w:rFonts w:ascii="Times New Roman" w:hAnsi="Times New Roman" w:cs="Times New Roman"/>
          <w:i/>
          <w:iCs/>
          <w:sz w:val="24"/>
          <w:szCs w:val="24"/>
        </w:rPr>
        <w:t>parate executie</w:t>
      </w:r>
      <w:r w:rsidR="00DB4228">
        <w:rPr>
          <w:rFonts w:ascii="Times New Roman" w:hAnsi="Times New Roman" w:cs="Times New Roman"/>
          <w:sz w:val="24"/>
          <w:szCs w:val="24"/>
        </w:rPr>
        <w:t xml:space="preserve"> for Celgrim’s indebtedness. </w:t>
      </w:r>
      <w:r w:rsidR="00992FF4">
        <w:rPr>
          <w:rFonts w:ascii="Times New Roman" w:hAnsi="Times New Roman" w:cs="Times New Roman"/>
          <w:sz w:val="24"/>
          <w:szCs w:val="24"/>
        </w:rPr>
        <w:t xml:space="preserve">Clearly, the sale and transfer of the respondents’ property under the guise of a </w:t>
      </w:r>
      <w:r w:rsidR="00992FF4" w:rsidRPr="00992FF4">
        <w:rPr>
          <w:rFonts w:ascii="Times New Roman" w:hAnsi="Times New Roman" w:cs="Times New Roman"/>
          <w:i/>
          <w:iCs/>
          <w:sz w:val="24"/>
          <w:szCs w:val="24"/>
        </w:rPr>
        <w:t>parate executie</w:t>
      </w:r>
      <w:r w:rsidR="00B458AD">
        <w:rPr>
          <w:rFonts w:ascii="Times New Roman" w:hAnsi="Times New Roman" w:cs="Times New Roman"/>
          <w:sz w:val="24"/>
          <w:szCs w:val="24"/>
        </w:rPr>
        <w:t xml:space="preserve"> was invalid.  </w:t>
      </w:r>
      <w:r w:rsidR="00992FF4">
        <w:rPr>
          <w:rFonts w:ascii="Times New Roman" w:hAnsi="Times New Roman" w:cs="Times New Roman"/>
          <w:sz w:val="24"/>
          <w:szCs w:val="24"/>
        </w:rPr>
        <w:t xml:space="preserve">The appellant had no legal basis for doing so without a court order or the consent of the parties. </w:t>
      </w:r>
      <w:r w:rsidR="00FE6B7C">
        <w:rPr>
          <w:rFonts w:ascii="Times New Roman" w:hAnsi="Times New Roman" w:cs="Times New Roman"/>
          <w:sz w:val="24"/>
          <w:szCs w:val="24"/>
        </w:rPr>
        <w:t xml:space="preserve"> </w:t>
      </w:r>
      <w:r w:rsidR="00992FF4">
        <w:rPr>
          <w:rFonts w:ascii="Times New Roman" w:hAnsi="Times New Roman" w:cs="Times New Roman"/>
          <w:sz w:val="24"/>
          <w:szCs w:val="24"/>
        </w:rPr>
        <w:t>He could not properly rely on the power of attorney and substitute it for the</w:t>
      </w:r>
      <w:r w:rsidR="009B0BE2">
        <w:rPr>
          <w:rFonts w:ascii="Times New Roman" w:hAnsi="Times New Roman" w:cs="Times New Roman"/>
          <w:sz w:val="24"/>
          <w:szCs w:val="24"/>
        </w:rPr>
        <w:t xml:space="preserve"> requisite</w:t>
      </w:r>
      <w:r w:rsidR="00992FF4">
        <w:rPr>
          <w:rFonts w:ascii="Times New Roman" w:hAnsi="Times New Roman" w:cs="Times New Roman"/>
          <w:sz w:val="24"/>
          <w:szCs w:val="24"/>
        </w:rPr>
        <w:t xml:space="preserve"> seller’s power of attorney and declaration to pas</w:t>
      </w:r>
      <w:r w:rsidR="00FF740D">
        <w:rPr>
          <w:rFonts w:ascii="Times New Roman" w:hAnsi="Times New Roman" w:cs="Times New Roman"/>
          <w:sz w:val="24"/>
          <w:szCs w:val="24"/>
        </w:rPr>
        <w:t>s</w:t>
      </w:r>
      <w:r w:rsidR="00992FF4">
        <w:rPr>
          <w:rFonts w:ascii="Times New Roman" w:hAnsi="Times New Roman" w:cs="Times New Roman"/>
          <w:sz w:val="24"/>
          <w:szCs w:val="24"/>
        </w:rPr>
        <w:t xml:space="preserve"> tran</w:t>
      </w:r>
      <w:r w:rsidR="00B458AD">
        <w:rPr>
          <w:rFonts w:ascii="Times New Roman" w:hAnsi="Times New Roman" w:cs="Times New Roman"/>
          <w:sz w:val="24"/>
          <w:szCs w:val="24"/>
        </w:rPr>
        <w:t xml:space="preserve">sfer.  </w:t>
      </w:r>
      <w:r w:rsidR="00992FF4">
        <w:rPr>
          <w:rFonts w:ascii="Times New Roman" w:hAnsi="Times New Roman" w:cs="Times New Roman"/>
          <w:sz w:val="24"/>
          <w:szCs w:val="24"/>
        </w:rPr>
        <w:t xml:space="preserve">His prospective defence would therefore be devoid of merit. </w:t>
      </w:r>
      <w:r w:rsidR="00FE6B7C">
        <w:rPr>
          <w:rFonts w:ascii="Times New Roman" w:hAnsi="Times New Roman" w:cs="Times New Roman"/>
          <w:sz w:val="24"/>
          <w:szCs w:val="24"/>
        </w:rPr>
        <w:t xml:space="preserve"> </w:t>
      </w:r>
      <w:proofErr w:type="spellStart"/>
      <w:r w:rsidR="0046284D">
        <w:rPr>
          <w:rFonts w:ascii="Times New Roman" w:hAnsi="Times New Roman" w:cs="Times New Roman"/>
          <w:sz w:val="24"/>
          <w:szCs w:val="24"/>
        </w:rPr>
        <w:t>Mr</w:t>
      </w:r>
      <w:proofErr w:type="spellEnd"/>
      <w:r w:rsidR="0046284D">
        <w:rPr>
          <w:rFonts w:ascii="Times New Roman" w:hAnsi="Times New Roman" w:cs="Times New Roman"/>
          <w:sz w:val="24"/>
          <w:szCs w:val="24"/>
        </w:rPr>
        <w:t xml:space="preserve"> </w:t>
      </w:r>
      <w:proofErr w:type="spellStart"/>
      <w:r w:rsidR="0046284D" w:rsidRPr="009B0BE2">
        <w:rPr>
          <w:rFonts w:ascii="Times New Roman" w:hAnsi="Times New Roman" w:cs="Times New Roman"/>
          <w:i/>
          <w:iCs/>
          <w:sz w:val="24"/>
          <w:szCs w:val="24"/>
        </w:rPr>
        <w:t>Girach</w:t>
      </w:r>
      <w:proofErr w:type="spellEnd"/>
      <w:r w:rsidR="0046284D">
        <w:rPr>
          <w:rFonts w:ascii="Times New Roman" w:hAnsi="Times New Roman" w:cs="Times New Roman"/>
          <w:sz w:val="24"/>
          <w:szCs w:val="24"/>
        </w:rPr>
        <w:t xml:space="preserve"> further assailed the court </w:t>
      </w:r>
      <w:r w:rsidR="0046284D" w:rsidRPr="009B0BE2">
        <w:rPr>
          <w:rFonts w:ascii="Times New Roman" w:hAnsi="Times New Roman" w:cs="Times New Roman"/>
          <w:i/>
          <w:iCs/>
          <w:sz w:val="24"/>
          <w:szCs w:val="24"/>
        </w:rPr>
        <w:t>a quo</w:t>
      </w:r>
      <w:r w:rsidR="0046284D">
        <w:rPr>
          <w:rFonts w:ascii="Times New Roman" w:hAnsi="Times New Roman" w:cs="Times New Roman"/>
          <w:sz w:val="24"/>
          <w:szCs w:val="24"/>
        </w:rPr>
        <w:t xml:space="preserve"> for adopting the reasoning of the tribunal without undertaking its own </w:t>
      </w:r>
      <w:r w:rsidR="009B0BE2">
        <w:rPr>
          <w:rFonts w:ascii="Times New Roman" w:hAnsi="Times New Roman" w:cs="Times New Roman"/>
          <w:sz w:val="24"/>
          <w:szCs w:val="24"/>
        </w:rPr>
        <w:t xml:space="preserve">detailed </w:t>
      </w:r>
      <w:r w:rsidR="0046284D">
        <w:rPr>
          <w:rFonts w:ascii="Times New Roman" w:hAnsi="Times New Roman" w:cs="Times New Roman"/>
          <w:sz w:val="24"/>
          <w:szCs w:val="24"/>
        </w:rPr>
        <w:t xml:space="preserve">examination of the common cause factual conspectus before it. </w:t>
      </w:r>
      <w:r w:rsidR="00F77588">
        <w:rPr>
          <w:rFonts w:ascii="Times New Roman" w:hAnsi="Times New Roman" w:cs="Times New Roman"/>
          <w:sz w:val="24"/>
          <w:szCs w:val="24"/>
        </w:rPr>
        <w:t xml:space="preserve"> </w:t>
      </w:r>
      <w:proofErr w:type="spellStart"/>
      <w:r w:rsidR="00FF740D">
        <w:rPr>
          <w:rFonts w:ascii="Times New Roman" w:hAnsi="Times New Roman" w:cs="Times New Roman"/>
          <w:sz w:val="24"/>
          <w:szCs w:val="24"/>
        </w:rPr>
        <w:t>Mr</w:t>
      </w:r>
      <w:proofErr w:type="spellEnd"/>
      <w:r w:rsidR="00FF740D">
        <w:rPr>
          <w:rFonts w:ascii="Times New Roman" w:hAnsi="Times New Roman" w:cs="Times New Roman"/>
          <w:sz w:val="24"/>
          <w:szCs w:val="24"/>
        </w:rPr>
        <w:t xml:space="preserve"> </w:t>
      </w:r>
      <w:proofErr w:type="spellStart"/>
      <w:r w:rsidR="00FF740D" w:rsidRPr="009B0BE2">
        <w:rPr>
          <w:rFonts w:ascii="Times New Roman" w:hAnsi="Times New Roman" w:cs="Times New Roman"/>
          <w:i/>
          <w:iCs/>
          <w:sz w:val="24"/>
          <w:szCs w:val="24"/>
        </w:rPr>
        <w:t>Mukonoweshuro</w:t>
      </w:r>
      <w:proofErr w:type="spellEnd"/>
      <w:r w:rsidR="00B66B66">
        <w:rPr>
          <w:rFonts w:ascii="Times New Roman" w:hAnsi="Times New Roman" w:cs="Times New Roman"/>
          <w:i/>
          <w:iCs/>
          <w:sz w:val="24"/>
          <w:szCs w:val="24"/>
        </w:rPr>
        <w:t>,</w:t>
      </w:r>
      <w:r w:rsidR="00FF740D">
        <w:rPr>
          <w:rFonts w:ascii="Times New Roman" w:hAnsi="Times New Roman" w:cs="Times New Roman"/>
          <w:sz w:val="24"/>
          <w:szCs w:val="24"/>
        </w:rPr>
        <w:t xml:space="preserve"> </w:t>
      </w:r>
      <w:r w:rsidR="00B66B66">
        <w:rPr>
          <w:rFonts w:ascii="Times New Roman" w:hAnsi="Times New Roman" w:cs="Times New Roman"/>
          <w:sz w:val="24"/>
          <w:szCs w:val="24"/>
        </w:rPr>
        <w:t xml:space="preserve">on the other hand, </w:t>
      </w:r>
      <w:r w:rsidR="00FF740D">
        <w:rPr>
          <w:rFonts w:ascii="Times New Roman" w:hAnsi="Times New Roman" w:cs="Times New Roman"/>
          <w:sz w:val="24"/>
          <w:szCs w:val="24"/>
        </w:rPr>
        <w:t xml:space="preserve">argued that the court </w:t>
      </w:r>
      <w:r w:rsidR="00FF740D" w:rsidRPr="009B0BE2">
        <w:rPr>
          <w:rFonts w:ascii="Times New Roman" w:hAnsi="Times New Roman" w:cs="Times New Roman"/>
          <w:i/>
          <w:iCs/>
          <w:sz w:val="24"/>
          <w:szCs w:val="24"/>
        </w:rPr>
        <w:t>a quo</w:t>
      </w:r>
      <w:r w:rsidR="00FF740D">
        <w:rPr>
          <w:rFonts w:ascii="Times New Roman" w:hAnsi="Times New Roman" w:cs="Times New Roman"/>
          <w:sz w:val="24"/>
          <w:szCs w:val="24"/>
        </w:rPr>
        <w:t xml:space="preserve"> merely found the reasoning of the tribunal to have been persuasive. </w:t>
      </w:r>
      <w:r w:rsidR="00FE6B7C">
        <w:rPr>
          <w:rFonts w:ascii="Times New Roman" w:hAnsi="Times New Roman" w:cs="Times New Roman"/>
          <w:sz w:val="24"/>
          <w:szCs w:val="24"/>
        </w:rPr>
        <w:t xml:space="preserve"> </w:t>
      </w:r>
      <w:r w:rsidR="00FF740D">
        <w:rPr>
          <w:rFonts w:ascii="Times New Roman" w:hAnsi="Times New Roman"/>
          <w:sz w:val="24"/>
          <w:szCs w:val="24"/>
        </w:rPr>
        <w:t xml:space="preserve">This is what the court </w:t>
      </w:r>
      <w:r w:rsidR="00FF740D" w:rsidRPr="003705FC">
        <w:rPr>
          <w:rFonts w:ascii="Times New Roman" w:hAnsi="Times New Roman"/>
          <w:i/>
          <w:iCs/>
          <w:sz w:val="24"/>
          <w:szCs w:val="24"/>
        </w:rPr>
        <w:t>a quo</w:t>
      </w:r>
      <w:r w:rsidR="00FF740D">
        <w:rPr>
          <w:rFonts w:ascii="Times New Roman" w:hAnsi="Times New Roman"/>
          <w:sz w:val="24"/>
          <w:szCs w:val="24"/>
        </w:rPr>
        <w:t xml:space="preserve"> said at p 3 of its judgment:</w:t>
      </w:r>
    </w:p>
    <w:p w14:paraId="79BE8559" w14:textId="77777777" w:rsidR="00217FFC" w:rsidRDefault="006841B6" w:rsidP="00FA19B9">
      <w:pPr>
        <w:pStyle w:val="BodyTextIndent3"/>
      </w:pPr>
      <w:r>
        <w:lastRenderedPageBreak/>
        <w:t xml:space="preserve">“What is critical </w:t>
      </w:r>
      <w:r w:rsidR="00BB08AE">
        <w:t xml:space="preserve">is </w:t>
      </w:r>
      <w:r>
        <w:t>that the reasons for the order made involved the sale of an immovable property belonging to the respondents, the same subject matter in HC 2210/17.”</w:t>
      </w:r>
    </w:p>
    <w:p w14:paraId="46E5F807" w14:textId="77777777" w:rsidR="00B458AD" w:rsidRDefault="00B458AD" w:rsidP="00B458AD">
      <w:pPr>
        <w:spacing w:line="240" w:lineRule="auto"/>
        <w:ind w:left="720"/>
        <w:jc w:val="both"/>
        <w:rPr>
          <w:rFonts w:ascii="Times New Roman" w:hAnsi="Times New Roman"/>
          <w:sz w:val="24"/>
          <w:szCs w:val="24"/>
        </w:rPr>
      </w:pPr>
    </w:p>
    <w:p w14:paraId="337C6BCF" w14:textId="6983AB85" w:rsidR="000D1169" w:rsidRDefault="00217FFC" w:rsidP="00FE6B7C">
      <w:pPr>
        <w:spacing w:after="0" w:line="480" w:lineRule="auto"/>
        <w:ind w:left="720" w:firstLine="720"/>
        <w:jc w:val="both"/>
        <w:rPr>
          <w:rFonts w:ascii="Times New Roman" w:hAnsi="Times New Roman"/>
          <w:sz w:val="24"/>
          <w:szCs w:val="24"/>
        </w:rPr>
      </w:pPr>
      <w:r>
        <w:rPr>
          <w:rFonts w:ascii="Times New Roman" w:hAnsi="Times New Roman"/>
          <w:sz w:val="24"/>
          <w:szCs w:val="24"/>
        </w:rPr>
        <w:t>It also stated at p 4 that:</w:t>
      </w:r>
    </w:p>
    <w:p w14:paraId="5A808E76" w14:textId="4FC0BCB7" w:rsidR="00217FFC" w:rsidRDefault="00B458AD" w:rsidP="00FE6B7C">
      <w:pPr>
        <w:spacing w:after="0" w:line="240" w:lineRule="auto"/>
        <w:ind w:left="720"/>
        <w:jc w:val="both"/>
        <w:rPr>
          <w:rFonts w:ascii="Times New Roman" w:hAnsi="Times New Roman"/>
          <w:sz w:val="24"/>
          <w:szCs w:val="24"/>
        </w:rPr>
      </w:pPr>
      <w:r>
        <w:rPr>
          <w:rFonts w:ascii="Times New Roman" w:hAnsi="Times New Roman"/>
          <w:sz w:val="24"/>
          <w:szCs w:val="24"/>
        </w:rPr>
        <w:t>“This C</w:t>
      </w:r>
      <w:r w:rsidR="000D1169">
        <w:rPr>
          <w:rFonts w:ascii="Times New Roman" w:hAnsi="Times New Roman"/>
          <w:sz w:val="24"/>
          <w:szCs w:val="24"/>
        </w:rPr>
        <w:t>ourt cannot ignore the two</w:t>
      </w:r>
      <w:r w:rsidR="00917EC4">
        <w:rPr>
          <w:rFonts w:ascii="Times New Roman" w:hAnsi="Times New Roman"/>
          <w:sz w:val="24"/>
          <w:szCs w:val="24"/>
        </w:rPr>
        <w:t xml:space="preserve"> </w:t>
      </w:r>
      <w:r w:rsidR="00217FFC">
        <w:rPr>
          <w:rFonts w:ascii="Times New Roman" w:hAnsi="Times New Roman"/>
          <w:sz w:val="24"/>
          <w:szCs w:val="24"/>
        </w:rPr>
        <w:t xml:space="preserve">(tribunal) </w:t>
      </w:r>
      <w:r w:rsidR="000D1169">
        <w:rPr>
          <w:rFonts w:ascii="Times New Roman" w:hAnsi="Times New Roman"/>
          <w:sz w:val="24"/>
          <w:szCs w:val="24"/>
        </w:rPr>
        <w:t xml:space="preserve">matters since they involve the same issues as in HC 2210/17.  These findings cast a shadow on the applicant’s special plea and exception that he seeks should be heard on the merits should the application for condonation be granted. </w:t>
      </w:r>
      <w:r w:rsidR="000D1169" w:rsidRPr="003956F3">
        <w:rPr>
          <w:rFonts w:ascii="Times New Roman" w:hAnsi="Times New Roman"/>
          <w:sz w:val="24"/>
          <w:szCs w:val="24"/>
          <w:u w:val="single"/>
        </w:rPr>
        <w:t xml:space="preserve">In my view, the findings buttress the respondents’ position as submitted by </w:t>
      </w:r>
      <w:proofErr w:type="spellStart"/>
      <w:r w:rsidR="000D1169" w:rsidRPr="003956F3">
        <w:rPr>
          <w:rFonts w:ascii="Times New Roman" w:hAnsi="Times New Roman"/>
          <w:sz w:val="24"/>
          <w:szCs w:val="24"/>
          <w:u w:val="single"/>
        </w:rPr>
        <w:t>Mr</w:t>
      </w:r>
      <w:proofErr w:type="spellEnd"/>
      <w:r w:rsidR="000D1169" w:rsidRPr="003956F3">
        <w:rPr>
          <w:rFonts w:ascii="Times New Roman" w:hAnsi="Times New Roman"/>
          <w:sz w:val="24"/>
          <w:szCs w:val="24"/>
          <w:u w:val="single"/>
        </w:rPr>
        <w:t xml:space="preserve"> </w:t>
      </w:r>
      <w:proofErr w:type="spellStart"/>
      <w:r w:rsidR="000D1169" w:rsidRPr="00217FFC">
        <w:rPr>
          <w:rFonts w:ascii="Times New Roman" w:hAnsi="Times New Roman"/>
          <w:i/>
          <w:iCs/>
          <w:sz w:val="24"/>
          <w:szCs w:val="24"/>
          <w:u w:val="single"/>
        </w:rPr>
        <w:t>Mukonoweshuro</w:t>
      </w:r>
      <w:proofErr w:type="spellEnd"/>
      <w:r w:rsidR="000D1169" w:rsidRPr="003956F3">
        <w:rPr>
          <w:rFonts w:ascii="Times New Roman" w:hAnsi="Times New Roman"/>
          <w:sz w:val="24"/>
          <w:szCs w:val="24"/>
          <w:u w:val="single"/>
        </w:rPr>
        <w:t xml:space="preserve"> that the applicant has no prospects of success if he were to be condoned for the late service of the notice of entry of appearance to defend</w:t>
      </w:r>
      <w:r w:rsidR="000D1169">
        <w:rPr>
          <w:rFonts w:ascii="Times New Roman" w:hAnsi="Times New Roman"/>
          <w:sz w:val="24"/>
          <w:szCs w:val="24"/>
        </w:rPr>
        <w:t xml:space="preserve">. It cannot be correct as submitted by </w:t>
      </w:r>
      <w:proofErr w:type="spellStart"/>
      <w:r w:rsidR="000D1169">
        <w:rPr>
          <w:rFonts w:ascii="Times New Roman" w:hAnsi="Times New Roman"/>
          <w:sz w:val="24"/>
          <w:szCs w:val="24"/>
        </w:rPr>
        <w:t>Mr</w:t>
      </w:r>
      <w:proofErr w:type="spellEnd"/>
      <w:r w:rsidR="000D1169">
        <w:rPr>
          <w:rFonts w:ascii="Times New Roman" w:hAnsi="Times New Roman"/>
          <w:sz w:val="24"/>
          <w:szCs w:val="24"/>
        </w:rPr>
        <w:t xml:space="preserve"> </w:t>
      </w:r>
      <w:proofErr w:type="spellStart"/>
      <w:r w:rsidR="000D1169">
        <w:rPr>
          <w:rFonts w:ascii="Times New Roman" w:hAnsi="Times New Roman"/>
          <w:i/>
          <w:sz w:val="24"/>
          <w:szCs w:val="24"/>
        </w:rPr>
        <w:t>Kadye</w:t>
      </w:r>
      <w:proofErr w:type="spellEnd"/>
      <w:r w:rsidR="000D1169">
        <w:rPr>
          <w:rFonts w:ascii="Times New Roman" w:hAnsi="Times New Roman"/>
          <w:i/>
          <w:sz w:val="24"/>
          <w:szCs w:val="24"/>
        </w:rPr>
        <w:t xml:space="preserve"> </w:t>
      </w:r>
      <w:r w:rsidR="000D1169">
        <w:rPr>
          <w:rFonts w:ascii="Times New Roman" w:hAnsi="Times New Roman"/>
          <w:sz w:val="24"/>
          <w:szCs w:val="24"/>
        </w:rPr>
        <w:t xml:space="preserve">that the findings are related to the present application but not to the extent of affecting the application for condonation.  The findings clearly are significant to the prospects of success.”  </w:t>
      </w:r>
    </w:p>
    <w:p w14:paraId="00746089" w14:textId="77777777" w:rsidR="00C77627" w:rsidRDefault="00C77627" w:rsidP="00FE6B7C">
      <w:pPr>
        <w:spacing w:after="0" w:line="240" w:lineRule="auto"/>
        <w:ind w:left="720"/>
        <w:jc w:val="both"/>
        <w:rPr>
          <w:rFonts w:ascii="Times New Roman" w:hAnsi="Times New Roman"/>
          <w:sz w:val="24"/>
          <w:szCs w:val="24"/>
        </w:rPr>
      </w:pPr>
    </w:p>
    <w:p w14:paraId="1BBCE4F3" w14:textId="77777777" w:rsidR="00FE5C1D" w:rsidRDefault="00FE5C1D" w:rsidP="00FE5C1D">
      <w:pPr>
        <w:spacing w:after="0" w:line="240" w:lineRule="auto"/>
        <w:jc w:val="both"/>
        <w:rPr>
          <w:rFonts w:ascii="Times New Roman" w:hAnsi="Times New Roman"/>
          <w:sz w:val="24"/>
          <w:szCs w:val="24"/>
        </w:rPr>
      </w:pPr>
    </w:p>
    <w:p w14:paraId="6ED2D333" w14:textId="24222DEE" w:rsidR="006B59DF" w:rsidRDefault="00217FFC" w:rsidP="00AB110B">
      <w:pPr>
        <w:spacing w:after="0" w:line="480" w:lineRule="auto"/>
        <w:ind w:left="720" w:firstLine="720"/>
        <w:jc w:val="both"/>
        <w:rPr>
          <w:rFonts w:ascii="Times New Roman" w:hAnsi="Times New Roman"/>
          <w:sz w:val="24"/>
          <w:szCs w:val="24"/>
        </w:rPr>
      </w:pPr>
      <w:r>
        <w:rPr>
          <w:rFonts w:ascii="Times New Roman" w:hAnsi="Times New Roman"/>
          <w:sz w:val="24"/>
          <w:szCs w:val="24"/>
        </w:rPr>
        <w:t xml:space="preserve">And </w:t>
      </w:r>
      <w:r w:rsidR="00917EC4">
        <w:rPr>
          <w:rFonts w:ascii="Times New Roman" w:hAnsi="Times New Roman"/>
          <w:sz w:val="24"/>
          <w:szCs w:val="24"/>
        </w:rPr>
        <w:t>at</w:t>
      </w:r>
      <w:r w:rsidR="006B59DF">
        <w:rPr>
          <w:rFonts w:ascii="Times New Roman" w:hAnsi="Times New Roman"/>
          <w:sz w:val="24"/>
          <w:szCs w:val="24"/>
        </w:rPr>
        <w:t xml:space="preserve"> pp</w:t>
      </w:r>
      <w:r w:rsidR="00917EC4">
        <w:rPr>
          <w:rFonts w:ascii="Times New Roman" w:hAnsi="Times New Roman"/>
          <w:sz w:val="24"/>
          <w:szCs w:val="24"/>
        </w:rPr>
        <w:t xml:space="preserve"> </w:t>
      </w:r>
      <w:r w:rsidR="006B59DF">
        <w:rPr>
          <w:rFonts w:ascii="Times New Roman" w:hAnsi="Times New Roman"/>
          <w:sz w:val="24"/>
          <w:szCs w:val="24"/>
        </w:rPr>
        <w:t>4-5:</w:t>
      </w:r>
    </w:p>
    <w:p w14:paraId="1C33FBE7" w14:textId="49865676" w:rsidR="00413D3A" w:rsidRDefault="006B59DF" w:rsidP="00AB110B">
      <w:pPr>
        <w:spacing w:line="240" w:lineRule="auto"/>
        <w:ind w:left="720"/>
        <w:jc w:val="both"/>
        <w:rPr>
          <w:rFonts w:ascii="Times New Roman" w:hAnsi="Times New Roman"/>
          <w:sz w:val="24"/>
          <w:szCs w:val="24"/>
        </w:rPr>
      </w:pPr>
      <w:r>
        <w:rPr>
          <w:rFonts w:ascii="Times New Roman" w:hAnsi="Times New Roman"/>
          <w:sz w:val="24"/>
          <w:szCs w:val="24"/>
        </w:rPr>
        <w:t>“The respondents deserve finality in litigation.  I am fortifi</w:t>
      </w:r>
      <w:r w:rsidR="00FE5C1D">
        <w:rPr>
          <w:rFonts w:ascii="Times New Roman" w:hAnsi="Times New Roman"/>
          <w:sz w:val="24"/>
          <w:szCs w:val="24"/>
        </w:rPr>
        <w:t xml:space="preserve">ed in my view by the </w:t>
      </w:r>
      <w:r w:rsidR="001E3900">
        <w:rPr>
          <w:rFonts w:ascii="Times New Roman" w:hAnsi="Times New Roman"/>
          <w:sz w:val="24"/>
          <w:szCs w:val="24"/>
        </w:rPr>
        <w:t>fact that</w:t>
      </w:r>
      <w:r w:rsidR="00FE5C1D">
        <w:rPr>
          <w:rFonts w:ascii="Times New Roman" w:hAnsi="Times New Roman"/>
          <w:sz w:val="24"/>
          <w:szCs w:val="24"/>
        </w:rPr>
        <w:t xml:space="preserve"> </w:t>
      </w:r>
      <w:r>
        <w:rPr>
          <w:rFonts w:ascii="Times New Roman" w:hAnsi="Times New Roman"/>
          <w:sz w:val="24"/>
          <w:szCs w:val="24"/>
        </w:rPr>
        <w:t>the LPDT hearings are unique in that they are presided over</w:t>
      </w:r>
      <w:r w:rsidR="00FE5C1D">
        <w:rPr>
          <w:rFonts w:ascii="Times New Roman" w:hAnsi="Times New Roman"/>
          <w:sz w:val="24"/>
          <w:szCs w:val="24"/>
        </w:rPr>
        <w:t xml:space="preserve"> by two judges and three legal </w:t>
      </w:r>
      <w:r>
        <w:rPr>
          <w:rFonts w:ascii="Times New Roman" w:hAnsi="Times New Roman"/>
          <w:sz w:val="24"/>
          <w:szCs w:val="24"/>
        </w:rPr>
        <w:t>practitioners. The findings they make are the product of thor</w:t>
      </w:r>
      <w:r w:rsidR="001E3900">
        <w:rPr>
          <w:rFonts w:ascii="Times New Roman" w:hAnsi="Times New Roman"/>
          <w:sz w:val="24"/>
          <w:szCs w:val="24"/>
        </w:rPr>
        <w:t xml:space="preserve">ough considerations of all the </w:t>
      </w:r>
      <w:r>
        <w:rPr>
          <w:rFonts w:ascii="Times New Roman" w:hAnsi="Times New Roman"/>
          <w:sz w:val="24"/>
          <w:szCs w:val="24"/>
        </w:rPr>
        <w:t>facts at hand and the law. The three legal practitioners have no interes</w:t>
      </w:r>
      <w:r w:rsidR="00FE5C1D">
        <w:rPr>
          <w:rFonts w:ascii="Times New Roman" w:hAnsi="Times New Roman"/>
          <w:sz w:val="24"/>
          <w:szCs w:val="24"/>
        </w:rPr>
        <w:t xml:space="preserve">t in disciplinary </w:t>
      </w:r>
      <w:r>
        <w:rPr>
          <w:rFonts w:ascii="Times New Roman" w:hAnsi="Times New Roman"/>
          <w:sz w:val="24"/>
          <w:szCs w:val="24"/>
        </w:rPr>
        <w:t>matters other than ensuring that an errant legal practitioner is punished accordingly</w:t>
      </w:r>
      <w:r w:rsidR="00917EC4">
        <w:rPr>
          <w:rFonts w:ascii="Times New Roman" w:hAnsi="Times New Roman"/>
          <w:sz w:val="24"/>
          <w:szCs w:val="24"/>
        </w:rPr>
        <w:t>,</w:t>
      </w:r>
      <w:r w:rsidR="001E3900">
        <w:rPr>
          <w:rFonts w:ascii="Times New Roman" w:hAnsi="Times New Roman"/>
          <w:sz w:val="24"/>
          <w:szCs w:val="24"/>
        </w:rPr>
        <w:t xml:space="preserve"> </w:t>
      </w:r>
      <w:r>
        <w:rPr>
          <w:rFonts w:ascii="Times New Roman" w:hAnsi="Times New Roman"/>
          <w:sz w:val="24"/>
          <w:szCs w:val="24"/>
        </w:rPr>
        <w:t xml:space="preserve">meaning that they also ensure that one who is not errant is </w:t>
      </w:r>
      <w:r w:rsidR="001E3900">
        <w:rPr>
          <w:rFonts w:ascii="Times New Roman" w:hAnsi="Times New Roman"/>
          <w:sz w:val="24"/>
          <w:szCs w:val="24"/>
        </w:rPr>
        <w:t xml:space="preserve">protected.  The Tribunal found </w:t>
      </w:r>
      <w:r>
        <w:rPr>
          <w:rFonts w:ascii="Times New Roman" w:hAnsi="Times New Roman"/>
          <w:sz w:val="24"/>
          <w:szCs w:val="24"/>
        </w:rPr>
        <w:t>that the applicant deserved to be punished and this they d</w:t>
      </w:r>
      <w:r w:rsidR="00FE5C1D">
        <w:rPr>
          <w:rFonts w:ascii="Times New Roman" w:hAnsi="Times New Roman"/>
          <w:sz w:val="24"/>
          <w:szCs w:val="24"/>
        </w:rPr>
        <w:t xml:space="preserve">id by ordering deletion of his </w:t>
      </w:r>
      <w:r>
        <w:rPr>
          <w:rFonts w:ascii="Times New Roman" w:hAnsi="Times New Roman"/>
          <w:sz w:val="24"/>
          <w:szCs w:val="24"/>
        </w:rPr>
        <w:t xml:space="preserve">name from the Register of Legal Practitioners. </w:t>
      </w:r>
    </w:p>
    <w:p w14:paraId="049D724C" w14:textId="1153833F" w:rsidR="006B59DF" w:rsidRDefault="006B59DF" w:rsidP="002D2C02">
      <w:pPr>
        <w:spacing w:line="240" w:lineRule="auto"/>
        <w:ind w:firstLine="720"/>
        <w:jc w:val="both"/>
        <w:rPr>
          <w:rFonts w:ascii="Times New Roman" w:hAnsi="Times New Roman"/>
          <w:sz w:val="24"/>
          <w:szCs w:val="24"/>
        </w:rPr>
      </w:pPr>
      <w:r>
        <w:rPr>
          <w:rFonts w:ascii="Times New Roman" w:hAnsi="Times New Roman"/>
          <w:sz w:val="24"/>
          <w:szCs w:val="24"/>
        </w:rPr>
        <w:t>The applica</w:t>
      </w:r>
      <w:r w:rsidR="00FE5C1D">
        <w:rPr>
          <w:rFonts w:ascii="Times New Roman" w:hAnsi="Times New Roman"/>
          <w:sz w:val="24"/>
          <w:szCs w:val="24"/>
        </w:rPr>
        <w:t xml:space="preserve">tion for condonation therefore </w:t>
      </w:r>
      <w:r>
        <w:rPr>
          <w:rFonts w:ascii="Times New Roman" w:hAnsi="Times New Roman"/>
          <w:sz w:val="24"/>
          <w:szCs w:val="24"/>
        </w:rPr>
        <w:t>has no merit.”</w:t>
      </w:r>
      <w:r w:rsidR="00413D3A">
        <w:rPr>
          <w:rFonts w:ascii="Times New Roman" w:hAnsi="Times New Roman"/>
          <w:sz w:val="24"/>
          <w:szCs w:val="24"/>
        </w:rPr>
        <w:t xml:space="preserve"> </w:t>
      </w:r>
    </w:p>
    <w:p w14:paraId="0FA7F159" w14:textId="77777777" w:rsidR="00DA489F" w:rsidRDefault="00DA489F" w:rsidP="001C6D18">
      <w:pPr>
        <w:spacing w:after="0" w:line="480" w:lineRule="auto"/>
        <w:jc w:val="both"/>
        <w:rPr>
          <w:rFonts w:ascii="Times New Roman" w:hAnsi="Times New Roman"/>
          <w:sz w:val="24"/>
          <w:szCs w:val="24"/>
        </w:rPr>
      </w:pPr>
    </w:p>
    <w:p w14:paraId="0C1414D5" w14:textId="35C82FFE" w:rsidR="003E3766" w:rsidRDefault="00917EC4" w:rsidP="002D2C02">
      <w:pPr>
        <w:spacing w:line="480" w:lineRule="auto"/>
        <w:ind w:firstLine="1440"/>
        <w:jc w:val="both"/>
        <w:rPr>
          <w:rFonts w:ascii="Times New Roman" w:hAnsi="Times New Roman"/>
          <w:sz w:val="24"/>
          <w:szCs w:val="24"/>
        </w:rPr>
      </w:pPr>
      <w:r>
        <w:rPr>
          <w:rFonts w:ascii="Times New Roman" w:hAnsi="Times New Roman"/>
          <w:sz w:val="24"/>
          <w:szCs w:val="24"/>
        </w:rPr>
        <w:t xml:space="preserve">A proper reading of the above remarks shows that the court </w:t>
      </w:r>
      <w:r w:rsidRPr="0000054F">
        <w:rPr>
          <w:rFonts w:ascii="Times New Roman" w:hAnsi="Times New Roman"/>
          <w:i/>
          <w:iCs/>
          <w:sz w:val="24"/>
          <w:szCs w:val="24"/>
        </w:rPr>
        <w:t>a quo</w:t>
      </w:r>
      <w:r>
        <w:rPr>
          <w:rFonts w:ascii="Times New Roman" w:hAnsi="Times New Roman"/>
          <w:sz w:val="24"/>
          <w:szCs w:val="24"/>
        </w:rPr>
        <w:t xml:space="preserve"> </w:t>
      </w:r>
      <w:r w:rsidR="002916AF">
        <w:rPr>
          <w:rFonts w:ascii="Times New Roman" w:hAnsi="Times New Roman"/>
          <w:sz w:val="24"/>
          <w:szCs w:val="24"/>
        </w:rPr>
        <w:t xml:space="preserve">made the following findings. </w:t>
      </w:r>
      <w:r w:rsidR="00FB4D49">
        <w:rPr>
          <w:rFonts w:ascii="Times New Roman" w:hAnsi="Times New Roman"/>
          <w:sz w:val="24"/>
          <w:szCs w:val="24"/>
        </w:rPr>
        <w:t xml:space="preserve"> </w:t>
      </w:r>
      <w:r w:rsidR="002916AF">
        <w:rPr>
          <w:rFonts w:ascii="Times New Roman" w:hAnsi="Times New Roman"/>
          <w:sz w:val="24"/>
          <w:szCs w:val="24"/>
        </w:rPr>
        <w:t>Firstly, that</w:t>
      </w:r>
      <w:r>
        <w:rPr>
          <w:rFonts w:ascii="Times New Roman" w:hAnsi="Times New Roman"/>
          <w:sz w:val="24"/>
          <w:szCs w:val="24"/>
        </w:rPr>
        <w:t xml:space="preserve"> the causes of action in the </w:t>
      </w:r>
      <w:r w:rsidR="002916AF">
        <w:rPr>
          <w:rFonts w:ascii="Times New Roman" w:hAnsi="Times New Roman"/>
          <w:sz w:val="24"/>
          <w:szCs w:val="24"/>
        </w:rPr>
        <w:t xml:space="preserve">disciplinary matter and the condonation matter were based on the same conspectus of facts. </w:t>
      </w:r>
      <w:r w:rsidR="00FB4D49">
        <w:rPr>
          <w:rFonts w:ascii="Times New Roman" w:hAnsi="Times New Roman"/>
          <w:sz w:val="24"/>
          <w:szCs w:val="24"/>
        </w:rPr>
        <w:t xml:space="preserve"> </w:t>
      </w:r>
      <w:r w:rsidR="002916AF">
        <w:rPr>
          <w:rFonts w:ascii="Times New Roman" w:hAnsi="Times New Roman"/>
          <w:sz w:val="24"/>
          <w:szCs w:val="24"/>
        </w:rPr>
        <w:t xml:space="preserve">Secondly, that the appellant breached his duty of care towards the applicant. </w:t>
      </w:r>
      <w:r w:rsidR="00FB4D49">
        <w:rPr>
          <w:rFonts w:ascii="Times New Roman" w:hAnsi="Times New Roman"/>
          <w:sz w:val="24"/>
          <w:szCs w:val="24"/>
        </w:rPr>
        <w:t xml:space="preserve"> </w:t>
      </w:r>
      <w:r w:rsidR="002916AF">
        <w:rPr>
          <w:rFonts w:ascii="Times New Roman" w:hAnsi="Times New Roman"/>
          <w:sz w:val="24"/>
          <w:szCs w:val="24"/>
        </w:rPr>
        <w:t xml:space="preserve">He </w:t>
      </w:r>
      <w:r w:rsidR="0000054F">
        <w:rPr>
          <w:rFonts w:ascii="Times New Roman" w:hAnsi="Times New Roman"/>
          <w:sz w:val="24"/>
          <w:szCs w:val="24"/>
        </w:rPr>
        <w:t>failed to</w:t>
      </w:r>
      <w:r w:rsidR="002916AF">
        <w:rPr>
          <w:rFonts w:ascii="Times New Roman" w:hAnsi="Times New Roman"/>
          <w:sz w:val="24"/>
          <w:szCs w:val="24"/>
        </w:rPr>
        <w:t xml:space="preserve"> </w:t>
      </w:r>
      <w:r w:rsidR="00F3566F">
        <w:rPr>
          <w:rFonts w:ascii="Times New Roman" w:hAnsi="Times New Roman"/>
          <w:sz w:val="24"/>
          <w:szCs w:val="24"/>
        </w:rPr>
        <w:t>diligently bring his mind and experience to bear on</w:t>
      </w:r>
      <w:r w:rsidR="002916AF">
        <w:rPr>
          <w:rFonts w:ascii="Times New Roman" w:hAnsi="Times New Roman"/>
          <w:sz w:val="24"/>
          <w:szCs w:val="24"/>
        </w:rPr>
        <w:t xml:space="preserve"> the import of the clear and unambiguous wording of the power of attorney and affidavit. </w:t>
      </w:r>
      <w:r w:rsidR="00FB4D49">
        <w:rPr>
          <w:rFonts w:ascii="Times New Roman" w:hAnsi="Times New Roman"/>
          <w:sz w:val="24"/>
          <w:szCs w:val="24"/>
        </w:rPr>
        <w:t xml:space="preserve"> </w:t>
      </w:r>
      <w:r w:rsidR="002916AF">
        <w:rPr>
          <w:rFonts w:ascii="Times New Roman" w:hAnsi="Times New Roman"/>
          <w:sz w:val="24"/>
          <w:szCs w:val="24"/>
        </w:rPr>
        <w:t xml:space="preserve">Thirdly, </w:t>
      </w:r>
      <w:r w:rsidR="00F3566F">
        <w:rPr>
          <w:rFonts w:ascii="Times New Roman" w:hAnsi="Times New Roman"/>
          <w:sz w:val="24"/>
          <w:szCs w:val="24"/>
        </w:rPr>
        <w:t xml:space="preserve">the power of attorney did not make the respondents co-principal debtors with Celgrim Bakeries. </w:t>
      </w:r>
      <w:r w:rsidR="0000054F">
        <w:rPr>
          <w:rFonts w:ascii="Times New Roman" w:hAnsi="Times New Roman"/>
          <w:sz w:val="24"/>
          <w:szCs w:val="24"/>
        </w:rPr>
        <w:t>Fourthly</w:t>
      </w:r>
      <w:r w:rsidR="00F3566F">
        <w:rPr>
          <w:rFonts w:ascii="Times New Roman" w:hAnsi="Times New Roman"/>
          <w:sz w:val="24"/>
          <w:szCs w:val="24"/>
        </w:rPr>
        <w:t xml:space="preserve">, the power of attorney </w:t>
      </w:r>
      <w:r w:rsidR="0000054F">
        <w:rPr>
          <w:rFonts w:ascii="Times New Roman" w:hAnsi="Times New Roman"/>
          <w:sz w:val="24"/>
          <w:szCs w:val="24"/>
        </w:rPr>
        <w:t xml:space="preserve">was invalid </w:t>
      </w:r>
      <w:r w:rsidR="0000054F" w:rsidRPr="003705FC">
        <w:rPr>
          <w:rFonts w:ascii="Times New Roman" w:hAnsi="Times New Roman"/>
          <w:i/>
          <w:iCs/>
          <w:sz w:val="24"/>
          <w:szCs w:val="24"/>
        </w:rPr>
        <w:t>ab initio</w:t>
      </w:r>
      <w:r w:rsidR="0000054F">
        <w:rPr>
          <w:rFonts w:ascii="Times New Roman" w:hAnsi="Times New Roman"/>
          <w:sz w:val="24"/>
          <w:szCs w:val="24"/>
        </w:rPr>
        <w:t xml:space="preserve"> in that it did not nominate and imbue an individual or individuals with the powers embodied therein </w:t>
      </w:r>
      <w:r w:rsidR="00F3566F">
        <w:rPr>
          <w:rFonts w:ascii="Times New Roman" w:hAnsi="Times New Roman"/>
          <w:sz w:val="24"/>
          <w:szCs w:val="24"/>
        </w:rPr>
        <w:t xml:space="preserve">but improperly appointed his </w:t>
      </w:r>
      <w:r w:rsidR="0000054F">
        <w:rPr>
          <w:rFonts w:ascii="Times New Roman" w:hAnsi="Times New Roman"/>
          <w:sz w:val="24"/>
          <w:szCs w:val="24"/>
        </w:rPr>
        <w:t xml:space="preserve">law firm. </w:t>
      </w:r>
      <w:r w:rsidR="003E3766">
        <w:rPr>
          <w:rFonts w:ascii="Times New Roman" w:hAnsi="Times New Roman"/>
          <w:sz w:val="24"/>
          <w:szCs w:val="24"/>
        </w:rPr>
        <w:lastRenderedPageBreak/>
        <w:t>Fifthly</w:t>
      </w:r>
      <w:r w:rsidR="0000054F">
        <w:rPr>
          <w:rFonts w:ascii="Times New Roman" w:hAnsi="Times New Roman"/>
          <w:sz w:val="24"/>
          <w:szCs w:val="24"/>
        </w:rPr>
        <w:t>, that these findings buttressed the respondent’s submissions that the appellant did not have any pros</w:t>
      </w:r>
      <w:r w:rsidR="00FC2197">
        <w:rPr>
          <w:rFonts w:ascii="Times New Roman" w:hAnsi="Times New Roman"/>
          <w:sz w:val="24"/>
          <w:szCs w:val="24"/>
        </w:rPr>
        <w:t>p</w:t>
      </w:r>
      <w:r w:rsidR="0000054F">
        <w:rPr>
          <w:rFonts w:ascii="Times New Roman" w:hAnsi="Times New Roman"/>
          <w:sz w:val="24"/>
          <w:szCs w:val="24"/>
        </w:rPr>
        <w:t xml:space="preserve">ects of success. </w:t>
      </w:r>
      <w:r w:rsidR="00FB4D49">
        <w:rPr>
          <w:rFonts w:ascii="Times New Roman" w:hAnsi="Times New Roman"/>
          <w:sz w:val="24"/>
          <w:szCs w:val="24"/>
        </w:rPr>
        <w:t xml:space="preserve"> </w:t>
      </w:r>
      <w:r w:rsidR="003E3766">
        <w:rPr>
          <w:rFonts w:ascii="Times New Roman" w:hAnsi="Times New Roman"/>
          <w:sz w:val="24"/>
          <w:szCs w:val="24"/>
        </w:rPr>
        <w:t xml:space="preserve">Lastly that the tribunal was a </w:t>
      </w:r>
      <w:r w:rsidR="003E3766" w:rsidRPr="003E3766">
        <w:rPr>
          <w:rFonts w:ascii="Times New Roman" w:hAnsi="Times New Roman"/>
          <w:i/>
          <w:iCs/>
          <w:sz w:val="24"/>
          <w:szCs w:val="24"/>
        </w:rPr>
        <w:t>sui generis</w:t>
      </w:r>
      <w:r w:rsidR="00D2743E">
        <w:rPr>
          <w:rFonts w:ascii="Times New Roman" w:hAnsi="Times New Roman"/>
          <w:sz w:val="24"/>
          <w:szCs w:val="24"/>
        </w:rPr>
        <w:t xml:space="preserve"> tribunal</w:t>
      </w:r>
      <w:r w:rsidR="003E3766">
        <w:rPr>
          <w:rFonts w:ascii="Times New Roman" w:hAnsi="Times New Roman"/>
          <w:sz w:val="24"/>
          <w:szCs w:val="24"/>
        </w:rPr>
        <w:t xml:space="preserve"> of experts </w:t>
      </w:r>
      <w:r w:rsidR="001727A1">
        <w:rPr>
          <w:rFonts w:ascii="Times New Roman" w:hAnsi="Times New Roman"/>
          <w:sz w:val="24"/>
          <w:szCs w:val="24"/>
        </w:rPr>
        <w:t xml:space="preserve">whose findings were persuasive.  </w:t>
      </w:r>
      <w:r w:rsidR="00D2743E">
        <w:rPr>
          <w:rFonts w:ascii="Times New Roman" w:hAnsi="Times New Roman"/>
          <w:sz w:val="24"/>
          <w:szCs w:val="24"/>
        </w:rPr>
        <w:t xml:space="preserve">See </w:t>
      </w:r>
      <w:r w:rsidR="00D2743E" w:rsidRPr="00D2743E">
        <w:rPr>
          <w:rFonts w:ascii="Times New Roman" w:hAnsi="Times New Roman"/>
          <w:i/>
          <w:iCs/>
          <w:sz w:val="24"/>
          <w:szCs w:val="24"/>
        </w:rPr>
        <w:t xml:space="preserve">Ndebele </w:t>
      </w:r>
      <w:r w:rsidR="00D2743E" w:rsidRPr="00FB4D49">
        <w:rPr>
          <w:rFonts w:ascii="Times New Roman" w:hAnsi="Times New Roman"/>
          <w:iCs/>
          <w:sz w:val="24"/>
          <w:szCs w:val="24"/>
        </w:rPr>
        <w:t>v</w:t>
      </w:r>
      <w:r w:rsidR="00D2743E" w:rsidRPr="00D2743E">
        <w:rPr>
          <w:rFonts w:ascii="Times New Roman" w:hAnsi="Times New Roman"/>
          <w:i/>
          <w:iCs/>
          <w:sz w:val="24"/>
          <w:szCs w:val="24"/>
        </w:rPr>
        <w:t xml:space="preserve"> Bhunu</w:t>
      </w:r>
      <w:r w:rsidR="00D2743E">
        <w:rPr>
          <w:rFonts w:ascii="Times New Roman" w:hAnsi="Times New Roman"/>
          <w:sz w:val="24"/>
          <w:szCs w:val="24"/>
        </w:rPr>
        <w:t xml:space="preserve"> NO HH 14/10 at p5.</w:t>
      </w:r>
    </w:p>
    <w:p w14:paraId="38E29755" w14:textId="77777777" w:rsidR="00DA489F" w:rsidRDefault="00DA489F" w:rsidP="00F9349E">
      <w:pPr>
        <w:spacing w:after="0" w:line="240" w:lineRule="auto"/>
        <w:ind w:firstLine="1134"/>
        <w:jc w:val="both"/>
        <w:rPr>
          <w:rFonts w:ascii="Times New Roman" w:hAnsi="Times New Roman"/>
          <w:sz w:val="24"/>
          <w:szCs w:val="24"/>
        </w:rPr>
      </w:pPr>
    </w:p>
    <w:p w14:paraId="2A097E15" w14:textId="40D627EF" w:rsidR="006A2124" w:rsidRDefault="00CC3AD0" w:rsidP="00F9349E">
      <w:pPr>
        <w:spacing w:after="0" w:line="480" w:lineRule="auto"/>
        <w:ind w:firstLine="1134"/>
        <w:jc w:val="both"/>
        <w:rPr>
          <w:rFonts w:ascii="Times New Roman" w:hAnsi="Times New Roman"/>
          <w:sz w:val="24"/>
          <w:szCs w:val="24"/>
        </w:rPr>
      </w:pPr>
      <w:r>
        <w:rPr>
          <w:rFonts w:ascii="Times New Roman" w:hAnsi="Times New Roman"/>
          <w:sz w:val="24"/>
          <w:szCs w:val="24"/>
        </w:rPr>
        <w:t xml:space="preserve">In our view, </w:t>
      </w:r>
      <w:r w:rsidR="003E3766">
        <w:rPr>
          <w:rFonts w:ascii="Times New Roman" w:hAnsi="Times New Roman"/>
          <w:sz w:val="24"/>
          <w:szCs w:val="24"/>
        </w:rPr>
        <w:t xml:space="preserve">courts of all levels are in the business of adopting and applying the reasoning of other courts, whose decisions are not </w:t>
      </w:r>
      <w:r>
        <w:rPr>
          <w:rFonts w:ascii="Times New Roman" w:hAnsi="Times New Roman"/>
          <w:sz w:val="24"/>
          <w:szCs w:val="24"/>
        </w:rPr>
        <w:t xml:space="preserve">necessarily </w:t>
      </w:r>
      <w:r w:rsidR="003E3766">
        <w:rPr>
          <w:rFonts w:ascii="Times New Roman" w:hAnsi="Times New Roman"/>
          <w:sz w:val="24"/>
          <w:szCs w:val="24"/>
        </w:rPr>
        <w:t xml:space="preserve">binding on them. </w:t>
      </w:r>
      <w:r w:rsidR="00000465">
        <w:rPr>
          <w:rFonts w:ascii="Times New Roman" w:hAnsi="Times New Roman"/>
          <w:sz w:val="24"/>
          <w:szCs w:val="24"/>
        </w:rPr>
        <w:t xml:space="preserve"> </w:t>
      </w:r>
      <w:r w:rsidR="00FB0C26">
        <w:rPr>
          <w:rFonts w:ascii="Times New Roman" w:hAnsi="Times New Roman"/>
          <w:sz w:val="24"/>
          <w:szCs w:val="24"/>
        </w:rPr>
        <w:t xml:space="preserve">See </w:t>
      </w:r>
      <w:r w:rsidR="00FB0C26" w:rsidRPr="00FB0C26">
        <w:rPr>
          <w:rFonts w:ascii="Times New Roman" w:hAnsi="Times New Roman"/>
          <w:i/>
          <w:iCs/>
          <w:sz w:val="24"/>
          <w:szCs w:val="24"/>
        </w:rPr>
        <w:t xml:space="preserve">Barclays Bank of Zimbabwe </w:t>
      </w:r>
      <w:r w:rsidR="00FB0C26" w:rsidRPr="00FB4D49">
        <w:rPr>
          <w:rFonts w:ascii="Times New Roman" w:hAnsi="Times New Roman"/>
          <w:iCs/>
          <w:sz w:val="24"/>
          <w:szCs w:val="24"/>
        </w:rPr>
        <w:t>v</w:t>
      </w:r>
      <w:r w:rsidR="00FB0C26" w:rsidRPr="00FB0C26">
        <w:rPr>
          <w:rFonts w:ascii="Times New Roman" w:hAnsi="Times New Roman"/>
          <w:i/>
          <w:iCs/>
          <w:sz w:val="24"/>
          <w:szCs w:val="24"/>
        </w:rPr>
        <w:t xml:space="preserve"> Zimbabwe Revenue Authority</w:t>
      </w:r>
      <w:r w:rsidR="00FB0C26">
        <w:rPr>
          <w:rFonts w:ascii="Times New Roman" w:hAnsi="Times New Roman"/>
          <w:sz w:val="24"/>
          <w:szCs w:val="24"/>
        </w:rPr>
        <w:t xml:space="preserve"> SC 31/06 at p 8</w:t>
      </w:r>
      <w:r w:rsidR="005F75FB">
        <w:rPr>
          <w:rFonts w:ascii="Times New Roman" w:hAnsi="Times New Roman"/>
          <w:sz w:val="24"/>
          <w:szCs w:val="24"/>
        </w:rPr>
        <w:t xml:space="preserve"> where </w:t>
      </w:r>
      <w:proofErr w:type="spellStart"/>
      <w:r w:rsidR="005F75FB">
        <w:rPr>
          <w:rFonts w:ascii="Times New Roman" w:hAnsi="Times New Roman"/>
          <w:sz w:val="24"/>
          <w:szCs w:val="24"/>
        </w:rPr>
        <w:t>Z</w:t>
      </w:r>
      <w:r w:rsidR="00FB4D49" w:rsidRPr="00FB4D49">
        <w:rPr>
          <w:rFonts w:ascii="Times New Roman" w:hAnsi="Times New Roman"/>
          <w:smallCaps/>
          <w:sz w:val="24"/>
          <w:szCs w:val="24"/>
        </w:rPr>
        <w:t>iyambi</w:t>
      </w:r>
      <w:proofErr w:type="spellEnd"/>
      <w:r w:rsidR="005F75FB">
        <w:rPr>
          <w:rFonts w:ascii="Times New Roman" w:hAnsi="Times New Roman"/>
          <w:sz w:val="24"/>
          <w:szCs w:val="24"/>
        </w:rPr>
        <w:t xml:space="preserve"> JA pertinently remarked that:</w:t>
      </w:r>
    </w:p>
    <w:p w14:paraId="3D63C76D" w14:textId="77777777" w:rsidR="006A2124" w:rsidRPr="00000465" w:rsidRDefault="005F75FB" w:rsidP="00F9349E">
      <w:pPr>
        <w:spacing w:line="240" w:lineRule="auto"/>
        <w:ind w:left="810" w:hanging="90"/>
        <w:jc w:val="both"/>
        <w:rPr>
          <w:rFonts w:ascii="Times New Roman" w:hAnsi="Times New Roman"/>
          <w:sz w:val="24"/>
          <w:szCs w:val="24"/>
        </w:rPr>
      </w:pPr>
      <w:r w:rsidRPr="00000465">
        <w:rPr>
          <w:rFonts w:ascii="Times New Roman" w:hAnsi="Times New Roman"/>
          <w:sz w:val="24"/>
          <w:szCs w:val="24"/>
        </w:rPr>
        <w:t>“</w:t>
      </w:r>
      <w:r w:rsidR="006A2124" w:rsidRPr="00000465">
        <w:rPr>
          <w:rFonts w:ascii="Times New Roman" w:hAnsi="Times New Roman"/>
          <w:sz w:val="24"/>
          <w:szCs w:val="24"/>
        </w:rPr>
        <w:t xml:space="preserve">The decisions referred to, though not binding on this Court would of course be persuasive authority which could assist this Court in arriving at a decision in the instant matter.   But, as it was put by RUMPFF JA in </w:t>
      </w:r>
      <w:r w:rsidR="006A2124" w:rsidRPr="00000465">
        <w:rPr>
          <w:rFonts w:ascii="Times New Roman" w:hAnsi="Times New Roman"/>
          <w:i/>
          <w:sz w:val="24"/>
          <w:szCs w:val="24"/>
        </w:rPr>
        <w:t>Mooi</w:t>
      </w:r>
      <w:r w:rsidR="006A2124" w:rsidRPr="00000465">
        <w:rPr>
          <w:rFonts w:ascii="Times New Roman" w:hAnsi="Times New Roman"/>
          <w:sz w:val="24"/>
          <w:szCs w:val="24"/>
        </w:rPr>
        <w:t xml:space="preserve">’s case, </w:t>
      </w:r>
      <w:r w:rsidR="006A2124" w:rsidRPr="00000465">
        <w:rPr>
          <w:rFonts w:ascii="Times New Roman" w:hAnsi="Times New Roman"/>
          <w:i/>
          <w:sz w:val="24"/>
          <w:szCs w:val="24"/>
        </w:rPr>
        <w:t>supra</w:t>
      </w:r>
      <w:r w:rsidR="006A2124" w:rsidRPr="00000465">
        <w:rPr>
          <w:rFonts w:ascii="Times New Roman" w:hAnsi="Times New Roman"/>
          <w:sz w:val="24"/>
          <w:szCs w:val="24"/>
        </w:rPr>
        <w:t xml:space="preserve">, at p 686, referring to the decision in </w:t>
      </w:r>
      <w:r w:rsidR="006A2124" w:rsidRPr="00000465">
        <w:rPr>
          <w:rFonts w:ascii="Times New Roman" w:hAnsi="Times New Roman"/>
          <w:i/>
          <w:sz w:val="24"/>
          <w:szCs w:val="24"/>
        </w:rPr>
        <w:t>Abbott v Philbin</w:t>
      </w:r>
      <w:r w:rsidR="006A2124" w:rsidRPr="00000465">
        <w:rPr>
          <w:rFonts w:ascii="Times New Roman" w:hAnsi="Times New Roman"/>
          <w:sz w:val="24"/>
          <w:szCs w:val="24"/>
        </w:rPr>
        <w:t>:</w:t>
      </w:r>
    </w:p>
    <w:p w14:paraId="16046ECD" w14:textId="02E1B966" w:rsidR="006A2124" w:rsidRPr="00000465" w:rsidRDefault="00000465" w:rsidP="00F9349E">
      <w:pPr>
        <w:spacing w:line="240" w:lineRule="auto"/>
        <w:ind w:left="1260" w:hanging="126"/>
        <w:jc w:val="both"/>
        <w:rPr>
          <w:rFonts w:ascii="Times New Roman" w:hAnsi="Times New Roman"/>
          <w:sz w:val="24"/>
          <w:szCs w:val="24"/>
        </w:rPr>
      </w:pPr>
      <w:r>
        <w:rPr>
          <w:rFonts w:ascii="Times New Roman" w:hAnsi="Times New Roman"/>
          <w:sz w:val="24"/>
          <w:szCs w:val="24"/>
        </w:rPr>
        <w:t>‘</w:t>
      </w:r>
      <w:r w:rsidR="006A2124" w:rsidRPr="00000465">
        <w:rPr>
          <w:rFonts w:ascii="Times New Roman" w:hAnsi="Times New Roman"/>
          <w:sz w:val="24"/>
          <w:szCs w:val="24"/>
        </w:rPr>
        <w:t>What does persuasive authority mean? In my view certainly not the mere final order of that Court, but the force and validity of the reasoning upon which the order is based.</w:t>
      </w:r>
      <w:r>
        <w:rPr>
          <w:rFonts w:ascii="Times New Roman" w:hAnsi="Times New Roman"/>
          <w:sz w:val="24"/>
          <w:szCs w:val="24"/>
        </w:rPr>
        <w:t>’</w:t>
      </w:r>
      <w:r w:rsidR="006A2124" w:rsidRPr="00000465">
        <w:rPr>
          <w:rFonts w:ascii="Times New Roman" w:hAnsi="Times New Roman"/>
          <w:sz w:val="24"/>
          <w:szCs w:val="24"/>
        </w:rPr>
        <w:t>”</w:t>
      </w:r>
    </w:p>
    <w:p w14:paraId="575F8B61" w14:textId="77777777" w:rsidR="001148C8" w:rsidRDefault="001148C8" w:rsidP="004D6D34">
      <w:pPr>
        <w:spacing w:line="240" w:lineRule="auto"/>
        <w:ind w:firstLine="720"/>
        <w:jc w:val="both"/>
        <w:rPr>
          <w:rFonts w:ascii="Times New Roman" w:hAnsi="Times New Roman"/>
          <w:sz w:val="24"/>
          <w:szCs w:val="24"/>
        </w:rPr>
      </w:pPr>
    </w:p>
    <w:p w14:paraId="78E5181B" w14:textId="718A07F1" w:rsidR="004B3AC0" w:rsidRDefault="00D2743E" w:rsidP="00283A9B">
      <w:pPr>
        <w:spacing w:line="480" w:lineRule="auto"/>
        <w:ind w:firstLine="1170"/>
        <w:jc w:val="both"/>
        <w:rPr>
          <w:rFonts w:ascii="Times New Roman" w:hAnsi="Times New Roman"/>
          <w:sz w:val="24"/>
          <w:szCs w:val="24"/>
        </w:rPr>
      </w:pPr>
      <w:r>
        <w:rPr>
          <w:rFonts w:ascii="Times New Roman" w:hAnsi="Times New Roman"/>
          <w:sz w:val="24"/>
          <w:szCs w:val="24"/>
        </w:rPr>
        <w:t xml:space="preserve">There was </w:t>
      </w:r>
      <w:r w:rsidR="003705FC">
        <w:rPr>
          <w:rFonts w:ascii="Times New Roman" w:hAnsi="Times New Roman"/>
          <w:sz w:val="24"/>
          <w:szCs w:val="24"/>
        </w:rPr>
        <w:t xml:space="preserve">therefore </w:t>
      </w:r>
      <w:r>
        <w:rPr>
          <w:rFonts w:ascii="Times New Roman" w:hAnsi="Times New Roman"/>
          <w:sz w:val="24"/>
          <w:szCs w:val="24"/>
        </w:rPr>
        <w:t xml:space="preserve">nothing remiss about the court </w:t>
      </w:r>
      <w:r w:rsidRPr="003705FC">
        <w:rPr>
          <w:rFonts w:ascii="Times New Roman" w:hAnsi="Times New Roman"/>
          <w:i/>
          <w:iCs/>
          <w:sz w:val="24"/>
          <w:szCs w:val="24"/>
        </w:rPr>
        <w:t>a quo’s</w:t>
      </w:r>
      <w:r>
        <w:rPr>
          <w:rFonts w:ascii="Times New Roman" w:hAnsi="Times New Roman"/>
          <w:sz w:val="24"/>
          <w:szCs w:val="24"/>
        </w:rPr>
        <w:t xml:space="preserve"> recognition and adoption of the tribunal</w:t>
      </w:r>
      <w:r w:rsidR="003705FC">
        <w:rPr>
          <w:rFonts w:ascii="Times New Roman" w:hAnsi="Times New Roman"/>
          <w:sz w:val="24"/>
          <w:szCs w:val="24"/>
        </w:rPr>
        <w:t>’</w:t>
      </w:r>
      <w:r>
        <w:rPr>
          <w:rFonts w:ascii="Times New Roman" w:hAnsi="Times New Roman"/>
          <w:sz w:val="24"/>
          <w:szCs w:val="24"/>
        </w:rPr>
        <w:t>s findings, which were based on the same set of facts.</w:t>
      </w:r>
    </w:p>
    <w:p w14:paraId="2B4A3DCF" w14:textId="77777777" w:rsidR="00DA489F" w:rsidRDefault="00DA489F" w:rsidP="00283A9B">
      <w:pPr>
        <w:spacing w:after="0" w:line="240" w:lineRule="auto"/>
        <w:ind w:firstLine="1134"/>
        <w:jc w:val="both"/>
        <w:rPr>
          <w:rFonts w:ascii="Times New Roman" w:hAnsi="Times New Roman"/>
          <w:sz w:val="24"/>
          <w:szCs w:val="24"/>
        </w:rPr>
      </w:pPr>
    </w:p>
    <w:p w14:paraId="5C4AB862" w14:textId="0AEEA387" w:rsidR="003E3766" w:rsidRDefault="003E3766" w:rsidP="00283A9B">
      <w:pPr>
        <w:tabs>
          <w:tab w:val="left" w:pos="1134"/>
        </w:tabs>
        <w:spacing w:line="480" w:lineRule="auto"/>
        <w:ind w:firstLine="1134"/>
        <w:jc w:val="both"/>
        <w:rPr>
          <w:rFonts w:ascii="Times New Roman" w:hAnsi="Times New Roman"/>
          <w:sz w:val="24"/>
          <w:szCs w:val="24"/>
        </w:rPr>
      </w:pPr>
      <w:r>
        <w:rPr>
          <w:rFonts w:ascii="Times New Roman" w:hAnsi="Times New Roman"/>
          <w:sz w:val="24"/>
          <w:szCs w:val="24"/>
        </w:rPr>
        <w:t xml:space="preserve">We </w:t>
      </w:r>
      <w:r w:rsidR="00D2743E">
        <w:rPr>
          <w:rFonts w:ascii="Times New Roman" w:hAnsi="Times New Roman"/>
          <w:sz w:val="24"/>
          <w:szCs w:val="24"/>
        </w:rPr>
        <w:t xml:space="preserve">also </w:t>
      </w:r>
      <w:r>
        <w:rPr>
          <w:rFonts w:ascii="Times New Roman" w:hAnsi="Times New Roman"/>
          <w:sz w:val="24"/>
          <w:szCs w:val="24"/>
        </w:rPr>
        <w:t xml:space="preserve">find, contrary to </w:t>
      </w:r>
      <w:proofErr w:type="spellStart"/>
      <w:r>
        <w:rPr>
          <w:rFonts w:ascii="Times New Roman" w:hAnsi="Times New Roman"/>
          <w:sz w:val="24"/>
          <w:szCs w:val="24"/>
        </w:rPr>
        <w:t>Mr</w:t>
      </w:r>
      <w:proofErr w:type="spellEnd"/>
      <w:r>
        <w:rPr>
          <w:rFonts w:ascii="Times New Roman" w:hAnsi="Times New Roman"/>
          <w:sz w:val="24"/>
          <w:szCs w:val="24"/>
        </w:rPr>
        <w:t xml:space="preserve"> </w:t>
      </w:r>
      <w:proofErr w:type="spellStart"/>
      <w:r w:rsidRPr="003E3766">
        <w:rPr>
          <w:rFonts w:ascii="Times New Roman" w:hAnsi="Times New Roman"/>
          <w:i/>
          <w:iCs/>
          <w:sz w:val="24"/>
          <w:szCs w:val="24"/>
        </w:rPr>
        <w:t>Girach’s</w:t>
      </w:r>
      <w:proofErr w:type="spellEnd"/>
      <w:r>
        <w:rPr>
          <w:rFonts w:ascii="Times New Roman" w:hAnsi="Times New Roman"/>
          <w:sz w:val="24"/>
          <w:szCs w:val="24"/>
        </w:rPr>
        <w:t xml:space="preserve"> submissions, that the above remarks by the court </w:t>
      </w:r>
      <w:r w:rsidRPr="003705FC">
        <w:rPr>
          <w:rFonts w:ascii="Times New Roman" w:hAnsi="Times New Roman"/>
          <w:i/>
          <w:iCs/>
          <w:sz w:val="24"/>
          <w:szCs w:val="24"/>
        </w:rPr>
        <w:t>a quo</w:t>
      </w:r>
      <w:r>
        <w:rPr>
          <w:rFonts w:ascii="Times New Roman" w:hAnsi="Times New Roman"/>
          <w:sz w:val="24"/>
          <w:szCs w:val="24"/>
        </w:rPr>
        <w:t xml:space="preserve"> constituted an adequate basis for its findings. </w:t>
      </w:r>
      <w:r w:rsidR="003705FC">
        <w:rPr>
          <w:rFonts w:ascii="Times New Roman" w:hAnsi="Times New Roman"/>
          <w:sz w:val="24"/>
          <w:szCs w:val="24"/>
        </w:rPr>
        <w:t xml:space="preserve">In the circumstances, we </w:t>
      </w:r>
      <w:r>
        <w:rPr>
          <w:rFonts w:ascii="Times New Roman" w:hAnsi="Times New Roman"/>
          <w:sz w:val="24"/>
          <w:szCs w:val="24"/>
        </w:rPr>
        <w:t>agree</w:t>
      </w:r>
      <w:r w:rsidR="00D2743E">
        <w:rPr>
          <w:rFonts w:ascii="Times New Roman" w:hAnsi="Times New Roman"/>
          <w:sz w:val="24"/>
          <w:szCs w:val="24"/>
        </w:rPr>
        <w:t xml:space="preserve"> with </w:t>
      </w:r>
      <w:r w:rsidR="00DA489F">
        <w:rPr>
          <w:rFonts w:ascii="Times New Roman" w:hAnsi="Times New Roman"/>
          <w:sz w:val="24"/>
          <w:szCs w:val="24"/>
        </w:rPr>
        <w:t xml:space="preserve">                           </w:t>
      </w:r>
      <w:proofErr w:type="spellStart"/>
      <w:r w:rsidR="00D2743E">
        <w:rPr>
          <w:rFonts w:ascii="Times New Roman" w:hAnsi="Times New Roman"/>
          <w:sz w:val="24"/>
          <w:szCs w:val="24"/>
        </w:rPr>
        <w:t>Mr</w:t>
      </w:r>
      <w:proofErr w:type="spellEnd"/>
      <w:r w:rsidR="00D2743E">
        <w:rPr>
          <w:rFonts w:ascii="Times New Roman" w:hAnsi="Times New Roman"/>
          <w:sz w:val="24"/>
          <w:szCs w:val="24"/>
        </w:rPr>
        <w:t xml:space="preserve"> </w:t>
      </w:r>
      <w:proofErr w:type="spellStart"/>
      <w:r w:rsidR="00D2743E" w:rsidRPr="003705FC">
        <w:rPr>
          <w:rFonts w:ascii="Times New Roman" w:hAnsi="Times New Roman"/>
          <w:i/>
          <w:iCs/>
          <w:sz w:val="24"/>
          <w:szCs w:val="24"/>
        </w:rPr>
        <w:t>Mukonoweshuro</w:t>
      </w:r>
      <w:proofErr w:type="spellEnd"/>
      <w:r w:rsidR="00D2743E">
        <w:rPr>
          <w:rFonts w:ascii="Times New Roman" w:hAnsi="Times New Roman"/>
          <w:sz w:val="24"/>
          <w:szCs w:val="24"/>
        </w:rPr>
        <w:t xml:space="preserve"> that the appeal is devoid of merit and must be dismissed.</w:t>
      </w:r>
    </w:p>
    <w:p w14:paraId="000424D9" w14:textId="77777777" w:rsidR="00DA489F" w:rsidRDefault="00DA489F" w:rsidP="00DA489F">
      <w:pPr>
        <w:tabs>
          <w:tab w:val="left" w:pos="1134"/>
        </w:tabs>
        <w:spacing w:after="0" w:line="240" w:lineRule="auto"/>
        <w:ind w:firstLine="1134"/>
        <w:jc w:val="both"/>
        <w:rPr>
          <w:rFonts w:ascii="Times New Roman" w:hAnsi="Times New Roman"/>
          <w:sz w:val="24"/>
          <w:szCs w:val="24"/>
        </w:rPr>
      </w:pPr>
    </w:p>
    <w:p w14:paraId="5B76A0AB" w14:textId="68EBC12A" w:rsidR="00D2743E" w:rsidRPr="00DA489F" w:rsidRDefault="00DA489F" w:rsidP="00DA489F">
      <w:pPr>
        <w:spacing w:after="0" w:line="480" w:lineRule="auto"/>
        <w:jc w:val="both"/>
        <w:rPr>
          <w:rFonts w:ascii="Times New Roman" w:hAnsi="Times New Roman"/>
          <w:b/>
          <w:bCs/>
          <w:sz w:val="24"/>
          <w:szCs w:val="24"/>
          <w:u w:val="single"/>
        </w:rPr>
      </w:pPr>
      <w:r w:rsidRPr="00DA489F">
        <w:rPr>
          <w:rFonts w:ascii="Times New Roman" w:hAnsi="Times New Roman"/>
          <w:b/>
          <w:bCs/>
          <w:sz w:val="24"/>
          <w:szCs w:val="24"/>
          <w:u w:val="single"/>
        </w:rPr>
        <w:t>COSTS</w:t>
      </w:r>
    </w:p>
    <w:p w14:paraId="586FF2AE" w14:textId="625947A6" w:rsidR="00D2743E" w:rsidRDefault="00D2743E" w:rsidP="00DA489F">
      <w:pPr>
        <w:spacing w:after="0" w:line="480" w:lineRule="auto"/>
        <w:ind w:left="1134"/>
        <w:jc w:val="both"/>
        <w:rPr>
          <w:rFonts w:ascii="Times New Roman" w:hAnsi="Times New Roman"/>
          <w:sz w:val="24"/>
          <w:szCs w:val="24"/>
        </w:rPr>
      </w:pPr>
      <w:r>
        <w:rPr>
          <w:rFonts w:ascii="Times New Roman" w:hAnsi="Times New Roman"/>
          <w:sz w:val="24"/>
          <w:szCs w:val="24"/>
        </w:rPr>
        <w:t>There is no reason why costs should not follow the result.</w:t>
      </w:r>
    </w:p>
    <w:p w14:paraId="3A5FA04F" w14:textId="77777777" w:rsidR="00DA489F" w:rsidRDefault="00DA489F" w:rsidP="00DA489F">
      <w:pPr>
        <w:spacing w:after="0" w:line="240" w:lineRule="auto"/>
        <w:ind w:left="1134"/>
        <w:jc w:val="both"/>
        <w:rPr>
          <w:rFonts w:ascii="Times New Roman" w:hAnsi="Times New Roman"/>
          <w:sz w:val="24"/>
          <w:szCs w:val="24"/>
        </w:rPr>
      </w:pPr>
    </w:p>
    <w:p w14:paraId="68A56B93" w14:textId="6C99025A" w:rsidR="00D2743E" w:rsidRPr="00DA489F" w:rsidRDefault="00DA489F" w:rsidP="00CD3070">
      <w:pPr>
        <w:spacing w:line="480" w:lineRule="auto"/>
        <w:jc w:val="both"/>
        <w:rPr>
          <w:rFonts w:ascii="Times New Roman" w:hAnsi="Times New Roman"/>
          <w:b/>
          <w:bCs/>
          <w:sz w:val="24"/>
          <w:szCs w:val="24"/>
          <w:u w:val="single"/>
        </w:rPr>
      </w:pPr>
      <w:r w:rsidRPr="00DA489F">
        <w:rPr>
          <w:rFonts w:ascii="Times New Roman" w:hAnsi="Times New Roman"/>
          <w:b/>
          <w:bCs/>
          <w:sz w:val="24"/>
          <w:szCs w:val="24"/>
          <w:u w:val="single"/>
        </w:rPr>
        <w:t>DISPOSITION</w:t>
      </w:r>
    </w:p>
    <w:p w14:paraId="040AD197" w14:textId="635A71EA" w:rsidR="00D2743E" w:rsidRDefault="00D2743E" w:rsidP="00BA1DDB">
      <w:pPr>
        <w:spacing w:line="480" w:lineRule="auto"/>
        <w:ind w:left="1350" w:firstLine="90"/>
        <w:jc w:val="both"/>
        <w:rPr>
          <w:rFonts w:ascii="Times New Roman" w:hAnsi="Times New Roman"/>
          <w:sz w:val="24"/>
          <w:szCs w:val="24"/>
        </w:rPr>
      </w:pPr>
      <w:r>
        <w:rPr>
          <w:rFonts w:ascii="Times New Roman" w:hAnsi="Times New Roman"/>
          <w:sz w:val="24"/>
          <w:szCs w:val="24"/>
        </w:rPr>
        <w:lastRenderedPageBreak/>
        <w:t>It is accordingly ordered that:</w:t>
      </w:r>
    </w:p>
    <w:p w14:paraId="6A6E22B4" w14:textId="18BD4698" w:rsidR="00D2743E" w:rsidRDefault="00D2743E" w:rsidP="00BA1DDB">
      <w:pPr>
        <w:pStyle w:val="ListParagraph"/>
        <w:spacing w:line="480" w:lineRule="auto"/>
        <w:jc w:val="both"/>
        <w:rPr>
          <w:rFonts w:ascii="Times New Roman" w:hAnsi="Times New Roman"/>
          <w:sz w:val="24"/>
          <w:szCs w:val="24"/>
        </w:rPr>
      </w:pPr>
      <w:r>
        <w:rPr>
          <w:rFonts w:ascii="Times New Roman" w:hAnsi="Times New Roman"/>
          <w:sz w:val="24"/>
          <w:szCs w:val="24"/>
        </w:rPr>
        <w:t>“The appeal be and is hereby dismissed with costs.”</w:t>
      </w:r>
    </w:p>
    <w:p w14:paraId="2108C877" w14:textId="77777777" w:rsidR="00D2743E" w:rsidRDefault="00D2743E" w:rsidP="00CD3070">
      <w:pPr>
        <w:spacing w:line="480" w:lineRule="auto"/>
        <w:jc w:val="both"/>
        <w:rPr>
          <w:rFonts w:ascii="Times New Roman" w:hAnsi="Times New Roman"/>
          <w:sz w:val="24"/>
          <w:szCs w:val="24"/>
        </w:rPr>
      </w:pPr>
    </w:p>
    <w:p w14:paraId="26DA2569" w14:textId="77777777" w:rsidR="00D2743E" w:rsidRDefault="00D2743E" w:rsidP="00CD3070">
      <w:pPr>
        <w:spacing w:line="480" w:lineRule="auto"/>
        <w:jc w:val="both"/>
        <w:rPr>
          <w:rFonts w:ascii="Times New Roman" w:hAnsi="Times New Roman"/>
          <w:sz w:val="24"/>
          <w:szCs w:val="24"/>
        </w:rPr>
      </w:pPr>
    </w:p>
    <w:p w14:paraId="5B95AB5D" w14:textId="2A99FA46" w:rsidR="00D2743E" w:rsidRDefault="00D2743E" w:rsidP="00DA489F">
      <w:pPr>
        <w:tabs>
          <w:tab w:val="left" w:pos="1134"/>
        </w:tabs>
        <w:spacing w:line="480" w:lineRule="auto"/>
        <w:ind w:left="720" w:firstLine="720"/>
        <w:jc w:val="both"/>
        <w:rPr>
          <w:rFonts w:ascii="Times New Roman" w:hAnsi="Times New Roman"/>
          <w:sz w:val="24"/>
          <w:szCs w:val="24"/>
        </w:rPr>
      </w:pPr>
      <w:r w:rsidRPr="00DA489F">
        <w:rPr>
          <w:rFonts w:ascii="Times New Roman" w:hAnsi="Times New Roman"/>
          <w:b/>
          <w:sz w:val="24"/>
          <w:szCs w:val="24"/>
        </w:rPr>
        <w:t>GUVAVA JA</w:t>
      </w:r>
      <w:r w:rsidR="00DA489F" w:rsidRPr="00DA489F">
        <w:rPr>
          <w:rFonts w:ascii="Times New Roman" w:hAnsi="Times New Roman"/>
          <w:b/>
          <w:sz w:val="24"/>
          <w:szCs w:val="24"/>
        </w:rPr>
        <w:tab/>
      </w:r>
      <w:r w:rsidR="00DA489F">
        <w:rPr>
          <w:rFonts w:ascii="Times New Roman" w:hAnsi="Times New Roman"/>
          <w:b/>
          <w:sz w:val="24"/>
          <w:szCs w:val="24"/>
        </w:rPr>
        <w:tab/>
      </w:r>
      <w:r w:rsidRPr="00BA1DDB">
        <w:rPr>
          <w:rFonts w:ascii="Times New Roman" w:hAnsi="Times New Roman"/>
          <w:sz w:val="24"/>
          <w:szCs w:val="24"/>
        </w:rPr>
        <w:t>:</w:t>
      </w:r>
      <w:r w:rsidR="00BA1DDB">
        <w:rPr>
          <w:rFonts w:ascii="Times New Roman" w:hAnsi="Times New Roman"/>
          <w:sz w:val="24"/>
          <w:szCs w:val="24"/>
        </w:rPr>
        <w:tab/>
      </w:r>
      <w:r w:rsidR="006F0E68">
        <w:rPr>
          <w:rFonts w:ascii="Times New Roman" w:hAnsi="Times New Roman"/>
          <w:sz w:val="24"/>
          <w:szCs w:val="24"/>
        </w:rPr>
        <w:t>I agree</w:t>
      </w:r>
    </w:p>
    <w:p w14:paraId="171A31DB" w14:textId="77777777" w:rsidR="006F0E68" w:rsidRDefault="006F0E68" w:rsidP="00CD3070">
      <w:pPr>
        <w:spacing w:line="480" w:lineRule="auto"/>
        <w:jc w:val="both"/>
        <w:rPr>
          <w:rFonts w:ascii="Times New Roman" w:hAnsi="Times New Roman"/>
          <w:sz w:val="24"/>
          <w:szCs w:val="24"/>
        </w:rPr>
      </w:pPr>
    </w:p>
    <w:p w14:paraId="469143BE" w14:textId="702324D8" w:rsidR="006F0E68" w:rsidRDefault="006F0E68" w:rsidP="00DA489F">
      <w:pPr>
        <w:spacing w:line="480" w:lineRule="auto"/>
        <w:ind w:firstLine="1418"/>
        <w:jc w:val="both"/>
        <w:rPr>
          <w:rFonts w:ascii="Times New Roman" w:hAnsi="Times New Roman"/>
          <w:sz w:val="24"/>
          <w:szCs w:val="24"/>
        </w:rPr>
      </w:pPr>
      <w:r w:rsidRPr="00DA489F">
        <w:rPr>
          <w:rFonts w:ascii="Times New Roman" w:hAnsi="Times New Roman"/>
          <w:b/>
          <w:sz w:val="24"/>
          <w:szCs w:val="24"/>
        </w:rPr>
        <w:t>MWAYERA JA</w:t>
      </w:r>
      <w:r w:rsidR="00DA489F">
        <w:rPr>
          <w:rFonts w:ascii="Times New Roman" w:hAnsi="Times New Roman"/>
          <w:b/>
          <w:sz w:val="24"/>
          <w:szCs w:val="24"/>
        </w:rPr>
        <w:tab/>
      </w:r>
      <w:r w:rsidRPr="00BA1DDB">
        <w:rPr>
          <w:rFonts w:ascii="Times New Roman" w:hAnsi="Times New Roman"/>
          <w:sz w:val="24"/>
          <w:szCs w:val="24"/>
        </w:rPr>
        <w:t>:</w:t>
      </w:r>
      <w:r>
        <w:rPr>
          <w:rFonts w:ascii="Times New Roman" w:hAnsi="Times New Roman"/>
          <w:sz w:val="24"/>
          <w:szCs w:val="24"/>
        </w:rPr>
        <w:tab/>
        <w:t>I agree</w:t>
      </w:r>
    </w:p>
    <w:p w14:paraId="4DEB948A" w14:textId="77777777" w:rsidR="006F0E68" w:rsidRDefault="006F0E68" w:rsidP="00CD3070">
      <w:pPr>
        <w:spacing w:line="480" w:lineRule="auto"/>
        <w:jc w:val="both"/>
        <w:rPr>
          <w:rFonts w:ascii="Times New Roman" w:hAnsi="Times New Roman"/>
          <w:sz w:val="24"/>
          <w:szCs w:val="24"/>
        </w:rPr>
      </w:pPr>
    </w:p>
    <w:p w14:paraId="7737FA88" w14:textId="77777777" w:rsidR="006F0E68" w:rsidRDefault="006F0E68" w:rsidP="00CD3070">
      <w:pPr>
        <w:spacing w:line="480" w:lineRule="auto"/>
        <w:jc w:val="both"/>
        <w:rPr>
          <w:rFonts w:ascii="Times New Roman" w:hAnsi="Times New Roman"/>
          <w:sz w:val="24"/>
          <w:szCs w:val="24"/>
        </w:rPr>
      </w:pPr>
    </w:p>
    <w:p w14:paraId="6C3552E1" w14:textId="6574C812" w:rsidR="006F0E68" w:rsidRDefault="006F0E68" w:rsidP="00BA1DDB">
      <w:pPr>
        <w:spacing w:after="0" w:line="480" w:lineRule="auto"/>
        <w:jc w:val="both"/>
        <w:rPr>
          <w:rFonts w:ascii="Times New Roman" w:hAnsi="Times New Roman"/>
          <w:sz w:val="24"/>
          <w:szCs w:val="24"/>
        </w:rPr>
      </w:pPr>
      <w:r w:rsidRPr="006F0E68">
        <w:rPr>
          <w:rFonts w:ascii="Times New Roman" w:hAnsi="Times New Roman"/>
          <w:i/>
          <w:iCs/>
          <w:sz w:val="24"/>
          <w:szCs w:val="24"/>
        </w:rPr>
        <w:t>Manokore Attorneys</w:t>
      </w:r>
      <w:r w:rsidR="00DA489F">
        <w:rPr>
          <w:rFonts w:ascii="Times New Roman" w:hAnsi="Times New Roman"/>
          <w:sz w:val="24"/>
          <w:szCs w:val="24"/>
        </w:rPr>
        <w:t>, appellant’s</w:t>
      </w:r>
      <w:r>
        <w:rPr>
          <w:rFonts w:ascii="Times New Roman" w:hAnsi="Times New Roman"/>
          <w:sz w:val="24"/>
          <w:szCs w:val="24"/>
        </w:rPr>
        <w:t xml:space="preserve"> legal practitioners.</w:t>
      </w:r>
    </w:p>
    <w:p w14:paraId="6ADA9662" w14:textId="065AEAAC" w:rsidR="006F0E68" w:rsidRPr="00D2743E" w:rsidRDefault="006F0E68" w:rsidP="00BA1DDB">
      <w:pPr>
        <w:spacing w:after="0" w:line="480" w:lineRule="auto"/>
        <w:jc w:val="both"/>
        <w:rPr>
          <w:rFonts w:ascii="Times New Roman" w:hAnsi="Times New Roman"/>
          <w:sz w:val="24"/>
          <w:szCs w:val="24"/>
        </w:rPr>
      </w:pPr>
      <w:r w:rsidRPr="006F0E68">
        <w:rPr>
          <w:rFonts w:ascii="Times New Roman" w:hAnsi="Times New Roman"/>
          <w:i/>
          <w:iCs/>
          <w:sz w:val="24"/>
          <w:szCs w:val="24"/>
        </w:rPr>
        <w:t>H</w:t>
      </w:r>
      <w:r w:rsidR="00BA1DDB">
        <w:rPr>
          <w:rFonts w:ascii="Times New Roman" w:hAnsi="Times New Roman"/>
          <w:i/>
          <w:iCs/>
          <w:sz w:val="24"/>
          <w:szCs w:val="24"/>
        </w:rPr>
        <w:t xml:space="preserve">. </w:t>
      </w:r>
      <w:r w:rsidRPr="006F0E68">
        <w:rPr>
          <w:rFonts w:ascii="Times New Roman" w:hAnsi="Times New Roman"/>
          <w:i/>
          <w:iCs/>
          <w:sz w:val="24"/>
          <w:szCs w:val="24"/>
        </w:rPr>
        <w:t>Mukonoweshuro &amp; Partners</w:t>
      </w:r>
      <w:r w:rsidR="00DA489F">
        <w:rPr>
          <w:rFonts w:ascii="Times New Roman" w:hAnsi="Times New Roman"/>
          <w:sz w:val="24"/>
          <w:szCs w:val="24"/>
        </w:rPr>
        <w:t>, respondents’</w:t>
      </w:r>
      <w:r>
        <w:rPr>
          <w:rFonts w:ascii="Times New Roman" w:hAnsi="Times New Roman"/>
          <w:sz w:val="24"/>
          <w:szCs w:val="24"/>
        </w:rPr>
        <w:t xml:space="preserve"> legal practitioners</w:t>
      </w:r>
      <w:r w:rsidR="003B0DFB">
        <w:rPr>
          <w:rFonts w:ascii="Times New Roman" w:hAnsi="Times New Roman"/>
          <w:sz w:val="24"/>
          <w:szCs w:val="24"/>
        </w:rPr>
        <w:t>.</w:t>
      </w:r>
    </w:p>
    <w:p w14:paraId="119EAAF1" w14:textId="41D4811F" w:rsidR="003E3766" w:rsidRDefault="003E3766" w:rsidP="00CD3070">
      <w:pPr>
        <w:spacing w:line="480" w:lineRule="auto"/>
        <w:jc w:val="both"/>
        <w:rPr>
          <w:rFonts w:ascii="Times New Roman" w:hAnsi="Times New Roman"/>
          <w:sz w:val="24"/>
          <w:szCs w:val="24"/>
        </w:rPr>
      </w:pPr>
    </w:p>
    <w:p w14:paraId="4BAE9CBE" w14:textId="0617917B" w:rsidR="009022BC" w:rsidRDefault="00F13055" w:rsidP="00CD3070">
      <w:pPr>
        <w:spacing w:line="480" w:lineRule="auto"/>
        <w:jc w:val="both"/>
        <w:rPr>
          <w:rFonts w:ascii="Times New Roman" w:hAnsi="Times New Roman" w:cs="Times New Roman"/>
          <w:sz w:val="24"/>
          <w:szCs w:val="24"/>
        </w:rPr>
      </w:pPr>
      <w:r>
        <w:rPr>
          <w:rFonts w:ascii="Times New Roman" w:hAnsi="Times New Roman" w:cs="Times New Roman"/>
          <w:sz w:val="24"/>
          <w:szCs w:val="24"/>
        </w:rPr>
        <w:t>.</w:t>
      </w:r>
    </w:p>
    <w:sectPr w:rsidR="009022B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37FEF2" w14:textId="77777777" w:rsidR="008C06F8" w:rsidRDefault="008C06F8" w:rsidP="004B3AC0">
      <w:pPr>
        <w:spacing w:after="0" w:line="240" w:lineRule="auto"/>
      </w:pPr>
      <w:r>
        <w:separator/>
      </w:r>
    </w:p>
  </w:endnote>
  <w:endnote w:type="continuationSeparator" w:id="0">
    <w:p w14:paraId="081E0C21" w14:textId="77777777" w:rsidR="008C06F8" w:rsidRDefault="008C06F8" w:rsidP="004B3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B441E8" w14:textId="77777777" w:rsidR="008C06F8" w:rsidRDefault="008C06F8" w:rsidP="004B3AC0">
      <w:pPr>
        <w:spacing w:after="0" w:line="240" w:lineRule="auto"/>
      </w:pPr>
      <w:r>
        <w:separator/>
      </w:r>
    </w:p>
  </w:footnote>
  <w:footnote w:type="continuationSeparator" w:id="0">
    <w:p w14:paraId="71E06241" w14:textId="77777777" w:rsidR="008C06F8" w:rsidRDefault="008C06F8" w:rsidP="004B3A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99DD5D" w14:textId="5688AE61" w:rsidR="004B3AC0" w:rsidRDefault="000F60D0">
    <w:pPr>
      <w:pStyle w:val="Header"/>
    </w:pPr>
    <w:r>
      <w:rPr>
        <w:noProof/>
        <w:lang w:val="en-ZW" w:eastAsia="en-ZW"/>
      </w:rPr>
      <mc:AlternateContent>
        <mc:Choice Requires="wps">
          <w:drawing>
            <wp:anchor distT="0" distB="0" distL="114300" distR="114300" simplePos="0" relativeHeight="251660288" behindDoc="0" locked="0" layoutInCell="0" allowOverlap="1" wp14:anchorId="549690C2" wp14:editId="2F3C544B">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51E81A" w14:textId="7C57615A" w:rsidR="000F60D0" w:rsidRDefault="000F60D0">
                          <w:pPr>
                            <w:spacing w:after="0" w:line="240" w:lineRule="auto"/>
                            <w:jc w:val="right"/>
                            <w:rPr>
                              <w:rFonts w:ascii="Times New Roman" w:hAnsi="Times New Roman" w:cs="Times New Roman"/>
                              <w:b/>
                              <w:noProof/>
                              <w:sz w:val="24"/>
                              <w:szCs w:val="24"/>
                              <w:lang w:val="en-ZW"/>
                            </w:rPr>
                          </w:pPr>
                          <w:r>
                            <w:rPr>
                              <w:rFonts w:ascii="Times New Roman" w:hAnsi="Times New Roman" w:cs="Times New Roman"/>
                              <w:b/>
                              <w:noProof/>
                              <w:sz w:val="24"/>
                              <w:szCs w:val="24"/>
                              <w:lang w:val="en-ZW"/>
                            </w:rPr>
                            <w:t xml:space="preserve">Judgment No. SC </w:t>
                          </w:r>
                          <w:r w:rsidR="00E67AC8">
                            <w:rPr>
                              <w:rFonts w:ascii="Times New Roman" w:hAnsi="Times New Roman" w:cs="Times New Roman"/>
                              <w:b/>
                              <w:noProof/>
                              <w:sz w:val="24"/>
                              <w:szCs w:val="24"/>
                              <w:lang w:val="en-ZW"/>
                            </w:rPr>
                            <w:t>49</w:t>
                          </w:r>
                          <w:r>
                            <w:rPr>
                              <w:rFonts w:ascii="Times New Roman" w:hAnsi="Times New Roman" w:cs="Times New Roman"/>
                              <w:b/>
                              <w:noProof/>
                              <w:sz w:val="24"/>
                              <w:szCs w:val="24"/>
                              <w:lang w:val="en-ZW"/>
                            </w:rPr>
                            <w:t>/24</w:t>
                          </w:r>
                        </w:p>
                        <w:p w14:paraId="2ABF838C" w14:textId="4CF21BED" w:rsidR="000F60D0" w:rsidRPr="000F60D0" w:rsidRDefault="000F60D0">
                          <w:pPr>
                            <w:spacing w:after="0" w:line="240" w:lineRule="auto"/>
                            <w:jc w:val="right"/>
                            <w:rPr>
                              <w:rFonts w:ascii="Times New Roman" w:hAnsi="Times New Roman" w:cs="Times New Roman"/>
                              <w:b/>
                              <w:noProof/>
                              <w:sz w:val="24"/>
                              <w:szCs w:val="24"/>
                              <w:lang w:val="en-ZW"/>
                            </w:rPr>
                          </w:pPr>
                          <w:r>
                            <w:rPr>
                              <w:rFonts w:ascii="Times New Roman" w:hAnsi="Times New Roman" w:cs="Times New Roman"/>
                              <w:b/>
                              <w:noProof/>
                              <w:sz w:val="24"/>
                              <w:szCs w:val="24"/>
                              <w:lang w:val="en-ZW"/>
                            </w:rPr>
                            <w:t>Civil Appeal No. SC 252/21</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49690C2"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7951E81A" w14:textId="7C57615A" w:rsidR="000F60D0" w:rsidRDefault="000F60D0">
                    <w:pPr>
                      <w:spacing w:after="0" w:line="240" w:lineRule="auto"/>
                      <w:jc w:val="right"/>
                      <w:rPr>
                        <w:rFonts w:ascii="Times New Roman" w:hAnsi="Times New Roman" w:cs="Times New Roman"/>
                        <w:b/>
                        <w:noProof/>
                        <w:sz w:val="24"/>
                        <w:szCs w:val="24"/>
                        <w:lang w:val="en-ZW"/>
                      </w:rPr>
                    </w:pPr>
                    <w:r>
                      <w:rPr>
                        <w:rFonts w:ascii="Times New Roman" w:hAnsi="Times New Roman" w:cs="Times New Roman"/>
                        <w:b/>
                        <w:noProof/>
                        <w:sz w:val="24"/>
                        <w:szCs w:val="24"/>
                        <w:lang w:val="en-ZW"/>
                      </w:rPr>
                      <w:t xml:space="preserve">Judgment No. SC </w:t>
                    </w:r>
                    <w:r w:rsidR="00E67AC8">
                      <w:rPr>
                        <w:rFonts w:ascii="Times New Roman" w:hAnsi="Times New Roman" w:cs="Times New Roman"/>
                        <w:b/>
                        <w:noProof/>
                        <w:sz w:val="24"/>
                        <w:szCs w:val="24"/>
                        <w:lang w:val="en-ZW"/>
                      </w:rPr>
                      <w:t>49</w:t>
                    </w:r>
                    <w:r>
                      <w:rPr>
                        <w:rFonts w:ascii="Times New Roman" w:hAnsi="Times New Roman" w:cs="Times New Roman"/>
                        <w:b/>
                        <w:noProof/>
                        <w:sz w:val="24"/>
                        <w:szCs w:val="24"/>
                        <w:lang w:val="en-ZW"/>
                      </w:rPr>
                      <w:t>/24</w:t>
                    </w:r>
                  </w:p>
                  <w:p w14:paraId="2ABF838C" w14:textId="4CF21BED" w:rsidR="000F60D0" w:rsidRPr="000F60D0" w:rsidRDefault="000F60D0">
                    <w:pPr>
                      <w:spacing w:after="0" w:line="240" w:lineRule="auto"/>
                      <w:jc w:val="right"/>
                      <w:rPr>
                        <w:rFonts w:ascii="Times New Roman" w:hAnsi="Times New Roman" w:cs="Times New Roman"/>
                        <w:b/>
                        <w:noProof/>
                        <w:sz w:val="24"/>
                        <w:szCs w:val="24"/>
                        <w:lang w:val="en-ZW"/>
                      </w:rPr>
                    </w:pPr>
                    <w:r>
                      <w:rPr>
                        <w:rFonts w:ascii="Times New Roman" w:hAnsi="Times New Roman" w:cs="Times New Roman"/>
                        <w:b/>
                        <w:noProof/>
                        <w:sz w:val="24"/>
                        <w:szCs w:val="24"/>
                        <w:lang w:val="en-ZW"/>
                      </w:rPr>
                      <w:t>Civil Appeal No. SC 252/21</w:t>
                    </w:r>
                  </w:p>
                </w:txbxContent>
              </v:textbox>
              <w10:wrap anchorx="margin" anchory="margin"/>
            </v:shape>
          </w:pict>
        </mc:Fallback>
      </mc:AlternateContent>
    </w:r>
    <w:r>
      <w:rPr>
        <w:noProof/>
        <w:lang w:val="en-ZW" w:eastAsia="en-ZW"/>
      </w:rPr>
      <mc:AlternateContent>
        <mc:Choice Requires="wps">
          <w:drawing>
            <wp:anchor distT="0" distB="0" distL="114300" distR="114300" simplePos="0" relativeHeight="251659264" behindDoc="0" locked="0" layoutInCell="0" allowOverlap="1" wp14:anchorId="387A97B7" wp14:editId="521B127C">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433D124B" w14:textId="77777777" w:rsidR="000F60D0" w:rsidRDefault="000F60D0">
                          <w:pPr>
                            <w:spacing w:after="0" w:line="240" w:lineRule="auto"/>
                            <w:rPr>
                              <w:color w:val="FFFFFF" w:themeColor="background1"/>
                            </w:rPr>
                          </w:pPr>
                          <w:r>
                            <w:fldChar w:fldCharType="begin"/>
                          </w:r>
                          <w:r>
                            <w:instrText xml:space="preserve"> PAGE   \* MERGEFORMAT </w:instrText>
                          </w:r>
                          <w:r>
                            <w:fldChar w:fldCharType="separate"/>
                          </w:r>
                          <w:r w:rsidR="008E59EF" w:rsidRPr="008E59EF">
                            <w:rPr>
                              <w:noProof/>
                              <w:color w:val="FFFFFF" w:themeColor="background1"/>
                            </w:rPr>
                            <w:t>10</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387A97B7"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433D124B" w14:textId="77777777" w:rsidR="000F60D0" w:rsidRDefault="000F60D0">
                    <w:pPr>
                      <w:spacing w:after="0" w:line="240" w:lineRule="auto"/>
                      <w:rPr>
                        <w:color w:val="FFFFFF" w:themeColor="background1"/>
                      </w:rPr>
                    </w:pPr>
                    <w:r>
                      <w:fldChar w:fldCharType="begin"/>
                    </w:r>
                    <w:r>
                      <w:instrText xml:space="preserve"> PAGE   \* MERGEFORMAT </w:instrText>
                    </w:r>
                    <w:r>
                      <w:fldChar w:fldCharType="separate"/>
                    </w:r>
                    <w:r w:rsidR="008E59EF" w:rsidRPr="008E59EF">
                      <w:rPr>
                        <w:noProof/>
                        <w:color w:val="FFFFFF" w:themeColor="background1"/>
                      </w:rPr>
                      <w:t>10</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37F50"/>
    <w:multiLevelType w:val="hybridMultilevel"/>
    <w:tmpl w:val="63B0DD5A"/>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 w15:restartNumberingAfterBreak="0">
    <w:nsid w:val="15A04279"/>
    <w:multiLevelType w:val="hybridMultilevel"/>
    <w:tmpl w:val="8646C260"/>
    <w:lvl w:ilvl="0" w:tplc="30090015">
      <w:start w:val="1"/>
      <w:numFmt w:val="upp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1F384C2E"/>
    <w:multiLevelType w:val="hybridMultilevel"/>
    <w:tmpl w:val="8BEC5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7634FD"/>
    <w:multiLevelType w:val="hybridMultilevel"/>
    <w:tmpl w:val="13C6E034"/>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4" w15:restartNumberingAfterBreak="0">
    <w:nsid w:val="3EE75614"/>
    <w:multiLevelType w:val="hybridMultilevel"/>
    <w:tmpl w:val="00ECA728"/>
    <w:lvl w:ilvl="0" w:tplc="91DAEB72">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15:restartNumberingAfterBreak="0">
    <w:nsid w:val="45B7392A"/>
    <w:multiLevelType w:val="hybridMultilevel"/>
    <w:tmpl w:val="8B4C4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FA2E25"/>
    <w:multiLevelType w:val="hybridMultilevel"/>
    <w:tmpl w:val="FF7E257E"/>
    <w:lvl w:ilvl="0" w:tplc="6F4048D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B7E436F"/>
    <w:multiLevelType w:val="hybridMultilevel"/>
    <w:tmpl w:val="53123160"/>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8" w15:restartNumberingAfterBreak="0">
    <w:nsid w:val="6AA33231"/>
    <w:multiLevelType w:val="hybridMultilevel"/>
    <w:tmpl w:val="7EEC8C48"/>
    <w:lvl w:ilvl="0" w:tplc="30090001">
      <w:start w:val="1"/>
      <w:numFmt w:val="bullet"/>
      <w:lvlText w:val=""/>
      <w:lvlJc w:val="left"/>
      <w:pPr>
        <w:ind w:left="1080" w:hanging="360"/>
      </w:pPr>
      <w:rPr>
        <w:rFonts w:ascii="Symbol" w:hAnsi="Symbol" w:hint="default"/>
      </w:rPr>
    </w:lvl>
    <w:lvl w:ilvl="1" w:tplc="30090003" w:tentative="1">
      <w:start w:val="1"/>
      <w:numFmt w:val="bullet"/>
      <w:lvlText w:val="o"/>
      <w:lvlJc w:val="left"/>
      <w:pPr>
        <w:ind w:left="1800" w:hanging="360"/>
      </w:pPr>
      <w:rPr>
        <w:rFonts w:ascii="Courier New" w:hAnsi="Courier New" w:cs="Courier New" w:hint="default"/>
      </w:rPr>
    </w:lvl>
    <w:lvl w:ilvl="2" w:tplc="30090005" w:tentative="1">
      <w:start w:val="1"/>
      <w:numFmt w:val="bullet"/>
      <w:lvlText w:val=""/>
      <w:lvlJc w:val="left"/>
      <w:pPr>
        <w:ind w:left="2520" w:hanging="360"/>
      </w:pPr>
      <w:rPr>
        <w:rFonts w:ascii="Wingdings" w:hAnsi="Wingdings" w:hint="default"/>
      </w:rPr>
    </w:lvl>
    <w:lvl w:ilvl="3" w:tplc="30090001" w:tentative="1">
      <w:start w:val="1"/>
      <w:numFmt w:val="bullet"/>
      <w:lvlText w:val=""/>
      <w:lvlJc w:val="left"/>
      <w:pPr>
        <w:ind w:left="3240" w:hanging="360"/>
      </w:pPr>
      <w:rPr>
        <w:rFonts w:ascii="Symbol" w:hAnsi="Symbol" w:hint="default"/>
      </w:rPr>
    </w:lvl>
    <w:lvl w:ilvl="4" w:tplc="30090003" w:tentative="1">
      <w:start w:val="1"/>
      <w:numFmt w:val="bullet"/>
      <w:lvlText w:val="o"/>
      <w:lvlJc w:val="left"/>
      <w:pPr>
        <w:ind w:left="3960" w:hanging="360"/>
      </w:pPr>
      <w:rPr>
        <w:rFonts w:ascii="Courier New" w:hAnsi="Courier New" w:cs="Courier New" w:hint="default"/>
      </w:rPr>
    </w:lvl>
    <w:lvl w:ilvl="5" w:tplc="30090005" w:tentative="1">
      <w:start w:val="1"/>
      <w:numFmt w:val="bullet"/>
      <w:lvlText w:val=""/>
      <w:lvlJc w:val="left"/>
      <w:pPr>
        <w:ind w:left="4680" w:hanging="360"/>
      </w:pPr>
      <w:rPr>
        <w:rFonts w:ascii="Wingdings" w:hAnsi="Wingdings" w:hint="default"/>
      </w:rPr>
    </w:lvl>
    <w:lvl w:ilvl="6" w:tplc="30090001" w:tentative="1">
      <w:start w:val="1"/>
      <w:numFmt w:val="bullet"/>
      <w:lvlText w:val=""/>
      <w:lvlJc w:val="left"/>
      <w:pPr>
        <w:ind w:left="5400" w:hanging="360"/>
      </w:pPr>
      <w:rPr>
        <w:rFonts w:ascii="Symbol" w:hAnsi="Symbol" w:hint="default"/>
      </w:rPr>
    </w:lvl>
    <w:lvl w:ilvl="7" w:tplc="30090003" w:tentative="1">
      <w:start w:val="1"/>
      <w:numFmt w:val="bullet"/>
      <w:lvlText w:val="o"/>
      <w:lvlJc w:val="left"/>
      <w:pPr>
        <w:ind w:left="6120" w:hanging="360"/>
      </w:pPr>
      <w:rPr>
        <w:rFonts w:ascii="Courier New" w:hAnsi="Courier New" w:cs="Courier New" w:hint="default"/>
      </w:rPr>
    </w:lvl>
    <w:lvl w:ilvl="8" w:tplc="30090005" w:tentative="1">
      <w:start w:val="1"/>
      <w:numFmt w:val="bullet"/>
      <w:lvlText w:val=""/>
      <w:lvlJc w:val="left"/>
      <w:pPr>
        <w:ind w:left="6840" w:hanging="360"/>
      </w:pPr>
      <w:rPr>
        <w:rFonts w:ascii="Wingdings" w:hAnsi="Wingdings" w:hint="default"/>
      </w:rPr>
    </w:lvl>
  </w:abstractNum>
  <w:abstractNum w:abstractNumId="9" w15:restartNumberingAfterBreak="0">
    <w:nsid w:val="79713A7A"/>
    <w:multiLevelType w:val="hybridMultilevel"/>
    <w:tmpl w:val="2C4016E2"/>
    <w:lvl w:ilvl="0" w:tplc="30090001">
      <w:start w:val="1"/>
      <w:numFmt w:val="bullet"/>
      <w:lvlText w:val=""/>
      <w:lvlJc w:val="left"/>
      <w:pPr>
        <w:ind w:left="360" w:hanging="360"/>
      </w:pPr>
      <w:rPr>
        <w:rFonts w:ascii="Symbol" w:hAnsi="Symbol" w:hint="default"/>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10" w15:restartNumberingAfterBreak="0">
    <w:nsid w:val="7B7216B8"/>
    <w:multiLevelType w:val="hybridMultilevel"/>
    <w:tmpl w:val="2E5C0748"/>
    <w:lvl w:ilvl="0" w:tplc="16AC3C7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6"/>
  </w:num>
  <w:num w:numId="3">
    <w:abstractNumId w:val="10"/>
  </w:num>
  <w:num w:numId="4">
    <w:abstractNumId w:val="5"/>
  </w:num>
  <w:num w:numId="5">
    <w:abstractNumId w:val="9"/>
  </w:num>
  <w:num w:numId="6">
    <w:abstractNumId w:val="8"/>
  </w:num>
  <w:num w:numId="7">
    <w:abstractNumId w:val="0"/>
  </w:num>
  <w:num w:numId="8">
    <w:abstractNumId w:val="3"/>
  </w:num>
  <w:num w:numId="9">
    <w:abstractNumId w:val="7"/>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trackedChange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AC0"/>
    <w:rsid w:val="00000465"/>
    <w:rsid w:val="0000054F"/>
    <w:rsid w:val="00000C12"/>
    <w:rsid w:val="000107B7"/>
    <w:rsid w:val="00011388"/>
    <w:rsid w:val="00012AA6"/>
    <w:rsid w:val="00013CB3"/>
    <w:rsid w:val="00013E80"/>
    <w:rsid w:val="000255DA"/>
    <w:rsid w:val="00025DD3"/>
    <w:rsid w:val="000321DD"/>
    <w:rsid w:val="000339AA"/>
    <w:rsid w:val="00033A2C"/>
    <w:rsid w:val="000368A5"/>
    <w:rsid w:val="0003757B"/>
    <w:rsid w:val="00042FF9"/>
    <w:rsid w:val="00045BD3"/>
    <w:rsid w:val="00051D49"/>
    <w:rsid w:val="000542C8"/>
    <w:rsid w:val="000544C5"/>
    <w:rsid w:val="00054C54"/>
    <w:rsid w:val="0006217E"/>
    <w:rsid w:val="000701AD"/>
    <w:rsid w:val="00071557"/>
    <w:rsid w:val="000776C9"/>
    <w:rsid w:val="00080E3B"/>
    <w:rsid w:val="0008765F"/>
    <w:rsid w:val="00093406"/>
    <w:rsid w:val="00094CC4"/>
    <w:rsid w:val="000A1A1B"/>
    <w:rsid w:val="000A5C63"/>
    <w:rsid w:val="000A6649"/>
    <w:rsid w:val="000B126E"/>
    <w:rsid w:val="000B3DF7"/>
    <w:rsid w:val="000B5DEE"/>
    <w:rsid w:val="000C6172"/>
    <w:rsid w:val="000D1169"/>
    <w:rsid w:val="000D5D9B"/>
    <w:rsid w:val="000D6737"/>
    <w:rsid w:val="000D7B2A"/>
    <w:rsid w:val="000F2FB6"/>
    <w:rsid w:val="000F52C7"/>
    <w:rsid w:val="000F60D0"/>
    <w:rsid w:val="000F6C1F"/>
    <w:rsid w:val="000F78C1"/>
    <w:rsid w:val="000F7AE1"/>
    <w:rsid w:val="001004C2"/>
    <w:rsid w:val="00101128"/>
    <w:rsid w:val="00101446"/>
    <w:rsid w:val="001148C8"/>
    <w:rsid w:val="0013061A"/>
    <w:rsid w:val="0013648D"/>
    <w:rsid w:val="00150A6C"/>
    <w:rsid w:val="00151F0B"/>
    <w:rsid w:val="00154660"/>
    <w:rsid w:val="00164091"/>
    <w:rsid w:val="00164230"/>
    <w:rsid w:val="001661A9"/>
    <w:rsid w:val="001727A1"/>
    <w:rsid w:val="0017459A"/>
    <w:rsid w:val="00177C95"/>
    <w:rsid w:val="00180E65"/>
    <w:rsid w:val="00181E85"/>
    <w:rsid w:val="001864D5"/>
    <w:rsid w:val="00187A57"/>
    <w:rsid w:val="001913A6"/>
    <w:rsid w:val="00191D4C"/>
    <w:rsid w:val="00191D75"/>
    <w:rsid w:val="00194B75"/>
    <w:rsid w:val="00194EB6"/>
    <w:rsid w:val="00196B4F"/>
    <w:rsid w:val="001B386C"/>
    <w:rsid w:val="001B5C4B"/>
    <w:rsid w:val="001C0977"/>
    <w:rsid w:val="001C12FE"/>
    <w:rsid w:val="001C6C05"/>
    <w:rsid w:val="001C6D18"/>
    <w:rsid w:val="001E0AF1"/>
    <w:rsid w:val="001E3900"/>
    <w:rsid w:val="001F0A0E"/>
    <w:rsid w:val="001F18D5"/>
    <w:rsid w:val="001F18F5"/>
    <w:rsid w:val="001F28B1"/>
    <w:rsid w:val="001F3B8D"/>
    <w:rsid w:val="001F4489"/>
    <w:rsid w:val="001F761A"/>
    <w:rsid w:val="001F7CB3"/>
    <w:rsid w:val="002009FA"/>
    <w:rsid w:val="00202916"/>
    <w:rsid w:val="0020743A"/>
    <w:rsid w:val="00211405"/>
    <w:rsid w:val="00217FFC"/>
    <w:rsid w:val="002228BC"/>
    <w:rsid w:val="00222F6E"/>
    <w:rsid w:val="0022411A"/>
    <w:rsid w:val="002246DD"/>
    <w:rsid w:val="00226083"/>
    <w:rsid w:val="0024297A"/>
    <w:rsid w:val="00245A5E"/>
    <w:rsid w:val="0025360C"/>
    <w:rsid w:val="0025504C"/>
    <w:rsid w:val="0027081F"/>
    <w:rsid w:val="00270A2A"/>
    <w:rsid w:val="00275293"/>
    <w:rsid w:val="002759EB"/>
    <w:rsid w:val="00276C55"/>
    <w:rsid w:val="002772CA"/>
    <w:rsid w:val="002833B6"/>
    <w:rsid w:val="00283A9B"/>
    <w:rsid w:val="00284A17"/>
    <w:rsid w:val="00290C55"/>
    <w:rsid w:val="002916AF"/>
    <w:rsid w:val="00296D99"/>
    <w:rsid w:val="00296DF8"/>
    <w:rsid w:val="002A1725"/>
    <w:rsid w:val="002A401F"/>
    <w:rsid w:val="002A4BA6"/>
    <w:rsid w:val="002B0012"/>
    <w:rsid w:val="002B00D0"/>
    <w:rsid w:val="002B2E0E"/>
    <w:rsid w:val="002B4777"/>
    <w:rsid w:val="002D1D86"/>
    <w:rsid w:val="002D2C02"/>
    <w:rsid w:val="002D3CA3"/>
    <w:rsid w:val="002D4751"/>
    <w:rsid w:val="002D7989"/>
    <w:rsid w:val="002E1C83"/>
    <w:rsid w:val="002F2B01"/>
    <w:rsid w:val="002F4421"/>
    <w:rsid w:val="002F4ACB"/>
    <w:rsid w:val="002F5590"/>
    <w:rsid w:val="0030075B"/>
    <w:rsid w:val="00301722"/>
    <w:rsid w:val="00303152"/>
    <w:rsid w:val="00303504"/>
    <w:rsid w:val="00303DC7"/>
    <w:rsid w:val="00314414"/>
    <w:rsid w:val="00314743"/>
    <w:rsid w:val="00317493"/>
    <w:rsid w:val="00321299"/>
    <w:rsid w:val="00322FC4"/>
    <w:rsid w:val="0032535E"/>
    <w:rsid w:val="003311D3"/>
    <w:rsid w:val="003337AE"/>
    <w:rsid w:val="00334414"/>
    <w:rsid w:val="00334CFB"/>
    <w:rsid w:val="00337B3B"/>
    <w:rsid w:val="003463E5"/>
    <w:rsid w:val="00352BF2"/>
    <w:rsid w:val="00354418"/>
    <w:rsid w:val="003557E8"/>
    <w:rsid w:val="0036028B"/>
    <w:rsid w:val="00360CFF"/>
    <w:rsid w:val="00363553"/>
    <w:rsid w:val="00363F29"/>
    <w:rsid w:val="003662F1"/>
    <w:rsid w:val="003705FC"/>
    <w:rsid w:val="00372D25"/>
    <w:rsid w:val="0037472E"/>
    <w:rsid w:val="00375968"/>
    <w:rsid w:val="0038165E"/>
    <w:rsid w:val="0038382F"/>
    <w:rsid w:val="00385E46"/>
    <w:rsid w:val="00387FC5"/>
    <w:rsid w:val="0039159F"/>
    <w:rsid w:val="003956F3"/>
    <w:rsid w:val="003959A8"/>
    <w:rsid w:val="003A0706"/>
    <w:rsid w:val="003A1C46"/>
    <w:rsid w:val="003A5353"/>
    <w:rsid w:val="003B0DFB"/>
    <w:rsid w:val="003B2AC7"/>
    <w:rsid w:val="003B5A6A"/>
    <w:rsid w:val="003B6DDC"/>
    <w:rsid w:val="003C6C4E"/>
    <w:rsid w:val="003C7048"/>
    <w:rsid w:val="003C7720"/>
    <w:rsid w:val="003D03CD"/>
    <w:rsid w:val="003D13D0"/>
    <w:rsid w:val="003E3766"/>
    <w:rsid w:val="003F0578"/>
    <w:rsid w:val="003F4CE5"/>
    <w:rsid w:val="00400716"/>
    <w:rsid w:val="0040306E"/>
    <w:rsid w:val="00403993"/>
    <w:rsid w:val="00403E1A"/>
    <w:rsid w:val="00404534"/>
    <w:rsid w:val="0040726B"/>
    <w:rsid w:val="00413D3A"/>
    <w:rsid w:val="00414004"/>
    <w:rsid w:val="004152E1"/>
    <w:rsid w:val="00417F76"/>
    <w:rsid w:val="00421218"/>
    <w:rsid w:val="00426EF0"/>
    <w:rsid w:val="00432882"/>
    <w:rsid w:val="00441316"/>
    <w:rsid w:val="00445809"/>
    <w:rsid w:val="004470C2"/>
    <w:rsid w:val="004529AF"/>
    <w:rsid w:val="0045314B"/>
    <w:rsid w:val="004537C8"/>
    <w:rsid w:val="0045783E"/>
    <w:rsid w:val="0046284D"/>
    <w:rsid w:val="00473D2F"/>
    <w:rsid w:val="00474A58"/>
    <w:rsid w:val="00480E7C"/>
    <w:rsid w:val="00480EB4"/>
    <w:rsid w:val="00493CE5"/>
    <w:rsid w:val="00496292"/>
    <w:rsid w:val="004A373B"/>
    <w:rsid w:val="004B3AC0"/>
    <w:rsid w:val="004B50A5"/>
    <w:rsid w:val="004C0FD9"/>
    <w:rsid w:val="004C24FD"/>
    <w:rsid w:val="004C5E82"/>
    <w:rsid w:val="004D1B5D"/>
    <w:rsid w:val="004D2C3F"/>
    <w:rsid w:val="004D58F8"/>
    <w:rsid w:val="004D6D34"/>
    <w:rsid w:val="004E04E6"/>
    <w:rsid w:val="004E6281"/>
    <w:rsid w:val="004F71AD"/>
    <w:rsid w:val="004F734C"/>
    <w:rsid w:val="005028F9"/>
    <w:rsid w:val="0050290D"/>
    <w:rsid w:val="00507222"/>
    <w:rsid w:val="005139A3"/>
    <w:rsid w:val="005177A9"/>
    <w:rsid w:val="00517C87"/>
    <w:rsid w:val="00524187"/>
    <w:rsid w:val="005248B8"/>
    <w:rsid w:val="00524A42"/>
    <w:rsid w:val="0052538E"/>
    <w:rsid w:val="00530E8D"/>
    <w:rsid w:val="00540956"/>
    <w:rsid w:val="00554EA1"/>
    <w:rsid w:val="0055679E"/>
    <w:rsid w:val="00562698"/>
    <w:rsid w:val="005638BA"/>
    <w:rsid w:val="00566E6A"/>
    <w:rsid w:val="005714AE"/>
    <w:rsid w:val="00573453"/>
    <w:rsid w:val="00576666"/>
    <w:rsid w:val="00584420"/>
    <w:rsid w:val="0058471F"/>
    <w:rsid w:val="0058503B"/>
    <w:rsid w:val="00585159"/>
    <w:rsid w:val="00587E00"/>
    <w:rsid w:val="00591007"/>
    <w:rsid w:val="00591DF2"/>
    <w:rsid w:val="005925B7"/>
    <w:rsid w:val="0059543A"/>
    <w:rsid w:val="005B0ACC"/>
    <w:rsid w:val="005B686C"/>
    <w:rsid w:val="005C3AD3"/>
    <w:rsid w:val="005D3B81"/>
    <w:rsid w:val="005D59BE"/>
    <w:rsid w:val="005E1D66"/>
    <w:rsid w:val="005E3AF0"/>
    <w:rsid w:val="005E5177"/>
    <w:rsid w:val="005E54D1"/>
    <w:rsid w:val="005F2F28"/>
    <w:rsid w:val="005F3CDA"/>
    <w:rsid w:val="005F52C1"/>
    <w:rsid w:val="005F62CE"/>
    <w:rsid w:val="005F75FB"/>
    <w:rsid w:val="0060139D"/>
    <w:rsid w:val="00601A86"/>
    <w:rsid w:val="00605DB7"/>
    <w:rsid w:val="006141C3"/>
    <w:rsid w:val="00615A49"/>
    <w:rsid w:val="00616CD1"/>
    <w:rsid w:val="006224E8"/>
    <w:rsid w:val="006333AC"/>
    <w:rsid w:val="006343FB"/>
    <w:rsid w:val="00636DCB"/>
    <w:rsid w:val="006438C0"/>
    <w:rsid w:val="00651C92"/>
    <w:rsid w:val="006559FB"/>
    <w:rsid w:val="0066156B"/>
    <w:rsid w:val="006617CC"/>
    <w:rsid w:val="00671EF4"/>
    <w:rsid w:val="00672817"/>
    <w:rsid w:val="00672BF3"/>
    <w:rsid w:val="0068394B"/>
    <w:rsid w:val="006841B6"/>
    <w:rsid w:val="006844A1"/>
    <w:rsid w:val="0069038A"/>
    <w:rsid w:val="006904F3"/>
    <w:rsid w:val="00696437"/>
    <w:rsid w:val="006A133C"/>
    <w:rsid w:val="006A2124"/>
    <w:rsid w:val="006A230C"/>
    <w:rsid w:val="006B5478"/>
    <w:rsid w:val="006B59DF"/>
    <w:rsid w:val="006C0862"/>
    <w:rsid w:val="006C3D62"/>
    <w:rsid w:val="006C41F2"/>
    <w:rsid w:val="006C5EF3"/>
    <w:rsid w:val="006C5FAF"/>
    <w:rsid w:val="006F0E68"/>
    <w:rsid w:val="006F7556"/>
    <w:rsid w:val="00703BB4"/>
    <w:rsid w:val="007075AC"/>
    <w:rsid w:val="007110B3"/>
    <w:rsid w:val="00717F2E"/>
    <w:rsid w:val="007252EF"/>
    <w:rsid w:val="007278F2"/>
    <w:rsid w:val="0073333B"/>
    <w:rsid w:val="0073522C"/>
    <w:rsid w:val="00735751"/>
    <w:rsid w:val="0074069B"/>
    <w:rsid w:val="0074147B"/>
    <w:rsid w:val="0074327E"/>
    <w:rsid w:val="0074609E"/>
    <w:rsid w:val="00750ED1"/>
    <w:rsid w:val="00753428"/>
    <w:rsid w:val="0075460E"/>
    <w:rsid w:val="007546BF"/>
    <w:rsid w:val="00756253"/>
    <w:rsid w:val="007566B6"/>
    <w:rsid w:val="0075692C"/>
    <w:rsid w:val="007578C7"/>
    <w:rsid w:val="00763297"/>
    <w:rsid w:val="00770445"/>
    <w:rsid w:val="007734FA"/>
    <w:rsid w:val="0077738D"/>
    <w:rsid w:val="00784135"/>
    <w:rsid w:val="00785874"/>
    <w:rsid w:val="00786C77"/>
    <w:rsid w:val="00787B42"/>
    <w:rsid w:val="00790047"/>
    <w:rsid w:val="007A0548"/>
    <w:rsid w:val="007A0E9F"/>
    <w:rsid w:val="007B4EAE"/>
    <w:rsid w:val="007B6E8D"/>
    <w:rsid w:val="007C0EA6"/>
    <w:rsid w:val="007C55F2"/>
    <w:rsid w:val="007D1CBF"/>
    <w:rsid w:val="007D29DD"/>
    <w:rsid w:val="007D7CA0"/>
    <w:rsid w:val="007D7EFE"/>
    <w:rsid w:val="007E7679"/>
    <w:rsid w:val="007F03C5"/>
    <w:rsid w:val="007F067C"/>
    <w:rsid w:val="007F2455"/>
    <w:rsid w:val="007F4046"/>
    <w:rsid w:val="007F646C"/>
    <w:rsid w:val="007F6BDC"/>
    <w:rsid w:val="0080295B"/>
    <w:rsid w:val="0081353F"/>
    <w:rsid w:val="00815763"/>
    <w:rsid w:val="00815CB7"/>
    <w:rsid w:val="00816A75"/>
    <w:rsid w:val="00820181"/>
    <w:rsid w:val="00821FB5"/>
    <w:rsid w:val="00824A60"/>
    <w:rsid w:val="00824F33"/>
    <w:rsid w:val="00826640"/>
    <w:rsid w:val="00827BC8"/>
    <w:rsid w:val="00832678"/>
    <w:rsid w:val="00833C3C"/>
    <w:rsid w:val="00835082"/>
    <w:rsid w:val="00835D20"/>
    <w:rsid w:val="00846114"/>
    <w:rsid w:val="00852BB2"/>
    <w:rsid w:val="00855B3A"/>
    <w:rsid w:val="0085655D"/>
    <w:rsid w:val="0086026E"/>
    <w:rsid w:val="00864324"/>
    <w:rsid w:val="00865350"/>
    <w:rsid w:val="008656B4"/>
    <w:rsid w:val="00866A1F"/>
    <w:rsid w:val="00866DA7"/>
    <w:rsid w:val="00880A97"/>
    <w:rsid w:val="008919A2"/>
    <w:rsid w:val="008A43BC"/>
    <w:rsid w:val="008A776B"/>
    <w:rsid w:val="008A7DFD"/>
    <w:rsid w:val="008B0832"/>
    <w:rsid w:val="008C055D"/>
    <w:rsid w:val="008C06F8"/>
    <w:rsid w:val="008C10DE"/>
    <w:rsid w:val="008C66BF"/>
    <w:rsid w:val="008D2B5A"/>
    <w:rsid w:val="008D403C"/>
    <w:rsid w:val="008D43CD"/>
    <w:rsid w:val="008E02DF"/>
    <w:rsid w:val="008E59EF"/>
    <w:rsid w:val="008F44E7"/>
    <w:rsid w:val="008F4A2F"/>
    <w:rsid w:val="009022BC"/>
    <w:rsid w:val="0090306D"/>
    <w:rsid w:val="009136F7"/>
    <w:rsid w:val="009141CC"/>
    <w:rsid w:val="009146F3"/>
    <w:rsid w:val="0091609C"/>
    <w:rsid w:val="009163E0"/>
    <w:rsid w:val="00917EC4"/>
    <w:rsid w:val="00937B21"/>
    <w:rsid w:val="00940777"/>
    <w:rsid w:val="009419F4"/>
    <w:rsid w:val="00942971"/>
    <w:rsid w:val="009645CF"/>
    <w:rsid w:val="0096689B"/>
    <w:rsid w:val="00966DCB"/>
    <w:rsid w:val="0097220A"/>
    <w:rsid w:val="00975573"/>
    <w:rsid w:val="0097579D"/>
    <w:rsid w:val="00980D62"/>
    <w:rsid w:val="009830A6"/>
    <w:rsid w:val="00992485"/>
    <w:rsid w:val="00992FF4"/>
    <w:rsid w:val="00995F21"/>
    <w:rsid w:val="009A05D7"/>
    <w:rsid w:val="009A6C65"/>
    <w:rsid w:val="009B0BE2"/>
    <w:rsid w:val="009B2040"/>
    <w:rsid w:val="009B4F43"/>
    <w:rsid w:val="009B5B7C"/>
    <w:rsid w:val="009B66CA"/>
    <w:rsid w:val="009C2CBF"/>
    <w:rsid w:val="009C323A"/>
    <w:rsid w:val="009C76DE"/>
    <w:rsid w:val="009C7AFC"/>
    <w:rsid w:val="009E66DC"/>
    <w:rsid w:val="009F0DBD"/>
    <w:rsid w:val="009F6F16"/>
    <w:rsid w:val="00A01630"/>
    <w:rsid w:val="00A06B3F"/>
    <w:rsid w:val="00A06FF4"/>
    <w:rsid w:val="00A11BFD"/>
    <w:rsid w:val="00A15317"/>
    <w:rsid w:val="00A17E50"/>
    <w:rsid w:val="00A2238F"/>
    <w:rsid w:val="00A24A62"/>
    <w:rsid w:val="00A31A73"/>
    <w:rsid w:val="00A32F1A"/>
    <w:rsid w:val="00A37533"/>
    <w:rsid w:val="00A46AA5"/>
    <w:rsid w:val="00A50040"/>
    <w:rsid w:val="00A50495"/>
    <w:rsid w:val="00A51705"/>
    <w:rsid w:val="00A53A09"/>
    <w:rsid w:val="00A6365C"/>
    <w:rsid w:val="00A63892"/>
    <w:rsid w:val="00A757EB"/>
    <w:rsid w:val="00A80714"/>
    <w:rsid w:val="00A90811"/>
    <w:rsid w:val="00A90E08"/>
    <w:rsid w:val="00A93DCF"/>
    <w:rsid w:val="00A94615"/>
    <w:rsid w:val="00A95986"/>
    <w:rsid w:val="00A95B0E"/>
    <w:rsid w:val="00A96815"/>
    <w:rsid w:val="00AA3FAC"/>
    <w:rsid w:val="00AA6777"/>
    <w:rsid w:val="00AA7405"/>
    <w:rsid w:val="00AB110B"/>
    <w:rsid w:val="00AB2FD5"/>
    <w:rsid w:val="00AB573E"/>
    <w:rsid w:val="00AB73F2"/>
    <w:rsid w:val="00AC2146"/>
    <w:rsid w:val="00AC5640"/>
    <w:rsid w:val="00AC5A78"/>
    <w:rsid w:val="00AC79C3"/>
    <w:rsid w:val="00AD7313"/>
    <w:rsid w:val="00AE2E15"/>
    <w:rsid w:val="00AF21E9"/>
    <w:rsid w:val="00AF36B1"/>
    <w:rsid w:val="00AF4A90"/>
    <w:rsid w:val="00AF5016"/>
    <w:rsid w:val="00AF7C98"/>
    <w:rsid w:val="00B202D0"/>
    <w:rsid w:val="00B24CCF"/>
    <w:rsid w:val="00B25621"/>
    <w:rsid w:val="00B30E96"/>
    <w:rsid w:val="00B36328"/>
    <w:rsid w:val="00B36C23"/>
    <w:rsid w:val="00B421BD"/>
    <w:rsid w:val="00B458AD"/>
    <w:rsid w:val="00B55658"/>
    <w:rsid w:val="00B568B3"/>
    <w:rsid w:val="00B56FB3"/>
    <w:rsid w:val="00B57EEF"/>
    <w:rsid w:val="00B66B66"/>
    <w:rsid w:val="00B77A04"/>
    <w:rsid w:val="00B847C0"/>
    <w:rsid w:val="00B859D4"/>
    <w:rsid w:val="00B94768"/>
    <w:rsid w:val="00B9707A"/>
    <w:rsid w:val="00BA1DDB"/>
    <w:rsid w:val="00BA2587"/>
    <w:rsid w:val="00BA3E27"/>
    <w:rsid w:val="00BB08AE"/>
    <w:rsid w:val="00BB1AAD"/>
    <w:rsid w:val="00BB3798"/>
    <w:rsid w:val="00BB6D30"/>
    <w:rsid w:val="00BB7400"/>
    <w:rsid w:val="00BC0F2F"/>
    <w:rsid w:val="00BC1749"/>
    <w:rsid w:val="00BC1F36"/>
    <w:rsid w:val="00BC7B5A"/>
    <w:rsid w:val="00BD0B38"/>
    <w:rsid w:val="00BD11E9"/>
    <w:rsid w:val="00BD31F7"/>
    <w:rsid w:val="00BD737B"/>
    <w:rsid w:val="00BE2E11"/>
    <w:rsid w:val="00BF021C"/>
    <w:rsid w:val="00BF1499"/>
    <w:rsid w:val="00C020AD"/>
    <w:rsid w:val="00C055A7"/>
    <w:rsid w:val="00C05892"/>
    <w:rsid w:val="00C05AE6"/>
    <w:rsid w:val="00C06375"/>
    <w:rsid w:val="00C143CF"/>
    <w:rsid w:val="00C14B74"/>
    <w:rsid w:val="00C201D9"/>
    <w:rsid w:val="00C30310"/>
    <w:rsid w:val="00C306DC"/>
    <w:rsid w:val="00C30F1A"/>
    <w:rsid w:val="00C3541D"/>
    <w:rsid w:val="00C35E6F"/>
    <w:rsid w:val="00C4170C"/>
    <w:rsid w:val="00C46BA1"/>
    <w:rsid w:val="00C51B71"/>
    <w:rsid w:val="00C622BC"/>
    <w:rsid w:val="00C62CF0"/>
    <w:rsid w:val="00C63074"/>
    <w:rsid w:val="00C71C48"/>
    <w:rsid w:val="00C7211C"/>
    <w:rsid w:val="00C77627"/>
    <w:rsid w:val="00C77647"/>
    <w:rsid w:val="00C80D3B"/>
    <w:rsid w:val="00C821EF"/>
    <w:rsid w:val="00C87F9E"/>
    <w:rsid w:val="00C93A72"/>
    <w:rsid w:val="00C957B4"/>
    <w:rsid w:val="00CA13EE"/>
    <w:rsid w:val="00CB57D5"/>
    <w:rsid w:val="00CB7D30"/>
    <w:rsid w:val="00CC3AD0"/>
    <w:rsid w:val="00CD0D1E"/>
    <w:rsid w:val="00CD3070"/>
    <w:rsid w:val="00CD3AF8"/>
    <w:rsid w:val="00CD3F10"/>
    <w:rsid w:val="00CE1377"/>
    <w:rsid w:val="00CE236F"/>
    <w:rsid w:val="00CE57ED"/>
    <w:rsid w:val="00CF77A2"/>
    <w:rsid w:val="00D00DF6"/>
    <w:rsid w:val="00D011D5"/>
    <w:rsid w:val="00D02127"/>
    <w:rsid w:val="00D11AC6"/>
    <w:rsid w:val="00D1411F"/>
    <w:rsid w:val="00D21A06"/>
    <w:rsid w:val="00D23C5B"/>
    <w:rsid w:val="00D25C3F"/>
    <w:rsid w:val="00D26F43"/>
    <w:rsid w:val="00D2743E"/>
    <w:rsid w:val="00D347EE"/>
    <w:rsid w:val="00D349E1"/>
    <w:rsid w:val="00D36046"/>
    <w:rsid w:val="00D37017"/>
    <w:rsid w:val="00D4273A"/>
    <w:rsid w:val="00D525BA"/>
    <w:rsid w:val="00D555B5"/>
    <w:rsid w:val="00D57263"/>
    <w:rsid w:val="00D57B90"/>
    <w:rsid w:val="00D70AB6"/>
    <w:rsid w:val="00D7244D"/>
    <w:rsid w:val="00D77748"/>
    <w:rsid w:val="00D810AC"/>
    <w:rsid w:val="00D818FC"/>
    <w:rsid w:val="00D96D6F"/>
    <w:rsid w:val="00DA0EB4"/>
    <w:rsid w:val="00DA489F"/>
    <w:rsid w:val="00DA5100"/>
    <w:rsid w:val="00DA5A4F"/>
    <w:rsid w:val="00DA5F5C"/>
    <w:rsid w:val="00DB1721"/>
    <w:rsid w:val="00DB2DF1"/>
    <w:rsid w:val="00DB4176"/>
    <w:rsid w:val="00DB4228"/>
    <w:rsid w:val="00DB6C44"/>
    <w:rsid w:val="00DB6CC8"/>
    <w:rsid w:val="00DB732C"/>
    <w:rsid w:val="00DC4C85"/>
    <w:rsid w:val="00DC7324"/>
    <w:rsid w:val="00DD2DD1"/>
    <w:rsid w:val="00DE2327"/>
    <w:rsid w:val="00DF30BD"/>
    <w:rsid w:val="00DF58ED"/>
    <w:rsid w:val="00E04023"/>
    <w:rsid w:val="00E041A1"/>
    <w:rsid w:val="00E043E5"/>
    <w:rsid w:val="00E05D3A"/>
    <w:rsid w:val="00E2068C"/>
    <w:rsid w:val="00E217A2"/>
    <w:rsid w:val="00E229A1"/>
    <w:rsid w:val="00E3166A"/>
    <w:rsid w:val="00E33C7E"/>
    <w:rsid w:val="00E346BB"/>
    <w:rsid w:val="00E37052"/>
    <w:rsid w:val="00E50B3B"/>
    <w:rsid w:val="00E52B25"/>
    <w:rsid w:val="00E56532"/>
    <w:rsid w:val="00E601DA"/>
    <w:rsid w:val="00E62C3B"/>
    <w:rsid w:val="00E64405"/>
    <w:rsid w:val="00E6721B"/>
    <w:rsid w:val="00E67AC8"/>
    <w:rsid w:val="00E7202A"/>
    <w:rsid w:val="00E73EDC"/>
    <w:rsid w:val="00E7656B"/>
    <w:rsid w:val="00E97119"/>
    <w:rsid w:val="00E97B39"/>
    <w:rsid w:val="00EA34B8"/>
    <w:rsid w:val="00EA3D1A"/>
    <w:rsid w:val="00EB40D3"/>
    <w:rsid w:val="00EC071B"/>
    <w:rsid w:val="00ED0A72"/>
    <w:rsid w:val="00ED17FC"/>
    <w:rsid w:val="00ED3DEC"/>
    <w:rsid w:val="00ED77B1"/>
    <w:rsid w:val="00EE5F97"/>
    <w:rsid w:val="00EE6C90"/>
    <w:rsid w:val="00EF3AA2"/>
    <w:rsid w:val="00F05EE8"/>
    <w:rsid w:val="00F10007"/>
    <w:rsid w:val="00F13055"/>
    <w:rsid w:val="00F202DA"/>
    <w:rsid w:val="00F21565"/>
    <w:rsid w:val="00F25187"/>
    <w:rsid w:val="00F251CF"/>
    <w:rsid w:val="00F254ED"/>
    <w:rsid w:val="00F255F7"/>
    <w:rsid w:val="00F2680B"/>
    <w:rsid w:val="00F3315E"/>
    <w:rsid w:val="00F3566F"/>
    <w:rsid w:val="00F3614F"/>
    <w:rsid w:val="00F4070C"/>
    <w:rsid w:val="00F43B55"/>
    <w:rsid w:val="00F44FE3"/>
    <w:rsid w:val="00F45E5B"/>
    <w:rsid w:val="00F4616E"/>
    <w:rsid w:val="00F474A3"/>
    <w:rsid w:val="00F50C48"/>
    <w:rsid w:val="00F51341"/>
    <w:rsid w:val="00F524C6"/>
    <w:rsid w:val="00F52B5B"/>
    <w:rsid w:val="00F64B73"/>
    <w:rsid w:val="00F656B5"/>
    <w:rsid w:val="00F65D62"/>
    <w:rsid w:val="00F77588"/>
    <w:rsid w:val="00F9349E"/>
    <w:rsid w:val="00FA116B"/>
    <w:rsid w:val="00FA19B9"/>
    <w:rsid w:val="00FA29E2"/>
    <w:rsid w:val="00FB0C26"/>
    <w:rsid w:val="00FB2AA5"/>
    <w:rsid w:val="00FB2C53"/>
    <w:rsid w:val="00FB4D49"/>
    <w:rsid w:val="00FC2197"/>
    <w:rsid w:val="00FC61B7"/>
    <w:rsid w:val="00FD15D3"/>
    <w:rsid w:val="00FD4ACE"/>
    <w:rsid w:val="00FD4B7B"/>
    <w:rsid w:val="00FE5C1D"/>
    <w:rsid w:val="00FE679F"/>
    <w:rsid w:val="00FE6B7C"/>
    <w:rsid w:val="00FE736C"/>
    <w:rsid w:val="00FF078D"/>
    <w:rsid w:val="00FF2B58"/>
    <w:rsid w:val="00FF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85AF78"/>
  <w15:chartTrackingRefBased/>
  <w15:docId w15:val="{8AA5426B-EB81-47C3-92E7-44C755DE0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4615"/>
    <w:pPr>
      <w:keepNext/>
      <w:spacing w:after="0" w:line="240" w:lineRule="auto"/>
      <w:jc w:val="both"/>
      <w:outlineLvl w:val="0"/>
    </w:pPr>
    <w:rPr>
      <w:rFonts w:ascii="Times New Roman" w:hAnsi="Times New Roman" w:cs="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3A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AC0"/>
  </w:style>
  <w:style w:type="paragraph" w:styleId="Footer">
    <w:name w:val="footer"/>
    <w:basedOn w:val="Normal"/>
    <w:link w:val="FooterChar"/>
    <w:uiPriority w:val="99"/>
    <w:unhideWhenUsed/>
    <w:rsid w:val="004B3A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AC0"/>
  </w:style>
  <w:style w:type="paragraph" w:styleId="ListParagraph">
    <w:name w:val="List Paragraph"/>
    <w:basedOn w:val="Normal"/>
    <w:uiPriority w:val="34"/>
    <w:qFormat/>
    <w:rsid w:val="004B3AC0"/>
    <w:pPr>
      <w:ind w:left="720"/>
      <w:contextualSpacing/>
    </w:pPr>
  </w:style>
  <w:style w:type="paragraph" w:styleId="BodyText">
    <w:name w:val="Body Text"/>
    <w:basedOn w:val="Normal"/>
    <w:link w:val="BodyTextChar"/>
    <w:rsid w:val="00672817"/>
    <w:pPr>
      <w:spacing w:after="0" w:line="240" w:lineRule="auto"/>
      <w:jc w:val="center"/>
    </w:pPr>
    <w:rPr>
      <w:rFonts w:ascii="Courier New" w:eastAsia="Times New Roman" w:hAnsi="Courier New" w:cs="Courier New"/>
      <w:kern w:val="0"/>
      <w:sz w:val="24"/>
      <w:szCs w:val="24"/>
      <w:lang w:eastAsia="en-GB"/>
      <w14:ligatures w14:val="none"/>
    </w:rPr>
  </w:style>
  <w:style w:type="character" w:customStyle="1" w:styleId="BodyTextChar">
    <w:name w:val="Body Text Char"/>
    <w:basedOn w:val="DefaultParagraphFont"/>
    <w:link w:val="BodyText"/>
    <w:rsid w:val="00672817"/>
    <w:rPr>
      <w:rFonts w:ascii="Courier New" w:eastAsia="Times New Roman" w:hAnsi="Courier New" w:cs="Courier New"/>
      <w:kern w:val="0"/>
      <w:sz w:val="24"/>
      <w:szCs w:val="24"/>
      <w:lang w:eastAsia="en-GB"/>
      <w14:ligatures w14:val="none"/>
    </w:rPr>
  </w:style>
  <w:style w:type="paragraph" w:styleId="NoSpacing">
    <w:name w:val="No Spacing"/>
    <w:uiPriority w:val="1"/>
    <w:qFormat/>
    <w:rsid w:val="00441316"/>
    <w:pPr>
      <w:spacing w:after="0" w:line="240" w:lineRule="auto"/>
    </w:pPr>
    <w:rPr>
      <w:kern w:val="0"/>
      <w:lang w:val="en-ZW"/>
      <w14:ligatures w14:val="none"/>
    </w:rPr>
  </w:style>
  <w:style w:type="paragraph" w:styleId="Revision">
    <w:name w:val="Revision"/>
    <w:hidden/>
    <w:uiPriority w:val="99"/>
    <w:semiHidden/>
    <w:rsid w:val="00D7244D"/>
    <w:pPr>
      <w:spacing w:after="0" w:line="240" w:lineRule="auto"/>
    </w:pPr>
  </w:style>
  <w:style w:type="paragraph" w:styleId="BodyTextIndent">
    <w:name w:val="Body Text Indent"/>
    <w:basedOn w:val="Normal"/>
    <w:link w:val="BodyTextIndentChar"/>
    <w:uiPriority w:val="99"/>
    <w:unhideWhenUsed/>
    <w:rsid w:val="0024297A"/>
    <w:pPr>
      <w:spacing w:line="240" w:lineRule="auto"/>
      <w:ind w:left="810" w:hanging="90"/>
      <w:jc w:val="both"/>
    </w:pPr>
    <w:rPr>
      <w:rFonts w:ascii="Times New Roman" w:hAnsi="Times New Roman" w:cs="Times New Roman"/>
      <w:sz w:val="24"/>
      <w:szCs w:val="24"/>
    </w:rPr>
  </w:style>
  <w:style w:type="character" w:customStyle="1" w:styleId="BodyTextIndentChar">
    <w:name w:val="Body Text Indent Char"/>
    <w:basedOn w:val="DefaultParagraphFont"/>
    <w:link w:val="BodyTextIndent"/>
    <w:uiPriority w:val="99"/>
    <w:rsid w:val="0024297A"/>
    <w:rPr>
      <w:rFonts w:ascii="Times New Roman" w:hAnsi="Times New Roman" w:cs="Times New Roman"/>
      <w:sz w:val="24"/>
      <w:szCs w:val="24"/>
    </w:rPr>
  </w:style>
  <w:style w:type="paragraph" w:styleId="BodyTextIndent2">
    <w:name w:val="Body Text Indent 2"/>
    <w:basedOn w:val="Normal"/>
    <w:link w:val="BodyTextIndent2Char"/>
    <w:uiPriority w:val="99"/>
    <w:unhideWhenUsed/>
    <w:rsid w:val="0024297A"/>
    <w:pPr>
      <w:spacing w:line="480" w:lineRule="auto"/>
      <w:ind w:firstLine="1134"/>
      <w:jc w:val="both"/>
    </w:pPr>
    <w:rPr>
      <w:rFonts w:ascii="Times New Roman" w:hAnsi="Times New Roman" w:cs="Times New Roman"/>
      <w:sz w:val="24"/>
      <w:szCs w:val="24"/>
    </w:rPr>
  </w:style>
  <w:style w:type="character" w:customStyle="1" w:styleId="BodyTextIndent2Char">
    <w:name w:val="Body Text Indent 2 Char"/>
    <w:basedOn w:val="DefaultParagraphFont"/>
    <w:link w:val="BodyTextIndent2"/>
    <w:uiPriority w:val="99"/>
    <w:rsid w:val="0024297A"/>
    <w:rPr>
      <w:rFonts w:ascii="Times New Roman" w:hAnsi="Times New Roman" w:cs="Times New Roman"/>
      <w:sz w:val="24"/>
      <w:szCs w:val="24"/>
    </w:rPr>
  </w:style>
  <w:style w:type="character" w:customStyle="1" w:styleId="Heading1Char">
    <w:name w:val="Heading 1 Char"/>
    <w:basedOn w:val="DefaultParagraphFont"/>
    <w:link w:val="Heading1"/>
    <w:uiPriority w:val="9"/>
    <w:rsid w:val="00A94615"/>
    <w:rPr>
      <w:rFonts w:ascii="Times New Roman" w:hAnsi="Times New Roman" w:cs="Times New Roman"/>
      <w:b/>
      <w:bCs/>
      <w:sz w:val="24"/>
      <w:szCs w:val="24"/>
      <w:u w:val="single"/>
    </w:rPr>
  </w:style>
  <w:style w:type="paragraph" w:styleId="BodyTextIndent3">
    <w:name w:val="Body Text Indent 3"/>
    <w:basedOn w:val="Normal"/>
    <w:link w:val="BodyTextIndent3Char"/>
    <w:uiPriority w:val="99"/>
    <w:unhideWhenUsed/>
    <w:rsid w:val="00FA19B9"/>
    <w:pPr>
      <w:spacing w:line="240" w:lineRule="auto"/>
      <w:ind w:left="900" w:hanging="180"/>
      <w:jc w:val="both"/>
    </w:pPr>
    <w:rPr>
      <w:rFonts w:ascii="Times New Roman" w:hAnsi="Times New Roman"/>
      <w:sz w:val="24"/>
      <w:szCs w:val="24"/>
    </w:rPr>
  </w:style>
  <w:style w:type="character" w:customStyle="1" w:styleId="BodyTextIndent3Char">
    <w:name w:val="Body Text Indent 3 Char"/>
    <w:basedOn w:val="DefaultParagraphFont"/>
    <w:link w:val="BodyTextIndent3"/>
    <w:uiPriority w:val="99"/>
    <w:rsid w:val="00FA19B9"/>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DE84D-F58B-42D8-8AB0-FEFF58447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4024</Words>
  <Characters>22939</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usr</cp:lastModifiedBy>
  <cp:revision>37</cp:revision>
  <dcterms:created xsi:type="dcterms:W3CDTF">2024-05-27T14:09:00Z</dcterms:created>
  <dcterms:modified xsi:type="dcterms:W3CDTF">2024-05-28T11:21:00Z</dcterms:modified>
</cp:coreProperties>
</file>