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784" w:rsidRPr="00000DD4" w:rsidRDefault="00151C6C" w:rsidP="00151C6C">
      <w:pPr>
        <w:spacing w:after="0" w:line="480" w:lineRule="auto"/>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r>
      <w:r w:rsidR="005070BB">
        <w:rPr>
          <w:rFonts w:ascii="Times New Roman" w:hAnsi="Times New Roman" w:cs="Times New Roman"/>
          <w:b/>
          <w:sz w:val="24"/>
          <w:szCs w:val="24"/>
        </w:rPr>
        <w:t>(9)</w:t>
      </w:r>
    </w:p>
    <w:p w:rsidR="00482784" w:rsidRPr="00000DD4" w:rsidRDefault="00482784" w:rsidP="00151C6C">
      <w:pPr>
        <w:spacing w:after="0" w:line="240" w:lineRule="auto"/>
        <w:ind w:left="5040" w:firstLine="720"/>
        <w:jc w:val="center"/>
        <w:rPr>
          <w:rFonts w:ascii="Times New Roman" w:hAnsi="Times New Roman" w:cs="Times New Roman"/>
          <w:sz w:val="24"/>
          <w:szCs w:val="24"/>
        </w:rPr>
      </w:pPr>
    </w:p>
    <w:p w:rsidR="002C5603" w:rsidRDefault="002C5603" w:rsidP="00151C6C">
      <w:pPr>
        <w:spacing w:after="0" w:line="240" w:lineRule="auto"/>
        <w:jc w:val="center"/>
        <w:rPr>
          <w:rFonts w:ascii="Times New Roman" w:hAnsi="Times New Roman" w:cs="Times New Roman"/>
          <w:b/>
          <w:sz w:val="24"/>
          <w:szCs w:val="24"/>
        </w:rPr>
      </w:pPr>
    </w:p>
    <w:p w:rsidR="00482784" w:rsidRPr="00F926F1" w:rsidRDefault="006E5F8D" w:rsidP="00151C6C">
      <w:pPr>
        <w:spacing w:after="0" w:line="240" w:lineRule="auto"/>
        <w:jc w:val="center"/>
        <w:rPr>
          <w:rFonts w:ascii="Times New Roman" w:hAnsi="Times New Roman" w:cs="Times New Roman"/>
          <w:b/>
          <w:sz w:val="24"/>
          <w:szCs w:val="24"/>
        </w:rPr>
      </w:pPr>
      <w:r w:rsidRPr="00F926F1">
        <w:rPr>
          <w:rFonts w:ascii="Times New Roman" w:hAnsi="Times New Roman" w:cs="Times New Roman"/>
          <w:b/>
          <w:sz w:val="24"/>
          <w:szCs w:val="24"/>
        </w:rPr>
        <w:t>ANDERSON</w:t>
      </w:r>
      <w:r w:rsidR="0078452C" w:rsidRPr="00F926F1">
        <w:rPr>
          <w:rFonts w:ascii="Times New Roman" w:hAnsi="Times New Roman" w:cs="Times New Roman"/>
          <w:b/>
          <w:sz w:val="24"/>
          <w:szCs w:val="24"/>
        </w:rPr>
        <w:t xml:space="preserve">     </w:t>
      </w:r>
      <w:r w:rsidRPr="00F926F1">
        <w:rPr>
          <w:rFonts w:ascii="Times New Roman" w:hAnsi="Times New Roman" w:cs="Times New Roman"/>
          <w:b/>
          <w:sz w:val="24"/>
          <w:szCs w:val="24"/>
        </w:rPr>
        <w:t>MANJA</w:t>
      </w:r>
      <w:r w:rsidR="0078452C" w:rsidRPr="00F926F1">
        <w:rPr>
          <w:rFonts w:ascii="Times New Roman" w:hAnsi="Times New Roman" w:cs="Times New Roman"/>
          <w:b/>
          <w:sz w:val="24"/>
          <w:szCs w:val="24"/>
        </w:rPr>
        <w:t xml:space="preserve">     AND     98     OTHERS</w:t>
      </w:r>
    </w:p>
    <w:p w:rsidR="00482784" w:rsidRPr="00F926F1" w:rsidRDefault="005A38A2" w:rsidP="00151C6C">
      <w:pPr>
        <w:spacing w:after="0" w:line="240" w:lineRule="auto"/>
        <w:jc w:val="center"/>
        <w:rPr>
          <w:rFonts w:ascii="Times New Roman" w:hAnsi="Times New Roman" w:cs="Times New Roman"/>
          <w:b/>
          <w:sz w:val="24"/>
          <w:szCs w:val="24"/>
        </w:rPr>
      </w:pPr>
      <w:r w:rsidRPr="00F926F1">
        <w:rPr>
          <w:rFonts w:ascii="Times New Roman" w:hAnsi="Times New Roman" w:cs="Times New Roman"/>
          <w:b/>
          <w:sz w:val="24"/>
          <w:szCs w:val="24"/>
        </w:rPr>
        <w:t>v</w:t>
      </w:r>
    </w:p>
    <w:p w:rsidR="0078452C" w:rsidRPr="00F926F1" w:rsidRDefault="0078452C" w:rsidP="00151C6C">
      <w:pPr>
        <w:pStyle w:val="ListParagraph"/>
        <w:numPr>
          <w:ilvl w:val="0"/>
          <w:numId w:val="2"/>
        </w:numPr>
        <w:spacing w:after="0" w:line="240" w:lineRule="auto"/>
        <w:ind w:left="709"/>
        <w:jc w:val="center"/>
        <w:rPr>
          <w:rFonts w:ascii="Times New Roman" w:hAnsi="Times New Roman" w:cs="Times New Roman"/>
          <w:b/>
          <w:sz w:val="24"/>
          <w:szCs w:val="24"/>
        </w:rPr>
      </w:pPr>
      <w:r w:rsidRPr="00F926F1">
        <w:rPr>
          <w:rFonts w:ascii="Times New Roman" w:hAnsi="Times New Roman" w:cs="Times New Roman"/>
          <w:b/>
          <w:sz w:val="24"/>
          <w:szCs w:val="24"/>
        </w:rPr>
        <w:t>SHERIFF     OF     ZIMBABWE</w:t>
      </w:r>
      <w:r w:rsidR="00852CD0" w:rsidRPr="00F926F1">
        <w:rPr>
          <w:rFonts w:ascii="Times New Roman" w:hAnsi="Times New Roman" w:cs="Times New Roman"/>
          <w:b/>
          <w:sz w:val="24"/>
          <w:szCs w:val="24"/>
        </w:rPr>
        <w:t xml:space="preserve">      (</w:t>
      </w:r>
      <w:r w:rsidRPr="00F926F1">
        <w:rPr>
          <w:rFonts w:ascii="Times New Roman" w:hAnsi="Times New Roman" w:cs="Times New Roman"/>
          <w:b/>
          <w:sz w:val="24"/>
          <w:szCs w:val="24"/>
        </w:rPr>
        <w:t>2)     GURTA</w:t>
      </w:r>
      <w:r w:rsidR="00094BE6" w:rsidRPr="00F926F1">
        <w:rPr>
          <w:rFonts w:ascii="Times New Roman" w:hAnsi="Times New Roman" w:cs="Times New Roman"/>
          <w:b/>
          <w:sz w:val="24"/>
          <w:szCs w:val="24"/>
        </w:rPr>
        <w:t xml:space="preserve">     </w:t>
      </w:r>
      <w:r w:rsidRPr="00F926F1">
        <w:rPr>
          <w:rFonts w:ascii="Times New Roman" w:hAnsi="Times New Roman" w:cs="Times New Roman"/>
          <w:b/>
          <w:sz w:val="24"/>
          <w:szCs w:val="24"/>
        </w:rPr>
        <w:t>MINING</w:t>
      </w:r>
      <w:r w:rsidR="007036F4" w:rsidRPr="00F926F1">
        <w:rPr>
          <w:rFonts w:ascii="Times New Roman" w:hAnsi="Times New Roman" w:cs="Times New Roman"/>
          <w:b/>
          <w:sz w:val="24"/>
          <w:szCs w:val="24"/>
        </w:rPr>
        <w:t xml:space="preserve">     AG</w:t>
      </w:r>
      <w:r w:rsidR="00EE572D" w:rsidRPr="00F926F1">
        <w:rPr>
          <w:rFonts w:ascii="Times New Roman" w:hAnsi="Times New Roman" w:cs="Times New Roman"/>
          <w:b/>
          <w:sz w:val="24"/>
          <w:szCs w:val="24"/>
        </w:rPr>
        <w:t xml:space="preserve"> </w:t>
      </w:r>
    </w:p>
    <w:p w:rsidR="00482784" w:rsidRDefault="00482784" w:rsidP="00151C6C">
      <w:pPr>
        <w:spacing w:after="0" w:line="240" w:lineRule="auto"/>
        <w:rPr>
          <w:rFonts w:ascii="Times New Roman" w:hAnsi="Times New Roman" w:cs="Times New Roman"/>
          <w:sz w:val="24"/>
          <w:szCs w:val="24"/>
        </w:rPr>
      </w:pPr>
    </w:p>
    <w:p w:rsidR="00151C6C" w:rsidRPr="00F926F1" w:rsidRDefault="00151C6C" w:rsidP="00151C6C">
      <w:pPr>
        <w:spacing w:after="0" w:line="240" w:lineRule="auto"/>
        <w:rPr>
          <w:rFonts w:ascii="Times New Roman" w:hAnsi="Times New Roman" w:cs="Times New Roman"/>
          <w:sz w:val="24"/>
          <w:szCs w:val="24"/>
        </w:rPr>
      </w:pPr>
    </w:p>
    <w:p w:rsidR="006A2D63" w:rsidRPr="00000DD4" w:rsidRDefault="006A2D63" w:rsidP="00151C6C">
      <w:pPr>
        <w:spacing w:after="0" w:line="240" w:lineRule="auto"/>
        <w:rPr>
          <w:rFonts w:ascii="Times New Roman" w:hAnsi="Times New Roman" w:cs="Times New Roman"/>
          <w:sz w:val="24"/>
          <w:szCs w:val="24"/>
        </w:rPr>
      </w:pPr>
    </w:p>
    <w:p w:rsidR="00482784" w:rsidRPr="00000DD4" w:rsidRDefault="00482784" w:rsidP="00151C6C">
      <w:pPr>
        <w:spacing w:after="0" w:line="240" w:lineRule="auto"/>
        <w:rPr>
          <w:rFonts w:ascii="Times New Roman" w:hAnsi="Times New Roman" w:cs="Times New Roman"/>
          <w:b/>
          <w:sz w:val="24"/>
          <w:szCs w:val="24"/>
        </w:rPr>
      </w:pPr>
      <w:r w:rsidRPr="00000DD4">
        <w:rPr>
          <w:rFonts w:ascii="Times New Roman" w:hAnsi="Times New Roman" w:cs="Times New Roman"/>
          <w:b/>
          <w:sz w:val="24"/>
          <w:szCs w:val="24"/>
        </w:rPr>
        <w:t>SUPREME COURT OF ZIMBABWE</w:t>
      </w:r>
    </w:p>
    <w:p w:rsidR="00482784" w:rsidRPr="00000DD4" w:rsidRDefault="00482784" w:rsidP="00151C6C">
      <w:pPr>
        <w:spacing w:after="0" w:line="240" w:lineRule="auto"/>
        <w:jc w:val="both"/>
        <w:rPr>
          <w:rFonts w:ascii="Times New Roman" w:hAnsi="Times New Roman" w:cs="Times New Roman"/>
          <w:b/>
          <w:sz w:val="24"/>
          <w:szCs w:val="24"/>
        </w:rPr>
      </w:pPr>
      <w:r w:rsidRPr="00000DD4">
        <w:rPr>
          <w:rFonts w:ascii="Times New Roman" w:hAnsi="Times New Roman" w:cs="Times New Roman"/>
          <w:b/>
          <w:sz w:val="24"/>
          <w:szCs w:val="24"/>
        </w:rPr>
        <w:t>MAVANGIRA JA, UCHENA JA &amp; MATHONSI JA</w:t>
      </w:r>
    </w:p>
    <w:p w:rsidR="00482784" w:rsidRPr="00000DD4" w:rsidRDefault="00482784" w:rsidP="00151C6C">
      <w:pPr>
        <w:spacing w:after="0" w:line="240" w:lineRule="auto"/>
        <w:jc w:val="both"/>
        <w:rPr>
          <w:rFonts w:ascii="Times New Roman" w:hAnsi="Times New Roman" w:cs="Times New Roman"/>
          <w:b/>
          <w:sz w:val="24"/>
          <w:szCs w:val="24"/>
        </w:rPr>
      </w:pPr>
      <w:r w:rsidRPr="00000DD4">
        <w:rPr>
          <w:rFonts w:ascii="Times New Roman" w:hAnsi="Times New Roman" w:cs="Times New Roman"/>
          <w:b/>
          <w:sz w:val="24"/>
          <w:szCs w:val="24"/>
        </w:rPr>
        <w:t>HARARE:</w:t>
      </w:r>
      <w:r w:rsidR="00265325" w:rsidRPr="00000DD4">
        <w:rPr>
          <w:rFonts w:ascii="Times New Roman" w:hAnsi="Times New Roman" w:cs="Times New Roman"/>
          <w:b/>
          <w:sz w:val="24"/>
          <w:szCs w:val="24"/>
        </w:rPr>
        <w:t xml:space="preserve"> OCTOBER 23</w:t>
      </w:r>
      <w:r w:rsidR="00E4750B" w:rsidRPr="00000DD4">
        <w:rPr>
          <w:rFonts w:ascii="Times New Roman" w:hAnsi="Times New Roman" w:cs="Times New Roman"/>
          <w:b/>
          <w:sz w:val="24"/>
          <w:szCs w:val="24"/>
        </w:rPr>
        <w:t>,</w:t>
      </w:r>
      <w:r w:rsidR="004D575A" w:rsidRPr="00000DD4">
        <w:rPr>
          <w:rFonts w:ascii="Times New Roman" w:hAnsi="Times New Roman" w:cs="Times New Roman"/>
          <w:b/>
          <w:sz w:val="24"/>
          <w:szCs w:val="24"/>
        </w:rPr>
        <w:t xml:space="preserve"> </w:t>
      </w:r>
      <w:r w:rsidR="00E4750B" w:rsidRPr="00000DD4">
        <w:rPr>
          <w:rFonts w:ascii="Times New Roman" w:hAnsi="Times New Roman" w:cs="Times New Roman"/>
          <w:b/>
          <w:sz w:val="24"/>
          <w:szCs w:val="24"/>
        </w:rPr>
        <w:t xml:space="preserve">2020, </w:t>
      </w:r>
      <w:r w:rsidRPr="00000DD4">
        <w:rPr>
          <w:rFonts w:ascii="Times New Roman" w:hAnsi="Times New Roman" w:cs="Times New Roman"/>
          <w:b/>
          <w:sz w:val="24"/>
          <w:szCs w:val="24"/>
        </w:rPr>
        <w:t>&amp;</w:t>
      </w:r>
      <w:r w:rsidR="00D74FE0">
        <w:rPr>
          <w:rFonts w:ascii="Times New Roman" w:hAnsi="Times New Roman" w:cs="Times New Roman"/>
          <w:b/>
          <w:sz w:val="24"/>
          <w:szCs w:val="24"/>
        </w:rPr>
        <w:t xml:space="preserve"> MARCH</w:t>
      </w:r>
      <w:r w:rsidRPr="00000DD4">
        <w:rPr>
          <w:rFonts w:ascii="Times New Roman" w:hAnsi="Times New Roman" w:cs="Times New Roman"/>
          <w:b/>
          <w:sz w:val="24"/>
          <w:szCs w:val="24"/>
        </w:rPr>
        <w:t xml:space="preserve"> </w:t>
      </w:r>
      <w:r w:rsidR="00D74FE0">
        <w:rPr>
          <w:rFonts w:ascii="Times New Roman" w:hAnsi="Times New Roman" w:cs="Times New Roman"/>
          <w:b/>
          <w:sz w:val="24"/>
          <w:szCs w:val="24"/>
        </w:rPr>
        <w:t>9, 2021</w:t>
      </w:r>
      <w:r w:rsidR="00FF5C44">
        <w:rPr>
          <w:rFonts w:ascii="Times New Roman" w:hAnsi="Times New Roman" w:cs="Times New Roman"/>
          <w:b/>
          <w:sz w:val="24"/>
          <w:szCs w:val="24"/>
        </w:rPr>
        <w:t xml:space="preserve"> </w:t>
      </w:r>
    </w:p>
    <w:p w:rsidR="00482784" w:rsidRDefault="00482784" w:rsidP="00151C6C">
      <w:pPr>
        <w:spacing w:after="0" w:line="480" w:lineRule="auto"/>
        <w:jc w:val="both"/>
        <w:rPr>
          <w:rFonts w:ascii="Times New Roman" w:hAnsi="Times New Roman" w:cs="Times New Roman"/>
          <w:b/>
          <w:sz w:val="24"/>
          <w:szCs w:val="24"/>
        </w:rPr>
      </w:pPr>
    </w:p>
    <w:p w:rsidR="00835CA1" w:rsidRDefault="00835CA1" w:rsidP="00151C6C">
      <w:pPr>
        <w:spacing w:after="0" w:line="360" w:lineRule="auto"/>
        <w:jc w:val="both"/>
        <w:rPr>
          <w:rFonts w:ascii="Times New Roman" w:hAnsi="Times New Roman" w:cs="Times New Roman"/>
          <w:b/>
          <w:sz w:val="24"/>
          <w:szCs w:val="24"/>
        </w:rPr>
      </w:pPr>
    </w:p>
    <w:p w:rsidR="00482784" w:rsidRPr="00000DD4" w:rsidRDefault="0078452C" w:rsidP="00151C6C">
      <w:pPr>
        <w:spacing w:after="0" w:line="240" w:lineRule="auto"/>
        <w:jc w:val="both"/>
        <w:rPr>
          <w:rFonts w:ascii="Times New Roman" w:hAnsi="Times New Roman" w:cs="Times New Roman"/>
          <w:sz w:val="24"/>
          <w:szCs w:val="24"/>
        </w:rPr>
      </w:pPr>
      <w:r w:rsidRPr="00000DD4">
        <w:rPr>
          <w:rFonts w:ascii="Times New Roman" w:hAnsi="Times New Roman" w:cs="Times New Roman"/>
          <w:sz w:val="24"/>
          <w:szCs w:val="24"/>
        </w:rPr>
        <w:t>Ms.</w:t>
      </w:r>
      <w:r w:rsidR="004D575A" w:rsidRPr="00000DD4">
        <w:rPr>
          <w:rFonts w:ascii="Times New Roman" w:hAnsi="Times New Roman" w:cs="Times New Roman"/>
          <w:sz w:val="24"/>
          <w:szCs w:val="24"/>
        </w:rPr>
        <w:t xml:space="preserve"> </w:t>
      </w:r>
      <w:r w:rsidRPr="00000DD4">
        <w:rPr>
          <w:rFonts w:ascii="Times New Roman" w:hAnsi="Times New Roman" w:cs="Times New Roman"/>
          <w:i/>
          <w:sz w:val="24"/>
          <w:szCs w:val="24"/>
        </w:rPr>
        <w:t>C.</w:t>
      </w:r>
      <w:r w:rsidR="004D575A" w:rsidRPr="00000DD4">
        <w:rPr>
          <w:rFonts w:ascii="Times New Roman" w:hAnsi="Times New Roman" w:cs="Times New Roman"/>
          <w:i/>
          <w:sz w:val="24"/>
          <w:szCs w:val="24"/>
        </w:rPr>
        <w:t xml:space="preserve"> </w:t>
      </w:r>
      <w:r w:rsidRPr="00000DD4">
        <w:rPr>
          <w:rFonts w:ascii="Times New Roman" w:hAnsi="Times New Roman" w:cs="Times New Roman"/>
          <w:i/>
          <w:sz w:val="24"/>
          <w:szCs w:val="24"/>
        </w:rPr>
        <w:t>Damiso</w:t>
      </w:r>
      <w:r w:rsidRPr="00000DD4">
        <w:rPr>
          <w:rFonts w:ascii="Times New Roman" w:hAnsi="Times New Roman" w:cs="Times New Roman"/>
          <w:sz w:val="24"/>
          <w:szCs w:val="24"/>
        </w:rPr>
        <w:t>, for the appellant</w:t>
      </w:r>
    </w:p>
    <w:p w:rsidR="00995625" w:rsidRPr="00000DD4" w:rsidRDefault="0078452C" w:rsidP="00151C6C">
      <w:pPr>
        <w:spacing w:after="0" w:line="240" w:lineRule="auto"/>
        <w:jc w:val="both"/>
        <w:rPr>
          <w:rFonts w:ascii="Times New Roman" w:hAnsi="Times New Roman" w:cs="Times New Roman"/>
          <w:sz w:val="24"/>
          <w:szCs w:val="24"/>
        </w:rPr>
      </w:pPr>
      <w:r w:rsidRPr="00000DD4">
        <w:rPr>
          <w:rFonts w:ascii="Times New Roman" w:hAnsi="Times New Roman" w:cs="Times New Roman"/>
          <w:sz w:val="24"/>
          <w:szCs w:val="24"/>
        </w:rPr>
        <w:t>Ms</w:t>
      </w:r>
      <w:r w:rsidRPr="00000DD4">
        <w:rPr>
          <w:rFonts w:ascii="Times New Roman" w:hAnsi="Times New Roman" w:cs="Times New Roman"/>
          <w:i/>
          <w:sz w:val="24"/>
          <w:szCs w:val="24"/>
        </w:rPr>
        <w:t>.</w:t>
      </w:r>
      <w:r w:rsidR="004D575A" w:rsidRPr="00000DD4">
        <w:rPr>
          <w:rFonts w:ascii="Times New Roman" w:hAnsi="Times New Roman" w:cs="Times New Roman"/>
          <w:i/>
          <w:sz w:val="24"/>
          <w:szCs w:val="24"/>
        </w:rPr>
        <w:t xml:space="preserve"> </w:t>
      </w:r>
      <w:r w:rsidRPr="00000DD4">
        <w:rPr>
          <w:rFonts w:ascii="Times New Roman" w:hAnsi="Times New Roman" w:cs="Times New Roman"/>
          <w:i/>
          <w:sz w:val="24"/>
          <w:szCs w:val="24"/>
        </w:rPr>
        <w:t>L</w:t>
      </w:r>
      <w:r w:rsidR="004D575A" w:rsidRPr="00000DD4">
        <w:rPr>
          <w:rFonts w:ascii="Times New Roman" w:hAnsi="Times New Roman" w:cs="Times New Roman"/>
          <w:i/>
          <w:sz w:val="24"/>
          <w:szCs w:val="24"/>
        </w:rPr>
        <w:t xml:space="preserve"> </w:t>
      </w:r>
      <w:r w:rsidRPr="00000DD4">
        <w:rPr>
          <w:rFonts w:ascii="Times New Roman" w:hAnsi="Times New Roman" w:cs="Times New Roman"/>
          <w:i/>
          <w:sz w:val="24"/>
          <w:szCs w:val="24"/>
        </w:rPr>
        <w:t>.Ch</w:t>
      </w:r>
      <w:r w:rsidR="00DF0B4E" w:rsidRPr="00000DD4">
        <w:rPr>
          <w:rFonts w:ascii="Times New Roman" w:hAnsi="Times New Roman" w:cs="Times New Roman"/>
          <w:i/>
          <w:sz w:val="24"/>
          <w:szCs w:val="24"/>
        </w:rPr>
        <w:t>i</w:t>
      </w:r>
      <w:r w:rsidRPr="00000DD4">
        <w:rPr>
          <w:rFonts w:ascii="Times New Roman" w:hAnsi="Times New Roman" w:cs="Times New Roman"/>
          <w:i/>
          <w:sz w:val="24"/>
          <w:szCs w:val="24"/>
        </w:rPr>
        <w:t xml:space="preserve">rumbwana, </w:t>
      </w:r>
      <w:r w:rsidR="00995625" w:rsidRPr="00000DD4">
        <w:rPr>
          <w:rFonts w:ascii="Times New Roman" w:hAnsi="Times New Roman" w:cs="Times New Roman"/>
          <w:sz w:val="24"/>
          <w:szCs w:val="24"/>
        </w:rPr>
        <w:t>for</w:t>
      </w:r>
      <w:r w:rsidR="004E1DE9" w:rsidRPr="00000DD4">
        <w:rPr>
          <w:rFonts w:ascii="Times New Roman" w:hAnsi="Times New Roman" w:cs="Times New Roman"/>
          <w:sz w:val="24"/>
          <w:szCs w:val="24"/>
        </w:rPr>
        <w:t xml:space="preserve"> the </w:t>
      </w:r>
      <w:r w:rsidR="00995625" w:rsidRPr="00000DD4">
        <w:rPr>
          <w:rFonts w:ascii="Times New Roman" w:hAnsi="Times New Roman" w:cs="Times New Roman"/>
          <w:sz w:val="24"/>
          <w:szCs w:val="24"/>
        </w:rPr>
        <w:t xml:space="preserve"> </w:t>
      </w:r>
      <w:r w:rsidR="004E1DE9" w:rsidRPr="00000DD4">
        <w:rPr>
          <w:rFonts w:ascii="Times New Roman" w:hAnsi="Times New Roman" w:cs="Times New Roman"/>
          <w:sz w:val="24"/>
          <w:szCs w:val="24"/>
        </w:rPr>
        <w:t>first</w:t>
      </w:r>
      <w:r w:rsidR="00995625" w:rsidRPr="00000DD4">
        <w:rPr>
          <w:rFonts w:ascii="Times New Roman" w:hAnsi="Times New Roman" w:cs="Times New Roman"/>
          <w:sz w:val="24"/>
          <w:szCs w:val="24"/>
        </w:rPr>
        <w:t xml:space="preserve"> respondent</w:t>
      </w:r>
    </w:p>
    <w:p w:rsidR="00995625" w:rsidRPr="00000DD4" w:rsidRDefault="00995625" w:rsidP="00151C6C">
      <w:pPr>
        <w:spacing w:after="0" w:line="240" w:lineRule="auto"/>
        <w:jc w:val="both"/>
        <w:rPr>
          <w:rFonts w:ascii="Times New Roman" w:hAnsi="Times New Roman" w:cs="Times New Roman"/>
          <w:sz w:val="24"/>
          <w:szCs w:val="24"/>
        </w:rPr>
      </w:pPr>
      <w:r w:rsidRPr="00000DD4">
        <w:rPr>
          <w:rFonts w:ascii="Times New Roman" w:hAnsi="Times New Roman" w:cs="Times New Roman"/>
          <w:i/>
          <w:sz w:val="24"/>
          <w:szCs w:val="24"/>
        </w:rPr>
        <w:t>S.</w:t>
      </w:r>
      <w:r w:rsidR="004D575A" w:rsidRPr="00000DD4">
        <w:rPr>
          <w:rFonts w:ascii="Times New Roman" w:hAnsi="Times New Roman" w:cs="Times New Roman"/>
          <w:i/>
          <w:sz w:val="24"/>
          <w:szCs w:val="24"/>
        </w:rPr>
        <w:t xml:space="preserve"> </w:t>
      </w:r>
      <w:r w:rsidRPr="00000DD4">
        <w:rPr>
          <w:rFonts w:ascii="Times New Roman" w:hAnsi="Times New Roman" w:cs="Times New Roman"/>
          <w:i/>
          <w:sz w:val="24"/>
          <w:szCs w:val="24"/>
        </w:rPr>
        <w:t xml:space="preserve">Bhebhe </w:t>
      </w:r>
      <w:r w:rsidRPr="002004D8">
        <w:rPr>
          <w:rFonts w:ascii="Times New Roman" w:hAnsi="Times New Roman" w:cs="Times New Roman"/>
          <w:sz w:val="24"/>
          <w:szCs w:val="24"/>
        </w:rPr>
        <w:t>with</w:t>
      </w:r>
      <w:r w:rsidRPr="00000DD4">
        <w:rPr>
          <w:rFonts w:ascii="Times New Roman" w:hAnsi="Times New Roman" w:cs="Times New Roman"/>
          <w:i/>
          <w:sz w:val="24"/>
          <w:szCs w:val="24"/>
        </w:rPr>
        <w:t xml:space="preserve"> H.</w:t>
      </w:r>
      <w:r w:rsidR="004D575A" w:rsidRPr="00000DD4">
        <w:rPr>
          <w:rFonts w:ascii="Times New Roman" w:hAnsi="Times New Roman" w:cs="Times New Roman"/>
          <w:i/>
          <w:sz w:val="24"/>
          <w:szCs w:val="24"/>
        </w:rPr>
        <w:t xml:space="preserve"> </w:t>
      </w:r>
      <w:r w:rsidRPr="00000DD4">
        <w:rPr>
          <w:rFonts w:ascii="Times New Roman" w:hAnsi="Times New Roman" w:cs="Times New Roman"/>
          <w:i/>
          <w:sz w:val="24"/>
          <w:szCs w:val="24"/>
        </w:rPr>
        <w:t>Muromba</w:t>
      </w:r>
      <w:r w:rsidR="004E1DE9" w:rsidRPr="00000DD4">
        <w:rPr>
          <w:rFonts w:ascii="Times New Roman" w:hAnsi="Times New Roman" w:cs="Times New Roman"/>
          <w:sz w:val="24"/>
          <w:szCs w:val="24"/>
        </w:rPr>
        <w:t>, for the second</w:t>
      </w:r>
      <w:r w:rsidRPr="00000DD4">
        <w:rPr>
          <w:rFonts w:ascii="Times New Roman" w:hAnsi="Times New Roman" w:cs="Times New Roman"/>
          <w:sz w:val="24"/>
          <w:szCs w:val="24"/>
        </w:rPr>
        <w:t xml:space="preserve"> respondent</w:t>
      </w:r>
    </w:p>
    <w:p w:rsidR="00482784" w:rsidRDefault="00482784" w:rsidP="00151C6C">
      <w:pPr>
        <w:spacing w:after="0" w:line="480" w:lineRule="auto"/>
        <w:jc w:val="both"/>
        <w:rPr>
          <w:rFonts w:ascii="Times New Roman" w:hAnsi="Times New Roman" w:cs="Times New Roman"/>
          <w:sz w:val="24"/>
          <w:szCs w:val="24"/>
        </w:rPr>
      </w:pPr>
    </w:p>
    <w:p w:rsidR="00835CA1" w:rsidRDefault="00835CA1" w:rsidP="00151C6C">
      <w:pPr>
        <w:spacing w:after="0" w:line="480" w:lineRule="auto"/>
        <w:jc w:val="both"/>
        <w:rPr>
          <w:rFonts w:ascii="Times New Roman" w:hAnsi="Times New Roman" w:cs="Times New Roman"/>
          <w:sz w:val="24"/>
          <w:szCs w:val="24"/>
        </w:rPr>
      </w:pPr>
    </w:p>
    <w:p w:rsidR="00415753" w:rsidRPr="00000DD4" w:rsidRDefault="00473922" w:rsidP="00151C6C">
      <w:pPr>
        <w:spacing w:after="0" w:line="480" w:lineRule="auto"/>
        <w:ind w:firstLine="1134"/>
        <w:jc w:val="both"/>
        <w:rPr>
          <w:rFonts w:ascii="Times New Roman" w:hAnsi="Times New Roman" w:cs="Times New Roman"/>
          <w:sz w:val="24"/>
          <w:szCs w:val="24"/>
        </w:rPr>
      </w:pPr>
      <w:r w:rsidRPr="00000DD4">
        <w:rPr>
          <w:rFonts w:ascii="Times New Roman" w:hAnsi="Times New Roman" w:cs="Times New Roman"/>
          <w:b/>
          <w:sz w:val="24"/>
          <w:szCs w:val="24"/>
        </w:rPr>
        <w:t>MATHONSI</w:t>
      </w:r>
      <w:r w:rsidR="00482784" w:rsidRPr="00000DD4">
        <w:rPr>
          <w:rFonts w:ascii="Times New Roman" w:hAnsi="Times New Roman" w:cs="Times New Roman"/>
          <w:b/>
          <w:sz w:val="24"/>
          <w:szCs w:val="24"/>
        </w:rPr>
        <w:t xml:space="preserve"> JA: </w:t>
      </w:r>
      <w:r w:rsidR="00482784" w:rsidRPr="00000DD4">
        <w:rPr>
          <w:rFonts w:ascii="Times New Roman" w:hAnsi="Times New Roman" w:cs="Times New Roman"/>
          <w:b/>
          <w:sz w:val="24"/>
          <w:szCs w:val="24"/>
        </w:rPr>
        <w:tab/>
      </w:r>
      <w:r w:rsidRPr="00000DD4">
        <w:rPr>
          <w:rFonts w:ascii="Times New Roman" w:hAnsi="Times New Roman" w:cs="Times New Roman"/>
          <w:sz w:val="24"/>
          <w:szCs w:val="24"/>
        </w:rPr>
        <w:t>This is an appeal against the who</w:t>
      </w:r>
      <w:r w:rsidR="004538E7" w:rsidRPr="00000DD4">
        <w:rPr>
          <w:rFonts w:ascii="Times New Roman" w:hAnsi="Times New Roman" w:cs="Times New Roman"/>
          <w:sz w:val="24"/>
          <w:szCs w:val="24"/>
        </w:rPr>
        <w:t>le</w:t>
      </w:r>
      <w:r w:rsidRPr="00000DD4">
        <w:rPr>
          <w:rFonts w:ascii="Times New Roman" w:hAnsi="Times New Roman" w:cs="Times New Roman"/>
          <w:sz w:val="24"/>
          <w:szCs w:val="24"/>
        </w:rPr>
        <w:t xml:space="preserve"> judgment of the High Court handed down o</w:t>
      </w:r>
      <w:r w:rsidR="006D4840" w:rsidRPr="00000DD4">
        <w:rPr>
          <w:rFonts w:ascii="Times New Roman" w:hAnsi="Times New Roman" w:cs="Times New Roman"/>
          <w:sz w:val="24"/>
          <w:szCs w:val="24"/>
        </w:rPr>
        <w:t>n 3 June 2020 which upheld the second</w:t>
      </w:r>
      <w:r w:rsidRPr="00000DD4">
        <w:rPr>
          <w:rFonts w:ascii="Times New Roman" w:hAnsi="Times New Roman" w:cs="Times New Roman"/>
          <w:sz w:val="24"/>
          <w:szCs w:val="24"/>
        </w:rPr>
        <w:t xml:space="preserve"> respondent’s claim to immovable property and / or mining claims located in Mashonaland West placed un</w:t>
      </w:r>
      <w:r w:rsidR="00EF5918" w:rsidRPr="00000DD4">
        <w:rPr>
          <w:rFonts w:ascii="Times New Roman" w:hAnsi="Times New Roman" w:cs="Times New Roman"/>
          <w:sz w:val="24"/>
          <w:szCs w:val="24"/>
        </w:rPr>
        <w:t>der judicial attachment by the first</w:t>
      </w:r>
      <w:r w:rsidRPr="00000DD4">
        <w:rPr>
          <w:rFonts w:ascii="Times New Roman" w:hAnsi="Times New Roman" w:cs="Times New Roman"/>
          <w:sz w:val="24"/>
          <w:szCs w:val="24"/>
        </w:rPr>
        <w:t xml:space="preserve"> </w:t>
      </w:r>
      <w:r w:rsidR="003F697E" w:rsidRPr="00000DD4">
        <w:rPr>
          <w:rFonts w:ascii="Times New Roman" w:hAnsi="Times New Roman" w:cs="Times New Roman"/>
          <w:sz w:val="24"/>
          <w:szCs w:val="24"/>
        </w:rPr>
        <w:t>respondent for</w:t>
      </w:r>
      <w:r w:rsidRPr="00000DD4">
        <w:rPr>
          <w:rFonts w:ascii="Times New Roman" w:hAnsi="Times New Roman" w:cs="Times New Roman"/>
          <w:sz w:val="24"/>
          <w:szCs w:val="24"/>
        </w:rPr>
        <w:t xml:space="preserve"> sale in execution of a judgment</w:t>
      </w:r>
      <w:r w:rsidR="006B0BC4" w:rsidRPr="00000DD4">
        <w:rPr>
          <w:rFonts w:ascii="Times New Roman" w:hAnsi="Times New Roman" w:cs="Times New Roman"/>
          <w:sz w:val="24"/>
          <w:szCs w:val="24"/>
        </w:rPr>
        <w:t>. The judgment</w:t>
      </w:r>
      <w:r w:rsidR="00836174">
        <w:rPr>
          <w:rFonts w:ascii="Times New Roman" w:hAnsi="Times New Roman" w:cs="Times New Roman"/>
          <w:sz w:val="24"/>
          <w:szCs w:val="24"/>
        </w:rPr>
        <w:t xml:space="preserve"> also </w:t>
      </w:r>
      <w:r w:rsidR="00FC5E84">
        <w:rPr>
          <w:rFonts w:ascii="Times New Roman" w:hAnsi="Times New Roman" w:cs="Times New Roman"/>
          <w:sz w:val="24"/>
          <w:szCs w:val="24"/>
        </w:rPr>
        <w:t>saddled</w:t>
      </w:r>
      <w:r w:rsidRPr="00000DD4">
        <w:rPr>
          <w:rFonts w:ascii="Times New Roman" w:hAnsi="Times New Roman" w:cs="Times New Roman"/>
          <w:sz w:val="24"/>
          <w:szCs w:val="24"/>
        </w:rPr>
        <w:t xml:space="preserve"> the appellants, being the</w:t>
      </w:r>
      <w:r w:rsidR="00607D65" w:rsidRPr="00000DD4">
        <w:rPr>
          <w:rFonts w:ascii="Times New Roman" w:hAnsi="Times New Roman" w:cs="Times New Roman"/>
          <w:sz w:val="24"/>
          <w:szCs w:val="24"/>
        </w:rPr>
        <w:t xml:space="preserve"> judgment creditors, with costs</w:t>
      </w:r>
      <w:r w:rsidRPr="00000DD4">
        <w:rPr>
          <w:rFonts w:ascii="Times New Roman" w:hAnsi="Times New Roman" w:cs="Times New Roman"/>
          <w:sz w:val="24"/>
          <w:szCs w:val="24"/>
        </w:rPr>
        <w:t xml:space="preserve"> on the superior scale.</w:t>
      </w:r>
    </w:p>
    <w:p w:rsidR="00473922" w:rsidRPr="00000DD4" w:rsidRDefault="00473922" w:rsidP="00151C6C">
      <w:pPr>
        <w:spacing w:after="0" w:line="480" w:lineRule="auto"/>
        <w:ind w:firstLine="1134"/>
        <w:jc w:val="both"/>
        <w:rPr>
          <w:rFonts w:ascii="Times New Roman" w:hAnsi="Times New Roman" w:cs="Times New Roman"/>
          <w:sz w:val="24"/>
          <w:szCs w:val="24"/>
        </w:rPr>
      </w:pPr>
    </w:p>
    <w:p w:rsidR="00473922" w:rsidRDefault="00473922" w:rsidP="00151C6C">
      <w:pPr>
        <w:spacing w:after="0"/>
        <w:jc w:val="both"/>
        <w:rPr>
          <w:rFonts w:ascii="Times New Roman" w:hAnsi="Times New Roman" w:cs="Times New Roman"/>
          <w:b/>
          <w:sz w:val="24"/>
          <w:szCs w:val="24"/>
        </w:rPr>
      </w:pPr>
      <w:r w:rsidRPr="00000DD4">
        <w:rPr>
          <w:rFonts w:ascii="Times New Roman" w:hAnsi="Times New Roman" w:cs="Times New Roman"/>
          <w:b/>
          <w:sz w:val="24"/>
          <w:szCs w:val="24"/>
        </w:rPr>
        <w:t>THE JUDGMENT</w:t>
      </w:r>
    </w:p>
    <w:p w:rsidR="0007452F" w:rsidRPr="00000DD4" w:rsidRDefault="0007452F" w:rsidP="00151C6C">
      <w:pPr>
        <w:spacing w:after="0"/>
        <w:jc w:val="both"/>
        <w:rPr>
          <w:rFonts w:ascii="Times New Roman" w:hAnsi="Times New Roman" w:cs="Times New Roman"/>
          <w:b/>
          <w:sz w:val="24"/>
          <w:szCs w:val="24"/>
        </w:rPr>
      </w:pPr>
    </w:p>
    <w:p w:rsidR="00473922" w:rsidRPr="00000DD4" w:rsidRDefault="00473922" w:rsidP="00151C6C">
      <w:pPr>
        <w:spacing w:after="0" w:line="480" w:lineRule="auto"/>
        <w:ind w:firstLine="1134"/>
        <w:jc w:val="both"/>
        <w:rPr>
          <w:rFonts w:ascii="Times New Roman" w:hAnsi="Times New Roman" w:cs="Times New Roman"/>
          <w:sz w:val="24"/>
          <w:szCs w:val="24"/>
        </w:rPr>
      </w:pPr>
      <w:r w:rsidRPr="00000DD4">
        <w:rPr>
          <w:rFonts w:ascii="Times New Roman" w:hAnsi="Times New Roman" w:cs="Times New Roman"/>
          <w:sz w:val="24"/>
          <w:szCs w:val="24"/>
        </w:rPr>
        <w:t>The judgment itself, committing a</w:t>
      </w:r>
      <w:r w:rsidR="00605253" w:rsidRPr="00000DD4">
        <w:rPr>
          <w:rFonts w:ascii="Times New Roman" w:hAnsi="Times New Roman" w:cs="Times New Roman"/>
          <w:sz w:val="24"/>
          <w:szCs w:val="24"/>
        </w:rPr>
        <w:t>s it does, the first seven</w:t>
      </w:r>
      <w:r w:rsidRPr="00000DD4">
        <w:rPr>
          <w:rFonts w:ascii="Times New Roman" w:hAnsi="Times New Roman" w:cs="Times New Roman"/>
          <w:sz w:val="24"/>
          <w:szCs w:val="24"/>
        </w:rPr>
        <w:t xml:space="preserve"> of sixteen pages to </w:t>
      </w:r>
      <w:r w:rsidR="00B830C0" w:rsidRPr="00000DD4">
        <w:rPr>
          <w:rFonts w:ascii="Times New Roman" w:hAnsi="Times New Roman" w:cs="Times New Roman"/>
          <w:sz w:val="24"/>
          <w:szCs w:val="24"/>
        </w:rPr>
        <w:t>anything else</w:t>
      </w:r>
      <w:r w:rsidRPr="00000DD4">
        <w:rPr>
          <w:rFonts w:ascii="Times New Roman" w:hAnsi="Times New Roman" w:cs="Times New Roman"/>
          <w:sz w:val="24"/>
          <w:szCs w:val="24"/>
        </w:rPr>
        <w:t xml:space="preserve"> other than the case before the court </w:t>
      </w:r>
      <w:r w:rsidRPr="00000DD4">
        <w:rPr>
          <w:rFonts w:ascii="Times New Roman" w:hAnsi="Times New Roman" w:cs="Times New Roman"/>
          <w:i/>
          <w:sz w:val="24"/>
          <w:szCs w:val="24"/>
        </w:rPr>
        <w:t>a quo</w:t>
      </w:r>
      <w:r w:rsidR="00605253" w:rsidRPr="00000DD4">
        <w:rPr>
          <w:rFonts w:ascii="Times New Roman" w:hAnsi="Times New Roman" w:cs="Times New Roman"/>
          <w:i/>
          <w:sz w:val="24"/>
          <w:szCs w:val="24"/>
        </w:rPr>
        <w:t>,</w:t>
      </w:r>
      <w:r w:rsidR="00425E5C" w:rsidRPr="00000DD4">
        <w:rPr>
          <w:rFonts w:ascii="Times New Roman" w:hAnsi="Times New Roman" w:cs="Times New Roman"/>
          <w:i/>
          <w:sz w:val="24"/>
          <w:szCs w:val="24"/>
        </w:rPr>
        <w:t xml:space="preserve"> </w:t>
      </w:r>
      <w:r w:rsidR="0093677B" w:rsidRPr="00000DD4">
        <w:rPr>
          <w:rFonts w:ascii="Times New Roman" w:hAnsi="Times New Roman" w:cs="Times New Roman"/>
          <w:sz w:val="24"/>
          <w:szCs w:val="24"/>
        </w:rPr>
        <w:t>represents such a faulty</w:t>
      </w:r>
      <w:r w:rsidR="00605253" w:rsidRPr="00000DD4">
        <w:rPr>
          <w:rFonts w:ascii="Times New Roman" w:hAnsi="Times New Roman" w:cs="Times New Roman"/>
          <w:sz w:val="24"/>
          <w:szCs w:val="24"/>
        </w:rPr>
        <w:t>,</w:t>
      </w:r>
      <w:r w:rsidR="0093677B" w:rsidRPr="00000DD4">
        <w:rPr>
          <w:rFonts w:ascii="Times New Roman" w:hAnsi="Times New Roman" w:cs="Times New Roman"/>
          <w:sz w:val="24"/>
          <w:szCs w:val="24"/>
        </w:rPr>
        <w:t xml:space="preserve"> and indeed </w:t>
      </w:r>
      <w:r w:rsidR="009F2A73" w:rsidRPr="00000DD4">
        <w:rPr>
          <w:rFonts w:ascii="Times New Roman" w:hAnsi="Times New Roman" w:cs="Times New Roman"/>
          <w:sz w:val="24"/>
          <w:szCs w:val="24"/>
        </w:rPr>
        <w:t>unconventional method of judicial articulation, it is staggering.  A lot of</w:t>
      </w:r>
      <w:r w:rsidR="007F1537" w:rsidRPr="00000DD4">
        <w:rPr>
          <w:rFonts w:ascii="Times New Roman" w:hAnsi="Times New Roman" w:cs="Times New Roman"/>
          <w:sz w:val="24"/>
          <w:szCs w:val="24"/>
        </w:rPr>
        <w:t xml:space="preserve"> time and energy was expended on</w:t>
      </w:r>
      <w:r w:rsidR="009F2A73" w:rsidRPr="00000DD4">
        <w:rPr>
          <w:rFonts w:ascii="Times New Roman" w:hAnsi="Times New Roman" w:cs="Times New Roman"/>
          <w:sz w:val="24"/>
          <w:szCs w:val="24"/>
        </w:rPr>
        <w:t xml:space="preserve"> matters not </w:t>
      </w:r>
      <w:r w:rsidR="00565F70" w:rsidRPr="00000DD4">
        <w:rPr>
          <w:rFonts w:ascii="Times New Roman" w:hAnsi="Times New Roman" w:cs="Times New Roman"/>
          <w:sz w:val="24"/>
          <w:szCs w:val="24"/>
        </w:rPr>
        <w:t>germane</w:t>
      </w:r>
      <w:r w:rsidR="00F05BB9" w:rsidRPr="00000DD4">
        <w:rPr>
          <w:rFonts w:ascii="Times New Roman" w:hAnsi="Times New Roman" w:cs="Times New Roman"/>
          <w:sz w:val="24"/>
          <w:szCs w:val="24"/>
        </w:rPr>
        <w:t xml:space="preserve"> to</w:t>
      </w:r>
      <w:r w:rsidR="009F2A73" w:rsidRPr="00000DD4">
        <w:rPr>
          <w:rFonts w:ascii="Times New Roman" w:hAnsi="Times New Roman" w:cs="Times New Roman"/>
          <w:sz w:val="24"/>
          <w:szCs w:val="24"/>
        </w:rPr>
        <w:t xml:space="preserve"> the issue at hand.</w:t>
      </w:r>
    </w:p>
    <w:p w:rsidR="00AD47A1" w:rsidRPr="00000DD4" w:rsidRDefault="00440C1F" w:rsidP="00151C6C">
      <w:pPr>
        <w:tabs>
          <w:tab w:val="left" w:pos="1134"/>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t xml:space="preserve"> </w:t>
      </w:r>
    </w:p>
    <w:p w:rsidR="009F2A73" w:rsidRPr="00000DD4" w:rsidRDefault="009F2A73" w:rsidP="00151C6C">
      <w:pPr>
        <w:tabs>
          <w:tab w:val="left" w:pos="1134"/>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lastRenderedPageBreak/>
        <w:tab/>
      </w:r>
      <w:r w:rsidR="00AD389E" w:rsidRPr="00000DD4">
        <w:rPr>
          <w:rFonts w:ascii="Times New Roman" w:hAnsi="Times New Roman" w:cs="Times New Roman"/>
          <w:sz w:val="24"/>
          <w:szCs w:val="24"/>
        </w:rPr>
        <w:t>Indeed,</w:t>
      </w:r>
      <w:r w:rsidR="00552F54" w:rsidRPr="00000DD4">
        <w:rPr>
          <w:rFonts w:ascii="Times New Roman" w:hAnsi="Times New Roman" w:cs="Times New Roman"/>
          <w:sz w:val="24"/>
          <w:szCs w:val="24"/>
        </w:rPr>
        <w:t xml:space="preserve"> a huge part</w:t>
      </w:r>
      <w:r w:rsidRPr="00000DD4">
        <w:rPr>
          <w:rFonts w:ascii="Times New Roman" w:hAnsi="Times New Roman" w:cs="Times New Roman"/>
          <w:sz w:val="24"/>
          <w:szCs w:val="24"/>
        </w:rPr>
        <w:t xml:space="preserve"> of the court </w:t>
      </w:r>
      <w:r w:rsidRPr="00000DD4">
        <w:rPr>
          <w:rFonts w:ascii="Times New Roman" w:hAnsi="Times New Roman" w:cs="Times New Roman"/>
          <w:i/>
          <w:sz w:val="24"/>
          <w:szCs w:val="24"/>
        </w:rPr>
        <w:t>a quo</w:t>
      </w:r>
      <w:r w:rsidRPr="00000DD4">
        <w:rPr>
          <w:rFonts w:ascii="Times New Roman" w:hAnsi="Times New Roman" w:cs="Times New Roman"/>
          <w:sz w:val="24"/>
          <w:szCs w:val="24"/>
        </w:rPr>
        <w:t xml:space="preserve">’s pronouncement </w:t>
      </w:r>
      <w:r w:rsidR="00F05BB9" w:rsidRPr="00000DD4">
        <w:rPr>
          <w:rFonts w:ascii="Times New Roman" w:hAnsi="Times New Roman" w:cs="Times New Roman"/>
          <w:sz w:val="24"/>
          <w:szCs w:val="24"/>
        </w:rPr>
        <w:t>constitutes a</w:t>
      </w:r>
      <w:r w:rsidRPr="00000DD4">
        <w:rPr>
          <w:rFonts w:ascii="Times New Roman" w:hAnsi="Times New Roman" w:cs="Times New Roman"/>
          <w:sz w:val="24"/>
          <w:szCs w:val="24"/>
        </w:rPr>
        <w:t xml:space="preserve"> discussion of those issues which are unrelated to the dis</w:t>
      </w:r>
      <w:r w:rsidR="00440C1F" w:rsidRPr="00000DD4">
        <w:rPr>
          <w:rFonts w:ascii="Times New Roman" w:hAnsi="Times New Roman" w:cs="Times New Roman"/>
          <w:sz w:val="24"/>
          <w:szCs w:val="24"/>
        </w:rPr>
        <w:t>pute between the parties.  While</w:t>
      </w:r>
      <w:r w:rsidRPr="00000DD4">
        <w:rPr>
          <w:rFonts w:ascii="Times New Roman" w:hAnsi="Times New Roman" w:cs="Times New Roman"/>
          <w:sz w:val="24"/>
          <w:szCs w:val="24"/>
        </w:rPr>
        <w:t xml:space="preserve"> it is</w:t>
      </w:r>
      <w:r w:rsidR="00C359C1" w:rsidRPr="00000DD4">
        <w:rPr>
          <w:rFonts w:ascii="Times New Roman" w:hAnsi="Times New Roman" w:cs="Times New Roman"/>
          <w:sz w:val="24"/>
          <w:szCs w:val="24"/>
        </w:rPr>
        <w:t xml:space="preserve"> accepted that the law is</w:t>
      </w:r>
      <w:r w:rsidRPr="00000DD4">
        <w:rPr>
          <w:rFonts w:ascii="Times New Roman" w:hAnsi="Times New Roman" w:cs="Times New Roman"/>
          <w:sz w:val="24"/>
          <w:szCs w:val="24"/>
        </w:rPr>
        <w:t xml:space="preserve"> an </w:t>
      </w:r>
      <w:r w:rsidR="00552F54" w:rsidRPr="00000DD4">
        <w:rPr>
          <w:rFonts w:ascii="Times New Roman" w:hAnsi="Times New Roman" w:cs="Times New Roman"/>
          <w:sz w:val="24"/>
          <w:szCs w:val="24"/>
        </w:rPr>
        <w:t>in</w:t>
      </w:r>
      <w:r w:rsidRPr="00000DD4">
        <w:rPr>
          <w:rFonts w:ascii="Times New Roman" w:hAnsi="Times New Roman" w:cs="Times New Roman"/>
          <w:sz w:val="24"/>
          <w:szCs w:val="24"/>
        </w:rPr>
        <w:t xml:space="preserve">exact science and that there are many sources of law, the judgment commences by quoting the Holy Bible. </w:t>
      </w:r>
      <w:r w:rsidR="00F05BB9" w:rsidRPr="00000DD4">
        <w:rPr>
          <w:rFonts w:ascii="Times New Roman" w:hAnsi="Times New Roman" w:cs="Times New Roman"/>
          <w:sz w:val="24"/>
          <w:szCs w:val="24"/>
        </w:rPr>
        <w:t>It progresses</w:t>
      </w:r>
      <w:r w:rsidRPr="00000DD4">
        <w:rPr>
          <w:rFonts w:ascii="Times New Roman" w:hAnsi="Times New Roman" w:cs="Times New Roman"/>
          <w:sz w:val="24"/>
          <w:szCs w:val="24"/>
        </w:rPr>
        <w:t xml:space="preserve"> to an extensive citation of “handouts” or lecture notes</w:t>
      </w:r>
      <w:r w:rsidR="00F05BB9" w:rsidRPr="00000DD4">
        <w:rPr>
          <w:rFonts w:ascii="Times New Roman" w:hAnsi="Times New Roman" w:cs="Times New Roman"/>
          <w:sz w:val="24"/>
          <w:szCs w:val="24"/>
        </w:rPr>
        <w:t xml:space="preserve"> given by a university lecturer to her 1995 Practical Skills Class.  The lecture notes on drafting court documents are quoted extensively.</w:t>
      </w:r>
    </w:p>
    <w:p w:rsidR="00F05BB9" w:rsidRPr="00000DD4" w:rsidRDefault="00F05BB9" w:rsidP="0007452F">
      <w:pPr>
        <w:tabs>
          <w:tab w:val="left" w:pos="1134"/>
        </w:tabs>
        <w:spacing w:after="0" w:line="480" w:lineRule="auto"/>
        <w:jc w:val="both"/>
        <w:rPr>
          <w:rFonts w:ascii="Times New Roman" w:hAnsi="Times New Roman" w:cs="Times New Roman"/>
          <w:sz w:val="24"/>
          <w:szCs w:val="24"/>
        </w:rPr>
      </w:pPr>
    </w:p>
    <w:p w:rsidR="00F05BB9" w:rsidRPr="00000DD4" w:rsidRDefault="00F05BB9"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The judgment then proceeds to again quote extensively a 1989 presentation</w:t>
      </w:r>
      <w:r w:rsidR="007763BB" w:rsidRPr="00000DD4">
        <w:rPr>
          <w:rFonts w:ascii="Times New Roman" w:hAnsi="Times New Roman" w:cs="Times New Roman"/>
          <w:sz w:val="24"/>
          <w:szCs w:val="24"/>
        </w:rPr>
        <w:t xml:space="preserve"> by a </w:t>
      </w:r>
      <w:r w:rsidRPr="00000DD4">
        <w:rPr>
          <w:rFonts w:ascii="Times New Roman" w:hAnsi="Times New Roman" w:cs="Times New Roman"/>
          <w:sz w:val="24"/>
          <w:szCs w:val="24"/>
        </w:rPr>
        <w:t>“reputable Zimbabwean legal practitioner, notary public and conveyancer</w:t>
      </w:r>
      <w:r w:rsidR="007763BB" w:rsidRPr="00000DD4">
        <w:rPr>
          <w:rFonts w:ascii="Times New Roman" w:hAnsi="Times New Roman" w:cs="Times New Roman"/>
          <w:sz w:val="24"/>
          <w:szCs w:val="24"/>
        </w:rPr>
        <w:t>”</w:t>
      </w:r>
      <w:r w:rsidRPr="00000DD4">
        <w:rPr>
          <w:rFonts w:ascii="Times New Roman" w:hAnsi="Times New Roman" w:cs="Times New Roman"/>
          <w:sz w:val="24"/>
          <w:szCs w:val="24"/>
        </w:rPr>
        <w:t xml:space="preserve"> at a Law Society of Zimbabwe Summer School, on “The Technique of Litigation”</w:t>
      </w:r>
      <w:r w:rsidR="007763BB" w:rsidRPr="00000DD4">
        <w:rPr>
          <w:rFonts w:ascii="Times New Roman" w:hAnsi="Times New Roman" w:cs="Times New Roman"/>
          <w:sz w:val="24"/>
          <w:szCs w:val="24"/>
        </w:rPr>
        <w:t xml:space="preserve">.  After briefly </w:t>
      </w:r>
      <w:r w:rsidR="00A607EA" w:rsidRPr="00000DD4">
        <w:rPr>
          <w:rFonts w:ascii="Times New Roman" w:hAnsi="Times New Roman" w:cs="Times New Roman"/>
          <w:sz w:val="24"/>
          <w:szCs w:val="24"/>
        </w:rPr>
        <w:t xml:space="preserve">adverting to the facts of the matter, before the court </w:t>
      </w:r>
      <w:r w:rsidR="00A607EA" w:rsidRPr="00000DD4">
        <w:rPr>
          <w:rFonts w:ascii="Times New Roman" w:hAnsi="Times New Roman" w:cs="Times New Roman"/>
          <w:i/>
          <w:sz w:val="24"/>
          <w:szCs w:val="24"/>
        </w:rPr>
        <w:t>a quo</w:t>
      </w:r>
      <w:r w:rsidR="00A607EA" w:rsidRPr="00000DD4">
        <w:rPr>
          <w:rFonts w:ascii="Times New Roman" w:hAnsi="Times New Roman" w:cs="Times New Roman"/>
          <w:sz w:val="24"/>
          <w:szCs w:val="24"/>
        </w:rPr>
        <w:t>, the judgment again veers of</w:t>
      </w:r>
      <w:r w:rsidR="002334BB" w:rsidRPr="00000DD4">
        <w:rPr>
          <w:rFonts w:ascii="Times New Roman" w:hAnsi="Times New Roman" w:cs="Times New Roman"/>
          <w:sz w:val="24"/>
          <w:szCs w:val="24"/>
        </w:rPr>
        <w:t>f track</w:t>
      </w:r>
      <w:r w:rsidR="00A607EA" w:rsidRPr="00000DD4">
        <w:rPr>
          <w:rFonts w:ascii="Times New Roman" w:hAnsi="Times New Roman" w:cs="Times New Roman"/>
          <w:sz w:val="24"/>
          <w:szCs w:val="24"/>
        </w:rPr>
        <w:t xml:space="preserve"> to reproduce two stanzas of a </w:t>
      </w:r>
      <w:r w:rsidR="002334BB" w:rsidRPr="00000DD4">
        <w:rPr>
          <w:rFonts w:ascii="Times New Roman" w:hAnsi="Times New Roman" w:cs="Times New Roman"/>
          <w:sz w:val="24"/>
          <w:szCs w:val="24"/>
        </w:rPr>
        <w:t>Shona song by the judge’s</w:t>
      </w:r>
      <w:r w:rsidR="00AD47A1" w:rsidRPr="00000DD4">
        <w:rPr>
          <w:rFonts w:ascii="Times New Roman" w:hAnsi="Times New Roman" w:cs="Times New Roman"/>
          <w:sz w:val="24"/>
          <w:szCs w:val="24"/>
        </w:rPr>
        <w:t xml:space="preserve"> favourite gospel artist.  In terms of s 49 of the High Court Act [</w:t>
      </w:r>
      <w:r w:rsidR="008B114C" w:rsidRPr="00000DD4">
        <w:rPr>
          <w:rFonts w:ascii="Times New Roman" w:hAnsi="Times New Roman" w:cs="Times New Roman"/>
          <w:i/>
          <w:sz w:val="24"/>
          <w:szCs w:val="24"/>
        </w:rPr>
        <w:t>Chapter </w:t>
      </w:r>
      <w:r w:rsidR="00AD47A1" w:rsidRPr="00000DD4">
        <w:rPr>
          <w:rFonts w:ascii="Times New Roman" w:hAnsi="Times New Roman" w:cs="Times New Roman"/>
          <w:i/>
          <w:sz w:val="24"/>
          <w:szCs w:val="24"/>
        </w:rPr>
        <w:t>7: 06</w:t>
      </w:r>
      <w:r w:rsidR="00AD47A1" w:rsidRPr="00000DD4">
        <w:rPr>
          <w:rFonts w:ascii="Times New Roman" w:hAnsi="Times New Roman" w:cs="Times New Roman"/>
          <w:sz w:val="24"/>
          <w:szCs w:val="24"/>
        </w:rPr>
        <w:t xml:space="preserve">] English language is the official language in which proceedings in the court </w:t>
      </w:r>
      <w:r w:rsidR="00AD47A1" w:rsidRPr="00000DD4">
        <w:rPr>
          <w:rFonts w:ascii="Times New Roman" w:hAnsi="Times New Roman" w:cs="Times New Roman"/>
          <w:i/>
          <w:sz w:val="24"/>
          <w:szCs w:val="24"/>
        </w:rPr>
        <w:t>a quo</w:t>
      </w:r>
      <w:r w:rsidR="00AD47A1" w:rsidRPr="00000DD4">
        <w:rPr>
          <w:rFonts w:ascii="Times New Roman" w:hAnsi="Times New Roman" w:cs="Times New Roman"/>
          <w:sz w:val="24"/>
          <w:szCs w:val="24"/>
        </w:rPr>
        <w:t xml:space="preserve"> are conducted.</w:t>
      </w:r>
    </w:p>
    <w:p w:rsidR="00AD47A1" w:rsidRPr="00000DD4" w:rsidRDefault="00AD47A1" w:rsidP="00151C6C">
      <w:pPr>
        <w:tabs>
          <w:tab w:val="left" w:pos="1134"/>
        </w:tabs>
        <w:spacing w:after="0" w:line="480" w:lineRule="auto"/>
        <w:ind w:right="-471"/>
        <w:jc w:val="both"/>
        <w:rPr>
          <w:rFonts w:ascii="Times New Roman" w:hAnsi="Times New Roman" w:cs="Times New Roman"/>
          <w:sz w:val="24"/>
          <w:szCs w:val="24"/>
        </w:rPr>
      </w:pPr>
    </w:p>
    <w:p w:rsidR="00AD47A1" w:rsidRPr="00000DD4" w:rsidRDefault="00AD47A1"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 xml:space="preserve">Yet what was before the court </w:t>
      </w:r>
      <w:r w:rsidRPr="00000DD4">
        <w:rPr>
          <w:rFonts w:ascii="Times New Roman" w:hAnsi="Times New Roman" w:cs="Times New Roman"/>
          <w:i/>
          <w:sz w:val="24"/>
          <w:szCs w:val="24"/>
        </w:rPr>
        <w:t>a quo</w:t>
      </w:r>
      <w:r w:rsidRPr="00000DD4">
        <w:rPr>
          <w:rFonts w:ascii="Times New Roman" w:hAnsi="Times New Roman" w:cs="Times New Roman"/>
          <w:sz w:val="24"/>
          <w:szCs w:val="24"/>
        </w:rPr>
        <w:t xml:space="preserve"> was a simple and straight forward interpleader application requiring the court </w:t>
      </w:r>
      <w:r w:rsidRPr="00000DD4">
        <w:rPr>
          <w:rFonts w:ascii="Times New Roman" w:hAnsi="Times New Roman" w:cs="Times New Roman"/>
          <w:i/>
          <w:sz w:val="24"/>
          <w:szCs w:val="24"/>
        </w:rPr>
        <w:t>a quo</w:t>
      </w:r>
      <w:r w:rsidRPr="00000DD4">
        <w:rPr>
          <w:rFonts w:ascii="Times New Roman" w:hAnsi="Times New Roman" w:cs="Times New Roman"/>
          <w:sz w:val="24"/>
          <w:szCs w:val="24"/>
        </w:rPr>
        <w:t xml:space="preserve"> to determine whether the </w:t>
      </w:r>
      <w:r w:rsidR="004600CE" w:rsidRPr="00000DD4">
        <w:rPr>
          <w:rFonts w:ascii="Times New Roman" w:hAnsi="Times New Roman" w:cs="Times New Roman"/>
          <w:sz w:val="24"/>
          <w:szCs w:val="24"/>
        </w:rPr>
        <w:t>mining claims which had been placed under judicial attachment for sale in exe</w:t>
      </w:r>
      <w:r w:rsidR="00CA113F" w:rsidRPr="00000DD4">
        <w:rPr>
          <w:rFonts w:ascii="Times New Roman" w:hAnsi="Times New Roman" w:cs="Times New Roman"/>
          <w:sz w:val="24"/>
          <w:szCs w:val="24"/>
        </w:rPr>
        <w:t>cution of a judgment debt</w:t>
      </w:r>
      <w:r w:rsidR="00E90DDE">
        <w:rPr>
          <w:rFonts w:ascii="Times New Roman" w:hAnsi="Times New Roman" w:cs="Times New Roman"/>
          <w:sz w:val="24"/>
          <w:szCs w:val="24"/>
        </w:rPr>
        <w:t>,</w:t>
      </w:r>
      <w:r w:rsidR="00CA113F" w:rsidRPr="00000DD4">
        <w:rPr>
          <w:rFonts w:ascii="Times New Roman" w:hAnsi="Times New Roman" w:cs="Times New Roman"/>
          <w:sz w:val="24"/>
          <w:szCs w:val="24"/>
        </w:rPr>
        <w:t xml:space="preserve"> belonged to the claimant, which is the second respondent her</w:t>
      </w:r>
      <w:r w:rsidR="00623D43" w:rsidRPr="00000DD4">
        <w:rPr>
          <w:rFonts w:ascii="Times New Roman" w:hAnsi="Times New Roman" w:cs="Times New Roman"/>
          <w:sz w:val="24"/>
          <w:szCs w:val="24"/>
        </w:rPr>
        <w:t>ein, or Amble Mining (Private) L</w:t>
      </w:r>
      <w:r w:rsidR="00CA113F" w:rsidRPr="00000DD4">
        <w:rPr>
          <w:rFonts w:ascii="Times New Roman" w:hAnsi="Times New Roman" w:cs="Times New Roman"/>
          <w:sz w:val="24"/>
          <w:szCs w:val="24"/>
        </w:rPr>
        <w:t>imited, the judgment debtor.</w:t>
      </w:r>
    </w:p>
    <w:p w:rsidR="00CA113F" w:rsidRPr="00000DD4" w:rsidRDefault="00CA113F" w:rsidP="00151C6C">
      <w:pPr>
        <w:tabs>
          <w:tab w:val="left" w:pos="1134"/>
        </w:tabs>
        <w:spacing w:after="0" w:line="480" w:lineRule="auto"/>
        <w:ind w:right="-472"/>
        <w:jc w:val="both"/>
        <w:rPr>
          <w:rFonts w:ascii="Times New Roman" w:hAnsi="Times New Roman" w:cs="Times New Roman"/>
          <w:sz w:val="24"/>
          <w:szCs w:val="24"/>
        </w:rPr>
      </w:pPr>
    </w:p>
    <w:p w:rsidR="00CA113F" w:rsidRDefault="00CA113F"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 xml:space="preserve">It ought to be said that when the judgment finally </w:t>
      </w:r>
      <w:r w:rsidR="00DB05C1" w:rsidRPr="00000DD4">
        <w:rPr>
          <w:rFonts w:ascii="Times New Roman" w:hAnsi="Times New Roman" w:cs="Times New Roman"/>
          <w:sz w:val="24"/>
          <w:szCs w:val="24"/>
        </w:rPr>
        <w:t xml:space="preserve">addresses the real issues in dispute between the parties, it employs quite inappropriate and injudicious language at times.  An important and central principle of company law, the lifting or piercing of the veil of </w:t>
      </w:r>
      <w:r w:rsidR="00D06702" w:rsidRPr="00000DD4">
        <w:rPr>
          <w:rFonts w:ascii="Times New Roman" w:hAnsi="Times New Roman" w:cs="Times New Roman"/>
          <w:sz w:val="24"/>
          <w:szCs w:val="24"/>
        </w:rPr>
        <w:t>incorporation</w:t>
      </w:r>
      <w:r w:rsidR="00623D43" w:rsidRPr="00000DD4">
        <w:rPr>
          <w:rFonts w:ascii="Times New Roman" w:hAnsi="Times New Roman" w:cs="Times New Roman"/>
          <w:sz w:val="24"/>
          <w:szCs w:val="24"/>
        </w:rPr>
        <w:t>,</w:t>
      </w:r>
      <w:r w:rsidR="00D06702" w:rsidRPr="00000DD4">
        <w:rPr>
          <w:rFonts w:ascii="Times New Roman" w:hAnsi="Times New Roman" w:cs="Times New Roman"/>
          <w:sz w:val="24"/>
          <w:szCs w:val="24"/>
        </w:rPr>
        <w:t xml:space="preserve"> is referred in the judgment as “</w:t>
      </w:r>
      <w:r w:rsidR="00390CD2" w:rsidRPr="00000DD4">
        <w:rPr>
          <w:rFonts w:ascii="Times New Roman" w:hAnsi="Times New Roman" w:cs="Times New Roman"/>
          <w:sz w:val="24"/>
          <w:szCs w:val="24"/>
        </w:rPr>
        <w:t xml:space="preserve">lifting the corporate petticoat” and going </w:t>
      </w:r>
      <w:r w:rsidR="00265AC5" w:rsidRPr="00000DD4">
        <w:rPr>
          <w:rFonts w:ascii="Times New Roman" w:hAnsi="Times New Roman" w:cs="Times New Roman"/>
          <w:sz w:val="24"/>
          <w:szCs w:val="24"/>
        </w:rPr>
        <w:t>“behind</w:t>
      </w:r>
      <w:r w:rsidR="00390CD2" w:rsidRPr="00000DD4">
        <w:rPr>
          <w:rFonts w:ascii="Times New Roman" w:hAnsi="Times New Roman" w:cs="Times New Roman"/>
          <w:sz w:val="24"/>
          <w:szCs w:val="24"/>
        </w:rPr>
        <w:t xml:space="preserve"> the claimant’s skirt”.  These suggesti</w:t>
      </w:r>
      <w:r w:rsidR="00623D43" w:rsidRPr="00000DD4">
        <w:rPr>
          <w:rFonts w:ascii="Times New Roman" w:hAnsi="Times New Roman" w:cs="Times New Roman"/>
          <w:sz w:val="24"/>
          <w:szCs w:val="24"/>
        </w:rPr>
        <w:t>ve undertones make a mockery of</w:t>
      </w:r>
      <w:r w:rsidR="00390CD2" w:rsidRPr="00000DD4">
        <w:rPr>
          <w:rFonts w:ascii="Times New Roman" w:hAnsi="Times New Roman" w:cs="Times New Roman"/>
          <w:sz w:val="24"/>
          <w:szCs w:val="24"/>
        </w:rPr>
        <w:t xml:space="preserve"> critical legal principles.</w:t>
      </w:r>
    </w:p>
    <w:p w:rsidR="002561BB" w:rsidRPr="00000DD4" w:rsidRDefault="002561BB" w:rsidP="00151C6C">
      <w:pPr>
        <w:tabs>
          <w:tab w:val="left" w:pos="1134"/>
        </w:tabs>
        <w:spacing w:after="0" w:line="480" w:lineRule="auto"/>
        <w:ind w:right="-472"/>
        <w:jc w:val="both"/>
        <w:rPr>
          <w:rFonts w:ascii="Times New Roman" w:hAnsi="Times New Roman" w:cs="Times New Roman"/>
          <w:sz w:val="24"/>
          <w:szCs w:val="24"/>
        </w:rPr>
      </w:pPr>
    </w:p>
    <w:p w:rsidR="00390CD2" w:rsidRPr="005E2BF1" w:rsidRDefault="000406CF" w:rsidP="00151C6C">
      <w:pPr>
        <w:tabs>
          <w:tab w:val="left" w:pos="1134"/>
        </w:tabs>
        <w:spacing w:after="0" w:line="480" w:lineRule="auto"/>
        <w:ind w:right="-472"/>
        <w:jc w:val="both"/>
        <w:rPr>
          <w:rFonts w:ascii="Times New Roman" w:hAnsi="Times New Roman" w:cs="Times New Roman"/>
          <w:b/>
          <w:sz w:val="24"/>
          <w:szCs w:val="24"/>
        </w:rPr>
      </w:pPr>
      <w:r w:rsidRPr="005E2BF1">
        <w:rPr>
          <w:rFonts w:ascii="Times New Roman" w:hAnsi="Times New Roman" w:cs="Times New Roman"/>
          <w:b/>
          <w:sz w:val="24"/>
          <w:szCs w:val="24"/>
        </w:rPr>
        <w:t>BACK</w:t>
      </w:r>
      <w:r w:rsidR="005E2BF1" w:rsidRPr="005E2BF1">
        <w:rPr>
          <w:rFonts w:ascii="Times New Roman" w:hAnsi="Times New Roman" w:cs="Times New Roman"/>
          <w:b/>
          <w:sz w:val="24"/>
          <w:szCs w:val="24"/>
        </w:rPr>
        <w:t>GROUND FACTS</w:t>
      </w:r>
    </w:p>
    <w:p w:rsidR="00390CD2" w:rsidRPr="00000DD4" w:rsidRDefault="00390CD2"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 xml:space="preserve">The appellants were employed by Amble Mining (Private) Limited.  A labour dispute between them and their employer yielded an arbitral award which was </w:t>
      </w:r>
      <w:r w:rsidR="00AC66D5" w:rsidRPr="00000DD4">
        <w:rPr>
          <w:rFonts w:ascii="Times New Roman" w:hAnsi="Times New Roman" w:cs="Times New Roman"/>
          <w:sz w:val="24"/>
          <w:szCs w:val="24"/>
        </w:rPr>
        <w:t xml:space="preserve">registered as a judgment of the High Court.  Upon execution of that </w:t>
      </w:r>
      <w:r w:rsidR="00E8559D" w:rsidRPr="00000DD4">
        <w:rPr>
          <w:rFonts w:ascii="Times New Roman" w:hAnsi="Times New Roman" w:cs="Times New Roman"/>
          <w:sz w:val="24"/>
          <w:szCs w:val="24"/>
        </w:rPr>
        <w:t>judgment, a</w:t>
      </w:r>
      <w:r w:rsidR="00896D06" w:rsidRPr="00000DD4">
        <w:rPr>
          <w:rFonts w:ascii="Times New Roman" w:hAnsi="Times New Roman" w:cs="Times New Roman"/>
          <w:sz w:val="24"/>
          <w:szCs w:val="24"/>
        </w:rPr>
        <w:t xml:space="preserve"> Chrome Mine</w:t>
      </w:r>
      <w:r w:rsidR="00AC66D5" w:rsidRPr="00000DD4">
        <w:rPr>
          <w:rFonts w:ascii="Times New Roman" w:hAnsi="Times New Roman" w:cs="Times New Roman"/>
          <w:sz w:val="24"/>
          <w:szCs w:val="24"/>
        </w:rPr>
        <w:t xml:space="preserve"> comprising of mining claims, 110 compound ho</w:t>
      </w:r>
      <w:r w:rsidR="0022188D" w:rsidRPr="00000DD4">
        <w:rPr>
          <w:rFonts w:ascii="Times New Roman" w:hAnsi="Times New Roman" w:cs="Times New Roman"/>
          <w:sz w:val="24"/>
          <w:szCs w:val="24"/>
        </w:rPr>
        <w:t>uses, a shop, 6 round thatched g</w:t>
      </w:r>
      <w:r w:rsidR="00AC66D5" w:rsidRPr="00000DD4">
        <w:rPr>
          <w:rFonts w:ascii="Times New Roman" w:hAnsi="Times New Roman" w:cs="Times New Roman"/>
          <w:sz w:val="24"/>
          <w:szCs w:val="24"/>
        </w:rPr>
        <w:t xml:space="preserve">uest houses, 3 separate guest houses </w:t>
      </w:r>
      <w:r w:rsidR="00D459AB" w:rsidRPr="00000DD4">
        <w:rPr>
          <w:rFonts w:ascii="Times New Roman" w:hAnsi="Times New Roman" w:cs="Times New Roman"/>
          <w:sz w:val="24"/>
          <w:szCs w:val="24"/>
        </w:rPr>
        <w:t>and a</w:t>
      </w:r>
      <w:r w:rsidR="00AC66D5" w:rsidRPr="00000DD4">
        <w:rPr>
          <w:rFonts w:ascii="Times New Roman" w:hAnsi="Times New Roman" w:cs="Times New Roman"/>
          <w:sz w:val="24"/>
          <w:szCs w:val="24"/>
        </w:rPr>
        <w:t xml:space="preserve"> workshop were seized by the Sheriff.  The Sheriff sought to rec</w:t>
      </w:r>
      <w:r w:rsidR="003E2361" w:rsidRPr="00000DD4">
        <w:rPr>
          <w:rFonts w:ascii="Times New Roman" w:hAnsi="Times New Roman" w:cs="Times New Roman"/>
          <w:sz w:val="24"/>
          <w:szCs w:val="24"/>
        </w:rPr>
        <w:t>over the judgment debt of USD 1 199</w:t>
      </w:r>
      <w:r w:rsidR="00D1743A" w:rsidRPr="00000DD4">
        <w:rPr>
          <w:rFonts w:ascii="Times New Roman" w:hAnsi="Times New Roman" w:cs="Times New Roman"/>
          <w:sz w:val="24"/>
          <w:szCs w:val="24"/>
        </w:rPr>
        <w:t> </w:t>
      </w:r>
      <w:r w:rsidR="00AC66D5" w:rsidRPr="00000DD4">
        <w:rPr>
          <w:rFonts w:ascii="Times New Roman" w:hAnsi="Times New Roman" w:cs="Times New Roman"/>
          <w:sz w:val="24"/>
          <w:szCs w:val="24"/>
        </w:rPr>
        <w:t>251,88.</w:t>
      </w:r>
    </w:p>
    <w:p w:rsidR="00D37D0B" w:rsidRPr="00000DD4" w:rsidRDefault="00D37D0B" w:rsidP="00151C6C">
      <w:pPr>
        <w:tabs>
          <w:tab w:val="left" w:pos="1134"/>
        </w:tabs>
        <w:spacing w:after="0" w:line="480" w:lineRule="auto"/>
        <w:ind w:right="-472"/>
        <w:jc w:val="both"/>
        <w:rPr>
          <w:rFonts w:ascii="Times New Roman" w:hAnsi="Times New Roman" w:cs="Times New Roman"/>
          <w:sz w:val="24"/>
          <w:szCs w:val="24"/>
        </w:rPr>
      </w:pPr>
    </w:p>
    <w:p w:rsidR="00D37D0B" w:rsidRPr="00000DD4" w:rsidRDefault="00D37D0B"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 xml:space="preserve">Following attachment, the </w:t>
      </w:r>
      <w:r w:rsidR="003A5AF5" w:rsidRPr="00000DD4">
        <w:rPr>
          <w:rFonts w:ascii="Times New Roman" w:hAnsi="Times New Roman" w:cs="Times New Roman"/>
          <w:sz w:val="24"/>
          <w:szCs w:val="24"/>
        </w:rPr>
        <w:t>second</w:t>
      </w:r>
      <w:r w:rsidRPr="00000DD4">
        <w:rPr>
          <w:rFonts w:ascii="Times New Roman" w:hAnsi="Times New Roman" w:cs="Times New Roman"/>
          <w:sz w:val="24"/>
          <w:szCs w:val="24"/>
        </w:rPr>
        <w:t xml:space="preserve"> respondent, a company incorporated in terms of the laws of </w:t>
      </w:r>
      <w:r w:rsidR="00D27B56" w:rsidRPr="00000DD4">
        <w:rPr>
          <w:rFonts w:ascii="Times New Roman" w:hAnsi="Times New Roman" w:cs="Times New Roman"/>
          <w:sz w:val="24"/>
          <w:szCs w:val="24"/>
        </w:rPr>
        <w:t>Switzerland</w:t>
      </w:r>
      <w:r w:rsidRPr="00000DD4">
        <w:rPr>
          <w:rFonts w:ascii="Times New Roman" w:hAnsi="Times New Roman" w:cs="Times New Roman"/>
          <w:sz w:val="24"/>
          <w:szCs w:val="24"/>
        </w:rPr>
        <w:t xml:space="preserve"> claimed all </w:t>
      </w:r>
      <w:r w:rsidR="002F1910" w:rsidRPr="00000DD4">
        <w:rPr>
          <w:rFonts w:ascii="Times New Roman" w:hAnsi="Times New Roman" w:cs="Times New Roman"/>
          <w:sz w:val="24"/>
          <w:szCs w:val="24"/>
        </w:rPr>
        <w:t xml:space="preserve">the </w:t>
      </w:r>
      <w:r w:rsidRPr="00000DD4">
        <w:rPr>
          <w:rFonts w:ascii="Times New Roman" w:hAnsi="Times New Roman" w:cs="Times New Roman"/>
          <w:sz w:val="24"/>
          <w:szCs w:val="24"/>
        </w:rPr>
        <w:t>property as its own.  The appellants did not admit the claim</w:t>
      </w:r>
      <w:r w:rsidR="003A5AF5" w:rsidRPr="00000DD4">
        <w:rPr>
          <w:rFonts w:ascii="Times New Roman" w:hAnsi="Times New Roman" w:cs="Times New Roman"/>
          <w:sz w:val="24"/>
          <w:szCs w:val="24"/>
        </w:rPr>
        <w:t xml:space="preserve">.  This forced the Sheriff to institute interpleader proceedings in the court </w:t>
      </w:r>
      <w:r w:rsidR="003A5AF5" w:rsidRPr="00000DD4">
        <w:rPr>
          <w:rFonts w:ascii="Times New Roman" w:hAnsi="Times New Roman" w:cs="Times New Roman"/>
          <w:i/>
          <w:sz w:val="24"/>
          <w:szCs w:val="24"/>
        </w:rPr>
        <w:t>a quo</w:t>
      </w:r>
      <w:r w:rsidR="003A5AF5" w:rsidRPr="00000DD4">
        <w:rPr>
          <w:rFonts w:ascii="Times New Roman" w:hAnsi="Times New Roman" w:cs="Times New Roman"/>
          <w:sz w:val="24"/>
          <w:szCs w:val="24"/>
        </w:rPr>
        <w:t xml:space="preserve"> to settle the conflicting claims</w:t>
      </w:r>
      <w:r w:rsidR="004861BA" w:rsidRPr="00000DD4">
        <w:rPr>
          <w:rFonts w:ascii="Times New Roman" w:hAnsi="Times New Roman" w:cs="Times New Roman"/>
          <w:sz w:val="24"/>
          <w:szCs w:val="24"/>
        </w:rPr>
        <w:t>.</w:t>
      </w:r>
    </w:p>
    <w:p w:rsidR="004861BA" w:rsidRPr="00000DD4" w:rsidRDefault="004861BA" w:rsidP="00F43029">
      <w:pPr>
        <w:tabs>
          <w:tab w:val="left" w:pos="1134"/>
        </w:tabs>
        <w:spacing w:after="0" w:line="480" w:lineRule="auto"/>
        <w:ind w:right="-471"/>
        <w:jc w:val="both"/>
        <w:rPr>
          <w:rFonts w:ascii="Times New Roman" w:hAnsi="Times New Roman" w:cs="Times New Roman"/>
          <w:sz w:val="24"/>
          <w:szCs w:val="24"/>
        </w:rPr>
      </w:pPr>
    </w:p>
    <w:p w:rsidR="004861BA" w:rsidRPr="00000DD4" w:rsidRDefault="004861BA"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The second respondent admitted that the mining claim once belonged to the judgment debtor.  Its case however was that it had bought the property from the judgment debtor in 2009 during which year it also took transfer of the claims.</w:t>
      </w:r>
    </w:p>
    <w:p w:rsidR="004861BA" w:rsidRPr="00000DD4" w:rsidRDefault="004861BA" w:rsidP="00151C6C">
      <w:pPr>
        <w:tabs>
          <w:tab w:val="left" w:pos="1134"/>
        </w:tabs>
        <w:spacing w:after="0" w:line="480" w:lineRule="auto"/>
        <w:ind w:right="-472"/>
        <w:jc w:val="both"/>
        <w:rPr>
          <w:rFonts w:ascii="Times New Roman" w:hAnsi="Times New Roman" w:cs="Times New Roman"/>
          <w:sz w:val="24"/>
          <w:szCs w:val="24"/>
        </w:rPr>
      </w:pPr>
    </w:p>
    <w:p w:rsidR="004861BA" w:rsidRPr="00000DD4" w:rsidRDefault="004861BA"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 xml:space="preserve">As proof of the sale, the second respondent produced a Board Resolution of a </w:t>
      </w:r>
      <w:r w:rsidR="009B7A2B" w:rsidRPr="00000DD4">
        <w:rPr>
          <w:rFonts w:ascii="Times New Roman" w:hAnsi="Times New Roman" w:cs="Times New Roman"/>
          <w:sz w:val="24"/>
          <w:szCs w:val="24"/>
        </w:rPr>
        <w:t>company known</w:t>
      </w:r>
      <w:r w:rsidRPr="00000DD4">
        <w:rPr>
          <w:rFonts w:ascii="Times New Roman" w:hAnsi="Times New Roman" w:cs="Times New Roman"/>
          <w:sz w:val="24"/>
          <w:szCs w:val="24"/>
        </w:rPr>
        <w:t xml:space="preserve"> as Maranatha </w:t>
      </w:r>
      <w:r w:rsidR="0081453E" w:rsidRPr="00000DD4">
        <w:rPr>
          <w:rFonts w:ascii="Times New Roman" w:hAnsi="Times New Roman" w:cs="Times New Roman"/>
          <w:sz w:val="24"/>
          <w:szCs w:val="24"/>
        </w:rPr>
        <w:t>Ferroc</w:t>
      </w:r>
      <w:r w:rsidR="00E07853" w:rsidRPr="00000DD4">
        <w:rPr>
          <w:rFonts w:ascii="Times New Roman" w:hAnsi="Times New Roman" w:cs="Times New Roman"/>
          <w:sz w:val="24"/>
          <w:szCs w:val="24"/>
        </w:rPr>
        <w:t>hrome (Private) Limited</w:t>
      </w:r>
      <w:r w:rsidR="00530E75" w:rsidRPr="00000DD4">
        <w:rPr>
          <w:rFonts w:ascii="Times New Roman" w:hAnsi="Times New Roman" w:cs="Times New Roman"/>
          <w:sz w:val="24"/>
          <w:szCs w:val="24"/>
        </w:rPr>
        <w:t>, the hold</w:t>
      </w:r>
      <w:r w:rsidR="00510B1E" w:rsidRPr="00000DD4">
        <w:rPr>
          <w:rFonts w:ascii="Times New Roman" w:hAnsi="Times New Roman" w:cs="Times New Roman"/>
          <w:sz w:val="24"/>
          <w:szCs w:val="24"/>
        </w:rPr>
        <w:t>ing company of Amble Mining (Private) Limite</w:t>
      </w:r>
      <w:r w:rsidR="00530E75" w:rsidRPr="00000DD4">
        <w:rPr>
          <w:rFonts w:ascii="Times New Roman" w:hAnsi="Times New Roman" w:cs="Times New Roman"/>
          <w:sz w:val="24"/>
          <w:szCs w:val="24"/>
        </w:rPr>
        <w:t>d.  The second respondent also produced a copy of a certificate of registration of th</w:t>
      </w:r>
      <w:r w:rsidR="00562D51" w:rsidRPr="00000DD4">
        <w:rPr>
          <w:rFonts w:ascii="Times New Roman" w:hAnsi="Times New Roman" w:cs="Times New Roman"/>
          <w:sz w:val="24"/>
          <w:szCs w:val="24"/>
        </w:rPr>
        <w:t>e</w:t>
      </w:r>
      <w:r w:rsidR="00530E75" w:rsidRPr="00000DD4">
        <w:rPr>
          <w:rFonts w:ascii="Times New Roman" w:hAnsi="Times New Roman" w:cs="Times New Roman"/>
          <w:sz w:val="24"/>
          <w:szCs w:val="24"/>
        </w:rPr>
        <w:t xml:space="preserve"> mining claim issued by the Ministry of Mines and Mineral Development in its name.</w:t>
      </w:r>
    </w:p>
    <w:p w:rsidR="009B7A2B" w:rsidRPr="00000DD4" w:rsidRDefault="009B7A2B" w:rsidP="00151C6C">
      <w:pPr>
        <w:tabs>
          <w:tab w:val="left" w:pos="1134"/>
        </w:tabs>
        <w:spacing w:after="0" w:line="480" w:lineRule="auto"/>
        <w:ind w:right="-472"/>
        <w:jc w:val="both"/>
        <w:rPr>
          <w:rFonts w:ascii="Times New Roman" w:hAnsi="Times New Roman" w:cs="Times New Roman"/>
          <w:sz w:val="24"/>
          <w:szCs w:val="24"/>
        </w:rPr>
      </w:pPr>
    </w:p>
    <w:p w:rsidR="008F7266" w:rsidRDefault="009B7A2B"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 xml:space="preserve">In </w:t>
      </w:r>
      <w:r w:rsidR="00F7421C" w:rsidRPr="00000DD4">
        <w:rPr>
          <w:rFonts w:ascii="Times New Roman" w:hAnsi="Times New Roman" w:cs="Times New Roman"/>
          <w:sz w:val="24"/>
          <w:szCs w:val="24"/>
        </w:rPr>
        <w:t xml:space="preserve">addition to that, the second respondent also produced two letters written by the Acting </w:t>
      </w:r>
      <w:r w:rsidR="00F14A99" w:rsidRPr="00000DD4">
        <w:rPr>
          <w:rFonts w:ascii="Times New Roman" w:hAnsi="Times New Roman" w:cs="Times New Roman"/>
          <w:sz w:val="24"/>
          <w:szCs w:val="24"/>
        </w:rPr>
        <w:t xml:space="preserve">Provincial Mining Director for Mashonaland West.  The letters in question are contradictory. </w:t>
      </w:r>
    </w:p>
    <w:p w:rsidR="009B7A2B" w:rsidRPr="00000DD4" w:rsidRDefault="00F14A99"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lastRenderedPageBreak/>
        <w:t xml:space="preserve"> The </w:t>
      </w:r>
      <w:r w:rsidR="00562D51" w:rsidRPr="00000DD4">
        <w:rPr>
          <w:rFonts w:ascii="Times New Roman" w:hAnsi="Times New Roman" w:cs="Times New Roman"/>
          <w:sz w:val="24"/>
          <w:szCs w:val="24"/>
        </w:rPr>
        <w:t>first dated 31 May 2018 stated that the mining claims</w:t>
      </w:r>
      <w:r w:rsidR="00AD66BF" w:rsidRPr="00000DD4">
        <w:rPr>
          <w:rFonts w:ascii="Times New Roman" w:hAnsi="Times New Roman" w:cs="Times New Roman"/>
          <w:sz w:val="24"/>
          <w:szCs w:val="24"/>
        </w:rPr>
        <w:t xml:space="preserve"> belonged to the judgment debtor.  The </w:t>
      </w:r>
      <w:r w:rsidR="00D27B56" w:rsidRPr="00000DD4">
        <w:rPr>
          <w:rFonts w:ascii="Times New Roman" w:hAnsi="Times New Roman" w:cs="Times New Roman"/>
          <w:sz w:val="24"/>
          <w:szCs w:val="24"/>
        </w:rPr>
        <w:t>second dated</w:t>
      </w:r>
      <w:r w:rsidR="00AD66BF" w:rsidRPr="00000DD4">
        <w:rPr>
          <w:rFonts w:ascii="Times New Roman" w:hAnsi="Times New Roman" w:cs="Times New Roman"/>
          <w:sz w:val="24"/>
          <w:szCs w:val="24"/>
        </w:rPr>
        <w:t xml:space="preserve"> 5 July 2018 apologised for</w:t>
      </w:r>
      <w:r w:rsidR="002C268D" w:rsidRPr="00000DD4">
        <w:rPr>
          <w:rFonts w:ascii="Times New Roman" w:hAnsi="Times New Roman" w:cs="Times New Roman"/>
          <w:sz w:val="24"/>
          <w:szCs w:val="24"/>
        </w:rPr>
        <w:t xml:space="preserve"> what</w:t>
      </w:r>
      <w:r w:rsidR="00AD66BF" w:rsidRPr="00000DD4">
        <w:rPr>
          <w:rFonts w:ascii="Times New Roman" w:hAnsi="Times New Roman" w:cs="Times New Roman"/>
          <w:sz w:val="24"/>
          <w:szCs w:val="24"/>
        </w:rPr>
        <w:t xml:space="preserve"> it referred to as a “gaffe” in the earlier</w:t>
      </w:r>
      <w:r w:rsidR="00295DFE" w:rsidRPr="00000DD4">
        <w:rPr>
          <w:rFonts w:ascii="Times New Roman" w:hAnsi="Times New Roman" w:cs="Times New Roman"/>
          <w:sz w:val="24"/>
          <w:szCs w:val="24"/>
        </w:rPr>
        <w:t xml:space="preserve"> letter and stated that the mining claims belonged </w:t>
      </w:r>
      <w:r w:rsidR="000D168C" w:rsidRPr="00000DD4">
        <w:rPr>
          <w:rFonts w:ascii="Times New Roman" w:hAnsi="Times New Roman" w:cs="Times New Roman"/>
          <w:sz w:val="24"/>
          <w:szCs w:val="24"/>
        </w:rPr>
        <w:t>to the second respondent.</w:t>
      </w:r>
    </w:p>
    <w:p w:rsidR="000D168C" w:rsidRPr="00000DD4" w:rsidRDefault="000D168C" w:rsidP="00F43029">
      <w:pPr>
        <w:tabs>
          <w:tab w:val="left" w:pos="1134"/>
        </w:tabs>
        <w:spacing w:after="0" w:line="480" w:lineRule="auto"/>
        <w:ind w:right="-471"/>
        <w:jc w:val="both"/>
        <w:rPr>
          <w:rFonts w:ascii="Times New Roman" w:hAnsi="Times New Roman" w:cs="Times New Roman"/>
          <w:sz w:val="24"/>
          <w:szCs w:val="24"/>
        </w:rPr>
      </w:pPr>
    </w:p>
    <w:p w:rsidR="000D168C" w:rsidRPr="00000DD4" w:rsidRDefault="00BC64A5"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The appellant</w:t>
      </w:r>
      <w:r w:rsidR="000D168C" w:rsidRPr="00000DD4">
        <w:rPr>
          <w:rFonts w:ascii="Times New Roman" w:hAnsi="Times New Roman" w:cs="Times New Roman"/>
          <w:sz w:val="24"/>
          <w:szCs w:val="24"/>
        </w:rPr>
        <w:t>s</w:t>
      </w:r>
      <w:r w:rsidRPr="00000DD4">
        <w:rPr>
          <w:rFonts w:ascii="Times New Roman" w:hAnsi="Times New Roman" w:cs="Times New Roman"/>
          <w:sz w:val="24"/>
          <w:szCs w:val="24"/>
        </w:rPr>
        <w:t>’</w:t>
      </w:r>
      <w:r w:rsidR="003F5DFC" w:rsidRPr="00000DD4">
        <w:rPr>
          <w:rFonts w:ascii="Times New Roman" w:hAnsi="Times New Roman" w:cs="Times New Roman"/>
          <w:sz w:val="24"/>
          <w:szCs w:val="24"/>
        </w:rPr>
        <w:t xml:space="preserve"> </w:t>
      </w:r>
      <w:r w:rsidR="000D168C" w:rsidRPr="00000DD4">
        <w:rPr>
          <w:rFonts w:ascii="Times New Roman" w:hAnsi="Times New Roman" w:cs="Times New Roman"/>
          <w:sz w:val="24"/>
          <w:szCs w:val="24"/>
        </w:rPr>
        <w:t>case was that there was collusion between the Acting Provincial Mining Director, the second respondent, the judgment debtor and Maranatha Ferro</w:t>
      </w:r>
      <w:r w:rsidR="00C5539B" w:rsidRPr="00000DD4">
        <w:rPr>
          <w:rFonts w:ascii="Times New Roman" w:hAnsi="Times New Roman" w:cs="Times New Roman"/>
          <w:sz w:val="24"/>
          <w:szCs w:val="24"/>
        </w:rPr>
        <w:t>chrome (Private) L</w:t>
      </w:r>
      <w:r w:rsidR="0004363C" w:rsidRPr="00000DD4">
        <w:rPr>
          <w:rFonts w:ascii="Times New Roman" w:hAnsi="Times New Roman" w:cs="Times New Roman"/>
          <w:sz w:val="24"/>
          <w:szCs w:val="24"/>
        </w:rPr>
        <w:t>imited</w:t>
      </w:r>
      <w:r w:rsidR="000D168C" w:rsidRPr="00000DD4">
        <w:rPr>
          <w:rFonts w:ascii="Times New Roman" w:hAnsi="Times New Roman" w:cs="Times New Roman"/>
          <w:sz w:val="24"/>
          <w:szCs w:val="24"/>
        </w:rPr>
        <w:t xml:space="preserve"> in order to confound creditors.  The appellants moved for the lifting of the veil of incorporation so as </w:t>
      </w:r>
      <w:r w:rsidR="00B9023E" w:rsidRPr="00000DD4">
        <w:rPr>
          <w:rFonts w:ascii="Times New Roman" w:hAnsi="Times New Roman" w:cs="Times New Roman"/>
          <w:sz w:val="24"/>
          <w:szCs w:val="24"/>
        </w:rPr>
        <w:t>to expose the second respondent, the judg</w:t>
      </w:r>
      <w:r w:rsidR="00E54EAC" w:rsidRPr="00000DD4">
        <w:rPr>
          <w:rFonts w:ascii="Times New Roman" w:hAnsi="Times New Roman" w:cs="Times New Roman"/>
          <w:sz w:val="24"/>
          <w:szCs w:val="24"/>
        </w:rPr>
        <w:t>ment debtor and Maranatha Ferro</w:t>
      </w:r>
      <w:r w:rsidR="000A5847" w:rsidRPr="00000DD4">
        <w:rPr>
          <w:rFonts w:ascii="Times New Roman" w:hAnsi="Times New Roman" w:cs="Times New Roman"/>
          <w:sz w:val="24"/>
          <w:szCs w:val="24"/>
        </w:rPr>
        <w:t>c</w:t>
      </w:r>
      <w:r w:rsidR="002E5331" w:rsidRPr="00000DD4">
        <w:rPr>
          <w:rFonts w:ascii="Times New Roman" w:hAnsi="Times New Roman" w:cs="Times New Roman"/>
          <w:sz w:val="24"/>
          <w:szCs w:val="24"/>
        </w:rPr>
        <w:t>hrome (Private</w:t>
      </w:r>
      <w:r w:rsidR="00B9023E" w:rsidRPr="00000DD4">
        <w:rPr>
          <w:rFonts w:ascii="Times New Roman" w:hAnsi="Times New Roman" w:cs="Times New Roman"/>
          <w:sz w:val="24"/>
          <w:szCs w:val="24"/>
        </w:rPr>
        <w:t>)</w:t>
      </w:r>
      <w:r w:rsidR="000A5847" w:rsidRPr="00000DD4">
        <w:rPr>
          <w:rFonts w:ascii="Times New Roman" w:hAnsi="Times New Roman" w:cs="Times New Roman"/>
          <w:sz w:val="24"/>
          <w:szCs w:val="24"/>
        </w:rPr>
        <w:t xml:space="preserve"> L</w:t>
      </w:r>
      <w:r w:rsidR="002E5331" w:rsidRPr="00000DD4">
        <w:rPr>
          <w:rFonts w:ascii="Times New Roman" w:hAnsi="Times New Roman" w:cs="Times New Roman"/>
          <w:sz w:val="24"/>
          <w:szCs w:val="24"/>
        </w:rPr>
        <w:t>imited</w:t>
      </w:r>
      <w:r w:rsidR="00922521" w:rsidRPr="00000DD4">
        <w:rPr>
          <w:rFonts w:ascii="Times New Roman" w:hAnsi="Times New Roman" w:cs="Times New Roman"/>
          <w:sz w:val="24"/>
          <w:szCs w:val="24"/>
        </w:rPr>
        <w:t xml:space="preserve"> as companies </w:t>
      </w:r>
      <w:r w:rsidR="00A84B92" w:rsidRPr="00000DD4">
        <w:rPr>
          <w:rFonts w:ascii="Times New Roman" w:hAnsi="Times New Roman" w:cs="Times New Roman"/>
          <w:sz w:val="24"/>
          <w:szCs w:val="24"/>
        </w:rPr>
        <w:t>of the same group</w:t>
      </w:r>
      <w:r w:rsidR="00E43BD0" w:rsidRPr="00000DD4">
        <w:rPr>
          <w:rFonts w:ascii="Times New Roman" w:hAnsi="Times New Roman" w:cs="Times New Roman"/>
          <w:sz w:val="24"/>
          <w:szCs w:val="24"/>
        </w:rPr>
        <w:t>.  The purported sale of the mining claims would be shown to be a sale between subsidiary companies.</w:t>
      </w:r>
    </w:p>
    <w:p w:rsidR="00E43BD0" w:rsidRPr="00000DD4" w:rsidRDefault="00E43BD0" w:rsidP="00151C6C">
      <w:pPr>
        <w:tabs>
          <w:tab w:val="left" w:pos="1134"/>
        </w:tabs>
        <w:spacing w:after="0" w:line="480" w:lineRule="auto"/>
        <w:ind w:right="-472"/>
        <w:jc w:val="both"/>
        <w:rPr>
          <w:rFonts w:ascii="Times New Roman" w:hAnsi="Times New Roman" w:cs="Times New Roman"/>
          <w:sz w:val="24"/>
          <w:szCs w:val="24"/>
        </w:rPr>
      </w:pPr>
    </w:p>
    <w:p w:rsidR="00E43BD0" w:rsidRPr="00000DD4" w:rsidRDefault="00E43BD0"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 xml:space="preserve">The </w:t>
      </w:r>
      <w:r w:rsidR="002701C1" w:rsidRPr="00000DD4">
        <w:rPr>
          <w:rFonts w:ascii="Times New Roman" w:hAnsi="Times New Roman" w:cs="Times New Roman"/>
          <w:sz w:val="24"/>
          <w:szCs w:val="24"/>
        </w:rPr>
        <w:t xml:space="preserve">court </w:t>
      </w:r>
      <w:r w:rsidR="002701C1" w:rsidRPr="00000DD4">
        <w:rPr>
          <w:rFonts w:ascii="Times New Roman" w:hAnsi="Times New Roman" w:cs="Times New Roman"/>
          <w:i/>
          <w:sz w:val="24"/>
          <w:szCs w:val="24"/>
        </w:rPr>
        <w:t>a quo</w:t>
      </w:r>
      <w:r w:rsidR="002701C1" w:rsidRPr="00000DD4">
        <w:rPr>
          <w:rFonts w:ascii="Times New Roman" w:hAnsi="Times New Roman" w:cs="Times New Roman"/>
          <w:sz w:val="24"/>
          <w:szCs w:val="24"/>
        </w:rPr>
        <w:t xml:space="preserve"> found that after producing the documents I have alluded </w:t>
      </w:r>
      <w:r w:rsidR="00935DF8">
        <w:rPr>
          <w:rFonts w:ascii="Times New Roman" w:hAnsi="Times New Roman" w:cs="Times New Roman"/>
          <w:sz w:val="24"/>
          <w:szCs w:val="24"/>
        </w:rPr>
        <w:t xml:space="preserve">to </w:t>
      </w:r>
      <w:r w:rsidR="002701C1" w:rsidRPr="00000DD4">
        <w:rPr>
          <w:rFonts w:ascii="Times New Roman" w:hAnsi="Times New Roman" w:cs="Times New Roman"/>
          <w:sz w:val="24"/>
          <w:szCs w:val="24"/>
        </w:rPr>
        <w:t>the second respondent had discharged</w:t>
      </w:r>
      <w:r w:rsidR="00CB4017" w:rsidRPr="00000DD4">
        <w:rPr>
          <w:rFonts w:ascii="Times New Roman" w:hAnsi="Times New Roman" w:cs="Times New Roman"/>
          <w:sz w:val="24"/>
          <w:szCs w:val="24"/>
        </w:rPr>
        <w:t xml:space="preserve"> the </w:t>
      </w:r>
      <w:r w:rsidR="00CB4017" w:rsidRPr="00000DD4">
        <w:rPr>
          <w:rFonts w:ascii="Times New Roman" w:hAnsi="Times New Roman" w:cs="Times New Roman"/>
          <w:i/>
          <w:sz w:val="24"/>
          <w:szCs w:val="24"/>
        </w:rPr>
        <w:t xml:space="preserve">onus </w:t>
      </w:r>
      <w:r w:rsidR="00CB4017" w:rsidRPr="00000DD4">
        <w:rPr>
          <w:rFonts w:ascii="Times New Roman" w:hAnsi="Times New Roman" w:cs="Times New Roman"/>
          <w:sz w:val="24"/>
          <w:szCs w:val="24"/>
        </w:rPr>
        <w:t>of</w:t>
      </w:r>
      <w:r w:rsidR="00CB4017" w:rsidRPr="00000DD4">
        <w:rPr>
          <w:rFonts w:ascii="Times New Roman" w:hAnsi="Times New Roman" w:cs="Times New Roman"/>
          <w:i/>
          <w:sz w:val="24"/>
          <w:szCs w:val="24"/>
        </w:rPr>
        <w:t xml:space="preserve"> </w:t>
      </w:r>
      <w:r w:rsidR="00CB4017" w:rsidRPr="00000DD4">
        <w:rPr>
          <w:rFonts w:ascii="Times New Roman" w:hAnsi="Times New Roman" w:cs="Times New Roman"/>
          <w:sz w:val="24"/>
          <w:szCs w:val="24"/>
        </w:rPr>
        <w:t xml:space="preserve">proving ownership.  It had set out a </w:t>
      </w:r>
      <w:r w:rsidR="00CB4017" w:rsidRPr="00000DD4">
        <w:rPr>
          <w:rFonts w:ascii="Times New Roman" w:hAnsi="Times New Roman" w:cs="Times New Roman"/>
          <w:i/>
          <w:sz w:val="24"/>
          <w:szCs w:val="24"/>
        </w:rPr>
        <w:t xml:space="preserve">prima facie </w:t>
      </w:r>
      <w:r w:rsidR="00CB4017" w:rsidRPr="00000DD4">
        <w:rPr>
          <w:rFonts w:ascii="Times New Roman" w:hAnsi="Times New Roman" w:cs="Times New Roman"/>
          <w:sz w:val="24"/>
          <w:szCs w:val="24"/>
        </w:rPr>
        <w:t xml:space="preserve">case of ownership which had the effect of shifting the </w:t>
      </w:r>
      <w:r w:rsidR="00CB4017" w:rsidRPr="00000DD4">
        <w:rPr>
          <w:rFonts w:ascii="Times New Roman" w:hAnsi="Times New Roman" w:cs="Times New Roman"/>
          <w:i/>
          <w:sz w:val="24"/>
          <w:szCs w:val="24"/>
        </w:rPr>
        <w:t>onus</w:t>
      </w:r>
      <w:r w:rsidR="00CB4017" w:rsidRPr="00000DD4">
        <w:rPr>
          <w:rFonts w:ascii="Times New Roman" w:hAnsi="Times New Roman" w:cs="Times New Roman"/>
          <w:sz w:val="24"/>
          <w:szCs w:val="24"/>
        </w:rPr>
        <w:t xml:space="preserve"> to the judgment creditors</w:t>
      </w:r>
      <w:r w:rsidR="006C4036" w:rsidRPr="00000DD4">
        <w:rPr>
          <w:rFonts w:ascii="Times New Roman" w:hAnsi="Times New Roman" w:cs="Times New Roman"/>
          <w:sz w:val="24"/>
          <w:szCs w:val="24"/>
        </w:rPr>
        <w:t>,</w:t>
      </w:r>
      <w:r w:rsidR="00F2577D" w:rsidRPr="00000DD4">
        <w:rPr>
          <w:rFonts w:ascii="Times New Roman" w:hAnsi="Times New Roman" w:cs="Times New Roman"/>
          <w:sz w:val="24"/>
          <w:szCs w:val="24"/>
        </w:rPr>
        <w:t xml:space="preserve"> </w:t>
      </w:r>
      <w:r w:rsidR="006C4036" w:rsidRPr="00000DD4">
        <w:rPr>
          <w:rFonts w:ascii="Times New Roman" w:hAnsi="Times New Roman" w:cs="Times New Roman"/>
          <w:sz w:val="24"/>
          <w:szCs w:val="24"/>
        </w:rPr>
        <w:t>the appellants herein, to prove otherwise.  The court </w:t>
      </w:r>
      <w:r w:rsidR="006C4036" w:rsidRPr="00000DD4">
        <w:rPr>
          <w:rFonts w:ascii="Times New Roman" w:hAnsi="Times New Roman" w:cs="Times New Roman"/>
          <w:i/>
          <w:sz w:val="24"/>
          <w:szCs w:val="24"/>
        </w:rPr>
        <w:t>a quo</w:t>
      </w:r>
      <w:r w:rsidR="006C4036" w:rsidRPr="00000DD4">
        <w:rPr>
          <w:rFonts w:ascii="Times New Roman" w:hAnsi="Times New Roman" w:cs="Times New Roman"/>
          <w:sz w:val="24"/>
          <w:szCs w:val="24"/>
        </w:rPr>
        <w:t xml:space="preserve"> further found that the</w:t>
      </w:r>
      <w:r w:rsidR="00ED28D6" w:rsidRPr="00000DD4">
        <w:rPr>
          <w:rFonts w:ascii="Times New Roman" w:hAnsi="Times New Roman" w:cs="Times New Roman"/>
          <w:sz w:val="24"/>
          <w:szCs w:val="24"/>
        </w:rPr>
        <w:t xml:space="preserve"> appellants did not adduce any evidence.  As such, the </w:t>
      </w:r>
      <w:r w:rsidR="00ED28D6" w:rsidRPr="00000DD4">
        <w:rPr>
          <w:rFonts w:ascii="Times New Roman" w:hAnsi="Times New Roman" w:cs="Times New Roman"/>
          <w:i/>
          <w:sz w:val="24"/>
          <w:szCs w:val="24"/>
        </w:rPr>
        <w:t>prima facie</w:t>
      </w:r>
      <w:r w:rsidR="00ED28D6" w:rsidRPr="00000DD4">
        <w:rPr>
          <w:rFonts w:ascii="Times New Roman" w:hAnsi="Times New Roman" w:cs="Times New Roman"/>
          <w:sz w:val="24"/>
          <w:szCs w:val="24"/>
        </w:rPr>
        <w:t xml:space="preserve"> case provided by the second respondent “mutated” to proof of ownership.</w:t>
      </w:r>
    </w:p>
    <w:p w:rsidR="004E0B0F" w:rsidRPr="00000DD4" w:rsidRDefault="004E0B0F" w:rsidP="00151C6C">
      <w:pPr>
        <w:tabs>
          <w:tab w:val="left" w:pos="1134"/>
        </w:tabs>
        <w:spacing w:after="0" w:line="480" w:lineRule="auto"/>
        <w:ind w:right="-472"/>
        <w:jc w:val="both"/>
        <w:rPr>
          <w:rFonts w:ascii="Times New Roman" w:hAnsi="Times New Roman" w:cs="Times New Roman"/>
          <w:sz w:val="24"/>
          <w:szCs w:val="24"/>
        </w:rPr>
      </w:pPr>
    </w:p>
    <w:p w:rsidR="004E0B0F" w:rsidRPr="00000DD4" w:rsidRDefault="004E0B0F"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The appellants were aggrieved and noted this appeal on 4 grounds.</w:t>
      </w:r>
    </w:p>
    <w:p w:rsidR="00FA0B93" w:rsidRPr="00000DD4" w:rsidRDefault="00FA0B93" w:rsidP="00151C6C">
      <w:pPr>
        <w:tabs>
          <w:tab w:val="left" w:pos="1134"/>
        </w:tabs>
        <w:spacing w:after="0" w:line="480" w:lineRule="auto"/>
        <w:ind w:right="-472"/>
        <w:jc w:val="both"/>
        <w:rPr>
          <w:rFonts w:ascii="Times New Roman" w:hAnsi="Times New Roman" w:cs="Times New Roman"/>
          <w:sz w:val="24"/>
          <w:szCs w:val="24"/>
        </w:rPr>
      </w:pPr>
    </w:p>
    <w:p w:rsidR="004E0B0F" w:rsidRPr="00000DD4" w:rsidRDefault="004E0B0F" w:rsidP="00151C6C">
      <w:pPr>
        <w:tabs>
          <w:tab w:val="left" w:pos="567"/>
          <w:tab w:val="left" w:pos="993"/>
          <w:tab w:val="left" w:pos="1134"/>
        </w:tabs>
        <w:spacing w:after="0" w:line="480" w:lineRule="auto"/>
        <w:ind w:right="-472"/>
        <w:jc w:val="both"/>
        <w:rPr>
          <w:rFonts w:ascii="Times New Roman" w:hAnsi="Times New Roman" w:cs="Times New Roman"/>
          <w:b/>
          <w:sz w:val="24"/>
          <w:szCs w:val="24"/>
        </w:rPr>
      </w:pPr>
      <w:r w:rsidRPr="00000DD4">
        <w:rPr>
          <w:rFonts w:ascii="Times New Roman" w:hAnsi="Times New Roman" w:cs="Times New Roman"/>
          <w:b/>
          <w:sz w:val="24"/>
          <w:szCs w:val="24"/>
        </w:rPr>
        <w:t>GROUNDS OF APPEAL</w:t>
      </w:r>
    </w:p>
    <w:p w:rsidR="004E0B0F" w:rsidRPr="00000DD4" w:rsidRDefault="004E0B0F" w:rsidP="00151C6C">
      <w:pPr>
        <w:pStyle w:val="ListParagraph"/>
        <w:numPr>
          <w:ilvl w:val="0"/>
          <w:numId w:val="3"/>
        </w:numPr>
        <w:tabs>
          <w:tab w:val="left" w:pos="1134"/>
        </w:tabs>
        <w:spacing w:after="0" w:line="480" w:lineRule="auto"/>
        <w:ind w:left="1134" w:right="-472" w:hanging="708"/>
        <w:jc w:val="both"/>
        <w:rPr>
          <w:rFonts w:ascii="Times New Roman" w:hAnsi="Times New Roman" w:cs="Times New Roman"/>
          <w:i/>
          <w:sz w:val="24"/>
          <w:szCs w:val="24"/>
        </w:rPr>
      </w:pPr>
      <w:r w:rsidRPr="00000DD4">
        <w:rPr>
          <w:rFonts w:ascii="Times New Roman" w:hAnsi="Times New Roman" w:cs="Times New Roman"/>
          <w:sz w:val="24"/>
          <w:szCs w:val="24"/>
        </w:rPr>
        <w:t xml:space="preserve">The court </w:t>
      </w:r>
      <w:r w:rsidRPr="00000DD4">
        <w:rPr>
          <w:rFonts w:ascii="Times New Roman" w:hAnsi="Times New Roman" w:cs="Times New Roman"/>
          <w:i/>
          <w:sz w:val="24"/>
          <w:szCs w:val="24"/>
        </w:rPr>
        <w:t>a quo</w:t>
      </w:r>
      <w:r w:rsidRPr="00000DD4">
        <w:rPr>
          <w:rFonts w:ascii="Times New Roman" w:hAnsi="Times New Roman" w:cs="Times New Roman"/>
          <w:sz w:val="24"/>
          <w:szCs w:val="24"/>
        </w:rPr>
        <w:t xml:space="preserve"> grossly erred by granting interpleader claim in the circumstances where the second respondent failed to prove ownership of the attached property on a balance of probabilities</w:t>
      </w:r>
      <w:r w:rsidR="00E57564" w:rsidRPr="00000DD4">
        <w:rPr>
          <w:rFonts w:ascii="Times New Roman" w:hAnsi="Times New Roman" w:cs="Times New Roman"/>
          <w:sz w:val="24"/>
          <w:szCs w:val="24"/>
        </w:rPr>
        <w:t>.</w:t>
      </w:r>
    </w:p>
    <w:p w:rsidR="00E57564" w:rsidRPr="00000DD4" w:rsidRDefault="00E57564" w:rsidP="00151C6C">
      <w:pPr>
        <w:pStyle w:val="ListParagraph"/>
        <w:numPr>
          <w:ilvl w:val="0"/>
          <w:numId w:val="3"/>
        </w:numPr>
        <w:tabs>
          <w:tab w:val="left" w:pos="1134"/>
        </w:tabs>
        <w:spacing w:after="0" w:line="480" w:lineRule="auto"/>
        <w:ind w:left="1134" w:right="-472" w:hanging="567"/>
        <w:jc w:val="both"/>
        <w:rPr>
          <w:rFonts w:ascii="Times New Roman" w:hAnsi="Times New Roman" w:cs="Times New Roman"/>
          <w:i/>
          <w:sz w:val="24"/>
          <w:szCs w:val="24"/>
        </w:rPr>
      </w:pPr>
      <w:r w:rsidRPr="00000DD4">
        <w:rPr>
          <w:rFonts w:ascii="Times New Roman" w:hAnsi="Times New Roman" w:cs="Times New Roman"/>
          <w:sz w:val="24"/>
          <w:szCs w:val="24"/>
        </w:rPr>
        <w:t xml:space="preserve">The court </w:t>
      </w:r>
      <w:r w:rsidRPr="00000DD4">
        <w:rPr>
          <w:rFonts w:ascii="Times New Roman" w:hAnsi="Times New Roman" w:cs="Times New Roman"/>
          <w:i/>
          <w:sz w:val="24"/>
          <w:szCs w:val="24"/>
        </w:rPr>
        <w:t>a quo</w:t>
      </w:r>
      <w:r w:rsidRPr="00000DD4">
        <w:rPr>
          <w:rFonts w:ascii="Times New Roman" w:hAnsi="Times New Roman" w:cs="Times New Roman"/>
          <w:sz w:val="24"/>
          <w:szCs w:val="24"/>
        </w:rPr>
        <w:t xml:space="preserve"> grossly erred by failure to consider connivance between the judgment debtor and the second respondent to defeat execution of a court order.</w:t>
      </w:r>
    </w:p>
    <w:p w:rsidR="00E57564" w:rsidRPr="00000DD4" w:rsidRDefault="00F52792" w:rsidP="00151C6C">
      <w:pPr>
        <w:tabs>
          <w:tab w:val="left" w:pos="709"/>
        </w:tabs>
        <w:spacing w:after="0" w:line="480" w:lineRule="auto"/>
        <w:ind w:left="1276" w:right="-472" w:hanging="708"/>
        <w:jc w:val="both"/>
        <w:rPr>
          <w:rFonts w:ascii="Times New Roman" w:hAnsi="Times New Roman" w:cs="Times New Roman"/>
          <w:i/>
          <w:sz w:val="24"/>
          <w:szCs w:val="24"/>
        </w:rPr>
      </w:pPr>
      <w:r w:rsidRPr="00000DD4">
        <w:rPr>
          <w:rFonts w:ascii="Times New Roman" w:hAnsi="Times New Roman" w:cs="Times New Roman"/>
          <w:sz w:val="24"/>
          <w:szCs w:val="24"/>
        </w:rPr>
        <w:lastRenderedPageBreak/>
        <w:t xml:space="preserve">3. </w:t>
      </w:r>
      <w:r w:rsidR="0028098E">
        <w:rPr>
          <w:rFonts w:ascii="Times New Roman" w:hAnsi="Times New Roman" w:cs="Times New Roman"/>
          <w:sz w:val="24"/>
          <w:szCs w:val="24"/>
        </w:rPr>
        <w:t xml:space="preserve">    </w:t>
      </w:r>
      <w:r w:rsidR="00935159" w:rsidRPr="00000DD4">
        <w:rPr>
          <w:rFonts w:ascii="Times New Roman" w:hAnsi="Times New Roman" w:cs="Times New Roman"/>
          <w:sz w:val="24"/>
          <w:szCs w:val="24"/>
        </w:rPr>
        <w:t xml:space="preserve"> </w:t>
      </w:r>
      <w:r w:rsidR="00E57564" w:rsidRPr="00000DD4">
        <w:rPr>
          <w:rFonts w:ascii="Times New Roman" w:hAnsi="Times New Roman" w:cs="Times New Roman"/>
          <w:sz w:val="24"/>
          <w:szCs w:val="24"/>
        </w:rPr>
        <w:t>The court</w:t>
      </w:r>
      <w:r w:rsidR="005445B6" w:rsidRPr="00000DD4">
        <w:rPr>
          <w:rFonts w:ascii="Times New Roman" w:hAnsi="Times New Roman" w:cs="Times New Roman"/>
          <w:sz w:val="24"/>
          <w:szCs w:val="24"/>
        </w:rPr>
        <w:t xml:space="preserve"> </w:t>
      </w:r>
      <w:r w:rsidR="005445B6" w:rsidRPr="00000DD4">
        <w:rPr>
          <w:rFonts w:ascii="Times New Roman" w:hAnsi="Times New Roman" w:cs="Times New Roman"/>
          <w:i/>
          <w:sz w:val="24"/>
          <w:szCs w:val="24"/>
        </w:rPr>
        <w:t>a quo</w:t>
      </w:r>
      <w:r w:rsidR="005445B6" w:rsidRPr="00000DD4">
        <w:rPr>
          <w:rFonts w:ascii="Times New Roman" w:hAnsi="Times New Roman" w:cs="Times New Roman"/>
          <w:sz w:val="24"/>
          <w:szCs w:val="24"/>
        </w:rPr>
        <w:t xml:space="preserve"> grossly erred by shifting the burden of proof to the appellant instead of </w:t>
      </w:r>
      <w:r w:rsidRPr="00000DD4">
        <w:rPr>
          <w:rFonts w:ascii="Times New Roman" w:hAnsi="Times New Roman" w:cs="Times New Roman"/>
          <w:sz w:val="24"/>
          <w:szCs w:val="24"/>
        </w:rPr>
        <w:t xml:space="preserve"> </w:t>
      </w:r>
      <w:r w:rsidR="005445B6" w:rsidRPr="00000DD4">
        <w:rPr>
          <w:rFonts w:ascii="Times New Roman" w:hAnsi="Times New Roman" w:cs="Times New Roman"/>
          <w:sz w:val="24"/>
          <w:szCs w:val="24"/>
        </w:rPr>
        <w:t>the second respondent.</w:t>
      </w:r>
    </w:p>
    <w:p w:rsidR="00FE744B" w:rsidRPr="00000DD4" w:rsidRDefault="00FE744B" w:rsidP="00151C6C">
      <w:pPr>
        <w:pStyle w:val="ListParagraph"/>
        <w:numPr>
          <w:ilvl w:val="0"/>
          <w:numId w:val="6"/>
        </w:numPr>
        <w:tabs>
          <w:tab w:val="left" w:pos="1134"/>
        </w:tabs>
        <w:spacing w:after="0" w:line="480" w:lineRule="auto"/>
        <w:ind w:left="1134" w:right="-472" w:hanging="567"/>
        <w:jc w:val="both"/>
        <w:rPr>
          <w:rFonts w:ascii="Times New Roman" w:hAnsi="Times New Roman" w:cs="Times New Roman"/>
          <w:i/>
          <w:sz w:val="24"/>
          <w:szCs w:val="24"/>
        </w:rPr>
      </w:pPr>
      <w:r w:rsidRPr="00000DD4">
        <w:rPr>
          <w:rFonts w:ascii="Times New Roman" w:hAnsi="Times New Roman" w:cs="Times New Roman"/>
          <w:sz w:val="24"/>
          <w:szCs w:val="24"/>
        </w:rPr>
        <w:t xml:space="preserve">The court </w:t>
      </w:r>
      <w:r w:rsidRPr="00000DD4">
        <w:rPr>
          <w:rFonts w:ascii="Times New Roman" w:hAnsi="Times New Roman" w:cs="Times New Roman"/>
          <w:i/>
          <w:sz w:val="24"/>
          <w:szCs w:val="24"/>
        </w:rPr>
        <w:t>a quo</w:t>
      </w:r>
      <w:r w:rsidRPr="00000DD4">
        <w:rPr>
          <w:rFonts w:ascii="Times New Roman" w:hAnsi="Times New Roman" w:cs="Times New Roman"/>
          <w:sz w:val="24"/>
          <w:szCs w:val="24"/>
        </w:rPr>
        <w:t xml:space="preserve"> erred by granting costs on an attorney client scale against the appellants where there was no basis for such.</w:t>
      </w:r>
    </w:p>
    <w:p w:rsidR="00FE744B" w:rsidRPr="00000DD4" w:rsidRDefault="00FE744B" w:rsidP="00F43029">
      <w:pPr>
        <w:pStyle w:val="ListParagraph"/>
        <w:tabs>
          <w:tab w:val="left" w:pos="1134"/>
        </w:tabs>
        <w:spacing w:after="0" w:line="480" w:lineRule="auto"/>
        <w:ind w:left="1134" w:right="-471"/>
        <w:jc w:val="both"/>
        <w:rPr>
          <w:rFonts w:ascii="Times New Roman" w:hAnsi="Times New Roman" w:cs="Times New Roman"/>
          <w:i/>
          <w:sz w:val="24"/>
          <w:szCs w:val="24"/>
        </w:rPr>
      </w:pPr>
    </w:p>
    <w:p w:rsidR="00FE744B" w:rsidRPr="00000DD4" w:rsidRDefault="00FE744B" w:rsidP="00151C6C">
      <w:pPr>
        <w:tabs>
          <w:tab w:val="left" w:pos="1134"/>
        </w:tabs>
        <w:spacing w:after="0" w:line="480" w:lineRule="auto"/>
        <w:ind w:right="-472"/>
        <w:jc w:val="both"/>
        <w:rPr>
          <w:rFonts w:ascii="Times New Roman" w:hAnsi="Times New Roman" w:cs="Times New Roman"/>
          <w:b/>
          <w:sz w:val="24"/>
          <w:szCs w:val="24"/>
        </w:rPr>
      </w:pPr>
      <w:r w:rsidRPr="00000DD4">
        <w:rPr>
          <w:rFonts w:ascii="Times New Roman" w:hAnsi="Times New Roman" w:cs="Times New Roman"/>
          <w:b/>
          <w:sz w:val="24"/>
          <w:szCs w:val="24"/>
        </w:rPr>
        <w:t>THE APPEAL</w:t>
      </w:r>
    </w:p>
    <w:p w:rsidR="00FE744B" w:rsidRPr="00000DD4" w:rsidRDefault="00FE744B"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 xml:space="preserve">Although there are four grounds of appeal, they crystallise around essentially one issue that falls for determination in this appeal.  It is whether the court </w:t>
      </w:r>
      <w:r w:rsidRPr="00000DD4">
        <w:rPr>
          <w:rFonts w:ascii="Times New Roman" w:hAnsi="Times New Roman" w:cs="Times New Roman"/>
          <w:i/>
          <w:sz w:val="24"/>
          <w:szCs w:val="24"/>
        </w:rPr>
        <w:t xml:space="preserve">a quo </w:t>
      </w:r>
      <w:r w:rsidRPr="00000DD4">
        <w:rPr>
          <w:rFonts w:ascii="Times New Roman" w:hAnsi="Times New Roman" w:cs="Times New Roman"/>
          <w:sz w:val="24"/>
          <w:szCs w:val="24"/>
        </w:rPr>
        <w:t>erred in upholding the claimant’s claim to the property.</w:t>
      </w:r>
    </w:p>
    <w:p w:rsidR="00FE744B" w:rsidRPr="00000DD4" w:rsidRDefault="00FE744B" w:rsidP="00151C6C">
      <w:pPr>
        <w:tabs>
          <w:tab w:val="left" w:pos="1134"/>
        </w:tabs>
        <w:spacing w:after="0" w:line="480" w:lineRule="auto"/>
        <w:ind w:right="-472"/>
        <w:jc w:val="both"/>
        <w:rPr>
          <w:rFonts w:ascii="Times New Roman" w:hAnsi="Times New Roman" w:cs="Times New Roman"/>
          <w:sz w:val="24"/>
          <w:szCs w:val="24"/>
        </w:rPr>
      </w:pPr>
    </w:p>
    <w:p w:rsidR="00FE744B" w:rsidRPr="00000DD4" w:rsidRDefault="00FE744B"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It was submitted on behalf of the appellants that the second respondent did not discharge the burden of proving ownership because the evidence tendered by the second respondent shows that itself, Maranatha Ferrochrome</w:t>
      </w:r>
      <w:r w:rsidR="00B65304" w:rsidRPr="00000DD4">
        <w:rPr>
          <w:rFonts w:ascii="Times New Roman" w:hAnsi="Times New Roman" w:cs="Times New Roman"/>
          <w:sz w:val="24"/>
          <w:szCs w:val="24"/>
        </w:rPr>
        <w:t xml:space="preserve"> (Private) Limited</w:t>
      </w:r>
      <w:r w:rsidR="00BD63E0" w:rsidRPr="00000DD4">
        <w:rPr>
          <w:rFonts w:ascii="Times New Roman" w:hAnsi="Times New Roman" w:cs="Times New Roman"/>
          <w:sz w:val="24"/>
          <w:szCs w:val="24"/>
        </w:rPr>
        <w:t xml:space="preserve"> and the </w:t>
      </w:r>
      <w:r w:rsidR="00EE78FC" w:rsidRPr="00000DD4">
        <w:rPr>
          <w:rFonts w:ascii="Times New Roman" w:hAnsi="Times New Roman" w:cs="Times New Roman"/>
          <w:sz w:val="24"/>
          <w:szCs w:val="24"/>
        </w:rPr>
        <w:t>judgment debtor</w:t>
      </w:r>
      <w:r w:rsidR="00BD63E0" w:rsidRPr="00000DD4">
        <w:rPr>
          <w:rFonts w:ascii="Times New Roman" w:hAnsi="Times New Roman" w:cs="Times New Roman"/>
          <w:sz w:val="24"/>
          <w:szCs w:val="24"/>
        </w:rPr>
        <w:t xml:space="preserve"> are one and the same thing.  The whole arrangement, so the argum</w:t>
      </w:r>
      <w:r w:rsidR="00AD3B0A" w:rsidRPr="00000DD4">
        <w:rPr>
          <w:rFonts w:ascii="Times New Roman" w:hAnsi="Times New Roman" w:cs="Times New Roman"/>
          <w:sz w:val="24"/>
          <w:szCs w:val="24"/>
        </w:rPr>
        <w:t>ent goes,</w:t>
      </w:r>
      <w:r w:rsidR="009D5006" w:rsidRPr="00000DD4">
        <w:rPr>
          <w:rFonts w:ascii="Times New Roman" w:hAnsi="Times New Roman" w:cs="Times New Roman"/>
          <w:sz w:val="24"/>
          <w:szCs w:val="24"/>
        </w:rPr>
        <w:t xml:space="preserve"> to transfer</w:t>
      </w:r>
      <w:r w:rsidR="00AD3B0A" w:rsidRPr="00000DD4">
        <w:rPr>
          <w:rFonts w:ascii="Times New Roman" w:hAnsi="Times New Roman" w:cs="Times New Roman"/>
          <w:sz w:val="24"/>
          <w:szCs w:val="24"/>
        </w:rPr>
        <w:t xml:space="preserve"> </w:t>
      </w:r>
      <w:r w:rsidR="00BD63E0" w:rsidRPr="00000DD4">
        <w:rPr>
          <w:rFonts w:ascii="Times New Roman" w:hAnsi="Times New Roman" w:cs="Times New Roman"/>
          <w:sz w:val="24"/>
          <w:szCs w:val="24"/>
        </w:rPr>
        <w:t xml:space="preserve">the mining claims from the judgment debtor to the second respondent was </w:t>
      </w:r>
      <w:r w:rsidR="00E25382" w:rsidRPr="00000DD4">
        <w:rPr>
          <w:rFonts w:ascii="Times New Roman" w:hAnsi="Times New Roman" w:cs="Times New Roman"/>
          <w:sz w:val="24"/>
          <w:szCs w:val="24"/>
        </w:rPr>
        <w:t>meant to shield the property from execution.</w:t>
      </w:r>
    </w:p>
    <w:p w:rsidR="00E25382" w:rsidRPr="00000DD4" w:rsidRDefault="00E25382" w:rsidP="00F43029">
      <w:pPr>
        <w:tabs>
          <w:tab w:val="left" w:pos="1134"/>
        </w:tabs>
        <w:spacing w:after="0" w:line="480" w:lineRule="auto"/>
        <w:ind w:right="-471"/>
        <w:jc w:val="both"/>
        <w:rPr>
          <w:rFonts w:ascii="Times New Roman" w:hAnsi="Times New Roman" w:cs="Times New Roman"/>
          <w:sz w:val="24"/>
          <w:szCs w:val="24"/>
        </w:rPr>
      </w:pPr>
    </w:p>
    <w:p w:rsidR="00E25382" w:rsidRPr="00000DD4" w:rsidRDefault="00E25382"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To illustrate that point, counsel for the appellan</w:t>
      </w:r>
      <w:r w:rsidR="000360FA" w:rsidRPr="00000DD4">
        <w:rPr>
          <w:rFonts w:ascii="Times New Roman" w:hAnsi="Times New Roman" w:cs="Times New Roman"/>
          <w:sz w:val="24"/>
          <w:szCs w:val="24"/>
        </w:rPr>
        <w:t>ts drew attention to the Board R</w:t>
      </w:r>
      <w:r w:rsidRPr="00000DD4">
        <w:rPr>
          <w:rFonts w:ascii="Times New Roman" w:hAnsi="Times New Roman" w:cs="Times New Roman"/>
          <w:sz w:val="24"/>
          <w:szCs w:val="24"/>
        </w:rPr>
        <w:t xml:space="preserve">esolution relied upon as evidence of the </w:t>
      </w:r>
      <w:r w:rsidR="000E1E40" w:rsidRPr="00000DD4">
        <w:rPr>
          <w:rFonts w:ascii="Times New Roman" w:hAnsi="Times New Roman" w:cs="Times New Roman"/>
          <w:sz w:val="24"/>
          <w:szCs w:val="24"/>
        </w:rPr>
        <w:t xml:space="preserve">existence of a sale agreement involving the mining claims.  It was argued that a resolution is not a sale agreement but is a pre-requisite for the conclusion of a sale agreement by </w:t>
      </w:r>
      <w:r w:rsidR="00EB0020" w:rsidRPr="00000DD4">
        <w:rPr>
          <w:rFonts w:ascii="Times New Roman" w:hAnsi="Times New Roman" w:cs="Times New Roman"/>
          <w:sz w:val="24"/>
          <w:szCs w:val="24"/>
        </w:rPr>
        <w:t>a company</w:t>
      </w:r>
      <w:r w:rsidR="001D45F2" w:rsidRPr="00000DD4">
        <w:rPr>
          <w:rFonts w:ascii="Times New Roman" w:hAnsi="Times New Roman" w:cs="Times New Roman"/>
          <w:sz w:val="24"/>
          <w:szCs w:val="24"/>
        </w:rPr>
        <w:t>.  If</w:t>
      </w:r>
      <w:r w:rsidR="000E1E40" w:rsidRPr="00000DD4">
        <w:rPr>
          <w:rFonts w:ascii="Times New Roman" w:hAnsi="Times New Roman" w:cs="Times New Roman"/>
          <w:sz w:val="24"/>
          <w:szCs w:val="24"/>
        </w:rPr>
        <w:t xml:space="preserve"> indeed the judgment debtor had gone on to enter into an agreement of sale in terms of which it alienated the property to the second respondent, it was argued, then the latter would have produced, not only the agreement of sale, but also proof of payment as consideration for the mining claims.</w:t>
      </w:r>
    </w:p>
    <w:p w:rsidR="000E1E40" w:rsidRPr="00000DD4" w:rsidRDefault="000E1E40" w:rsidP="00151C6C">
      <w:pPr>
        <w:tabs>
          <w:tab w:val="left" w:pos="1134"/>
        </w:tabs>
        <w:spacing w:after="0" w:line="480" w:lineRule="auto"/>
        <w:ind w:right="-472"/>
        <w:jc w:val="both"/>
        <w:rPr>
          <w:rFonts w:ascii="Times New Roman" w:hAnsi="Times New Roman" w:cs="Times New Roman"/>
          <w:sz w:val="24"/>
          <w:szCs w:val="24"/>
        </w:rPr>
      </w:pPr>
    </w:p>
    <w:p w:rsidR="000E1E40" w:rsidRPr="00000DD4" w:rsidRDefault="000E1E40"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lastRenderedPageBreak/>
        <w:tab/>
        <w:t>Apart from that, counsel submitted, the fact that it is common cause that And</w:t>
      </w:r>
      <w:r w:rsidR="0028415D" w:rsidRPr="00000DD4">
        <w:rPr>
          <w:rFonts w:ascii="Times New Roman" w:hAnsi="Times New Roman" w:cs="Times New Roman"/>
          <w:sz w:val="24"/>
          <w:szCs w:val="24"/>
        </w:rPr>
        <w:t>rew </w:t>
      </w:r>
      <w:r w:rsidR="00C424F0" w:rsidRPr="00000DD4">
        <w:rPr>
          <w:rFonts w:ascii="Times New Roman" w:hAnsi="Times New Roman" w:cs="Times New Roman"/>
          <w:sz w:val="24"/>
          <w:szCs w:val="24"/>
        </w:rPr>
        <w:t>Lawson</w:t>
      </w:r>
      <w:r w:rsidR="00704A65" w:rsidRPr="00000DD4">
        <w:rPr>
          <w:rFonts w:ascii="Times New Roman" w:hAnsi="Times New Roman" w:cs="Times New Roman"/>
          <w:sz w:val="24"/>
          <w:szCs w:val="24"/>
        </w:rPr>
        <w:t>, who</w:t>
      </w:r>
      <w:r w:rsidR="009D1D2E" w:rsidRPr="00000DD4">
        <w:rPr>
          <w:rFonts w:ascii="Times New Roman" w:hAnsi="Times New Roman" w:cs="Times New Roman"/>
          <w:sz w:val="24"/>
          <w:szCs w:val="24"/>
        </w:rPr>
        <w:t xml:space="preserve"> attended the Board of Director</w:t>
      </w:r>
      <w:r w:rsidR="00704A65" w:rsidRPr="00000DD4">
        <w:rPr>
          <w:rFonts w:ascii="Times New Roman" w:hAnsi="Times New Roman" w:cs="Times New Roman"/>
          <w:sz w:val="24"/>
          <w:szCs w:val="24"/>
        </w:rPr>
        <w:t>s</w:t>
      </w:r>
      <w:r w:rsidR="009D1D2E" w:rsidRPr="00000DD4">
        <w:rPr>
          <w:rFonts w:ascii="Times New Roman" w:hAnsi="Times New Roman" w:cs="Times New Roman"/>
          <w:sz w:val="24"/>
          <w:szCs w:val="24"/>
        </w:rPr>
        <w:t>’</w:t>
      </w:r>
      <w:r w:rsidR="00704A65" w:rsidRPr="00000DD4">
        <w:rPr>
          <w:rFonts w:ascii="Times New Roman" w:hAnsi="Times New Roman" w:cs="Times New Roman"/>
          <w:sz w:val="24"/>
          <w:szCs w:val="24"/>
        </w:rPr>
        <w:t xml:space="preserve"> meeting of 13 October 2009 in </w:t>
      </w:r>
      <w:r w:rsidR="009677F7" w:rsidRPr="00000DD4">
        <w:rPr>
          <w:rFonts w:ascii="Times New Roman" w:hAnsi="Times New Roman" w:cs="Times New Roman"/>
          <w:sz w:val="24"/>
          <w:szCs w:val="24"/>
        </w:rPr>
        <w:t>Italy</w:t>
      </w:r>
      <w:r w:rsidR="008745E9" w:rsidRPr="00000DD4">
        <w:rPr>
          <w:rFonts w:ascii="Times New Roman" w:hAnsi="Times New Roman" w:cs="Times New Roman"/>
          <w:sz w:val="24"/>
          <w:szCs w:val="24"/>
        </w:rPr>
        <w:t xml:space="preserve"> at</w:t>
      </w:r>
      <w:r w:rsidR="00A16792" w:rsidRPr="00000DD4">
        <w:rPr>
          <w:rFonts w:ascii="Times New Roman" w:hAnsi="Times New Roman" w:cs="Times New Roman"/>
          <w:sz w:val="24"/>
          <w:szCs w:val="24"/>
        </w:rPr>
        <w:t xml:space="preserve"> which</w:t>
      </w:r>
      <w:r w:rsidR="009677F7" w:rsidRPr="00000DD4">
        <w:rPr>
          <w:rFonts w:ascii="Times New Roman" w:hAnsi="Times New Roman" w:cs="Times New Roman"/>
          <w:sz w:val="24"/>
          <w:szCs w:val="24"/>
        </w:rPr>
        <w:t xml:space="preserve"> the resolu</w:t>
      </w:r>
      <w:r w:rsidR="00A16792" w:rsidRPr="00000DD4">
        <w:rPr>
          <w:rFonts w:ascii="Times New Roman" w:hAnsi="Times New Roman" w:cs="Times New Roman"/>
          <w:sz w:val="24"/>
          <w:szCs w:val="24"/>
        </w:rPr>
        <w:t>tion was made,</w:t>
      </w:r>
      <w:r w:rsidR="009677F7" w:rsidRPr="00000DD4">
        <w:rPr>
          <w:rFonts w:ascii="Times New Roman" w:hAnsi="Times New Roman" w:cs="Times New Roman"/>
          <w:sz w:val="24"/>
          <w:szCs w:val="24"/>
        </w:rPr>
        <w:t xml:space="preserve"> is also a director of the judgment debtor, is suggestive of the resolution being a sham and the transfer of the claims being an elaborate h</w:t>
      </w:r>
      <w:r w:rsidR="00B23E41" w:rsidRPr="00000DD4">
        <w:rPr>
          <w:rFonts w:ascii="Times New Roman" w:hAnsi="Times New Roman" w:cs="Times New Roman"/>
          <w:sz w:val="24"/>
          <w:szCs w:val="24"/>
        </w:rPr>
        <w:t>oa</w:t>
      </w:r>
      <w:r w:rsidR="005050D3" w:rsidRPr="00000DD4">
        <w:rPr>
          <w:rFonts w:ascii="Times New Roman" w:hAnsi="Times New Roman" w:cs="Times New Roman"/>
          <w:sz w:val="24"/>
          <w:szCs w:val="24"/>
        </w:rPr>
        <w:t>x.</w:t>
      </w:r>
    </w:p>
    <w:p w:rsidR="005050D3" w:rsidRPr="00000DD4" w:rsidRDefault="005050D3" w:rsidP="00151C6C">
      <w:pPr>
        <w:tabs>
          <w:tab w:val="left" w:pos="1134"/>
        </w:tabs>
        <w:spacing w:after="0" w:line="480" w:lineRule="auto"/>
        <w:ind w:right="-472"/>
        <w:jc w:val="both"/>
        <w:rPr>
          <w:rFonts w:ascii="Times New Roman" w:hAnsi="Times New Roman" w:cs="Times New Roman"/>
          <w:sz w:val="24"/>
          <w:szCs w:val="24"/>
        </w:rPr>
      </w:pPr>
    </w:p>
    <w:p w:rsidR="005050D3" w:rsidRPr="00000DD4" w:rsidRDefault="005050D3"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 xml:space="preserve">In view of its centrality in the resolution of this </w:t>
      </w:r>
      <w:r w:rsidR="005755BD" w:rsidRPr="00000DD4">
        <w:rPr>
          <w:rFonts w:ascii="Times New Roman" w:hAnsi="Times New Roman" w:cs="Times New Roman"/>
          <w:sz w:val="24"/>
          <w:szCs w:val="24"/>
        </w:rPr>
        <w:t>appeal, the</w:t>
      </w:r>
      <w:r w:rsidRPr="00000DD4">
        <w:rPr>
          <w:rFonts w:ascii="Times New Roman" w:hAnsi="Times New Roman" w:cs="Times New Roman"/>
          <w:sz w:val="24"/>
          <w:szCs w:val="24"/>
        </w:rPr>
        <w:t xml:space="preserve"> resolution, which is an extract from the minutes of an Extraordinary Meeting of the Board of Directo</w:t>
      </w:r>
      <w:r w:rsidR="00634890" w:rsidRPr="00000DD4">
        <w:rPr>
          <w:rFonts w:ascii="Times New Roman" w:hAnsi="Times New Roman" w:cs="Times New Roman"/>
          <w:sz w:val="24"/>
          <w:szCs w:val="24"/>
        </w:rPr>
        <w:t>rs of Maranatha Ferrochrome (Private) Limited</w:t>
      </w:r>
      <w:r w:rsidRPr="00000DD4">
        <w:rPr>
          <w:rFonts w:ascii="Times New Roman" w:hAnsi="Times New Roman" w:cs="Times New Roman"/>
          <w:sz w:val="24"/>
          <w:szCs w:val="24"/>
        </w:rPr>
        <w:t xml:space="preserve"> held on 13 October 2009 is reproduced below:</w:t>
      </w:r>
    </w:p>
    <w:p w:rsidR="005050D3" w:rsidRPr="00000DD4" w:rsidRDefault="0037212B" w:rsidP="00151C6C">
      <w:pPr>
        <w:tabs>
          <w:tab w:val="left" w:pos="709"/>
        </w:tabs>
        <w:spacing w:after="0" w:line="240" w:lineRule="auto"/>
        <w:ind w:left="567" w:right="-471"/>
        <w:jc w:val="both"/>
        <w:rPr>
          <w:rFonts w:ascii="Times New Roman" w:hAnsi="Times New Roman" w:cs="Times New Roman"/>
          <w:sz w:val="24"/>
          <w:szCs w:val="24"/>
        </w:rPr>
      </w:pPr>
      <w:r w:rsidRPr="00000DD4">
        <w:rPr>
          <w:rFonts w:ascii="Times New Roman" w:hAnsi="Times New Roman" w:cs="Times New Roman"/>
          <w:sz w:val="24"/>
          <w:szCs w:val="24"/>
        </w:rPr>
        <w:t>“</w:t>
      </w:r>
      <w:r w:rsidRPr="00000DD4">
        <w:rPr>
          <w:rFonts w:ascii="Times New Roman" w:hAnsi="Times New Roman" w:cs="Times New Roman"/>
          <w:sz w:val="24"/>
          <w:szCs w:val="24"/>
          <w:u w:val="single"/>
        </w:rPr>
        <w:t>Minutes of an Extraordinary Meeting of the Board of Directors of</w:t>
      </w:r>
      <w:r w:rsidR="00FE144B" w:rsidRPr="00000DD4">
        <w:rPr>
          <w:rFonts w:ascii="Times New Roman" w:hAnsi="Times New Roman" w:cs="Times New Roman"/>
          <w:sz w:val="24"/>
          <w:szCs w:val="24"/>
          <w:u w:val="single"/>
        </w:rPr>
        <w:t xml:space="preserve"> </w:t>
      </w:r>
      <w:r w:rsidRPr="00000DD4">
        <w:rPr>
          <w:rFonts w:ascii="Times New Roman" w:hAnsi="Times New Roman" w:cs="Times New Roman"/>
          <w:sz w:val="24"/>
          <w:szCs w:val="24"/>
          <w:u w:val="single"/>
        </w:rPr>
        <w:t>Maranatha Ferrochrome (Pvt) Ltd held on Tuesday 13</w:t>
      </w:r>
      <w:r w:rsidR="00BE0624" w:rsidRPr="00000DD4">
        <w:rPr>
          <w:rFonts w:ascii="Times New Roman" w:hAnsi="Times New Roman" w:cs="Times New Roman"/>
          <w:sz w:val="24"/>
          <w:szCs w:val="24"/>
          <w:u w:val="single"/>
        </w:rPr>
        <w:t> October </w:t>
      </w:r>
      <w:r w:rsidRPr="00000DD4">
        <w:rPr>
          <w:rFonts w:ascii="Times New Roman" w:hAnsi="Times New Roman" w:cs="Times New Roman"/>
          <w:sz w:val="24"/>
          <w:szCs w:val="24"/>
          <w:u w:val="single"/>
        </w:rPr>
        <w:t>2009 in the offices of Sineco Spa in Ceparano, Italy.</w:t>
      </w:r>
    </w:p>
    <w:p w:rsidR="0037212B" w:rsidRPr="00000DD4" w:rsidRDefault="0037212B" w:rsidP="00151C6C">
      <w:pPr>
        <w:tabs>
          <w:tab w:val="left" w:pos="1134"/>
        </w:tabs>
        <w:spacing w:after="0" w:line="240" w:lineRule="auto"/>
        <w:ind w:left="567" w:right="-471"/>
        <w:jc w:val="both"/>
        <w:rPr>
          <w:rFonts w:ascii="Times New Roman" w:hAnsi="Times New Roman" w:cs="Times New Roman"/>
          <w:sz w:val="24"/>
          <w:szCs w:val="24"/>
        </w:rPr>
      </w:pPr>
      <w:r w:rsidRPr="00000DD4">
        <w:rPr>
          <w:rFonts w:ascii="Times New Roman" w:hAnsi="Times New Roman" w:cs="Times New Roman"/>
          <w:sz w:val="24"/>
          <w:szCs w:val="24"/>
        </w:rPr>
        <w:tab/>
        <w:t xml:space="preserve">Present: </w:t>
      </w:r>
      <w:r w:rsidR="00291368">
        <w:rPr>
          <w:rFonts w:ascii="Times New Roman" w:hAnsi="Times New Roman" w:cs="Times New Roman"/>
          <w:sz w:val="24"/>
          <w:szCs w:val="24"/>
        </w:rPr>
        <w:tab/>
      </w:r>
      <w:r w:rsidRPr="00000DD4">
        <w:rPr>
          <w:rFonts w:ascii="Times New Roman" w:hAnsi="Times New Roman" w:cs="Times New Roman"/>
          <w:sz w:val="24"/>
          <w:szCs w:val="24"/>
        </w:rPr>
        <w:tab/>
        <w:t>Mr Gialuigi Ghezzi- Chairman</w:t>
      </w:r>
    </w:p>
    <w:p w:rsidR="0037212B" w:rsidRPr="00000DD4" w:rsidRDefault="0037212B" w:rsidP="00151C6C">
      <w:pPr>
        <w:tabs>
          <w:tab w:val="left" w:pos="1134"/>
        </w:tabs>
        <w:spacing w:after="0" w:line="240" w:lineRule="auto"/>
        <w:ind w:left="567" w:right="-471"/>
        <w:jc w:val="both"/>
        <w:rPr>
          <w:rFonts w:ascii="Times New Roman" w:hAnsi="Times New Roman" w:cs="Times New Roman"/>
          <w:sz w:val="24"/>
          <w:szCs w:val="24"/>
        </w:rPr>
      </w:pPr>
      <w:r w:rsidRPr="00000DD4">
        <w:rPr>
          <w:rFonts w:ascii="Times New Roman" w:hAnsi="Times New Roman" w:cs="Times New Roman"/>
          <w:sz w:val="24"/>
          <w:szCs w:val="24"/>
        </w:rPr>
        <w:tab/>
      </w:r>
      <w:r w:rsidRPr="00000DD4">
        <w:rPr>
          <w:rFonts w:ascii="Times New Roman" w:hAnsi="Times New Roman" w:cs="Times New Roman"/>
          <w:sz w:val="24"/>
          <w:szCs w:val="24"/>
        </w:rPr>
        <w:tab/>
      </w:r>
      <w:r w:rsidRPr="00000DD4">
        <w:rPr>
          <w:rFonts w:ascii="Times New Roman" w:hAnsi="Times New Roman" w:cs="Times New Roman"/>
          <w:sz w:val="24"/>
          <w:szCs w:val="24"/>
        </w:rPr>
        <w:tab/>
      </w:r>
      <w:r w:rsidR="00291368">
        <w:rPr>
          <w:rFonts w:ascii="Times New Roman" w:hAnsi="Times New Roman" w:cs="Times New Roman"/>
          <w:sz w:val="24"/>
          <w:szCs w:val="24"/>
        </w:rPr>
        <w:tab/>
      </w:r>
      <w:r w:rsidRPr="00000DD4">
        <w:rPr>
          <w:rFonts w:ascii="Times New Roman" w:hAnsi="Times New Roman" w:cs="Times New Roman"/>
          <w:sz w:val="24"/>
          <w:szCs w:val="24"/>
        </w:rPr>
        <w:t>Mr Giorgio Barelli – Director</w:t>
      </w:r>
    </w:p>
    <w:p w:rsidR="0037212B" w:rsidRPr="00000DD4" w:rsidRDefault="0037212B" w:rsidP="00151C6C">
      <w:pPr>
        <w:tabs>
          <w:tab w:val="left" w:pos="1134"/>
        </w:tabs>
        <w:spacing w:after="0" w:line="240" w:lineRule="auto"/>
        <w:ind w:left="567" w:right="-471"/>
        <w:jc w:val="both"/>
        <w:rPr>
          <w:rFonts w:ascii="Times New Roman" w:hAnsi="Times New Roman" w:cs="Times New Roman"/>
          <w:sz w:val="24"/>
          <w:szCs w:val="24"/>
        </w:rPr>
      </w:pPr>
      <w:r w:rsidRPr="00000DD4">
        <w:rPr>
          <w:rFonts w:ascii="Times New Roman" w:hAnsi="Times New Roman" w:cs="Times New Roman"/>
          <w:sz w:val="24"/>
          <w:szCs w:val="24"/>
        </w:rPr>
        <w:tab/>
      </w:r>
      <w:r w:rsidRPr="00000DD4">
        <w:rPr>
          <w:rFonts w:ascii="Times New Roman" w:hAnsi="Times New Roman" w:cs="Times New Roman"/>
          <w:sz w:val="24"/>
          <w:szCs w:val="24"/>
        </w:rPr>
        <w:tab/>
      </w:r>
      <w:r w:rsidRPr="00000DD4">
        <w:rPr>
          <w:rFonts w:ascii="Times New Roman" w:hAnsi="Times New Roman" w:cs="Times New Roman"/>
          <w:sz w:val="24"/>
          <w:szCs w:val="24"/>
        </w:rPr>
        <w:tab/>
        <w:t xml:space="preserve">  </w:t>
      </w:r>
      <w:r w:rsidRPr="00000DD4">
        <w:rPr>
          <w:rFonts w:ascii="Times New Roman" w:hAnsi="Times New Roman" w:cs="Times New Roman"/>
          <w:sz w:val="24"/>
          <w:szCs w:val="24"/>
        </w:rPr>
        <w:tab/>
        <w:t>Mr Andrew Lawson-  Director</w:t>
      </w:r>
    </w:p>
    <w:p w:rsidR="0037212B" w:rsidRPr="00000DD4" w:rsidRDefault="0037212B" w:rsidP="00151C6C">
      <w:pPr>
        <w:tabs>
          <w:tab w:val="left" w:pos="1134"/>
        </w:tabs>
        <w:spacing w:after="0" w:line="240" w:lineRule="auto"/>
        <w:ind w:left="567" w:right="-471"/>
        <w:jc w:val="both"/>
        <w:rPr>
          <w:rFonts w:ascii="Times New Roman" w:hAnsi="Times New Roman" w:cs="Times New Roman"/>
          <w:sz w:val="24"/>
          <w:szCs w:val="24"/>
        </w:rPr>
      </w:pPr>
      <w:r w:rsidRPr="00000DD4">
        <w:rPr>
          <w:rFonts w:ascii="Times New Roman" w:hAnsi="Times New Roman" w:cs="Times New Roman"/>
          <w:sz w:val="24"/>
          <w:szCs w:val="24"/>
        </w:rPr>
        <w:tab/>
        <w:t>Apologies</w:t>
      </w:r>
      <w:r w:rsidR="00B03F48" w:rsidRPr="00000DD4">
        <w:rPr>
          <w:rFonts w:ascii="Times New Roman" w:hAnsi="Times New Roman" w:cs="Times New Roman"/>
          <w:sz w:val="24"/>
          <w:szCs w:val="24"/>
        </w:rPr>
        <w:tab/>
      </w:r>
      <w:r w:rsidR="00291368">
        <w:rPr>
          <w:rFonts w:ascii="Times New Roman" w:hAnsi="Times New Roman" w:cs="Times New Roman"/>
          <w:sz w:val="24"/>
          <w:szCs w:val="24"/>
        </w:rPr>
        <w:tab/>
      </w:r>
      <w:r w:rsidRPr="00000DD4">
        <w:rPr>
          <w:rFonts w:ascii="Times New Roman" w:hAnsi="Times New Roman" w:cs="Times New Roman"/>
          <w:sz w:val="24"/>
          <w:szCs w:val="24"/>
        </w:rPr>
        <w:t>Mr. George Mashavatu – Director.</w:t>
      </w:r>
    </w:p>
    <w:p w:rsidR="00FE744B" w:rsidRPr="00000DD4" w:rsidRDefault="00CC30E8" w:rsidP="00151C6C">
      <w:pPr>
        <w:tabs>
          <w:tab w:val="left" w:pos="1134"/>
        </w:tabs>
        <w:spacing w:after="0" w:line="240" w:lineRule="auto"/>
        <w:ind w:left="1134" w:right="-471"/>
        <w:jc w:val="both"/>
        <w:rPr>
          <w:rFonts w:ascii="Times New Roman" w:hAnsi="Times New Roman" w:cs="Times New Roman"/>
          <w:sz w:val="24"/>
          <w:szCs w:val="24"/>
        </w:rPr>
      </w:pPr>
      <w:r w:rsidRPr="00000DD4">
        <w:rPr>
          <w:rFonts w:ascii="Times New Roman" w:hAnsi="Times New Roman" w:cs="Times New Roman"/>
          <w:sz w:val="24"/>
          <w:szCs w:val="24"/>
        </w:rPr>
        <w:t xml:space="preserve">The following </w:t>
      </w:r>
      <w:r w:rsidR="004D45DE" w:rsidRPr="00000DD4">
        <w:rPr>
          <w:rFonts w:ascii="Times New Roman" w:hAnsi="Times New Roman" w:cs="Times New Roman"/>
          <w:sz w:val="24"/>
          <w:szCs w:val="24"/>
        </w:rPr>
        <w:t>resolution</w:t>
      </w:r>
      <w:r w:rsidR="00401B2A" w:rsidRPr="00000DD4">
        <w:rPr>
          <w:rFonts w:ascii="Times New Roman" w:hAnsi="Times New Roman" w:cs="Times New Roman"/>
          <w:sz w:val="24"/>
          <w:szCs w:val="24"/>
        </w:rPr>
        <w:t>s</w:t>
      </w:r>
      <w:r w:rsidR="004D45DE" w:rsidRPr="00000DD4">
        <w:rPr>
          <w:rFonts w:ascii="Times New Roman" w:hAnsi="Times New Roman" w:cs="Times New Roman"/>
          <w:sz w:val="24"/>
          <w:szCs w:val="24"/>
        </w:rPr>
        <w:t xml:space="preserve"> were</w:t>
      </w:r>
      <w:r w:rsidRPr="00000DD4">
        <w:rPr>
          <w:rFonts w:ascii="Times New Roman" w:hAnsi="Times New Roman" w:cs="Times New Roman"/>
          <w:sz w:val="24"/>
          <w:szCs w:val="24"/>
        </w:rPr>
        <w:t xml:space="preserve"> agre</w:t>
      </w:r>
      <w:r w:rsidR="004D45DE" w:rsidRPr="00000DD4">
        <w:rPr>
          <w:rFonts w:ascii="Times New Roman" w:hAnsi="Times New Roman" w:cs="Times New Roman"/>
          <w:sz w:val="24"/>
          <w:szCs w:val="24"/>
        </w:rPr>
        <w:t xml:space="preserve">ed and passed </w:t>
      </w:r>
      <w:r w:rsidR="00A32112" w:rsidRPr="00000DD4">
        <w:rPr>
          <w:rFonts w:ascii="Times New Roman" w:hAnsi="Times New Roman" w:cs="Times New Roman"/>
          <w:sz w:val="24"/>
          <w:szCs w:val="24"/>
        </w:rPr>
        <w:t>unanimously</w:t>
      </w:r>
      <w:r w:rsidR="004D45DE" w:rsidRPr="00000DD4">
        <w:rPr>
          <w:rFonts w:ascii="Times New Roman" w:hAnsi="Times New Roman" w:cs="Times New Roman"/>
          <w:sz w:val="24"/>
          <w:szCs w:val="24"/>
        </w:rPr>
        <w:t xml:space="preserve"> by t</w:t>
      </w:r>
      <w:r w:rsidR="00401B2A" w:rsidRPr="00000DD4">
        <w:rPr>
          <w:rFonts w:ascii="Times New Roman" w:hAnsi="Times New Roman" w:cs="Times New Roman"/>
          <w:sz w:val="24"/>
          <w:szCs w:val="24"/>
        </w:rPr>
        <w:t>he board of directors</w:t>
      </w:r>
      <w:r w:rsidR="007B1B40" w:rsidRPr="00000DD4">
        <w:rPr>
          <w:rFonts w:ascii="Times New Roman" w:hAnsi="Times New Roman" w:cs="Times New Roman"/>
          <w:sz w:val="24"/>
          <w:szCs w:val="24"/>
        </w:rPr>
        <w:t xml:space="preserve"> o</w:t>
      </w:r>
      <w:r w:rsidR="00E478B9" w:rsidRPr="00000DD4">
        <w:rPr>
          <w:rFonts w:ascii="Times New Roman" w:hAnsi="Times New Roman" w:cs="Times New Roman"/>
          <w:sz w:val="24"/>
          <w:szCs w:val="24"/>
        </w:rPr>
        <w:t>f Maranatha Ferrochrome (Private) Limited</w:t>
      </w:r>
      <w:r w:rsidR="004D45DE" w:rsidRPr="00000DD4">
        <w:rPr>
          <w:rFonts w:ascii="Times New Roman" w:hAnsi="Times New Roman" w:cs="Times New Roman"/>
          <w:sz w:val="24"/>
          <w:szCs w:val="24"/>
        </w:rPr>
        <w:t>-</w:t>
      </w:r>
    </w:p>
    <w:p w:rsidR="004D45DE" w:rsidRPr="00000DD4" w:rsidRDefault="00820E0A" w:rsidP="00151C6C">
      <w:pPr>
        <w:pStyle w:val="ListParagraph"/>
        <w:numPr>
          <w:ilvl w:val="0"/>
          <w:numId w:val="4"/>
        </w:numPr>
        <w:tabs>
          <w:tab w:val="left" w:pos="1134"/>
        </w:tabs>
        <w:spacing w:after="0" w:line="240" w:lineRule="auto"/>
        <w:ind w:right="-472"/>
        <w:jc w:val="both"/>
        <w:rPr>
          <w:rFonts w:ascii="Times New Roman" w:hAnsi="Times New Roman" w:cs="Times New Roman"/>
          <w:sz w:val="24"/>
          <w:szCs w:val="24"/>
          <w:u w:val="single"/>
        </w:rPr>
      </w:pPr>
      <w:r w:rsidRPr="00000DD4">
        <w:rPr>
          <w:rFonts w:ascii="Times New Roman" w:hAnsi="Times New Roman" w:cs="Times New Roman"/>
          <w:sz w:val="24"/>
          <w:szCs w:val="24"/>
        </w:rPr>
        <w:t>Maranatha Ferrochrome (Private) Limited</w:t>
      </w:r>
      <w:r w:rsidR="004D45DE" w:rsidRPr="00000DD4">
        <w:rPr>
          <w:rFonts w:ascii="Times New Roman" w:hAnsi="Times New Roman" w:cs="Times New Roman"/>
          <w:sz w:val="24"/>
          <w:szCs w:val="24"/>
        </w:rPr>
        <w:t xml:space="preserve"> hereby agrees to sell all </w:t>
      </w:r>
      <w:r w:rsidR="00AD032B" w:rsidRPr="00000DD4">
        <w:rPr>
          <w:rFonts w:ascii="Times New Roman" w:hAnsi="Times New Roman" w:cs="Times New Roman"/>
          <w:sz w:val="24"/>
          <w:szCs w:val="24"/>
        </w:rPr>
        <w:t>mining claims and lease</w:t>
      </w:r>
      <w:r w:rsidR="00401B2A" w:rsidRPr="00000DD4">
        <w:rPr>
          <w:rFonts w:ascii="Times New Roman" w:hAnsi="Times New Roman" w:cs="Times New Roman"/>
          <w:sz w:val="24"/>
          <w:szCs w:val="24"/>
        </w:rPr>
        <w:t>s</w:t>
      </w:r>
      <w:r w:rsidR="00AD032B" w:rsidRPr="00000DD4">
        <w:rPr>
          <w:rFonts w:ascii="Times New Roman" w:hAnsi="Times New Roman" w:cs="Times New Roman"/>
          <w:sz w:val="24"/>
          <w:szCs w:val="24"/>
        </w:rPr>
        <w:t xml:space="preserve"> owned by this company and its subsidiary, Amble Mining (Pvt) Ltd, Gurta A.G. of Switzerland.  These claims are, in total</w:t>
      </w:r>
      <w:r w:rsidR="00242091" w:rsidRPr="00000DD4">
        <w:rPr>
          <w:rFonts w:ascii="Times New Roman" w:hAnsi="Times New Roman" w:cs="Times New Roman"/>
          <w:sz w:val="24"/>
          <w:szCs w:val="24"/>
        </w:rPr>
        <w:t>, to be sold for  a sum of  USD </w:t>
      </w:r>
      <w:r w:rsidR="00AD032B" w:rsidRPr="00000DD4">
        <w:rPr>
          <w:rFonts w:ascii="Times New Roman" w:hAnsi="Times New Roman" w:cs="Times New Roman"/>
          <w:sz w:val="24"/>
          <w:szCs w:val="24"/>
        </w:rPr>
        <w:t xml:space="preserve">1 350 000 (one million three hundred and fifty thousand united state dollars).  </w:t>
      </w:r>
      <w:r w:rsidR="00AD032B" w:rsidRPr="00000DD4">
        <w:rPr>
          <w:rFonts w:ascii="Times New Roman" w:hAnsi="Times New Roman" w:cs="Times New Roman"/>
          <w:sz w:val="24"/>
          <w:szCs w:val="24"/>
          <w:u w:val="single"/>
        </w:rPr>
        <w:t>It was noted that Mr. Andrew Lawson has authority to sign and accept ownership of the said claims and mining lease on behalf of Gurta A.G. by means of a Power of Attorney from Gurta A.G.</w:t>
      </w:r>
    </w:p>
    <w:p w:rsidR="00AD032B" w:rsidRPr="00000DD4" w:rsidRDefault="008332BF" w:rsidP="00151C6C">
      <w:pPr>
        <w:pStyle w:val="ListParagraph"/>
        <w:numPr>
          <w:ilvl w:val="0"/>
          <w:numId w:val="4"/>
        </w:numPr>
        <w:tabs>
          <w:tab w:val="left" w:pos="1134"/>
        </w:tabs>
        <w:spacing w:after="0" w:line="24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Mr Keith Beck –ID NO.-</w:t>
      </w:r>
      <w:r w:rsidR="00AD032B" w:rsidRPr="00000DD4">
        <w:rPr>
          <w:rFonts w:ascii="Times New Roman" w:hAnsi="Times New Roman" w:cs="Times New Roman"/>
          <w:sz w:val="24"/>
          <w:szCs w:val="24"/>
        </w:rPr>
        <w:t>32-058218 N 00 is hereby empowered to transfer ownership of the above</w:t>
      </w:r>
      <w:r w:rsidR="001A5A74" w:rsidRPr="00000DD4">
        <w:rPr>
          <w:rFonts w:ascii="Times New Roman" w:hAnsi="Times New Roman" w:cs="Times New Roman"/>
          <w:sz w:val="24"/>
          <w:szCs w:val="24"/>
        </w:rPr>
        <w:t xml:space="preserve"> -</w:t>
      </w:r>
      <w:r w:rsidR="00642296" w:rsidRPr="00000DD4">
        <w:rPr>
          <w:rFonts w:ascii="Times New Roman" w:hAnsi="Times New Roman" w:cs="Times New Roman"/>
          <w:sz w:val="24"/>
          <w:szCs w:val="24"/>
        </w:rPr>
        <w:t xml:space="preserve"> mentioned mining claims and leases</w:t>
      </w:r>
      <w:r w:rsidR="00AD032B" w:rsidRPr="00000DD4">
        <w:rPr>
          <w:rFonts w:ascii="Times New Roman" w:hAnsi="Times New Roman" w:cs="Times New Roman"/>
          <w:sz w:val="24"/>
          <w:szCs w:val="24"/>
        </w:rPr>
        <w:t xml:space="preserve"> on behalf of Maranatha</w:t>
      </w:r>
      <w:r w:rsidR="00967398" w:rsidRPr="00000DD4">
        <w:rPr>
          <w:rFonts w:ascii="Times New Roman" w:hAnsi="Times New Roman" w:cs="Times New Roman"/>
          <w:sz w:val="24"/>
          <w:szCs w:val="24"/>
        </w:rPr>
        <w:t> </w:t>
      </w:r>
      <w:r w:rsidR="00AD032B" w:rsidRPr="00000DD4">
        <w:rPr>
          <w:rFonts w:ascii="Times New Roman" w:hAnsi="Times New Roman" w:cs="Times New Roman"/>
          <w:sz w:val="24"/>
          <w:szCs w:val="24"/>
        </w:rPr>
        <w:t>Ferrochrom</w:t>
      </w:r>
      <w:r w:rsidR="002F5965" w:rsidRPr="00000DD4">
        <w:rPr>
          <w:rFonts w:ascii="Times New Roman" w:hAnsi="Times New Roman" w:cs="Times New Roman"/>
          <w:sz w:val="24"/>
          <w:szCs w:val="24"/>
        </w:rPr>
        <w:t>e (Pvt) Ltd and Amble Mining (Private) Limited</w:t>
      </w:r>
      <w:r w:rsidR="00AD032B" w:rsidRPr="00000DD4">
        <w:rPr>
          <w:rFonts w:ascii="Times New Roman" w:hAnsi="Times New Roman" w:cs="Times New Roman"/>
          <w:sz w:val="24"/>
          <w:szCs w:val="24"/>
        </w:rPr>
        <w:t xml:space="preserve">.” (The </w:t>
      </w:r>
      <w:r w:rsidR="00565A11" w:rsidRPr="00000DD4">
        <w:rPr>
          <w:rFonts w:ascii="Times New Roman" w:hAnsi="Times New Roman" w:cs="Times New Roman"/>
          <w:sz w:val="24"/>
          <w:szCs w:val="24"/>
        </w:rPr>
        <w:t>underlining is</w:t>
      </w:r>
      <w:r w:rsidR="00D7646D" w:rsidRPr="00000DD4">
        <w:rPr>
          <w:rFonts w:ascii="Times New Roman" w:hAnsi="Times New Roman" w:cs="Times New Roman"/>
          <w:sz w:val="24"/>
          <w:szCs w:val="24"/>
        </w:rPr>
        <w:t xml:space="preserve"> for emphasis).</w:t>
      </w:r>
    </w:p>
    <w:p w:rsidR="00D7646D" w:rsidRPr="00000DD4" w:rsidRDefault="00D7646D" w:rsidP="00151C6C">
      <w:pPr>
        <w:tabs>
          <w:tab w:val="left" w:pos="1134"/>
        </w:tabs>
        <w:spacing w:after="0" w:line="240" w:lineRule="auto"/>
        <w:ind w:right="-472"/>
        <w:jc w:val="both"/>
        <w:rPr>
          <w:rFonts w:ascii="Times New Roman" w:hAnsi="Times New Roman" w:cs="Times New Roman"/>
          <w:sz w:val="24"/>
          <w:szCs w:val="24"/>
        </w:rPr>
      </w:pPr>
    </w:p>
    <w:p w:rsidR="007144DE" w:rsidRPr="00000DD4" w:rsidRDefault="007144DE" w:rsidP="009E1EDF">
      <w:pPr>
        <w:tabs>
          <w:tab w:val="left" w:pos="1134"/>
        </w:tabs>
        <w:spacing w:after="0" w:line="480" w:lineRule="auto"/>
        <w:ind w:right="-471"/>
        <w:jc w:val="both"/>
        <w:rPr>
          <w:rFonts w:ascii="Times New Roman" w:hAnsi="Times New Roman" w:cs="Times New Roman"/>
          <w:sz w:val="24"/>
          <w:szCs w:val="24"/>
        </w:rPr>
      </w:pPr>
    </w:p>
    <w:p w:rsidR="00D7646D" w:rsidRPr="00000DD4" w:rsidRDefault="00D7646D" w:rsidP="00151C6C">
      <w:pPr>
        <w:tabs>
          <w:tab w:val="left" w:pos="1134"/>
        </w:tabs>
        <w:spacing w:after="0" w:line="480" w:lineRule="auto"/>
        <w:ind w:right="-471"/>
        <w:jc w:val="both"/>
        <w:rPr>
          <w:rFonts w:ascii="Times New Roman" w:hAnsi="Times New Roman" w:cs="Times New Roman"/>
          <w:sz w:val="24"/>
          <w:szCs w:val="24"/>
        </w:rPr>
      </w:pPr>
      <w:r w:rsidRPr="00000DD4">
        <w:rPr>
          <w:rFonts w:ascii="Times New Roman" w:hAnsi="Times New Roman" w:cs="Times New Roman"/>
          <w:sz w:val="24"/>
          <w:szCs w:val="24"/>
        </w:rPr>
        <w:tab/>
        <w:t>A simple interpretation of this resolution, which is obv</w:t>
      </w:r>
      <w:r w:rsidR="002345B1" w:rsidRPr="00000DD4">
        <w:rPr>
          <w:rFonts w:ascii="Times New Roman" w:hAnsi="Times New Roman" w:cs="Times New Roman"/>
          <w:sz w:val="24"/>
          <w:szCs w:val="24"/>
        </w:rPr>
        <w:t>iously not an agreement of sale, i</w:t>
      </w:r>
      <w:r w:rsidRPr="00000DD4">
        <w:rPr>
          <w:rFonts w:ascii="Times New Roman" w:hAnsi="Times New Roman" w:cs="Times New Roman"/>
          <w:sz w:val="24"/>
          <w:szCs w:val="24"/>
        </w:rPr>
        <w:t>s that Andrew Lawson, a director of the alleged seller of the mining claims (Maranatha) was given a power of attorney by the alleged purchaser of those claims, th</w:t>
      </w:r>
      <w:r w:rsidR="005640F6" w:rsidRPr="00000DD4">
        <w:rPr>
          <w:rFonts w:ascii="Times New Roman" w:hAnsi="Times New Roman" w:cs="Times New Roman"/>
          <w:sz w:val="24"/>
          <w:szCs w:val="24"/>
        </w:rPr>
        <w:t>e second respondent, to receive</w:t>
      </w:r>
      <w:r w:rsidRPr="00000DD4">
        <w:rPr>
          <w:rFonts w:ascii="Times New Roman" w:hAnsi="Times New Roman" w:cs="Times New Roman"/>
          <w:sz w:val="24"/>
          <w:szCs w:val="24"/>
        </w:rPr>
        <w:t xml:space="preserve"> delivery of the claims from the same seller in which he is a director.  He was to hold the claims on behalf of the alleged new owner.</w:t>
      </w:r>
    </w:p>
    <w:p w:rsidR="00D7646D" w:rsidRPr="00000DD4" w:rsidRDefault="00D7646D" w:rsidP="00151C6C">
      <w:pPr>
        <w:tabs>
          <w:tab w:val="left" w:pos="1134"/>
        </w:tabs>
        <w:spacing w:after="0" w:line="480" w:lineRule="auto"/>
        <w:ind w:right="-471"/>
        <w:jc w:val="both"/>
        <w:rPr>
          <w:rFonts w:ascii="Times New Roman" w:hAnsi="Times New Roman" w:cs="Times New Roman"/>
          <w:sz w:val="24"/>
          <w:szCs w:val="24"/>
        </w:rPr>
      </w:pPr>
    </w:p>
    <w:p w:rsidR="00D7646D" w:rsidRPr="00000DD4" w:rsidRDefault="00D7646D" w:rsidP="00151C6C">
      <w:pPr>
        <w:tabs>
          <w:tab w:val="left" w:pos="1134"/>
        </w:tabs>
        <w:spacing w:after="0" w:line="480" w:lineRule="auto"/>
        <w:ind w:right="-471"/>
        <w:jc w:val="both"/>
        <w:rPr>
          <w:rFonts w:ascii="Times New Roman" w:hAnsi="Times New Roman" w:cs="Times New Roman"/>
          <w:sz w:val="24"/>
          <w:szCs w:val="24"/>
        </w:rPr>
      </w:pPr>
      <w:r w:rsidRPr="00000DD4">
        <w:rPr>
          <w:rFonts w:ascii="Times New Roman" w:hAnsi="Times New Roman" w:cs="Times New Roman"/>
          <w:sz w:val="24"/>
          <w:szCs w:val="24"/>
        </w:rPr>
        <w:lastRenderedPageBreak/>
        <w:tab/>
        <w:t xml:space="preserve">This was a classic case </w:t>
      </w:r>
      <w:r w:rsidR="007144DE" w:rsidRPr="00000DD4">
        <w:rPr>
          <w:rFonts w:ascii="Times New Roman" w:hAnsi="Times New Roman" w:cs="Times New Roman"/>
          <w:sz w:val="24"/>
          <w:szCs w:val="24"/>
        </w:rPr>
        <w:t>of the</w:t>
      </w:r>
      <w:r w:rsidRPr="00000DD4">
        <w:rPr>
          <w:rFonts w:ascii="Times New Roman" w:hAnsi="Times New Roman" w:cs="Times New Roman"/>
          <w:sz w:val="24"/>
          <w:szCs w:val="24"/>
        </w:rPr>
        <w:t xml:space="preserve"> seller selling to itself.  It is also remarkable that after agreeing to sell the mining claims the alleged seller does not appear to have progressed further to accomplish the mission.  No sale agreement was produced.  In addition, the </w:t>
      </w:r>
      <w:r w:rsidR="00512FC0" w:rsidRPr="00000DD4">
        <w:rPr>
          <w:rFonts w:ascii="Times New Roman" w:hAnsi="Times New Roman" w:cs="Times New Roman"/>
          <w:sz w:val="24"/>
          <w:szCs w:val="24"/>
        </w:rPr>
        <w:t xml:space="preserve">closest the second respondent </w:t>
      </w:r>
      <w:r w:rsidR="005C2912" w:rsidRPr="00000DD4">
        <w:rPr>
          <w:rFonts w:ascii="Times New Roman" w:hAnsi="Times New Roman" w:cs="Times New Roman"/>
          <w:sz w:val="24"/>
          <w:szCs w:val="24"/>
        </w:rPr>
        <w:t>came to proving movement of funds to pur</w:t>
      </w:r>
      <w:r w:rsidR="00734691" w:rsidRPr="00000DD4">
        <w:rPr>
          <w:rFonts w:ascii="Times New Roman" w:hAnsi="Times New Roman" w:cs="Times New Roman"/>
          <w:sz w:val="24"/>
          <w:szCs w:val="24"/>
        </w:rPr>
        <w:t>chase the claims, is an invoice</w:t>
      </w:r>
      <w:r w:rsidR="001B083F" w:rsidRPr="00000DD4">
        <w:rPr>
          <w:rFonts w:ascii="Times New Roman" w:hAnsi="Times New Roman" w:cs="Times New Roman"/>
          <w:sz w:val="24"/>
          <w:szCs w:val="24"/>
        </w:rPr>
        <w:t xml:space="preserve"> dated 18 </w:t>
      </w:r>
      <w:r w:rsidR="005C2912" w:rsidRPr="00000DD4">
        <w:rPr>
          <w:rFonts w:ascii="Times New Roman" w:hAnsi="Times New Roman" w:cs="Times New Roman"/>
          <w:sz w:val="24"/>
          <w:szCs w:val="24"/>
        </w:rPr>
        <w:t>December 2018 setting out the values of the 54 Blocks of Nge</w:t>
      </w:r>
      <w:r w:rsidR="001B083F" w:rsidRPr="00000DD4">
        <w:rPr>
          <w:rFonts w:ascii="Times New Roman" w:hAnsi="Times New Roman" w:cs="Times New Roman"/>
          <w:sz w:val="24"/>
          <w:szCs w:val="24"/>
        </w:rPr>
        <w:t>zi Mining claims being US$1 050 </w:t>
      </w:r>
      <w:r w:rsidR="005C2912" w:rsidRPr="00000DD4">
        <w:rPr>
          <w:rFonts w:ascii="Times New Roman" w:hAnsi="Times New Roman" w:cs="Times New Roman"/>
          <w:sz w:val="24"/>
          <w:szCs w:val="24"/>
        </w:rPr>
        <w:t>000.00</w:t>
      </w:r>
      <w:r w:rsidR="002769C2">
        <w:rPr>
          <w:rFonts w:ascii="Times New Roman" w:hAnsi="Times New Roman" w:cs="Times New Roman"/>
          <w:sz w:val="24"/>
          <w:szCs w:val="24"/>
        </w:rPr>
        <w:t xml:space="preserve">. </w:t>
      </w:r>
      <w:r w:rsidR="005C2912" w:rsidRPr="00000DD4">
        <w:rPr>
          <w:rFonts w:ascii="Times New Roman" w:hAnsi="Times New Roman" w:cs="Times New Roman"/>
          <w:sz w:val="24"/>
          <w:szCs w:val="24"/>
        </w:rPr>
        <w:t xml:space="preserve"> It also shows the value of the 6 Block</w:t>
      </w:r>
      <w:r w:rsidR="005E4B24" w:rsidRPr="00000DD4">
        <w:rPr>
          <w:rFonts w:ascii="Times New Roman" w:hAnsi="Times New Roman" w:cs="Times New Roman"/>
          <w:sz w:val="24"/>
          <w:szCs w:val="24"/>
        </w:rPr>
        <w:t>s of Mapanzura Mining c</w:t>
      </w:r>
      <w:r w:rsidR="00DD4605" w:rsidRPr="00000DD4">
        <w:rPr>
          <w:rFonts w:ascii="Times New Roman" w:hAnsi="Times New Roman" w:cs="Times New Roman"/>
          <w:sz w:val="24"/>
          <w:szCs w:val="24"/>
        </w:rPr>
        <w:t>laims</w:t>
      </w:r>
      <w:r w:rsidR="0095395B" w:rsidRPr="00000DD4">
        <w:rPr>
          <w:rFonts w:ascii="Times New Roman" w:hAnsi="Times New Roman" w:cs="Times New Roman"/>
          <w:sz w:val="24"/>
          <w:szCs w:val="24"/>
        </w:rPr>
        <w:t>, being US$</w:t>
      </w:r>
      <w:r w:rsidR="00B41074" w:rsidRPr="00000DD4">
        <w:rPr>
          <w:rFonts w:ascii="Times New Roman" w:hAnsi="Times New Roman" w:cs="Times New Roman"/>
          <w:sz w:val="24"/>
          <w:szCs w:val="24"/>
        </w:rPr>
        <w:t xml:space="preserve">300 000.00.  It is needless to say that the invoice, being neither a receipt </w:t>
      </w:r>
      <w:r w:rsidR="00D25BDD" w:rsidRPr="00000DD4">
        <w:rPr>
          <w:rFonts w:ascii="Times New Roman" w:hAnsi="Times New Roman" w:cs="Times New Roman"/>
          <w:sz w:val="24"/>
          <w:szCs w:val="24"/>
        </w:rPr>
        <w:t>n</w:t>
      </w:r>
      <w:r w:rsidR="00B41074" w:rsidRPr="00000DD4">
        <w:rPr>
          <w:rFonts w:ascii="Times New Roman" w:hAnsi="Times New Roman" w:cs="Times New Roman"/>
          <w:sz w:val="24"/>
          <w:szCs w:val="24"/>
        </w:rPr>
        <w:t xml:space="preserve">or </w:t>
      </w:r>
      <w:r w:rsidR="00EF0FFC">
        <w:rPr>
          <w:rFonts w:ascii="Times New Roman" w:hAnsi="Times New Roman" w:cs="Times New Roman"/>
          <w:sz w:val="24"/>
          <w:szCs w:val="24"/>
        </w:rPr>
        <w:t xml:space="preserve">a </w:t>
      </w:r>
      <w:r w:rsidR="00B41074" w:rsidRPr="00000DD4">
        <w:rPr>
          <w:rFonts w:ascii="Times New Roman" w:hAnsi="Times New Roman" w:cs="Times New Roman"/>
          <w:sz w:val="24"/>
          <w:szCs w:val="24"/>
        </w:rPr>
        <w:t>bank statement, does not prove anything.  I mention in passing that if indeed money had changed hands, the second respondent would not have had any</w:t>
      </w:r>
      <w:r w:rsidR="00EF1DB7" w:rsidRPr="00000DD4">
        <w:rPr>
          <w:rFonts w:ascii="Times New Roman" w:hAnsi="Times New Roman" w:cs="Times New Roman"/>
          <w:sz w:val="24"/>
          <w:szCs w:val="24"/>
        </w:rPr>
        <w:t xml:space="preserve"> difficulties producing proof of payment.</w:t>
      </w:r>
    </w:p>
    <w:p w:rsidR="00EF1DB7" w:rsidRPr="00000DD4" w:rsidRDefault="00EF1DB7" w:rsidP="00151C6C">
      <w:pPr>
        <w:tabs>
          <w:tab w:val="left" w:pos="1134"/>
        </w:tabs>
        <w:spacing w:after="0" w:line="480" w:lineRule="auto"/>
        <w:ind w:right="-471"/>
        <w:jc w:val="both"/>
        <w:rPr>
          <w:rFonts w:ascii="Times New Roman" w:hAnsi="Times New Roman" w:cs="Times New Roman"/>
          <w:sz w:val="24"/>
          <w:szCs w:val="24"/>
        </w:rPr>
      </w:pPr>
    </w:p>
    <w:p w:rsidR="00EF1DB7" w:rsidRPr="00000DD4" w:rsidRDefault="00EF1DB7" w:rsidP="00151C6C">
      <w:pPr>
        <w:tabs>
          <w:tab w:val="left" w:pos="1134"/>
        </w:tabs>
        <w:spacing w:after="0" w:line="480" w:lineRule="auto"/>
        <w:ind w:right="-471"/>
        <w:jc w:val="both"/>
        <w:rPr>
          <w:rFonts w:ascii="Times New Roman" w:hAnsi="Times New Roman" w:cs="Times New Roman"/>
          <w:sz w:val="24"/>
          <w:szCs w:val="24"/>
        </w:rPr>
      </w:pPr>
      <w:r w:rsidRPr="00000DD4">
        <w:rPr>
          <w:rFonts w:ascii="Times New Roman" w:hAnsi="Times New Roman" w:cs="Times New Roman"/>
          <w:sz w:val="24"/>
          <w:szCs w:val="24"/>
        </w:rPr>
        <w:tab/>
        <w:t>Counsel for the appellants also made reference to the lease agreements produced by the second respondent.  Again because of its importance in shedding light to the dispute between the parties, I reproduce the pertinent part of the standard document hereunder</w:t>
      </w:r>
      <w:r w:rsidR="00B60436" w:rsidRPr="00000DD4">
        <w:rPr>
          <w:rFonts w:ascii="Times New Roman" w:hAnsi="Times New Roman" w:cs="Times New Roman"/>
          <w:sz w:val="24"/>
          <w:szCs w:val="24"/>
        </w:rPr>
        <w:t>:-</w:t>
      </w:r>
    </w:p>
    <w:p w:rsidR="00B60436" w:rsidRPr="00971836" w:rsidRDefault="00B60436" w:rsidP="00151C6C">
      <w:pPr>
        <w:tabs>
          <w:tab w:val="left" w:pos="567"/>
        </w:tabs>
        <w:spacing w:after="0" w:line="480" w:lineRule="auto"/>
        <w:ind w:right="-471" w:hanging="142"/>
        <w:jc w:val="both"/>
        <w:rPr>
          <w:rFonts w:ascii="Times New Roman" w:hAnsi="Times New Roman" w:cs="Times New Roman"/>
          <w:b/>
          <w:sz w:val="24"/>
          <w:szCs w:val="24"/>
        </w:rPr>
      </w:pPr>
      <w:r w:rsidRPr="00000DD4">
        <w:rPr>
          <w:rFonts w:ascii="Times New Roman" w:hAnsi="Times New Roman" w:cs="Times New Roman"/>
          <w:sz w:val="24"/>
          <w:szCs w:val="24"/>
        </w:rPr>
        <w:tab/>
      </w:r>
      <w:r w:rsidRPr="00000DD4">
        <w:rPr>
          <w:rFonts w:ascii="Times New Roman" w:hAnsi="Times New Roman" w:cs="Times New Roman"/>
          <w:sz w:val="24"/>
          <w:szCs w:val="24"/>
        </w:rPr>
        <w:tab/>
      </w:r>
      <w:r w:rsidR="007E3FC8" w:rsidRPr="00000DD4">
        <w:rPr>
          <w:rFonts w:ascii="Times New Roman" w:hAnsi="Times New Roman" w:cs="Times New Roman"/>
          <w:sz w:val="24"/>
          <w:szCs w:val="24"/>
        </w:rPr>
        <w:tab/>
      </w:r>
      <w:r w:rsidR="00187618" w:rsidRPr="00971836">
        <w:rPr>
          <w:rFonts w:ascii="Times New Roman" w:hAnsi="Times New Roman" w:cs="Times New Roman"/>
          <w:b/>
          <w:sz w:val="24"/>
          <w:szCs w:val="24"/>
        </w:rPr>
        <w:t>“LEASE AGREEMENT</w:t>
      </w:r>
    </w:p>
    <w:p w:rsidR="00B60436" w:rsidRPr="00000DD4" w:rsidRDefault="00B60436" w:rsidP="00151C6C">
      <w:pPr>
        <w:tabs>
          <w:tab w:val="left" w:pos="993"/>
        </w:tabs>
        <w:spacing w:after="0" w:line="240" w:lineRule="auto"/>
        <w:ind w:left="993" w:right="-471"/>
        <w:jc w:val="both"/>
        <w:rPr>
          <w:rFonts w:ascii="Times New Roman" w:hAnsi="Times New Roman" w:cs="Times New Roman"/>
          <w:sz w:val="24"/>
          <w:szCs w:val="24"/>
        </w:rPr>
      </w:pPr>
      <w:r w:rsidRPr="00000DD4">
        <w:rPr>
          <w:rFonts w:ascii="Times New Roman" w:hAnsi="Times New Roman" w:cs="Times New Roman"/>
          <w:sz w:val="24"/>
          <w:szCs w:val="24"/>
        </w:rPr>
        <w:t>A settlement agreement was negotiated between Upthrow</w:t>
      </w:r>
      <w:r w:rsidR="00D63929" w:rsidRPr="00000DD4">
        <w:rPr>
          <w:rFonts w:ascii="Times New Roman" w:hAnsi="Times New Roman" w:cs="Times New Roman"/>
          <w:sz w:val="24"/>
          <w:szCs w:val="24"/>
        </w:rPr>
        <w:t xml:space="preserve"> Trading Private</w:t>
      </w:r>
      <w:r w:rsidR="003753BE" w:rsidRPr="00000DD4">
        <w:rPr>
          <w:rFonts w:ascii="Times New Roman" w:hAnsi="Times New Roman" w:cs="Times New Roman"/>
          <w:sz w:val="24"/>
          <w:szCs w:val="24"/>
        </w:rPr>
        <w:t>) L</w:t>
      </w:r>
      <w:r w:rsidR="007E3FC8" w:rsidRPr="00000DD4">
        <w:rPr>
          <w:rFonts w:ascii="Times New Roman" w:hAnsi="Times New Roman" w:cs="Times New Roman"/>
          <w:sz w:val="24"/>
          <w:szCs w:val="24"/>
        </w:rPr>
        <w:t xml:space="preserve">imited, Maranatha Ferrochrome (Pvt) Ltd, </w:t>
      </w:r>
      <w:r w:rsidR="0010095C" w:rsidRPr="00000DD4">
        <w:rPr>
          <w:rFonts w:ascii="Times New Roman" w:hAnsi="Times New Roman" w:cs="Times New Roman"/>
          <w:sz w:val="24"/>
          <w:szCs w:val="24"/>
          <w:u w:val="single"/>
        </w:rPr>
        <w:t>Amble Mine (Private) Limited</w:t>
      </w:r>
      <w:r w:rsidR="008C5B89" w:rsidRPr="00000DD4">
        <w:rPr>
          <w:rFonts w:ascii="Times New Roman" w:hAnsi="Times New Roman" w:cs="Times New Roman"/>
          <w:sz w:val="24"/>
          <w:szCs w:val="24"/>
          <w:u w:val="single"/>
        </w:rPr>
        <w:t>,</w:t>
      </w:r>
      <w:r w:rsidR="007E3FC8" w:rsidRPr="00000DD4">
        <w:rPr>
          <w:rFonts w:ascii="Times New Roman" w:hAnsi="Times New Roman" w:cs="Times New Roman"/>
          <w:sz w:val="24"/>
          <w:szCs w:val="24"/>
        </w:rPr>
        <w:t xml:space="preserve"> Gu</w:t>
      </w:r>
      <w:r w:rsidR="008B3E8D" w:rsidRPr="00000DD4">
        <w:rPr>
          <w:rFonts w:ascii="Times New Roman" w:hAnsi="Times New Roman" w:cs="Times New Roman"/>
          <w:sz w:val="24"/>
          <w:szCs w:val="24"/>
        </w:rPr>
        <w:t>rta AG, Glossy Investments (Private)limited</w:t>
      </w:r>
      <w:r w:rsidR="007E3FC8" w:rsidRPr="00000DD4">
        <w:rPr>
          <w:rFonts w:ascii="Times New Roman" w:hAnsi="Times New Roman" w:cs="Times New Roman"/>
          <w:sz w:val="24"/>
          <w:szCs w:val="24"/>
        </w:rPr>
        <w:t xml:space="preserve"> and Honourable Paul Man</w:t>
      </w:r>
      <w:r w:rsidR="00E00AE8" w:rsidRPr="00000DD4">
        <w:rPr>
          <w:rFonts w:ascii="Times New Roman" w:hAnsi="Times New Roman" w:cs="Times New Roman"/>
          <w:sz w:val="24"/>
          <w:szCs w:val="24"/>
        </w:rPr>
        <w:t xml:space="preserve">gwana and signed in Italy on </w:t>
      </w:r>
      <w:r w:rsidR="008C113C">
        <w:rPr>
          <w:rFonts w:ascii="Times New Roman" w:hAnsi="Times New Roman" w:cs="Times New Roman"/>
          <w:sz w:val="24"/>
          <w:szCs w:val="24"/>
        </w:rPr>
        <w:t>3 </w:t>
      </w:r>
      <w:r w:rsidR="007E3FC8" w:rsidRPr="00000DD4">
        <w:rPr>
          <w:rFonts w:ascii="Times New Roman" w:hAnsi="Times New Roman" w:cs="Times New Roman"/>
          <w:sz w:val="24"/>
          <w:szCs w:val="24"/>
        </w:rPr>
        <w:t>October 2013. In terms of this settlement agreement</w:t>
      </w:r>
      <w:r w:rsidR="005F0608" w:rsidRPr="00000DD4">
        <w:rPr>
          <w:rFonts w:ascii="Times New Roman" w:hAnsi="Times New Roman" w:cs="Times New Roman"/>
          <w:sz w:val="24"/>
          <w:szCs w:val="24"/>
        </w:rPr>
        <w:t>, following the completion of t</w:t>
      </w:r>
      <w:r w:rsidR="007E3FC8" w:rsidRPr="00000DD4">
        <w:rPr>
          <w:rFonts w:ascii="Times New Roman" w:hAnsi="Times New Roman" w:cs="Times New Roman"/>
          <w:sz w:val="24"/>
          <w:szCs w:val="24"/>
        </w:rPr>
        <w:t xml:space="preserve">he handover of the mining claims, </w:t>
      </w:r>
      <w:r w:rsidR="00FE71E3" w:rsidRPr="00000DD4">
        <w:rPr>
          <w:rFonts w:ascii="Times New Roman" w:hAnsi="Times New Roman" w:cs="Times New Roman"/>
          <w:sz w:val="24"/>
          <w:szCs w:val="24"/>
          <w:u w:val="single"/>
        </w:rPr>
        <w:t>Maranatha Ferrochrome (Private) Limited</w:t>
      </w:r>
      <w:r w:rsidR="007E3FC8" w:rsidRPr="00000DD4">
        <w:rPr>
          <w:rFonts w:ascii="Times New Roman" w:hAnsi="Times New Roman" w:cs="Times New Roman"/>
          <w:sz w:val="24"/>
          <w:szCs w:val="24"/>
          <w:u w:val="single"/>
        </w:rPr>
        <w:t xml:space="preserve"> representing Gurta</w:t>
      </w:r>
      <w:r w:rsidR="00B134B8" w:rsidRPr="00000DD4">
        <w:rPr>
          <w:rFonts w:ascii="Times New Roman" w:hAnsi="Times New Roman" w:cs="Times New Roman"/>
          <w:sz w:val="24"/>
          <w:szCs w:val="24"/>
          <w:u w:val="single"/>
        </w:rPr>
        <w:t xml:space="preserve"> AG who are the legitimate owners of the mining </w:t>
      </w:r>
      <w:r w:rsidR="00323F57" w:rsidRPr="00000DD4">
        <w:rPr>
          <w:rFonts w:ascii="Times New Roman" w:hAnsi="Times New Roman" w:cs="Times New Roman"/>
          <w:sz w:val="24"/>
          <w:szCs w:val="24"/>
          <w:u w:val="single"/>
        </w:rPr>
        <w:t>claims in Ngezi do hereby offer the Lease Agreement Arrangement for</w:t>
      </w:r>
      <w:r w:rsidR="00323F57" w:rsidRPr="00000DD4">
        <w:rPr>
          <w:rFonts w:ascii="Times New Roman" w:hAnsi="Times New Roman" w:cs="Times New Roman"/>
          <w:sz w:val="24"/>
          <w:szCs w:val="24"/>
        </w:rPr>
        <w:t xml:space="preserve"> the property know</w:t>
      </w:r>
      <w:r w:rsidR="006D295D" w:rsidRPr="00000DD4">
        <w:rPr>
          <w:rFonts w:ascii="Times New Roman" w:hAnsi="Times New Roman" w:cs="Times New Roman"/>
          <w:sz w:val="24"/>
          <w:szCs w:val="24"/>
        </w:rPr>
        <w:t>n</w:t>
      </w:r>
      <w:r w:rsidR="008643D0" w:rsidRPr="00000DD4">
        <w:rPr>
          <w:rFonts w:ascii="Times New Roman" w:hAnsi="Times New Roman" w:cs="Times New Roman"/>
          <w:sz w:val="24"/>
          <w:szCs w:val="24"/>
        </w:rPr>
        <w:t xml:space="preserve"> as:-</w:t>
      </w:r>
    </w:p>
    <w:p w:rsidR="00E17FAE" w:rsidRPr="00000DD4" w:rsidRDefault="00E17FAE" w:rsidP="00151C6C">
      <w:pPr>
        <w:tabs>
          <w:tab w:val="left" w:pos="993"/>
        </w:tabs>
        <w:spacing w:after="0" w:line="240" w:lineRule="auto"/>
        <w:ind w:left="993" w:right="-471"/>
        <w:jc w:val="both"/>
        <w:rPr>
          <w:rFonts w:ascii="Times New Roman" w:hAnsi="Times New Roman" w:cs="Times New Roman"/>
          <w:sz w:val="24"/>
          <w:szCs w:val="24"/>
        </w:rPr>
      </w:pPr>
    </w:p>
    <w:p w:rsidR="008643D0" w:rsidRPr="00000DD4" w:rsidRDefault="00ED2A36" w:rsidP="00151C6C">
      <w:pPr>
        <w:tabs>
          <w:tab w:val="left" w:pos="567"/>
          <w:tab w:val="left" w:pos="1134"/>
        </w:tabs>
        <w:spacing w:after="0" w:line="240" w:lineRule="auto"/>
        <w:ind w:left="567" w:right="-471" w:hanging="142"/>
        <w:jc w:val="both"/>
        <w:rPr>
          <w:rFonts w:ascii="Times New Roman" w:hAnsi="Times New Roman" w:cs="Times New Roman"/>
          <w:b/>
          <w:sz w:val="24"/>
          <w:szCs w:val="24"/>
        </w:rPr>
      </w:pPr>
      <w:r w:rsidRPr="00000DD4">
        <w:rPr>
          <w:rFonts w:ascii="Times New Roman" w:hAnsi="Times New Roman" w:cs="Times New Roman"/>
          <w:sz w:val="24"/>
          <w:szCs w:val="24"/>
        </w:rPr>
        <w:tab/>
        <w:t xml:space="preserve">       </w:t>
      </w:r>
      <w:r w:rsidR="008643D0" w:rsidRPr="00000DD4">
        <w:rPr>
          <w:rFonts w:ascii="Times New Roman" w:hAnsi="Times New Roman" w:cs="Times New Roman"/>
          <w:b/>
          <w:sz w:val="24"/>
          <w:szCs w:val="24"/>
        </w:rPr>
        <w:t>WHITE HOUSE ROOM 3</w:t>
      </w:r>
    </w:p>
    <w:p w:rsidR="008643D0" w:rsidRPr="00000DD4" w:rsidRDefault="00C50298" w:rsidP="00151C6C">
      <w:pPr>
        <w:tabs>
          <w:tab w:val="left" w:pos="1276"/>
        </w:tabs>
        <w:spacing w:after="0" w:line="240" w:lineRule="auto"/>
        <w:ind w:left="993" w:right="-471"/>
        <w:jc w:val="both"/>
        <w:rPr>
          <w:rFonts w:ascii="Times New Roman" w:hAnsi="Times New Roman" w:cs="Times New Roman"/>
          <w:sz w:val="24"/>
          <w:szCs w:val="24"/>
        </w:rPr>
      </w:pPr>
      <w:r w:rsidRPr="00000DD4">
        <w:rPr>
          <w:rFonts w:ascii="Times New Roman" w:hAnsi="Times New Roman" w:cs="Times New Roman"/>
          <w:sz w:val="24"/>
          <w:szCs w:val="24"/>
        </w:rPr>
        <w:t>The lessee</w:t>
      </w:r>
      <w:r w:rsidR="008643D0" w:rsidRPr="00000DD4">
        <w:rPr>
          <w:rFonts w:ascii="Times New Roman" w:hAnsi="Times New Roman" w:cs="Times New Roman"/>
          <w:sz w:val="24"/>
          <w:szCs w:val="24"/>
        </w:rPr>
        <w:t xml:space="preserve"> hereby agrees to rent the said property (on) for a period of 3 months with effect from </w:t>
      </w:r>
      <w:r w:rsidR="00ED2A36" w:rsidRPr="00000DD4">
        <w:rPr>
          <w:rFonts w:ascii="Times New Roman" w:hAnsi="Times New Roman" w:cs="Times New Roman"/>
          <w:sz w:val="24"/>
          <w:szCs w:val="24"/>
        </w:rPr>
        <w:t xml:space="preserve"> </w:t>
      </w:r>
      <w:r w:rsidR="008643D0" w:rsidRPr="00000DD4">
        <w:rPr>
          <w:rFonts w:ascii="Times New Roman" w:hAnsi="Times New Roman" w:cs="Times New Roman"/>
          <w:sz w:val="24"/>
          <w:szCs w:val="24"/>
        </w:rPr>
        <w:t xml:space="preserve">1 September 2015 expiring on 3 November 2015 subject to the payment of monthly rentals amounting to US$25.00 to </w:t>
      </w:r>
      <w:r w:rsidR="008643D0" w:rsidRPr="00000DD4">
        <w:rPr>
          <w:rFonts w:ascii="Times New Roman" w:hAnsi="Times New Roman" w:cs="Times New Roman"/>
          <w:sz w:val="24"/>
          <w:szCs w:val="24"/>
          <w:u w:val="single"/>
        </w:rPr>
        <w:t>Maranatha Ferrochrome (Private)</w:t>
      </w:r>
      <w:r w:rsidR="008643D0" w:rsidRPr="00000DD4">
        <w:rPr>
          <w:rFonts w:ascii="Times New Roman" w:hAnsi="Times New Roman" w:cs="Times New Roman"/>
          <w:sz w:val="24"/>
          <w:szCs w:val="24"/>
        </w:rPr>
        <w:t xml:space="preserve"> </w:t>
      </w:r>
      <w:r w:rsidR="007B7FBA" w:rsidRPr="00000DD4">
        <w:rPr>
          <w:rFonts w:ascii="Times New Roman" w:hAnsi="Times New Roman" w:cs="Times New Roman"/>
          <w:sz w:val="24"/>
          <w:szCs w:val="24"/>
          <w:u w:val="single"/>
        </w:rPr>
        <w:t>L</w:t>
      </w:r>
      <w:r w:rsidR="008643D0" w:rsidRPr="00000DD4">
        <w:rPr>
          <w:rFonts w:ascii="Times New Roman" w:hAnsi="Times New Roman" w:cs="Times New Roman"/>
          <w:sz w:val="24"/>
          <w:szCs w:val="24"/>
          <w:u w:val="single"/>
        </w:rPr>
        <w:t>imited</w:t>
      </w:r>
      <w:r w:rsidR="008643D0" w:rsidRPr="00000DD4">
        <w:rPr>
          <w:rFonts w:ascii="Times New Roman" w:hAnsi="Times New Roman" w:cs="Times New Roman"/>
          <w:sz w:val="24"/>
          <w:szCs w:val="24"/>
        </w:rPr>
        <w:t xml:space="preserve"> .  Lease maybe terminated by</w:t>
      </w:r>
      <w:r w:rsidR="005D5034" w:rsidRPr="00000DD4">
        <w:rPr>
          <w:rFonts w:ascii="Times New Roman" w:hAnsi="Times New Roman" w:cs="Times New Roman"/>
          <w:sz w:val="24"/>
          <w:szCs w:val="24"/>
        </w:rPr>
        <w:t xml:space="preserve"> either party giving two</w:t>
      </w:r>
      <w:r w:rsidR="008643D0" w:rsidRPr="00000DD4">
        <w:rPr>
          <w:rFonts w:ascii="Times New Roman" w:hAnsi="Times New Roman" w:cs="Times New Roman"/>
          <w:sz w:val="24"/>
          <w:szCs w:val="24"/>
        </w:rPr>
        <w:t xml:space="preserve"> weeks as notice of termination” </w:t>
      </w:r>
      <w:r w:rsidR="00802465" w:rsidRPr="00000DD4">
        <w:rPr>
          <w:rFonts w:ascii="Times New Roman" w:hAnsi="Times New Roman" w:cs="Times New Roman"/>
          <w:sz w:val="24"/>
          <w:szCs w:val="24"/>
        </w:rPr>
        <w:t>(The</w:t>
      </w:r>
      <w:r w:rsidR="008643D0" w:rsidRPr="00000DD4">
        <w:rPr>
          <w:rFonts w:ascii="Times New Roman" w:hAnsi="Times New Roman" w:cs="Times New Roman"/>
          <w:sz w:val="24"/>
          <w:szCs w:val="24"/>
        </w:rPr>
        <w:t xml:space="preserve"> underlining is for emphasis)</w:t>
      </w:r>
    </w:p>
    <w:p w:rsidR="00913571" w:rsidRDefault="00913571" w:rsidP="00913571">
      <w:pPr>
        <w:tabs>
          <w:tab w:val="left" w:pos="1134"/>
        </w:tabs>
        <w:spacing w:after="0" w:line="480" w:lineRule="auto"/>
        <w:ind w:right="-471"/>
        <w:jc w:val="both"/>
        <w:rPr>
          <w:rFonts w:ascii="Times New Roman" w:hAnsi="Times New Roman" w:cs="Times New Roman"/>
          <w:sz w:val="24"/>
          <w:szCs w:val="24"/>
        </w:rPr>
      </w:pPr>
    </w:p>
    <w:p w:rsidR="00913571" w:rsidRDefault="00913571" w:rsidP="002A6B6C">
      <w:pPr>
        <w:tabs>
          <w:tab w:val="left" w:pos="1134"/>
        </w:tabs>
        <w:spacing w:after="0" w:line="360" w:lineRule="auto"/>
        <w:ind w:right="-471"/>
        <w:jc w:val="both"/>
        <w:rPr>
          <w:rFonts w:ascii="Times New Roman" w:hAnsi="Times New Roman" w:cs="Times New Roman"/>
          <w:sz w:val="24"/>
          <w:szCs w:val="24"/>
        </w:rPr>
      </w:pPr>
    </w:p>
    <w:p w:rsidR="00D7646D" w:rsidRPr="00000DD4" w:rsidRDefault="001A4FBD"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 xml:space="preserve">Again a simple interpretation of the lease agreements which the second respondent entered into with its alleged tenants shows that 6 years after the second respondent had purportedly </w:t>
      </w:r>
      <w:r w:rsidRPr="00000DD4">
        <w:rPr>
          <w:rFonts w:ascii="Times New Roman" w:hAnsi="Times New Roman" w:cs="Times New Roman"/>
          <w:sz w:val="24"/>
          <w:szCs w:val="24"/>
        </w:rPr>
        <w:lastRenderedPageBreak/>
        <w:t xml:space="preserve">purchased the mining claims and their environs </w:t>
      </w:r>
      <w:r w:rsidR="00E84277" w:rsidRPr="00000DD4">
        <w:rPr>
          <w:rFonts w:ascii="Times New Roman" w:hAnsi="Times New Roman" w:cs="Times New Roman"/>
          <w:sz w:val="24"/>
          <w:szCs w:val="24"/>
        </w:rPr>
        <w:t>from the</w:t>
      </w:r>
      <w:r w:rsidRPr="00000DD4">
        <w:rPr>
          <w:rFonts w:ascii="Times New Roman" w:hAnsi="Times New Roman" w:cs="Times New Roman"/>
          <w:sz w:val="24"/>
          <w:szCs w:val="24"/>
        </w:rPr>
        <w:t xml:space="preserve"> judgment debtor, the latter was still being listed on the lease agreements as having an interest in the property.  Not </w:t>
      </w:r>
      <w:r w:rsidR="002C414F" w:rsidRPr="00000DD4">
        <w:rPr>
          <w:rFonts w:ascii="Times New Roman" w:hAnsi="Times New Roman" w:cs="Times New Roman"/>
          <w:sz w:val="24"/>
          <w:szCs w:val="24"/>
        </w:rPr>
        <w:t>only that, the second respondent was still not visible o</w:t>
      </w:r>
      <w:r w:rsidR="001E33B4" w:rsidRPr="00000DD4">
        <w:rPr>
          <w:rFonts w:ascii="Times New Roman" w:hAnsi="Times New Roman" w:cs="Times New Roman"/>
          <w:sz w:val="24"/>
          <w:szCs w:val="24"/>
        </w:rPr>
        <w:t>n the ground</w:t>
      </w:r>
      <w:r w:rsidR="002C414F" w:rsidRPr="00000DD4">
        <w:rPr>
          <w:rFonts w:ascii="Times New Roman" w:hAnsi="Times New Roman" w:cs="Times New Roman"/>
          <w:sz w:val="24"/>
          <w:szCs w:val="24"/>
        </w:rPr>
        <w:t xml:space="preserve"> to an extent that the leases were written on the letterhe</w:t>
      </w:r>
      <w:r w:rsidR="00B40066" w:rsidRPr="00000DD4">
        <w:rPr>
          <w:rFonts w:ascii="Times New Roman" w:hAnsi="Times New Roman" w:cs="Times New Roman"/>
          <w:sz w:val="24"/>
          <w:szCs w:val="24"/>
        </w:rPr>
        <w:t>ad of Maranatha Ferrochrome (Private) Limited</w:t>
      </w:r>
      <w:r w:rsidR="002C414F" w:rsidRPr="00000DD4">
        <w:rPr>
          <w:rFonts w:ascii="Times New Roman" w:hAnsi="Times New Roman" w:cs="Times New Roman"/>
          <w:sz w:val="24"/>
          <w:szCs w:val="24"/>
        </w:rPr>
        <w:t>, the parent company of the judgment debtor.</w:t>
      </w:r>
    </w:p>
    <w:p w:rsidR="002C414F" w:rsidRPr="00000DD4" w:rsidRDefault="002C414F" w:rsidP="008E4405">
      <w:pPr>
        <w:tabs>
          <w:tab w:val="left" w:pos="1134"/>
        </w:tabs>
        <w:spacing w:after="0" w:line="480" w:lineRule="auto"/>
        <w:ind w:right="-472"/>
        <w:jc w:val="both"/>
        <w:rPr>
          <w:rFonts w:ascii="Times New Roman" w:hAnsi="Times New Roman" w:cs="Times New Roman"/>
          <w:sz w:val="24"/>
          <w:szCs w:val="24"/>
        </w:rPr>
      </w:pPr>
    </w:p>
    <w:p w:rsidR="002C414F" w:rsidRPr="00000DD4" w:rsidRDefault="002C414F"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r>
      <w:r w:rsidR="00166B28" w:rsidRPr="00000DD4">
        <w:rPr>
          <w:rFonts w:ascii="Times New Roman" w:hAnsi="Times New Roman" w:cs="Times New Roman"/>
          <w:sz w:val="24"/>
          <w:szCs w:val="24"/>
        </w:rPr>
        <w:t xml:space="preserve">If that set of facts was not </w:t>
      </w:r>
      <w:r w:rsidR="00AD7B4B" w:rsidRPr="00000DD4">
        <w:rPr>
          <w:rFonts w:ascii="Times New Roman" w:hAnsi="Times New Roman" w:cs="Times New Roman"/>
          <w:sz w:val="24"/>
          <w:szCs w:val="24"/>
        </w:rPr>
        <w:t>disconcerting enough</w:t>
      </w:r>
      <w:r w:rsidR="00166B28" w:rsidRPr="00000DD4">
        <w:rPr>
          <w:rFonts w:ascii="Times New Roman" w:hAnsi="Times New Roman" w:cs="Times New Roman"/>
          <w:sz w:val="24"/>
          <w:szCs w:val="24"/>
        </w:rPr>
        <w:t>, then it should indeed be remarkable to note that Mara</w:t>
      </w:r>
      <w:r w:rsidR="00E2643A" w:rsidRPr="00000DD4">
        <w:rPr>
          <w:rFonts w:ascii="Times New Roman" w:hAnsi="Times New Roman" w:cs="Times New Roman"/>
          <w:sz w:val="24"/>
          <w:szCs w:val="24"/>
        </w:rPr>
        <w:t>natha Ferrochrome (Private) Limited</w:t>
      </w:r>
      <w:r w:rsidR="00166B28" w:rsidRPr="00000DD4">
        <w:rPr>
          <w:rFonts w:ascii="Times New Roman" w:hAnsi="Times New Roman" w:cs="Times New Roman"/>
          <w:sz w:val="24"/>
          <w:szCs w:val="24"/>
        </w:rPr>
        <w:t xml:space="preserve"> was a</w:t>
      </w:r>
      <w:r w:rsidR="0062077F" w:rsidRPr="00000DD4">
        <w:rPr>
          <w:rFonts w:ascii="Times New Roman" w:hAnsi="Times New Roman" w:cs="Times New Roman"/>
          <w:sz w:val="24"/>
          <w:szCs w:val="24"/>
        </w:rPr>
        <w:t xml:space="preserve">lso receiving rentals for the </w:t>
      </w:r>
      <w:r w:rsidR="00166B28" w:rsidRPr="00000DD4">
        <w:rPr>
          <w:rFonts w:ascii="Times New Roman" w:hAnsi="Times New Roman" w:cs="Times New Roman"/>
          <w:sz w:val="24"/>
          <w:szCs w:val="24"/>
        </w:rPr>
        <w:t>lease</w:t>
      </w:r>
      <w:r w:rsidR="0062077F" w:rsidRPr="00000DD4">
        <w:rPr>
          <w:rFonts w:ascii="Times New Roman" w:hAnsi="Times New Roman" w:cs="Times New Roman"/>
          <w:sz w:val="24"/>
          <w:szCs w:val="24"/>
        </w:rPr>
        <w:t>d</w:t>
      </w:r>
      <w:r w:rsidR="00166B28" w:rsidRPr="00000DD4">
        <w:rPr>
          <w:rFonts w:ascii="Times New Roman" w:hAnsi="Times New Roman" w:cs="Times New Roman"/>
          <w:sz w:val="24"/>
          <w:szCs w:val="24"/>
        </w:rPr>
        <w:t xml:space="preserve"> properties.  Those facts cannot be ignored.</w:t>
      </w:r>
    </w:p>
    <w:p w:rsidR="00166B28" w:rsidRPr="00000DD4" w:rsidRDefault="00166B28" w:rsidP="008E4405">
      <w:pPr>
        <w:tabs>
          <w:tab w:val="left" w:pos="1134"/>
        </w:tabs>
        <w:spacing w:after="0" w:line="480" w:lineRule="auto"/>
        <w:ind w:right="-471"/>
        <w:jc w:val="both"/>
        <w:rPr>
          <w:rFonts w:ascii="Times New Roman" w:hAnsi="Times New Roman" w:cs="Times New Roman"/>
          <w:sz w:val="24"/>
          <w:szCs w:val="24"/>
        </w:rPr>
      </w:pPr>
    </w:p>
    <w:p w:rsidR="00166B28" w:rsidRPr="00000DD4" w:rsidRDefault="00166B28"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 xml:space="preserve">The documents from the Ministry of Mines and Mineral Development relied upon by the second respondent had their own challenges.  Counsel for the appellant submitted that the certificate of registration purportedly showing </w:t>
      </w:r>
      <w:r w:rsidR="00D3684E" w:rsidRPr="00000DD4">
        <w:rPr>
          <w:rFonts w:ascii="Times New Roman" w:hAnsi="Times New Roman" w:cs="Times New Roman"/>
          <w:sz w:val="24"/>
          <w:szCs w:val="24"/>
        </w:rPr>
        <w:t>that the</w:t>
      </w:r>
      <w:r w:rsidRPr="00000DD4">
        <w:rPr>
          <w:rFonts w:ascii="Times New Roman" w:hAnsi="Times New Roman" w:cs="Times New Roman"/>
          <w:sz w:val="24"/>
          <w:szCs w:val="24"/>
        </w:rPr>
        <w:t xml:space="preserve"> claims had changed hands was a photocopy.  Although the second respondent was challenged to produce the </w:t>
      </w:r>
      <w:r w:rsidR="00D3684E" w:rsidRPr="00000DD4">
        <w:rPr>
          <w:rFonts w:ascii="Times New Roman" w:hAnsi="Times New Roman" w:cs="Times New Roman"/>
          <w:sz w:val="24"/>
          <w:szCs w:val="24"/>
        </w:rPr>
        <w:t xml:space="preserve">original, it failed to do so. </w:t>
      </w:r>
      <w:r w:rsidRPr="00000DD4">
        <w:rPr>
          <w:rFonts w:ascii="Times New Roman" w:hAnsi="Times New Roman" w:cs="Times New Roman"/>
          <w:sz w:val="24"/>
          <w:szCs w:val="24"/>
        </w:rPr>
        <w:t xml:space="preserve"> </w:t>
      </w:r>
    </w:p>
    <w:p w:rsidR="00D272A6" w:rsidRPr="00000DD4" w:rsidRDefault="00D272A6" w:rsidP="00151C6C">
      <w:pPr>
        <w:tabs>
          <w:tab w:val="left" w:pos="1134"/>
        </w:tabs>
        <w:spacing w:after="0" w:line="480" w:lineRule="auto"/>
        <w:ind w:right="-472"/>
        <w:jc w:val="both"/>
        <w:rPr>
          <w:rFonts w:ascii="Times New Roman" w:hAnsi="Times New Roman" w:cs="Times New Roman"/>
          <w:sz w:val="24"/>
          <w:szCs w:val="24"/>
        </w:rPr>
      </w:pPr>
    </w:p>
    <w:p w:rsidR="00050021" w:rsidRPr="00000DD4" w:rsidRDefault="00D272A6" w:rsidP="00151C6C">
      <w:pPr>
        <w:tabs>
          <w:tab w:val="left" w:pos="1134"/>
        </w:tabs>
        <w:spacing w:after="0" w:line="480" w:lineRule="auto"/>
        <w:ind w:right="-472"/>
        <w:jc w:val="both"/>
        <w:rPr>
          <w:rFonts w:ascii="Times New Roman" w:hAnsi="Times New Roman" w:cs="Times New Roman"/>
          <w:sz w:val="24"/>
          <w:szCs w:val="24"/>
        </w:rPr>
      </w:pPr>
      <w:r w:rsidRPr="00000DD4">
        <w:rPr>
          <w:rFonts w:ascii="Times New Roman" w:hAnsi="Times New Roman" w:cs="Times New Roman"/>
          <w:sz w:val="24"/>
          <w:szCs w:val="24"/>
        </w:rPr>
        <w:tab/>
        <w:t>More importantly, when the Ministry was requested to confirm the status of the mining claim</w:t>
      </w:r>
      <w:r w:rsidR="003C33F7" w:rsidRPr="00000DD4">
        <w:rPr>
          <w:rFonts w:ascii="Times New Roman" w:hAnsi="Times New Roman" w:cs="Times New Roman"/>
          <w:sz w:val="24"/>
          <w:szCs w:val="24"/>
        </w:rPr>
        <w:t>s</w:t>
      </w:r>
      <w:r w:rsidRPr="00000DD4">
        <w:rPr>
          <w:rFonts w:ascii="Times New Roman" w:hAnsi="Times New Roman" w:cs="Times New Roman"/>
          <w:sz w:val="24"/>
          <w:szCs w:val="24"/>
        </w:rPr>
        <w:t xml:space="preserve">, it initially wrote a letter dated 31 May </w:t>
      </w:r>
      <w:r w:rsidR="00050021" w:rsidRPr="00000DD4">
        <w:rPr>
          <w:rFonts w:ascii="Times New Roman" w:hAnsi="Times New Roman" w:cs="Times New Roman"/>
          <w:sz w:val="24"/>
          <w:szCs w:val="24"/>
        </w:rPr>
        <w:t>2018 signe</w:t>
      </w:r>
      <w:r w:rsidR="00193C14" w:rsidRPr="00000DD4">
        <w:rPr>
          <w:rFonts w:ascii="Times New Roman" w:hAnsi="Times New Roman" w:cs="Times New Roman"/>
          <w:sz w:val="24"/>
          <w:szCs w:val="24"/>
        </w:rPr>
        <w:t>d by one M. Maisera, the Acting</w:t>
      </w:r>
      <w:r w:rsidR="00050021" w:rsidRPr="00000DD4">
        <w:rPr>
          <w:rFonts w:ascii="Times New Roman" w:hAnsi="Times New Roman" w:cs="Times New Roman"/>
          <w:sz w:val="24"/>
          <w:szCs w:val="24"/>
        </w:rPr>
        <w:t xml:space="preserve"> Deputy Provincial Mining Director for Mashonaland West</w:t>
      </w:r>
      <w:r w:rsidR="003C33F7" w:rsidRPr="00000DD4">
        <w:rPr>
          <w:rFonts w:ascii="Times New Roman" w:hAnsi="Times New Roman" w:cs="Times New Roman"/>
          <w:sz w:val="24"/>
          <w:szCs w:val="24"/>
        </w:rPr>
        <w:t>,</w:t>
      </w:r>
      <w:r w:rsidR="00050021" w:rsidRPr="00000DD4">
        <w:rPr>
          <w:rFonts w:ascii="Times New Roman" w:hAnsi="Times New Roman" w:cs="Times New Roman"/>
          <w:sz w:val="24"/>
          <w:szCs w:val="24"/>
        </w:rPr>
        <w:t xml:space="preserve"> which states in part:</w:t>
      </w:r>
    </w:p>
    <w:p w:rsidR="00050021" w:rsidRPr="00000DD4" w:rsidRDefault="00050021" w:rsidP="00151C6C">
      <w:pPr>
        <w:tabs>
          <w:tab w:val="left" w:pos="567"/>
        </w:tabs>
        <w:spacing w:after="0"/>
        <w:ind w:left="567"/>
        <w:jc w:val="both"/>
        <w:rPr>
          <w:rFonts w:ascii="Times New Roman" w:hAnsi="Times New Roman" w:cs="Times New Roman"/>
          <w:sz w:val="24"/>
          <w:szCs w:val="24"/>
        </w:rPr>
      </w:pPr>
      <w:r w:rsidRPr="00000DD4">
        <w:rPr>
          <w:rFonts w:ascii="Times New Roman" w:hAnsi="Times New Roman" w:cs="Times New Roman"/>
          <w:sz w:val="24"/>
          <w:szCs w:val="24"/>
        </w:rPr>
        <w:t xml:space="preserve">“This office acknowledges receipt of your letter dated 24 May 2018 in which information of mines held by Amble Mining </w:t>
      </w:r>
      <w:r w:rsidR="003C33F7" w:rsidRPr="00000DD4">
        <w:rPr>
          <w:rFonts w:ascii="Times New Roman" w:hAnsi="Times New Roman" w:cs="Times New Roman"/>
          <w:sz w:val="24"/>
          <w:szCs w:val="24"/>
        </w:rPr>
        <w:t>(</w:t>
      </w:r>
      <w:r w:rsidRPr="00000DD4">
        <w:rPr>
          <w:rFonts w:ascii="Times New Roman" w:hAnsi="Times New Roman" w:cs="Times New Roman"/>
          <w:sz w:val="24"/>
          <w:szCs w:val="24"/>
        </w:rPr>
        <w:t>Private) Limited is requested.</w:t>
      </w:r>
    </w:p>
    <w:p w:rsidR="00050021" w:rsidRPr="00000DD4" w:rsidRDefault="00050021" w:rsidP="00151C6C">
      <w:pPr>
        <w:tabs>
          <w:tab w:val="left" w:pos="567"/>
        </w:tabs>
        <w:spacing w:after="0"/>
        <w:ind w:left="567"/>
        <w:jc w:val="both"/>
        <w:rPr>
          <w:rFonts w:ascii="Times New Roman" w:hAnsi="Times New Roman" w:cs="Times New Roman"/>
          <w:sz w:val="24"/>
          <w:szCs w:val="24"/>
        </w:rPr>
      </w:pPr>
      <w:r w:rsidRPr="00000DD4">
        <w:rPr>
          <w:rFonts w:ascii="Times New Roman" w:hAnsi="Times New Roman" w:cs="Times New Roman"/>
          <w:sz w:val="24"/>
          <w:szCs w:val="24"/>
        </w:rPr>
        <w:t xml:space="preserve">According to records held by this office, Amble Mining </w:t>
      </w:r>
      <w:r w:rsidR="00F90ED4" w:rsidRPr="00000DD4">
        <w:rPr>
          <w:rFonts w:ascii="Times New Roman" w:hAnsi="Times New Roman" w:cs="Times New Roman"/>
          <w:sz w:val="24"/>
          <w:szCs w:val="24"/>
        </w:rPr>
        <w:t>(</w:t>
      </w:r>
      <w:r w:rsidRPr="00000DD4">
        <w:rPr>
          <w:rFonts w:ascii="Times New Roman" w:hAnsi="Times New Roman" w:cs="Times New Roman"/>
          <w:sz w:val="24"/>
          <w:szCs w:val="24"/>
        </w:rPr>
        <w:t>Private) Limited is the holder of the following chrome blocks……”</w:t>
      </w:r>
    </w:p>
    <w:p w:rsidR="00050021" w:rsidRPr="00000DD4" w:rsidRDefault="00050021" w:rsidP="00151C6C">
      <w:pPr>
        <w:tabs>
          <w:tab w:val="left" w:pos="567"/>
        </w:tabs>
        <w:spacing w:after="0"/>
        <w:ind w:left="567"/>
        <w:jc w:val="both"/>
        <w:rPr>
          <w:rFonts w:ascii="Times New Roman" w:hAnsi="Times New Roman" w:cs="Times New Roman"/>
          <w:sz w:val="24"/>
          <w:szCs w:val="24"/>
        </w:rPr>
      </w:pPr>
    </w:p>
    <w:p w:rsidR="00050021" w:rsidRPr="00000DD4" w:rsidRDefault="00050021" w:rsidP="00151C6C">
      <w:pPr>
        <w:tabs>
          <w:tab w:val="left" w:pos="567"/>
        </w:tabs>
        <w:spacing w:after="0" w:line="480" w:lineRule="auto"/>
        <w:ind w:left="567"/>
        <w:jc w:val="both"/>
        <w:rPr>
          <w:rFonts w:ascii="Times New Roman" w:hAnsi="Times New Roman" w:cs="Times New Roman"/>
          <w:sz w:val="24"/>
          <w:szCs w:val="24"/>
        </w:rPr>
      </w:pPr>
    </w:p>
    <w:p w:rsidR="00050021" w:rsidRPr="00000DD4" w:rsidRDefault="00050021" w:rsidP="00151C6C">
      <w:pPr>
        <w:tabs>
          <w:tab w:val="left" w:pos="1134"/>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tab/>
        <w:t xml:space="preserve">It is common cause that the listed blocks are those that were placed under attachment and form the dispute between the parties.  There may have been a change of the Acting Provincial Mining Director for Mashonaland </w:t>
      </w:r>
      <w:r w:rsidR="00E674F0" w:rsidRPr="00000DD4">
        <w:rPr>
          <w:rFonts w:ascii="Times New Roman" w:hAnsi="Times New Roman" w:cs="Times New Roman"/>
          <w:sz w:val="24"/>
          <w:szCs w:val="24"/>
        </w:rPr>
        <w:t xml:space="preserve">West because on 5 July 2018, </w:t>
      </w:r>
      <w:r w:rsidR="00E674F0" w:rsidRPr="00000DD4">
        <w:rPr>
          <w:rFonts w:ascii="Times New Roman" w:hAnsi="Times New Roman" w:cs="Times New Roman"/>
          <w:i/>
          <w:sz w:val="24"/>
          <w:szCs w:val="24"/>
        </w:rPr>
        <w:t>S.</w:t>
      </w:r>
      <w:r w:rsidRPr="00000DD4">
        <w:rPr>
          <w:rFonts w:ascii="Times New Roman" w:hAnsi="Times New Roman" w:cs="Times New Roman"/>
          <w:i/>
          <w:sz w:val="24"/>
          <w:szCs w:val="24"/>
        </w:rPr>
        <w:t>Mpindiwa</w:t>
      </w:r>
      <w:r w:rsidR="00CB6690" w:rsidRPr="00000DD4">
        <w:rPr>
          <w:rFonts w:ascii="Times New Roman" w:hAnsi="Times New Roman" w:cs="Times New Roman"/>
          <w:sz w:val="24"/>
          <w:szCs w:val="24"/>
        </w:rPr>
        <w:t>, writing under that title</w:t>
      </w:r>
      <w:r w:rsidRPr="00000DD4">
        <w:rPr>
          <w:rFonts w:ascii="Times New Roman" w:hAnsi="Times New Roman" w:cs="Times New Roman"/>
          <w:sz w:val="24"/>
          <w:szCs w:val="24"/>
        </w:rPr>
        <w:t>, was singing a different tune.</w:t>
      </w:r>
    </w:p>
    <w:p w:rsidR="00050021" w:rsidRPr="00000DD4" w:rsidRDefault="00050021" w:rsidP="00151C6C">
      <w:pPr>
        <w:spacing w:after="0" w:line="480" w:lineRule="auto"/>
        <w:jc w:val="both"/>
        <w:rPr>
          <w:rFonts w:ascii="Times New Roman" w:hAnsi="Times New Roman" w:cs="Times New Roman"/>
          <w:sz w:val="24"/>
          <w:szCs w:val="24"/>
        </w:rPr>
      </w:pPr>
    </w:p>
    <w:p w:rsidR="00050021" w:rsidRPr="00000DD4" w:rsidRDefault="00050021" w:rsidP="00151C6C">
      <w:pPr>
        <w:tabs>
          <w:tab w:val="left" w:pos="1134"/>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tab/>
        <w:t xml:space="preserve">In </w:t>
      </w:r>
      <w:r w:rsidRPr="00000DD4">
        <w:rPr>
          <w:rFonts w:ascii="Times New Roman" w:hAnsi="Times New Roman" w:cs="Times New Roman"/>
          <w:i/>
          <w:sz w:val="24"/>
          <w:szCs w:val="24"/>
        </w:rPr>
        <w:t>Mpi</w:t>
      </w:r>
      <w:r w:rsidR="00634AC5" w:rsidRPr="00000DD4">
        <w:rPr>
          <w:rFonts w:ascii="Times New Roman" w:hAnsi="Times New Roman" w:cs="Times New Roman"/>
          <w:i/>
          <w:sz w:val="24"/>
          <w:szCs w:val="24"/>
        </w:rPr>
        <w:t>ndiwa</w:t>
      </w:r>
      <w:r w:rsidR="00634AC5" w:rsidRPr="00000DD4">
        <w:rPr>
          <w:rFonts w:ascii="Times New Roman" w:hAnsi="Times New Roman" w:cs="Times New Roman"/>
          <w:sz w:val="24"/>
          <w:szCs w:val="24"/>
        </w:rPr>
        <w:t>’s letter to the appellant</w:t>
      </w:r>
      <w:r w:rsidRPr="00000DD4">
        <w:rPr>
          <w:rFonts w:ascii="Times New Roman" w:hAnsi="Times New Roman" w:cs="Times New Roman"/>
          <w:sz w:val="24"/>
          <w:szCs w:val="24"/>
        </w:rPr>
        <w:t>s</w:t>
      </w:r>
      <w:r w:rsidR="00634AC5" w:rsidRPr="00000DD4">
        <w:rPr>
          <w:rFonts w:ascii="Times New Roman" w:hAnsi="Times New Roman" w:cs="Times New Roman"/>
          <w:sz w:val="24"/>
          <w:szCs w:val="24"/>
        </w:rPr>
        <w:t>’</w:t>
      </w:r>
      <w:r w:rsidRPr="00000DD4">
        <w:rPr>
          <w:rFonts w:ascii="Times New Roman" w:hAnsi="Times New Roman" w:cs="Times New Roman"/>
          <w:sz w:val="24"/>
          <w:szCs w:val="24"/>
        </w:rPr>
        <w:t xml:space="preserve"> legal practitioners</w:t>
      </w:r>
      <w:r w:rsidR="00634AC5" w:rsidRPr="00000DD4">
        <w:rPr>
          <w:rFonts w:ascii="Times New Roman" w:hAnsi="Times New Roman" w:cs="Times New Roman"/>
          <w:sz w:val="24"/>
          <w:szCs w:val="24"/>
        </w:rPr>
        <w:t>,</w:t>
      </w:r>
      <w:r w:rsidRPr="00000DD4">
        <w:rPr>
          <w:rFonts w:ascii="Times New Roman" w:hAnsi="Times New Roman" w:cs="Times New Roman"/>
          <w:sz w:val="24"/>
          <w:szCs w:val="24"/>
        </w:rPr>
        <w:t xml:space="preserve"> he/she apologised</w:t>
      </w:r>
      <w:r w:rsidR="00634AC5" w:rsidRPr="00000DD4">
        <w:rPr>
          <w:rFonts w:ascii="Times New Roman" w:hAnsi="Times New Roman" w:cs="Times New Roman"/>
          <w:sz w:val="24"/>
          <w:szCs w:val="24"/>
        </w:rPr>
        <w:t xml:space="preserve"> for what he/she referred to as</w:t>
      </w:r>
      <w:r w:rsidRPr="00000DD4">
        <w:rPr>
          <w:rFonts w:ascii="Times New Roman" w:hAnsi="Times New Roman" w:cs="Times New Roman"/>
          <w:sz w:val="24"/>
          <w:szCs w:val="24"/>
        </w:rPr>
        <w:t xml:space="preserve"> “a gaffe” in stating that the judgment debtor owned the mining claims.  Instead</w:t>
      </w:r>
      <w:r w:rsidR="007E1B14">
        <w:rPr>
          <w:rFonts w:ascii="Times New Roman" w:hAnsi="Times New Roman" w:cs="Times New Roman"/>
          <w:sz w:val="24"/>
          <w:szCs w:val="24"/>
        </w:rPr>
        <w:t>,</w:t>
      </w:r>
      <w:r w:rsidRPr="00000DD4">
        <w:rPr>
          <w:rFonts w:ascii="Times New Roman" w:hAnsi="Times New Roman" w:cs="Times New Roman"/>
          <w:sz w:val="24"/>
          <w:szCs w:val="24"/>
        </w:rPr>
        <w:t xml:space="preserve"> that office then stated that the mining claims were long transferred to the second respondent.  Unfortunately the letter did not explain how the “gaffe” came about.</w:t>
      </w:r>
    </w:p>
    <w:p w:rsidR="00050021" w:rsidRPr="00000DD4" w:rsidRDefault="00050021" w:rsidP="00151C6C">
      <w:pPr>
        <w:spacing w:after="0" w:line="480" w:lineRule="auto"/>
        <w:jc w:val="both"/>
        <w:rPr>
          <w:rFonts w:ascii="Times New Roman" w:hAnsi="Times New Roman" w:cs="Times New Roman"/>
          <w:sz w:val="24"/>
          <w:szCs w:val="24"/>
        </w:rPr>
      </w:pPr>
    </w:p>
    <w:p w:rsidR="00A77946" w:rsidRDefault="00050021" w:rsidP="00151C6C">
      <w:pPr>
        <w:tabs>
          <w:tab w:val="left" w:pos="1134"/>
        </w:tabs>
        <w:spacing w:after="0" w:line="240" w:lineRule="auto"/>
        <w:jc w:val="both"/>
        <w:rPr>
          <w:rFonts w:ascii="Times New Roman" w:hAnsi="Times New Roman" w:cs="Times New Roman"/>
          <w:sz w:val="24"/>
          <w:szCs w:val="24"/>
        </w:rPr>
      </w:pPr>
      <w:r w:rsidRPr="00000DD4">
        <w:rPr>
          <w:rFonts w:ascii="Times New Roman" w:hAnsi="Times New Roman" w:cs="Times New Roman"/>
          <w:sz w:val="24"/>
          <w:szCs w:val="24"/>
        </w:rPr>
        <w:tab/>
        <w:t xml:space="preserve">Ms </w:t>
      </w:r>
      <w:r w:rsidRPr="00000DD4">
        <w:rPr>
          <w:rFonts w:ascii="Times New Roman" w:hAnsi="Times New Roman" w:cs="Times New Roman"/>
          <w:i/>
          <w:sz w:val="24"/>
          <w:szCs w:val="24"/>
        </w:rPr>
        <w:t>Damiso</w:t>
      </w:r>
      <w:r w:rsidRPr="00000DD4">
        <w:rPr>
          <w:rFonts w:ascii="Times New Roman" w:hAnsi="Times New Roman" w:cs="Times New Roman"/>
          <w:sz w:val="24"/>
          <w:szCs w:val="24"/>
        </w:rPr>
        <w:t xml:space="preserve"> for the appellants pointed to this contradiction as proof of collusion or </w:t>
      </w:r>
    </w:p>
    <w:p w:rsidR="00050021" w:rsidRPr="00000DD4" w:rsidRDefault="00050021" w:rsidP="00151C6C">
      <w:pPr>
        <w:tabs>
          <w:tab w:val="left" w:pos="1134"/>
        </w:tabs>
        <w:spacing w:after="0" w:line="240" w:lineRule="auto"/>
        <w:jc w:val="both"/>
        <w:rPr>
          <w:rFonts w:ascii="Times New Roman" w:hAnsi="Times New Roman" w:cs="Times New Roman"/>
          <w:sz w:val="24"/>
          <w:szCs w:val="24"/>
        </w:rPr>
      </w:pPr>
      <w:r w:rsidRPr="00000DD4">
        <w:rPr>
          <w:rFonts w:ascii="Times New Roman" w:hAnsi="Times New Roman" w:cs="Times New Roman"/>
          <w:sz w:val="24"/>
          <w:szCs w:val="24"/>
        </w:rPr>
        <w:t>at the very least, that the information from the Ministry of Mines could not be relied upon.</w:t>
      </w:r>
    </w:p>
    <w:p w:rsidR="00050021" w:rsidRDefault="00050021" w:rsidP="00151C6C">
      <w:pPr>
        <w:spacing w:after="0" w:line="480" w:lineRule="auto"/>
        <w:jc w:val="both"/>
        <w:rPr>
          <w:rFonts w:ascii="Times New Roman" w:hAnsi="Times New Roman" w:cs="Times New Roman"/>
          <w:sz w:val="24"/>
          <w:szCs w:val="24"/>
        </w:rPr>
      </w:pPr>
    </w:p>
    <w:p w:rsidR="002932C9" w:rsidRPr="00000DD4" w:rsidRDefault="002932C9" w:rsidP="00151C6C">
      <w:pPr>
        <w:spacing w:after="0" w:line="360" w:lineRule="auto"/>
        <w:jc w:val="both"/>
        <w:rPr>
          <w:rFonts w:ascii="Times New Roman" w:hAnsi="Times New Roman" w:cs="Times New Roman"/>
          <w:sz w:val="24"/>
          <w:szCs w:val="24"/>
        </w:rPr>
      </w:pPr>
    </w:p>
    <w:p w:rsidR="00E06EF5" w:rsidRPr="00000DD4" w:rsidRDefault="00050021" w:rsidP="00151C6C">
      <w:pPr>
        <w:tabs>
          <w:tab w:val="left" w:pos="1134"/>
        </w:tabs>
        <w:spacing w:after="0" w:line="480" w:lineRule="auto"/>
        <w:ind w:firstLine="720"/>
        <w:jc w:val="both"/>
        <w:rPr>
          <w:rFonts w:ascii="Times New Roman" w:hAnsi="Times New Roman" w:cs="Times New Roman"/>
          <w:sz w:val="24"/>
          <w:szCs w:val="24"/>
        </w:rPr>
      </w:pPr>
      <w:r w:rsidRPr="00000DD4">
        <w:rPr>
          <w:rFonts w:ascii="Times New Roman" w:hAnsi="Times New Roman" w:cs="Times New Roman"/>
          <w:sz w:val="24"/>
          <w:szCs w:val="24"/>
        </w:rPr>
        <w:tab/>
        <w:t xml:space="preserve">Mr </w:t>
      </w:r>
      <w:r w:rsidRPr="00000DD4">
        <w:rPr>
          <w:rFonts w:ascii="Times New Roman" w:hAnsi="Times New Roman" w:cs="Times New Roman"/>
          <w:i/>
          <w:sz w:val="24"/>
          <w:szCs w:val="24"/>
        </w:rPr>
        <w:t>Bhebhe</w:t>
      </w:r>
      <w:r w:rsidRPr="00000DD4">
        <w:rPr>
          <w:rFonts w:ascii="Times New Roman" w:hAnsi="Times New Roman" w:cs="Times New Roman"/>
          <w:sz w:val="24"/>
          <w:szCs w:val="24"/>
        </w:rPr>
        <w:t xml:space="preserve"> who appeared for the second respondent</w:t>
      </w:r>
      <w:r w:rsidR="005F0D93" w:rsidRPr="00000DD4">
        <w:rPr>
          <w:rFonts w:ascii="Times New Roman" w:hAnsi="Times New Roman" w:cs="Times New Roman"/>
          <w:sz w:val="24"/>
          <w:szCs w:val="24"/>
        </w:rPr>
        <w:t>,</w:t>
      </w:r>
      <w:r w:rsidRPr="00000DD4">
        <w:rPr>
          <w:rFonts w:ascii="Times New Roman" w:hAnsi="Times New Roman" w:cs="Times New Roman"/>
          <w:sz w:val="24"/>
          <w:szCs w:val="24"/>
        </w:rPr>
        <w:t xml:space="preserve"> strongly defended the judgement of the court </w:t>
      </w:r>
      <w:r w:rsidRPr="00000DD4">
        <w:rPr>
          <w:rFonts w:ascii="Times New Roman" w:hAnsi="Times New Roman" w:cs="Times New Roman"/>
          <w:i/>
          <w:sz w:val="24"/>
          <w:szCs w:val="24"/>
        </w:rPr>
        <w:t>a quo</w:t>
      </w:r>
      <w:r w:rsidRPr="00000DD4">
        <w:rPr>
          <w:rFonts w:ascii="Times New Roman" w:hAnsi="Times New Roman" w:cs="Times New Roman"/>
          <w:sz w:val="24"/>
          <w:szCs w:val="24"/>
        </w:rPr>
        <w:t>.  He submitted that sufficient proof of ownership of the property in dispute was produced by the second respondent in the form of the certificate</w:t>
      </w:r>
      <w:r w:rsidR="00B47B38" w:rsidRPr="00000DD4">
        <w:rPr>
          <w:rFonts w:ascii="Times New Roman" w:hAnsi="Times New Roman" w:cs="Times New Roman"/>
          <w:sz w:val="24"/>
          <w:szCs w:val="24"/>
        </w:rPr>
        <w:t xml:space="preserve"> o</w:t>
      </w:r>
      <w:r w:rsidR="00E06EF5" w:rsidRPr="00000DD4">
        <w:rPr>
          <w:rFonts w:ascii="Times New Roman" w:hAnsi="Times New Roman" w:cs="Times New Roman"/>
          <w:sz w:val="24"/>
          <w:szCs w:val="24"/>
        </w:rPr>
        <w:t xml:space="preserve">f registration of the mining claims in the second respondent’s name and the confirmation letter from the Mines Ministry.  Mr. </w:t>
      </w:r>
      <w:r w:rsidR="00E06EF5" w:rsidRPr="00000DD4">
        <w:rPr>
          <w:rFonts w:ascii="Times New Roman" w:hAnsi="Times New Roman" w:cs="Times New Roman"/>
          <w:i/>
          <w:sz w:val="24"/>
          <w:szCs w:val="24"/>
        </w:rPr>
        <w:t>Bhebhe</w:t>
      </w:r>
      <w:r w:rsidR="00E06EF5" w:rsidRPr="00000DD4">
        <w:rPr>
          <w:rFonts w:ascii="Times New Roman" w:hAnsi="Times New Roman" w:cs="Times New Roman"/>
          <w:sz w:val="24"/>
          <w:szCs w:val="24"/>
        </w:rPr>
        <w:t xml:space="preserve"> insisted that the court </w:t>
      </w:r>
      <w:r w:rsidR="00E06EF5" w:rsidRPr="00000DD4">
        <w:rPr>
          <w:rFonts w:ascii="Times New Roman" w:hAnsi="Times New Roman" w:cs="Times New Roman"/>
          <w:i/>
          <w:sz w:val="24"/>
          <w:szCs w:val="24"/>
        </w:rPr>
        <w:t>a quo</w:t>
      </w:r>
      <w:r w:rsidR="005F0D93" w:rsidRPr="00000DD4">
        <w:rPr>
          <w:rFonts w:ascii="Times New Roman" w:hAnsi="Times New Roman" w:cs="Times New Roman"/>
          <w:sz w:val="24"/>
          <w:szCs w:val="24"/>
        </w:rPr>
        <w:t xml:space="preserve"> was correct </w:t>
      </w:r>
      <w:r w:rsidR="00E06EF5" w:rsidRPr="00000DD4">
        <w:rPr>
          <w:rFonts w:ascii="Times New Roman" w:hAnsi="Times New Roman" w:cs="Times New Roman"/>
          <w:sz w:val="24"/>
          <w:szCs w:val="24"/>
        </w:rPr>
        <w:t xml:space="preserve">in finding that the second respondent had managed to adduce </w:t>
      </w:r>
      <w:r w:rsidR="00E06EF5" w:rsidRPr="00000DD4">
        <w:rPr>
          <w:rFonts w:ascii="Times New Roman" w:hAnsi="Times New Roman" w:cs="Times New Roman"/>
          <w:i/>
          <w:sz w:val="24"/>
          <w:szCs w:val="24"/>
        </w:rPr>
        <w:t>prima facie</w:t>
      </w:r>
      <w:r w:rsidR="00E06EF5" w:rsidRPr="00000DD4">
        <w:rPr>
          <w:rFonts w:ascii="Times New Roman" w:hAnsi="Times New Roman" w:cs="Times New Roman"/>
          <w:sz w:val="24"/>
          <w:szCs w:val="24"/>
        </w:rPr>
        <w:t xml:space="preserve"> evidence of ownership.</w:t>
      </w:r>
    </w:p>
    <w:p w:rsidR="00E06EF5" w:rsidRPr="00000DD4" w:rsidRDefault="00E06EF5" w:rsidP="00151C6C">
      <w:pPr>
        <w:spacing w:after="0" w:line="480" w:lineRule="auto"/>
        <w:jc w:val="both"/>
        <w:rPr>
          <w:rFonts w:ascii="Times New Roman" w:hAnsi="Times New Roman" w:cs="Times New Roman"/>
          <w:sz w:val="24"/>
          <w:szCs w:val="24"/>
        </w:rPr>
      </w:pPr>
    </w:p>
    <w:p w:rsidR="00E06EF5" w:rsidRPr="00000DD4" w:rsidRDefault="00E06EF5" w:rsidP="004814E5">
      <w:pPr>
        <w:tabs>
          <w:tab w:val="left" w:pos="1134"/>
        </w:tabs>
        <w:spacing w:after="0" w:line="480" w:lineRule="auto"/>
        <w:ind w:left="-142" w:firstLine="1276"/>
        <w:jc w:val="both"/>
        <w:rPr>
          <w:rFonts w:ascii="Times New Roman" w:hAnsi="Times New Roman" w:cs="Times New Roman"/>
          <w:sz w:val="24"/>
          <w:szCs w:val="24"/>
        </w:rPr>
      </w:pPr>
      <w:r w:rsidRPr="00000DD4">
        <w:rPr>
          <w:rFonts w:ascii="Times New Roman" w:hAnsi="Times New Roman" w:cs="Times New Roman"/>
          <w:sz w:val="24"/>
          <w:szCs w:val="24"/>
        </w:rPr>
        <w:t xml:space="preserve">Mr. </w:t>
      </w:r>
      <w:r w:rsidRPr="00000DD4">
        <w:rPr>
          <w:rFonts w:ascii="Times New Roman" w:hAnsi="Times New Roman" w:cs="Times New Roman"/>
          <w:i/>
          <w:sz w:val="24"/>
          <w:szCs w:val="24"/>
        </w:rPr>
        <w:t>Bhebhe</w:t>
      </w:r>
      <w:r w:rsidRPr="00000DD4">
        <w:rPr>
          <w:rFonts w:ascii="Times New Roman" w:hAnsi="Times New Roman" w:cs="Times New Roman"/>
          <w:sz w:val="24"/>
          <w:szCs w:val="24"/>
        </w:rPr>
        <w:t xml:space="preserve"> further submitted that the court </w:t>
      </w:r>
      <w:r w:rsidRPr="00000DD4">
        <w:rPr>
          <w:rFonts w:ascii="Times New Roman" w:hAnsi="Times New Roman" w:cs="Times New Roman"/>
          <w:i/>
          <w:sz w:val="24"/>
          <w:szCs w:val="24"/>
        </w:rPr>
        <w:t>a quo</w:t>
      </w:r>
      <w:r w:rsidRPr="00000DD4">
        <w:rPr>
          <w:rFonts w:ascii="Times New Roman" w:hAnsi="Times New Roman" w:cs="Times New Roman"/>
          <w:sz w:val="24"/>
          <w:szCs w:val="24"/>
        </w:rPr>
        <w:t xml:space="preserve"> could not possibly pie</w:t>
      </w:r>
      <w:r w:rsidR="00BA2675" w:rsidRPr="00000DD4">
        <w:rPr>
          <w:rFonts w:ascii="Times New Roman" w:hAnsi="Times New Roman" w:cs="Times New Roman"/>
          <w:sz w:val="24"/>
          <w:szCs w:val="24"/>
        </w:rPr>
        <w:t>r</w:t>
      </w:r>
      <w:r w:rsidRPr="00000DD4">
        <w:rPr>
          <w:rFonts w:ascii="Times New Roman" w:hAnsi="Times New Roman" w:cs="Times New Roman"/>
          <w:sz w:val="24"/>
          <w:szCs w:val="24"/>
        </w:rPr>
        <w:t>ce the corporate veil because the appellants never asked it to do so.  In addition, so</w:t>
      </w:r>
      <w:r w:rsidR="001D3ABA" w:rsidRPr="00000DD4">
        <w:rPr>
          <w:rFonts w:ascii="Times New Roman" w:hAnsi="Times New Roman" w:cs="Times New Roman"/>
          <w:sz w:val="24"/>
          <w:szCs w:val="24"/>
        </w:rPr>
        <w:t xml:space="preserve"> it was argued, there exist</w:t>
      </w:r>
      <w:r w:rsidR="009C49B8">
        <w:rPr>
          <w:rFonts w:ascii="Times New Roman" w:hAnsi="Times New Roman" w:cs="Times New Roman"/>
          <w:sz w:val="24"/>
          <w:szCs w:val="24"/>
        </w:rPr>
        <w:t>s</w:t>
      </w:r>
      <w:r w:rsidR="001D3ABA" w:rsidRPr="00000DD4">
        <w:rPr>
          <w:rFonts w:ascii="Times New Roman" w:hAnsi="Times New Roman" w:cs="Times New Roman"/>
          <w:sz w:val="24"/>
          <w:szCs w:val="24"/>
        </w:rPr>
        <w:t xml:space="preserve"> no grounds for piercing the veil in the circumstances of this case.  In my view that argument is misleading.  On that issue the court </w:t>
      </w:r>
      <w:r w:rsidR="001D3ABA" w:rsidRPr="00303790">
        <w:rPr>
          <w:rFonts w:ascii="Times New Roman" w:hAnsi="Times New Roman" w:cs="Times New Roman"/>
          <w:i/>
          <w:sz w:val="24"/>
          <w:szCs w:val="24"/>
        </w:rPr>
        <w:t>a quo</w:t>
      </w:r>
      <w:r w:rsidR="001D3ABA" w:rsidRPr="00000DD4">
        <w:rPr>
          <w:rFonts w:ascii="Times New Roman" w:hAnsi="Times New Roman" w:cs="Times New Roman"/>
          <w:sz w:val="24"/>
          <w:szCs w:val="24"/>
        </w:rPr>
        <w:t xml:space="preserve"> pronounced itself at p 14 of its judgment thus:-</w:t>
      </w:r>
    </w:p>
    <w:p w:rsidR="00E06EF5" w:rsidRPr="00000DD4" w:rsidRDefault="001342A0" w:rsidP="00151C6C">
      <w:pPr>
        <w:spacing w:after="0"/>
        <w:ind w:left="567"/>
        <w:jc w:val="both"/>
        <w:rPr>
          <w:rFonts w:ascii="Times New Roman" w:hAnsi="Times New Roman" w:cs="Times New Roman"/>
          <w:sz w:val="24"/>
          <w:szCs w:val="24"/>
        </w:rPr>
      </w:pPr>
      <w:r w:rsidRPr="00000DD4">
        <w:rPr>
          <w:rFonts w:ascii="Times New Roman" w:hAnsi="Times New Roman" w:cs="Times New Roman"/>
          <w:sz w:val="24"/>
          <w:szCs w:val="24"/>
        </w:rPr>
        <w:t xml:space="preserve">“Still on lifting the corporate </w:t>
      </w:r>
      <w:r w:rsidR="000A5AA3" w:rsidRPr="00000DD4">
        <w:rPr>
          <w:rFonts w:ascii="Times New Roman" w:hAnsi="Times New Roman" w:cs="Times New Roman"/>
          <w:sz w:val="24"/>
          <w:szCs w:val="24"/>
        </w:rPr>
        <w:t xml:space="preserve">petticoat </w:t>
      </w:r>
      <w:r w:rsidR="00303790">
        <w:rPr>
          <w:rFonts w:ascii="Times New Roman" w:hAnsi="Times New Roman" w:cs="Times New Roman"/>
          <w:sz w:val="24"/>
          <w:szCs w:val="24"/>
        </w:rPr>
        <w:t>(</w:t>
      </w:r>
      <w:r w:rsidR="00303790" w:rsidRPr="00303790">
        <w:rPr>
          <w:rFonts w:ascii="Times New Roman" w:hAnsi="Times New Roman" w:cs="Times New Roman"/>
          <w:i/>
          <w:sz w:val="24"/>
          <w:szCs w:val="24"/>
        </w:rPr>
        <w:t>sic</w:t>
      </w:r>
      <w:r w:rsidR="00303790">
        <w:rPr>
          <w:rFonts w:ascii="Times New Roman" w:hAnsi="Times New Roman" w:cs="Times New Roman"/>
          <w:sz w:val="24"/>
          <w:szCs w:val="24"/>
        </w:rPr>
        <w:t>)</w:t>
      </w:r>
      <w:r w:rsidR="000A5AA3" w:rsidRPr="00000DD4">
        <w:rPr>
          <w:rFonts w:ascii="Times New Roman" w:hAnsi="Times New Roman" w:cs="Times New Roman"/>
          <w:sz w:val="24"/>
          <w:szCs w:val="24"/>
        </w:rPr>
        <w:t>of</w:t>
      </w:r>
      <w:r w:rsidRPr="00000DD4">
        <w:rPr>
          <w:rFonts w:ascii="Times New Roman" w:hAnsi="Times New Roman" w:cs="Times New Roman"/>
          <w:sz w:val="24"/>
          <w:szCs w:val="24"/>
        </w:rPr>
        <w:t xml:space="preserve"> Gurta and peering behind it, I see no other exceptional circumstance justifying the same.  The judgment creditors to</w:t>
      </w:r>
      <w:r w:rsidR="00E84E6B" w:rsidRPr="00000DD4">
        <w:rPr>
          <w:rFonts w:ascii="Times New Roman" w:hAnsi="Times New Roman" w:cs="Times New Roman"/>
          <w:sz w:val="24"/>
          <w:szCs w:val="24"/>
        </w:rPr>
        <w:t>ld me both in heads</w:t>
      </w:r>
      <w:r w:rsidR="00BA2675" w:rsidRPr="00000DD4">
        <w:rPr>
          <w:rFonts w:ascii="Times New Roman" w:hAnsi="Times New Roman" w:cs="Times New Roman"/>
          <w:sz w:val="24"/>
          <w:szCs w:val="24"/>
        </w:rPr>
        <w:t xml:space="preserve"> of argument a</w:t>
      </w:r>
      <w:r w:rsidR="00E06EF5" w:rsidRPr="00000DD4">
        <w:rPr>
          <w:rFonts w:ascii="Times New Roman" w:hAnsi="Times New Roman" w:cs="Times New Roman"/>
          <w:sz w:val="24"/>
          <w:szCs w:val="24"/>
        </w:rPr>
        <w:t>nd at the hearing that Maranatha Ferrochrome (Private) Limited, the judgment debtor</w:t>
      </w:r>
      <w:r w:rsidR="006F3835" w:rsidRPr="00000DD4">
        <w:rPr>
          <w:rFonts w:ascii="Times New Roman" w:hAnsi="Times New Roman" w:cs="Times New Roman"/>
          <w:sz w:val="24"/>
          <w:szCs w:val="24"/>
        </w:rPr>
        <w:t>,</w:t>
      </w:r>
      <w:r w:rsidR="00E06EF5" w:rsidRPr="00000DD4">
        <w:rPr>
          <w:rFonts w:ascii="Times New Roman" w:hAnsi="Times New Roman" w:cs="Times New Roman"/>
          <w:sz w:val="24"/>
          <w:szCs w:val="24"/>
        </w:rPr>
        <w:t xml:space="preserve"> and the claimant are a single economic entity.  I was therefore invited to go behind the claimant’s skirt</w:t>
      </w:r>
      <w:r w:rsidR="000A0F6D">
        <w:rPr>
          <w:rFonts w:ascii="Times New Roman" w:hAnsi="Times New Roman" w:cs="Times New Roman"/>
          <w:sz w:val="24"/>
          <w:szCs w:val="24"/>
        </w:rPr>
        <w:t xml:space="preserve"> (</w:t>
      </w:r>
      <w:r w:rsidR="000A0F6D" w:rsidRPr="000A0F6D">
        <w:rPr>
          <w:rFonts w:ascii="Times New Roman" w:hAnsi="Times New Roman" w:cs="Times New Roman"/>
          <w:i/>
          <w:sz w:val="24"/>
          <w:szCs w:val="24"/>
        </w:rPr>
        <w:t>sic</w:t>
      </w:r>
      <w:r w:rsidR="000A0F6D">
        <w:rPr>
          <w:rFonts w:ascii="Times New Roman" w:hAnsi="Times New Roman" w:cs="Times New Roman"/>
          <w:sz w:val="24"/>
          <w:szCs w:val="24"/>
        </w:rPr>
        <w:t>)</w:t>
      </w:r>
      <w:r w:rsidR="00E06EF5" w:rsidRPr="00000DD4">
        <w:rPr>
          <w:rFonts w:ascii="Times New Roman" w:hAnsi="Times New Roman" w:cs="Times New Roman"/>
          <w:sz w:val="24"/>
          <w:szCs w:val="24"/>
        </w:rPr>
        <w:t xml:space="preserve">, disregard the three companies’ separate corporate personalities and order execution of the mining claim even though registered in the claimant’s name to satisfy the judgment debt owed by Amble Mining (Private) Limited.  </w:t>
      </w:r>
      <w:r w:rsidR="00E06EF5" w:rsidRPr="00000DD4">
        <w:rPr>
          <w:rFonts w:ascii="Times New Roman" w:hAnsi="Times New Roman" w:cs="Times New Roman"/>
          <w:sz w:val="24"/>
          <w:szCs w:val="24"/>
        </w:rPr>
        <w:lastRenderedPageBreak/>
        <w:t xml:space="preserve">Mr </w:t>
      </w:r>
      <w:r w:rsidR="00E06EF5" w:rsidRPr="00000DD4">
        <w:rPr>
          <w:rFonts w:ascii="Times New Roman" w:hAnsi="Times New Roman" w:cs="Times New Roman"/>
          <w:i/>
          <w:sz w:val="24"/>
          <w:szCs w:val="24"/>
        </w:rPr>
        <w:t>Zimudzi</w:t>
      </w:r>
      <w:r w:rsidR="00E06EF5" w:rsidRPr="00000DD4">
        <w:rPr>
          <w:rFonts w:ascii="Times New Roman" w:hAnsi="Times New Roman" w:cs="Times New Roman"/>
          <w:sz w:val="24"/>
          <w:szCs w:val="24"/>
        </w:rPr>
        <w:t xml:space="preserve"> referred me to </w:t>
      </w:r>
      <w:r w:rsidR="00E06EF5" w:rsidRPr="00000DD4">
        <w:rPr>
          <w:rFonts w:ascii="Times New Roman" w:hAnsi="Times New Roman" w:cs="Times New Roman"/>
          <w:i/>
          <w:sz w:val="24"/>
          <w:szCs w:val="24"/>
        </w:rPr>
        <w:t>Deputy Sheriff Harare v Trinpac Investments (Private) Limited and Anor</w:t>
      </w:r>
      <w:r w:rsidR="00E06EF5" w:rsidRPr="00000DD4">
        <w:rPr>
          <w:rFonts w:ascii="Times New Roman" w:hAnsi="Times New Roman" w:cs="Times New Roman"/>
          <w:sz w:val="24"/>
          <w:szCs w:val="24"/>
        </w:rPr>
        <w:t xml:space="preserve"> HH 121/11.</w:t>
      </w:r>
    </w:p>
    <w:p w:rsidR="00E06EF5" w:rsidRPr="00000DD4" w:rsidRDefault="00E06EF5" w:rsidP="00151C6C">
      <w:pPr>
        <w:spacing w:after="0" w:line="240" w:lineRule="auto"/>
        <w:ind w:left="567"/>
        <w:jc w:val="both"/>
        <w:rPr>
          <w:rFonts w:ascii="Times New Roman" w:hAnsi="Times New Roman" w:cs="Times New Roman"/>
          <w:sz w:val="24"/>
          <w:szCs w:val="24"/>
        </w:rPr>
      </w:pPr>
      <w:r w:rsidRPr="00000DD4">
        <w:rPr>
          <w:rFonts w:ascii="Times New Roman" w:hAnsi="Times New Roman" w:cs="Times New Roman"/>
          <w:sz w:val="24"/>
          <w:szCs w:val="24"/>
        </w:rPr>
        <w:t>That case is distinguishable.  Here, there is no evidence at all as to who the shareholders of the claimant are.  There is completely no evidence to prove that they are the same persons as the shareholders of the judgment debtor and its holding company, Maranatha Ferrochrome (Private) Limited.  Neither is there any evidence that the directorship of the claimant is the same as that of the other two companies.  The bare allegation that claimant is a ‘baby’ of the ‘Ghezzi family’ was not substantiated.  I therefore refuse to interfere with claimant’s corporate regalia”.</w:t>
      </w:r>
    </w:p>
    <w:p w:rsidR="00E06EF5" w:rsidRPr="00000DD4" w:rsidRDefault="00E06EF5" w:rsidP="00151C6C">
      <w:pPr>
        <w:spacing w:after="0" w:line="240" w:lineRule="auto"/>
        <w:ind w:left="567"/>
        <w:jc w:val="both"/>
        <w:rPr>
          <w:rFonts w:ascii="Times New Roman" w:hAnsi="Times New Roman" w:cs="Times New Roman"/>
          <w:sz w:val="24"/>
          <w:szCs w:val="24"/>
        </w:rPr>
      </w:pPr>
    </w:p>
    <w:p w:rsidR="00E06EF5" w:rsidRPr="00000DD4" w:rsidRDefault="00E06EF5" w:rsidP="002C5603">
      <w:pPr>
        <w:spacing w:after="0" w:line="480" w:lineRule="auto"/>
        <w:ind w:left="567"/>
        <w:jc w:val="both"/>
        <w:rPr>
          <w:rFonts w:ascii="Times New Roman" w:hAnsi="Times New Roman" w:cs="Times New Roman"/>
          <w:sz w:val="24"/>
          <w:szCs w:val="24"/>
        </w:rPr>
      </w:pPr>
    </w:p>
    <w:p w:rsidR="00E06EF5" w:rsidRPr="00000DD4" w:rsidRDefault="00E06EF5" w:rsidP="00151C6C">
      <w:pPr>
        <w:tabs>
          <w:tab w:val="left" w:pos="1134"/>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tab/>
        <w:t>It is apparent from the foregoing passage in the j</w:t>
      </w:r>
      <w:r w:rsidR="00012422">
        <w:rPr>
          <w:rFonts w:ascii="Times New Roman" w:hAnsi="Times New Roman" w:cs="Times New Roman"/>
          <w:sz w:val="24"/>
          <w:szCs w:val="24"/>
        </w:rPr>
        <w:t xml:space="preserve">udgment that indeed the court </w:t>
      </w:r>
      <w:r w:rsidR="00012422" w:rsidRPr="00012422">
        <w:rPr>
          <w:rFonts w:ascii="Times New Roman" w:hAnsi="Times New Roman" w:cs="Times New Roman"/>
          <w:i/>
          <w:sz w:val="24"/>
          <w:szCs w:val="24"/>
        </w:rPr>
        <w:t>a </w:t>
      </w:r>
      <w:r w:rsidRPr="00012422">
        <w:rPr>
          <w:rFonts w:ascii="Times New Roman" w:hAnsi="Times New Roman" w:cs="Times New Roman"/>
          <w:i/>
          <w:sz w:val="24"/>
          <w:szCs w:val="24"/>
        </w:rPr>
        <w:t>quo</w:t>
      </w:r>
      <w:r w:rsidRPr="00000DD4">
        <w:rPr>
          <w:rFonts w:ascii="Times New Roman" w:hAnsi="Times New Roman" w:cs="Times New Roman"/>
          <w:sz w:val="24"/>
          <w:szCs w:val="24"/>
        </w:rPr>
        <w:t xml:space="preserve"> was invited to lift the corporate veil.  It considered the submissions made justifying such course of action and rejected them.  The issue before this Court now is the correctness of that finding.</w:t>
      </w:r>
    </w:p>
    <w:p w:rsidR="00E06EF5" w:rsidRPr="00000DD4" w:rsidRDefault="00E06EF5" w:rsidP="002C5603">
      <w:pPr>
        <w:tabs>
          <w:tab w:val="left" w:pos="1134"/>
        </w:tabs>
        <w:spacing w:after="0" w:line="480" w:lineRule="auto"/>
        <w:jc w:val="both"/>
        <w:rPr>
          <w:rFonts w:ascii="Times New Roman" w:hAnsi="Times New Roman" w:cs="Times New Roman"/>
          <w:sz w:val="24"/>
          <w:szCs w:val="24"/>
        </w:rPr>
      </w:pPr>
    </w:p>
    <w:p w:rsidR="00E06EF5" w:rsidRPr="00000DD4" w:rsidRDefault="00E06EF5" w:rsidP="00151C6C">
      <w:pPr>
        <w:tabs>
          <w:tab w:val="left" w:pos="1134"/>
        </w:tabs>
        <w:spacing w:after="0" w:line="480" w:lineRule="auto"/>
        <w:jc w:val="both"/>
        <w:rPr>
          <w:rFonts w:ascii="Times New Roman" w:hAnsi="Times New Roman" w:cs="Times New Roman"/>
          <w:b/>
          <w:sz w:val="24"/>
          <w:szCs w:val="24"/>
        </w:rPr>
      </w:pPr>
      <w:r w:rsidRPr="00000DD4">
        <w:rPr>
          <w:rFonts w:ascii="Times New Roman" w:hAnsi="Times New Roman" w:cs="Times New Roman"/>
          <w:b/>
          <w:sz w:val="24"/>
          <w:szCs w:val="24"/>
        </w:rPr>
        <w:t>APPLICATION OF THE LAW</w:t>
      </w:r>
      <w:r w:rsidR="00CF3DF7">
        <w:rPr>
          <w:rFonts w:ascii="Times New Roman" w:hAnsi="Times New Roman" w:cs="Times New Roman"/>
          <w:b/>
          <w:sz w:val="24"/>
          <w:szCs w:val="24"/>
        </w:rPr>
        <w:t xml:space="preserve"> TO THE FACTS</w:t>
      </w:r>
    </w:p>
    <w:p w:rsidR="00E06EF5" w:rsidRPr="00000DD4" w:rsidRDefault="00E06EF5" w:rsidP="002C5603">
      <w:pPr>
        <w:tabs>
          <w:tab w:val="left" w:pos="1134"/>
        </w:tabs>
        <w:spacing w:after="0" w:line="480" w:lineRule="auto"/>
        <w:ind w:firstLine="1134"/>
        <w:jc w:val="both"/>
        <w:rPr>
          <w:rFonts w:ascii="Times New Roman" w:hAnsi="Times New Roman" w:cs="Times New Roman"/>
          <w:sz w:val="24"/>
          <w:szCs w:val="24"/>
        </w:rPr>
      </w:pPr>
      <w:r w:rsidRPr="00000DD4">
        <w:rPr>
          <w:rFonts w:ascii="Times New Roman" w:hAnsi="Times New Roman" w:cs="Times New Roman"/>
          <w:sz w:val="24"/>
          <w:szCs w:val="24"/>
        </w:rPr>
        <w:t>Although the evidence of ownership of the mining claims was discredited by the appellants, in my view the case turns on whether the second respondent, as the claima</w:t>
      </w:r>
      <w:r w:rsidR="00A71B58" w:rsidRPr="00000DD4">
        <w:rPr>
          <w:rFonts w:ascii="Times New Roman" w:hAnsi="Times New Roman" w:cs="Times New Roman"/>
          <w:sz w:val="24"/>
          <w:szCs w:val="24"/>
        </w:rPr>
        <w:t>nt, could be said</w:t>
      </w:r>
      <w:r w:rsidRPr="00000DD4">
        <w:rPr>
          <w:rFonts w:ascii="Times New Roman" w:hAnsi="Times New Roman" w:cs="Times New Roman"/>
          <w:sz w:val="24"/>
          <w:szCs w:val="24"/>
        </w:rPr>
        <w:t xml:space="preserve"> to be a different entity from the judgment debtor sufficiently to disentitle the appellants from executing against the mining claims.</w:t>
      </w:r>
    </w:p>
    <w:p w:rsidR="00E06EF5" w:rsidRPr="00000DD4" w:rsidRDefault="00E06EF5" w:rsidP="00151C6C">
      <w:pPr>
        <w:tabs>
          <w:tab w:val="left" w:pos="1134"/>
        </w:tabs>
        <w:spacing w:after="0" w:line="480" w:lineRule="auto"/>
        <w:jc w:val="both"/>
        <w:rPr>
          <w:rFonts w:ascii="Times New Roman" w:hAnsi="Times New Roman" w:cs="Times New Roman"/>
          <w:sz w:val="24"/>
          <w:szCs w:val="24"/>
        </w:rPr>
      </w:pPr>
    </w:p>
    <w:p w:rsidR="00E06EF5" w:rsidRPr="00000DD4" w:rsidRDefault="00E06EF5" w:rsidP="00151C6C">
      <w:pPr>
        <w:tabs>
          <w:tab w:val="left" w:pos="1134"/>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tab/>
        <w:t xml:space="preserve">The position of the law regarding the separate legal </w:t>
      </w:r>
      <w:r w:rsidRPr="00000DD4">
        <w:rPr>
          <w:rFonts w:ascii="Times New Roman" w:hAnsi="Times New Roman" w:cs="Times New Roman"/>
          <w:i/>
          <w:sz w:val="24"/>
          <w:szCs w:val="24"/>
        </w:rPr>
        <w:t>persona</w:t>
      </w:r>
      <w:r w:rsidRPr="00000DD4">
        <w:rPr>
          <w:rFonts w:ascii="Times New Roman" w:hAnsi="Times New Roman" w:cs="Times New Roman"/>
          <w:sz w:val="24"/>
          <w:szCs w:val="24"/>
        </w:rPr>
        <w:t xml:space="preserve"> principle is well established.  It was succinctly articulated by PATEL J (as he then was) in </w:t>
      </w:r>
      <w:r w:rsidRPr="00000DD4">
        <w:rPr>
          <w:rFonts w:ascii="Times New Roman" w:hAnsi="Times New Roman" w:cs="Times New Roman"/>
          <w:i/>
          <w:sz w:val="24"/>
          <w:szCs w:val="24"/>
        </w:rPr>
        <w:t>Deputy Sheriff Harare v Trinpac Investments (Private) Limited and Anor</w:t>
      </w:r>
      <w:r w:rsidR="00663AF3" w:rsidRPr="00000DD4">
        <w:rPr>
          <w:rFonts w:ascii="Times New Roman" w:hAnsi="Times New Roman" w:cs="Times New Roman"/>
          <w:sz w:val="24"/>
          <w:szCs w:val="24"/>
        </w:rPr>
        <w:t xml:space="preserve"> 2011 (1) ZLR 548 (H) at 552 and A-C where the lea</w:t>
      </w:r>
      <w:r w:rsidR="00B13DC3">
        <w:rPr>
          <w:rFonts w:ascii="Times New Roman" w:hAnsi="Times New Roman" w:cs="Times New Roman"/>
          <w:sz w:val="24"/>
          <w:szCs w:val="24"/>
        </w:rPr>
        <w:t>r</w:t>
      </w:r>
      <w:r w:rsidR="00663AF3" w:rsidRPr="00000DD4">
        <w:rPr>
          <w:rFonts w:ascii="Times New Roman" w:hAnsi="Times New Roman" w:cs="Times New Roman"/>
          <w:sz w:val="24"/>
          <w:szCs w:val="24"/>
        </w:rPr>
        <w:t>ned judge quote</w:t>
      </w:r>
      <w:r w:rsidR="006D53AF" w:rsidRPr="00000DD4">
        <w:rPr>
          <w:rFonts w:ascii="Times New Roman" w:hAnsi="Times New Roman" w:cs="Times New Roman"/>
          <w:sz w:val="24"/>
          <w:szCs w:val="24"/>
        </w:rPr>
        <w:t>d</w:t>
      </w:r>
      <w:r w:rsidR="00663AF3" w:rsidRPr="00000DD4">
        <w:rPr>
          <w:rFonts w:ascii="Times New Roman" w:hAnsi="Times New Roman" w:cs="Times New Roman"/>
          <w:sz w:val="24"/>
          <w:szCs w:val="24"/>
        </w:rPr>
        <w:t xml:space="preserve"> with </w:t>
      </w:r>
      <w:r w:rsidR="00EA22B1" w:rsidRPr="00000DD4">
        <w:rPr>
          <w:rFonts w:ascii="Times New Roman" w:hAnsi="Times New Roman" w:cs="Times New Roman"/>
          <w:sz w:val="24"/>
          <w:szCs w:val="24"/>
        </w:rPr>
        <w:t>approval Cape</w:t>
      </w:r>
      <w:r w:rsidR="00663AF3" w:rsidRPr="00000DD4">
        <w:rPr>
          <w:rFonts w:ascii="Times New Roman" w:hAnsi="Times New Roman" w:cs="Times New Roman"/>
          <w:i/>
          <w:sz w:val="24"/>
          <w:szCs w:val="24"/>
        </w:rPr>
        <w:t xml:space="preserve"> Pacific Limited</w:t>
      </w:r>
      <w:r w:rsidR="00663AF3" w:rsidRPr="00000DD4">
        <w:rPr>
          <w:rFonts w:ascii="Times New Roman" w:hAnsi="Times New Roman" w:cs="Times New Roman"/>
          <w:sz w:val="24"/>
          <w:szCs w:val="24"/>
        </w:rPr>
        <w:t xml:space="preserve"> vs </w:t>
      </w:r>
      <w:r w:rsidR="00663AF3" w:rsidRPr="00000DD4">
        <w:rPr>
          <w:rFonts w:ascii="Times New Roman" w:hAnsi="Times New Roman" w:cs="Times New Roman"/>
          <w:i/>
          <w:sz w:val="24"/>
          <w:szCs w:val="24"/>
        </w:rPr>
        <w:t>Labner Controlling Investments</w:t>
      </w:r>
      <w:r w:rsidR="00663AF3" w:rsidRPr="00000DD4">
        <w:rPr>
          <w:rFonts w:ascii="Times New Roman" w:hAnsi="Times New Roman" w:cs="Times New Roman"/>
          <w:sz w:val="24"/>
          <w:szCs w:val="24"/>
        </w:rPr>
        <w:t xml:space="preserve"> </w:t>
      </w:r>
      <w:r w:rsidR="00663AF3" w:rsidRPr="00000DD4">
        <w:rPr>
          <w:rFonts w:ascii="Times New Roman" w:hAnsi="Times New Roman" w:cs="Times New Roman"/>
          <w:i/>
          <w:sz w:val="24"/>
          <w:szCs w:val="24"/>
        </w:rPr>
        <w:t>(Private)</w:t>
      </w:r>
      <w:r w:rsidR="00663AF3" w:rsidRPr="00000DD4">
        <w:rPr>
          <w:rFonts w:ascii="Times New Roman" w:hAnsi="Times New Roman" w:cs="Times New Roman"/>
          <w:sz w:val="24"/>
          <w:szCs w:val="24"/>
        </w:rPr>
        <w:t xml:space="preserve"> </w:t>
      </w:r>
      <w:r w:rsidR="00663AF3" w:rsidRPr="00000DD4">
        <w:rPr>
          <w:rFonts w:ascii="Times New Roman" w:hAnsi="Times New Roman" w:cs="Times New Roman"/>
          <w:i/>
          <w:sz w:val="24"/>
          <w:szCs w:val="24"/>
        </w:rPr>
        <w:t>Limited</w:t>
      </w:r>
      <w:r w:rsidR="00663AF3" w:rsidRPr="00000DD4">
        <w:rPr>
          <w:rFonts w:ascii="Times New Roman" w:hAnsi="Times New Roman" w:cs="Times New Roman"/>
          <w:sz w:val="24"/>
          <w:szCs w:val="24"/>
        </w:rPr>
        <w:t xml:space="preserve"> &amp; </w:t>
      </w:r>
      <w:r w:rsidR="00663AF3" w:rsidRPr="00000DD4">
        <w:rPr>
          <w:rFonts w:ascii="Times New Roman" w:hAnsi="Times New Roman" w:cs="Times New Roman"/>
          <w:i/>
          <w:sz w:val="24"/>
          <w:szCs w:val="24"/>
        </w:rPr>
        <w:t>Ors</w:t>
      </w:r>
      <w:r w:rsidR="00663AF3" w:rsidRPr="00000DD4">
        <w:rPr>
          <w:rFonts w:ascii="Times New Roman" w:hAnsi="Times New Roman" w:cs="Times New Roman"/>
          <w:sz w:val="24"/>
          <w:szCs w:val="24"/>
        </w:rPr>
        <w:t xml:space="preserve"> 1995 (4) SA790 (A) at 803 – 804:</w:t>
      </w:r>
    </w:p>
    <w:p w:rsidR="00E06EF5" w:rsidRPr="00000DD4" w:rsidRDefault="00E06EF5" w:rsidP="00151C6C">
      <w:pPr>
        <w:tabs>
          <w:tab w:val="left" w:pos="567"/>
          <w:tab w:val="left" w:pos="1134"/>
        </w:tabs>
        <w:spacing w:after="0" w:line="240" w:lineRule="auto"/>
        <w:ind w:left="567"/>
        <w:jc w:val="both"/>
        <w:rPr>
          <w:rFonts w:ascii="Times New Roman" w:hAnsi="Times New Roman" w:cs="Times New Roman"/>
          <w:sz w:val="24"/>
          <w:szCs w:val="24"/>
        </w:rPr>
      </w:pPr>
      <w:r w:rsidRPr="00000DD4">
        <w:rPr>
          <w:rFonts w:ascii="Times New Roman" w:hAnsi="Times New Roman" w:cs="Times New Roman"/>
          <w:sz w:val="24"/>
          <w:szCs w:val="24"/>
        </w:rPr>
        <w:t xml:space="preserve">“It is undoubtedly a salutary principle that our Courts should not lightly disregard a company’s separate personality, but should strive to give effect to and uphold it.  To do otherwise would negate or undermine the policy and principles that underpin the concept of separate corporate personality and the legal consequences that attach to it.  But where fraud, dishonesty or other improper conduct (and I confine myself to such situations) is found to be present, other considerations will come into play.  The need to preserve the </w:t>
      </w:r>
      <w:r w:rsidRPr="00000DD4">
        <w:rPr>
          <w:rFonts w:ascii="Times New Roman" w:hAnsi="Times New Roman" w:cs="Times New Roman"/>
          <w:sz w:val="24"/>
          <w:szCs w:val="24"/>
        </w:rPr>
        <w:lastRenderedPageBreak/>
        <w:t xml:space="preserve">separate corporate identity would in such circumstances have to be balanced against policy considerations which arise in favour of </w:t>
      </w:r>
      <w:r w:rsidR="00351414" w:rsidRPr="00000DD4">
        <w:rPr>
          <w:rFonts w:ascii="Times New Roman" w:hAnsi="Times New Roman" w:cs="Times New Roman"/>
          <w:sz w:val="24"/>
          <w:szCs w:val="24"/>
        </w:rPr>
        <w:t>piercing the corporate veil--- A</w:t>
      </w:r>
      <w:r w:rsidRPr="00000DD4">
        <w:rPr>
          <w:rFonts w:ascii="Times New Roman" w:hAnsi="Times New Roman" w:cs="Times New Roman"/>
          <w:sz w:val="24"/>
          <w:szCs w:val="24"/>
        </w:rPr>
        <w:t>nd a court would then be entitled to look to substance rather than form in order to arrive at the true facts, and if there has been a misuse of corporate personality, to disregard it and attribute liability where it should rightly lie.  Each case would obviously have to b</w:t>
      </w:r>
      <w:r w:rsidR="00EC420E" w:rsidRPr="00000DD4">
        <w:rPr>
          <w:rFonts w:ascii="Times New Roman" w:hAnsi="Times New Roman" w:cs="Times New Roman"/>
          <w:sz w:val="24"/>
          <w:szCs w:val="24"/>
        </w:rPr>
        <w:t>e considered on its own merits.”</w:t>
      </w:r>
    </w:p>
    <w:p w:rsidR="00EC420E" w:rsidRDefault="00EC420E" w:rsidP="00151C6C">
      <w:pPr>
        <w:tabs>
          <w:tab w:val="left" w:pos="567"/>
          <w:tab w:val="left" w:pos="1134"/>
        </w:tabs>
        <w:spacing w:after="0" w:line="480" w:lineRule="auto"/>
        <w:ind w:left="567"/>
        <w:jc w:val="both"/>
        <w:rPr>
          <w:rFonts w:ascii="Times New Roman" w:hAnsi="Times New Roman" w:cs="Times New Roman"/>
          <w:sz w:val="24"/>
          <w:szCs w:val="24"/>
        </w:rPr>
      </w:pPr>
    </w:p>
    <w:p w:rsidR="008F0BB8" w:rsidRPr="00000DD4" w:rsidRDefault="008F0BB8" w:rsidP="002C5603">
      <w:pPr>
        <w:tabs>
          <w:tab w:val="left" w:pos="567"/>
          <w:tab w:val="left" w:pos="1134"/>
        </w:tabs>
        <w:spacing w:after="0" w:line="240" w:lineRule="auto"/>
        <w:ind w:left="567"/>
        <w:jc w:val="both"/>
        <w:rPr>
          <w:rFonts w:ascii="Times New Roman" w:hAnsi="Times New Roman" w:cs="Times New Roman"/>
          <w:sz w:val="24"/>
          <w:szCs w:val="24"/>
        </w:rPr>
      </w:pPr>
    </w:p>
    <w:p w:rsidR="00EC420E" w:rsidRPr="00000DD4" w:rsidRDefault="00EC420E" w:rsidP="00151C6C">
      <w:pPr>
        <w:tabs>
          <w:tab w:val="left" w:pos="567"/>
          <w:tab w:val="left" w:pos="1134"/>
        </w:tabs>
        <w:spacing w:after="0" w:line="240" w:lineRule="auto"/>
        <w:ind w:left="567"/>
        <w:jc w:val="both"/>
        <w:rPr>
          <w:rFonts w:ascii="Times New Roman" w:hAnsi="Times New Roman" w:cs="Times New Roman"/>
          <w:sz w:val="24"/>
          <w:szCs w:val="24"/>
        </w:rPr>
      </w:pPr>
      <w:r w:rsidRPr="00000DD4">
        <w:rPr>
          <w:rFonts w:ascii="Times New Roman" w:hAnsi="Times New Roman" w:cs="Times New Roman"/>
          <w:sz w:val="24"/>
          <w:szCs w:val="24"/>
        </w:rPr>
        <w:tab/>
        <w:t xml:space="preserve"> This court approved that judgment is </w:t>
      </w:r>
      <w:r w:rsidRPr="00000DD4">
        <w:rPr>
          <w:rFonts w:ascii="Times New Roman" w:hAnsi="Times New Roman" w:cs="Times New Roman"/>
          <w:i/>
          <w:sz w:val="24"/>
          <w:szCs w:val="24"/>
        </w:rPr>
        <w:t xml:space="preserve">Stylianou  &amp; Ors v Mubita &amp; Ors </w:t>
      </w:r>
      <w:r w:rsidRPr="00000DD4">
        <w:rPr>
          <w:rFonts w:ascii="Times New Roman" w:hAnsi="Times New Roman" w:cs="Times New Roman"/>
          <w:sz w:val="24"/>
          <w:szCs w:val="24"/>
        </w:rPr>
        <w:t>SC 7/17</w:t>
      </w:r>
      <w:r w:rsidR="00621DD1">
        <w:rPr>
          <w:rFonts w:ascii="Times New Roman" w:hAnsi="Times New Roman" w:cs="Times New Roman"/>
          <w:sz w:val="24"/>
          <w:szCs w:val="24"/>
        </w:rPr>
        <w:t>.</w:t>
      </w:r>
    </w:p>
    <w:p w:rsidR="00E06EF5" w:rsidRDefault="00E06EF5" w:rsidP="00151C6C">
      <w:pPr>
        <w:tabs>
          <w:tab w:val="left" w:pos="567"/>
          <w:tab w:val="left" w:pos="1134"/>
        </w:tabs>
        <w:spacing w:after="0" w:line="480" w:lineRule="auto"/>
        <w:ind w:left="567"/>
        <w:jc w:val="both"/>
        <w:rPr>
          <w:rFonts w:ascii="Times New Roman" w:hAnsi="Times New Roman" w:cs="Times New Roman"/>
          <w:sz w:val="24"/>
          <w:szCs w:val="24"/>
        </w:rPr>
      </w:pPr>
    </w:p>
    <w:p w:rsidR="008F0BB8" w:rsidRPr="00000DD4" w:rsidRDefault="008F0BB8" w:rsidP="002C5603">
      <w:pPr>
        <w:tabs>
          <w:tab w:val="left" w:pos="567"/>
          <w:tab w:val="left" w:pos="1134"/>
        </w:tabs>
        <w:spacing w:after="0" w:line="240" w:lineRule="auto"/>
        <w:ind w:left="567"/>
        <w:jc w:val="both"/>
        <w:rPr>
          <w:rFonts w:ascii="Times New Roman" w:hAnsi="Times New Roman" w:cs="Times New Roman"/>
          <w:sz w:val="24"/>
          <w:szCs w:val="24"/>
        </w:rPr>
      </w:pPr>
    </w:p>
    <w:p w:rsidR="00E06EF5" w:rsidRPr="00000DD4" w:rsidRDefault="00E06EF5" w:rsidP="00151C6C">
      <w:pPr>
        <w:tabs>
          <w:tab w:val="left" w:pos="142"/>
          <w:tab w:val="left" w:pos="1134"/>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tab/>
      </w:r>
      <w:r w:rsidRPr="00000DD4">
        <w:rPr>
          <w:rFonts w:ascii="Times New Roman" w:hAnsi="Times New Roman" w:cs="Times New Roman"/>
          <w:sz w:val="24"/>
          <w:szCs w:val="24"/>
        </w:rPr>
        <w:tab/>
        <w:t>The courts have purposely refrained from attempting to define all the circumstances under</w:t>
      </w:r>
      <w:r w:rsidR="00D45969" w:rsidRPr="00000DD4">
        <w:rPr>
          <w:rFonts w:ascii="Times New Roman" w:hAnsi="Times New Roman" w:cs="Times New Roman"/>
          <w:sz w:val="24"/>
          <w:szCs w:val="24"/>
        </w:rPr>
        <w:t xml:space="preserve"> </w:t>
      </w:r>
      <w:r w:rsidRPr="00000DD4">
        <w:rPr>
          <w:rFonts w:ascii="Times New Roman" w:hAnsi="Times New Roman" w:cs="Times New Roman"/>
          <w:sz w:val="24"/>
          <w:szCs w:val="24"/>
        </w:rPr>
        <w:t xml:space="preserve">which the corporate veil will be lifted.  This has been done commendably to avoid unnecessarily fettering what is clearly the exercise of a wide judicial discretion.  What comes out from the authorities is that the court will disregard a company’s separate personality where an element of fraud or other improper conduct in either the establishment or use of a company or in the conduct of the company’s affairs exists. </w:t>
      </w:r>
    </w:p>
    <w:p w:rsidR="00E06EF5" w:rsidRPr="00000DD4" w:rsidRDefault="00E06EF5" w:rsidP="00151C6C">
      <w:pPr>
        <w:tabs>
          <w:tab w:val="left" w:pos="142"/>
          <w:tab w:val="left" w:pos="1134"/>
        </w:tabs>
        <w:spacing w:after="0" w:line="480" w:lineRule="auto"/>
        <w:jc w:val="both"/>
        <w:rPr>
          <w:rFonts w:ascii="Times New Roman" w:hAnsi="Times New Roman" w:cs="Times New Roman"/>
          <w:sz w:val="24"/>
          <w:szCs w:val="24"/>
        </w:rPr>
      </w:pPr>
    </w:p>
    <w:p w:rsidR="00A432EC" w:rsidRPr="00000DD4" w:rsidRDefault="00E06EF5" w:rsidP="00151C6C">
      <w:pPr>
        <w:tabs>
          <w:tab w:val="left" w:pos="142"/>
          <w:tab w:val="left" w:pos="1134"/>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tab/>
      </w:r>
      <w:r w:rsidRPr="00000DD4">
        <w:rPr>
          <w:rFonts w:ascii="Times New Roman" w:hAnsi="Times New Roman" w:cs="Times New Roman"/>
          <w:sz w:val="24"/>
          <w:szCs w:val="24"/>
        </w:rPr>
        <w:tab/>
        <w:t>When refusing to lift the veil of incorporation</w:t>
      </w:r>
      <w:r w:rsidR="00A432EC" w:rsidRPr="00000DD4">
        <w:rPr>
          <w:rFonts w:ascii="Times New Roman" w:hAnsi="Times New Roman" w:cs="Times New Roman"/>
          <w:sz w:val="24"/>
          <w:szCs w:val="24"/>
        </w:rPr>
        <w:t>,</w:t>
      </w:r>
      <w:r w:rsidRPr="00000DD4">
        <w:rPr>
          <w:rFonts w:ascii="Times New Roman" w:hAnsi="Times New Roman" w:cs="Times New Roman"/>
          <w:sz w:val="24"/>
          <w:szCs w:val="24"/>
        </w:rPr>
        <w:t xml:space="preserve"> the court </w:t>
      </w:r>
      <w:r w:rsidRPr="00000DD4">
        <w:rPr>
          <w:rFonts w:ascii="Times New Roman" w:hAnsi="Times New Roman" w:cs="Times New Roman"/>
          <w:i/>
          <w:sz w:val="24"/>
          <w:szCs w:val="24"/>
        </w:rPr>
        <w:t>a quo</w:t>
      </w:r>
      <w:r w:rsidRPr="00000DD4">
        <w:rPr>
          <w:rFonts w:ascii="Times New Roman" w:hAnsi="Times New Roman" w:cs="Times New Roman"/>
          <w:sz w:val="24"/>
          <w:szCs w:val="24"/>
        </w:rPr>
        <w:t xml:space="preserve"> was exercising judicial discretion.  An </w:t>
      </w:r>
      <w:r w:rsidR="005D5C89">
        <w:rPr>
          <w:rFonts w:ascii="Times New Roman" w:hAnsi="Times New Roman" w:cs="Times New Roman"/>
          <w:sz w:val="24"/>
          <w:szCs w:val="24"/>
        </w:rPr>
        <w:t>appeal court is generally loath</w:t>
      </w:r>
      <w:r w:rsidRPr="00000DD4">
        <w:rPr>
          <w:rFonts w:ascii="Times New Roman" w:hAnsi="Times New Roman" w:cs="Times New Roman"/>
          <w:sz w:val="24"/>
          <w:szCs w:val="24"/>
        </w:rPr>
        <w:t xml:space="preserve"> to interfere with the exercise of discretion.  The basis for interference on appeal is however well settled in this jurisdiction. </w:t>
      </w:r>
    </w:p>
    <w:p w:rsidR="00A432EC" w:rsidRPr="00000DD4" w:rsidRDefault="00A432EC" w:rsidP="00E95324">
      <w:pPr>
        <w:tabs>
          <w:tab w:val="left" w:pos="142"/>
          <w:tab w:val="left" w:pos="1134"/>
        </w:tabs>
        <w:spacing w:after="0" w:line="480" w:lineRule="auto"/>
        <w:jc w:val="both"/>
        <w:rPr>
          <w:rFonts w:ascii="Times New Roman" w:hAnsi="Times New Roman" w:cs="Times New Roman"/>
          <w:sz w:val="24"/>
          <w:szCs w:val="24"/>
        </w:rPr>
      </w:pPr>
    </w:p>
    <w:p w:rsidR="00E523CC" w:rsidRPr="00000DD4" w:rsidRDefault="00E523CC" w:rsidP="00151C6C">
      <w:pPr>
        <w:tabs>
          <w:tab w:val="left" w:pos="142"/>
          <w:tab w:val="left" w:pos="1134"/>
        </w:tabs>
        <w:spacing w:after="0" w:line="240" w:lineRule="auto"/>
        <w:jc w:val="both"/>
        <w:rPr>
          <w:rFonts w:ascii="Times New Roman" w:hAnsi="Times New Roman" w:cs="Times New Roman"/>
          <w:sz w:val="24"/>
          <w:szCs w:val="24"/>
        </w:rPr>
      </w:pPr>
    </w:p>
    <w:p w:rsidR="00E06EF5" w:rsidRPr="00000DD4" w:rsidRDefault="00A432EC" w:rsidP="00151C6C">
      <w:pPr>
        <w:tabs>
          <w:tab w:val="left" w:pos="142"/>
          <w:tab w:val="left" w:pos="1134"/>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tab/>
      </w:r>
      <w:r w:rsidRPr="00000DD4">
        <w:rPr>
          <w:rFonts w:ascii="Times New Roman" w:hAnsi="Times New Roman" w:cs="Times New Roman"/>
          <w:sz w:val="24"/>
          <w:szCs w:val="24"/>
        </w:rPr>
        <w:tab/>
      </w:r>
      <w:r w:rsidR="00E06EF5" w:rsidRPr="00000DD4">
        <w:rPr>
          <w:rFonts w:ascii="Times New Roman" w:hAnsi="Times New Roman" w:cs="Times New Roman"/>
          <w:sz w:val="24"/>
          <w:szCs w:val="24"/>
        </w:rPr>
        <w:t xml:space="preserve"> An appeal court may interfere where it appears that some error has been made in the exercise of discretion.  Where the lower court acts on a wrong principle, if it allows extraneous or irrelevant matters to guide or affect it, if it mistakes the facts, if it does not take into account some relevant consideration, the appeal court will review the lower court’s decision and substitute its own discretion.  See </w:t>
      </w:r>
      <w:r w:rsidR="00E06EF5" w:rsidRPr="00000DD4">
        <w:rPr>
          <w:rFonts w:ascii="Times New Roman" w:hAnsi="Times New Roman" w:cs="Times New Roman"/>
          <w:i/>
          <w:sz w:val="24"/>
          <w:szCs w:val="24"/>
        </w:rPr>
        <w:t>Barros and Anor v Chimphonda</w:t>
      </w:r>
      <w:r w:rsidR="00E06EF5" w:rsidRPr="00000DD4">
        <w:rPr>
          <w:rFonts w:ascii="Times New Roman" w:hAnsi="Times New Roman" w:cs="Times New Roman"/>
          <w:sz w:val="24"/>
          <w:szCs w:val="24"/>
        </w:rPr>
        <w:t xml:space="preserve"> 1999 (1) ZLR 58 (S) at p 62 F – 63A.</w:t>
      </w:r>
    </w:p>
    <w:p w:rsidR="00E06EF5" w:rsidRPr="00000DD4" w:rsidRDefault="00E06EF5" w:rsidP="00961574">
      <w:pPr>
        <w:tabs>
          <w:tab w:val="left" w:pos="142"/>
          <w:tab w:val="left" w:pos="1134"/>
        </w:tabs>
        <w:spacing w:after="0" w:line="480" w:lineRule="auto"/>
        <w:jc w:val="both"/>
        <w:rPr>
          <w:rFonts w:ascii="Times New Roman" w:hAnsi="Times New Roman" w:cs="Times New Roman"/>
          <w:sz w:val="24"/>
          <w:szCs w:val="24"/>
        </w:rPr>
      </w:pPr>
    </w:p>
    <w:p w:rsidR="00E06EF5" w:rsidRPr="00000DD4" w:rsidRDefault="00E06EF5" w:rsidP="00151C6C">
      <w:pPr>
        <w:tabs>
          <w:tab w:val="left" w:pos="142"/>
          <w:tab w:val="left" w:pos="1134"/>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lastRenderedPageBreak/>
        <w:tab/>
      </w:r>
      <w:r w:rsidRPr="00000DD4">
        <w:rPr>
          <w:rFonts w:ascii="Times New Roman" w:hAnsi="Times New Roman" w:cs="Times New Roman"/>
          <w:sz w:val="24"/>
          <w:szCs w:val="24"/>
        </w:rPr>
        <w:tab/>
        <w:t xml:space="preserve">I am of the firm view that the court </w:t>
      </w:r>
      <w:r w:rsidRPr="00000DD4">
        <w:rPr>
          <w:rFonts w:ascii="Times New Roman" w:hAnsi="Times New Roman" w:cs="Times New Roman"/>
          <w:i/>
          <w:sz w:val="24"/>
          <w:szCs w:val="24"/>
        </w:rPr>
        <w:t>a quo</w:t>
      </w:r>
      <w:r w:rsidRPr="00000DD4">
        <w:rPr>
          <w:rFonts w:ascii="Times New Roman" w:hAnsi="Times New Roman" w:cs="Times New Roman"/>
          <w:sz w:val="24"/>
          <w:szCs w:val="24"/>
        </w:rPr>
        <w:t xml:space="preserve"> completely disregarded important facts pointing to the inseparable nature of the second respondent and the judgment debtor.  The court </w:t>
      </w:r>
      <w:r w:rsidRPr="00000DD4">
        <w:rPr>
          <w:rFonts w:ascii="Times New Roman" w:hAnsi="Times New Roman" w:cs="Times New Roman"/>
          <w:i/>
          <w:sz w:val="24"/>
          <w:szCs w:val="24"/>
        </w:rPr>
        <w:t>a quo</w:t>
      </w:r>
      <w:r w:rsidRPr="00000DD4">
        <w:rPr>
          <w:rFonts w:ascii="Times New Roman" w:hAnsi="Times New Roman" w:cs="Times New Roman"/>
          <w:sz w:val="24"/>
          <w:szCs w:val="24"/>
        </w:rPr>
        <w:t xml:space="preserve"> completely ignored the evidence showing that even the alleged sale of the mining claims by the judgment debtor to the second respondent was a hoax.  The board resolution which stood as pr</w:t>
      </w:r>
      <w:r w:rsidR="00166ED0" w:rsidRPr="00000DD4">
        <w:rPr>
          <w:rFonts w:ascii="Times New Roman" w:hAnsi="Times New Roman" w:cs="Times New Roman"/>
          <w:sz w:val="24"/>
          <w:szCs w:val="24"/>
        </w:rPr>
        <w:t>oof of the sale agreement, there</w:t>
      </w:r>
      <w:r w:rsidRPr="00000DD4">
        <w:rPr>
          <w:rFonts w:ascii="Times New Roman" w:hAnsi="Times New Roman" w:cs="Times New Roman"/>
          <w:sz w:val="24"/>
          <w:szCs w:val="24"/>
        </w:rPr>
        <w:t xml:space="preserve"> being no agreement of sale at all, shows that a director of the seller also represented the purchaser.  Andrew Lawson attended the meeting which resolved to sell the claims to the second respondent as a director of the judgment debtor.  He was part of the decision-making process.</w:t>
      </w:r>
    </w:p>
    <w:p w:rsidR="00E06EF5" w:rsidRPr="00000DD4" w:rsidRDefault="00E06EF5" w:rsidP="00BE0F4A">
      <w:pPr>
        <w:tabs>
          <w:tab w:val="left" w:pos="142"/>
          <w:tab w:val="left" w:pos="1134"/>
        </w:tabs>
        <w:spacing w:after="0" w:line="480" w:lineRule="auto"/>
        <w:jc w:val="both"/>
        <w:rPr>
          <w:rFonts w:ascii="Times New Roman" w:hAnsi="Times New Roman" w:cs="Times New Roman"/>
          <w:sz w:val="24"/>
          <w:szCs w:val="24"/>
        </w:rPr>
      </w:pPr>
    </w:p>
    <w:p w:rsidR="00E06EF5" w:rsidRPr="00000DD4" w:rsidRDefault="00E06EF5" w:rsidP="00151C6C">
      <w:pPr>
        <w:tabs>
          <w:tab w:val="left" w:pos="142"/>
          <w:tab w:val="left" w:pos="1134"/>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tab/>
      </w:r>
      <w:r w:rsidRPr="00000DD4">
        <w:rPr>
          <w:rFonts w:ascii="Times New Roman" w:hAnsi="Times New Roman" w:cs="Times New Roman"/>
          <w:sz w:val="24"/>
          <w:szCs w:val="24"/>
        </w:rPr>
        <w:tab/>
        <w:t>At the same time, he was the holder of a power of attorney issued to him by the second respondent.  It empowered him to take delivery of the mining claims from the judgment debtor on behalf of the second respondent.  He literally acted as both the seller and the purchaser.  If that does not point to a sham</w:t>
      </w:r>
      <w:r w:rsidR="00382C55" w:rsidRPr="00000DD4">
        <w:rPr>
          <w:rFonts w:ascii="Times New Roman" w:hAnsi="Times New Roman" w:cs="Times New Roman"/>
          <w:sz w:val="24"/>
          <w:szCs w:val="24"/>
        </w:rPr>
        <w:t>,</w:t>
      </w:r>
      <w:r w:rsidRPr="00000DD4">
        <w:rPr>
          <w:rFonts w:ascii="Times New Roman" w:hAnsi="Times New Roman" w:cs="Times New Roman"/>
          <w:sz w:val="24"/>
          <w:szCs w:val="24"/>
        </w:rPr>
        <w:t xml:space="preserve"> nothing will.</w:t>
      </w:r>
    </w:p>
    <w:p w:rsidR="00E06EF5" w:rsidRPr="00000DD4" w:rsidRDefault="00E06EF5" w:rsidP="00151C6C">
      <w:pPr>
        <w:tabs>
          <w:tab w:val="left" w:pos="142"/>
          <w:tab w:val="left" w:pos="1134"/>
        </w:tabs>
        <w:spacing w:after="0" w:line="480" w:lineRule="auto"/>
        <w:jc w:val="both"/>
        <w:rPr>
          <w:rFonts w:ascii="Times New Roman" w:hAnsi="Times New Roman" w:cs="Times New Roman"/>
          <w:sz w:val="24"/>
          <w:szCs w:val="24"/>
        </w:rPr>
      </w:pPr>
    </w:p>
    <w:p w:rsidR="00E06EF5" w:rsidRPr="00000DD4" w:rsidRDefault="00E06EF5" w:rsidP="00151C6C">
      <w:pPr>
        <w:tabs>
          <w:tab w:val="left" w:pos="142"/>
          <w:tab w:val="left" w:pos="1134"/>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tab/>
      </w:r>
      <w:r w:rsidRPr="00000DD4">
        <w:rPr>
          <w:rFonts w:ascii="Times New Roman" w:hAnsi="Times New Roman" w:cs="Times New Roman"/>
          <w:sz w:val="24"/>
          <w:szCs w:val="24"/>
        </w:rPr>
        <w:tab/>
        <w:t xml:space="preserve">That is not all.  The court </w:t>
      </w:r>
      <w:r w:rsidRPr="00000DD4">
        <w:rPr>
          <w:rFonts w:ascii="Times New Roman" w:hAnsi="Times New Roman" w:cs="Times New Roman"/>
          <w:i/>
          <w:sz w:val="24"/>
          <w:szCs w:val="24"/>
        </w:rPr>
        <w:t>a quo</w:t>
      </w:r>
      <w:r w:rsidRPr="00000DD4">
        <w:rPr>
          <w:rFonts w:ascii="Times New Roman" w:hAnsi="Times New Roman" w:cs="Times New Roman"/>
          <w:sz w:val="24"/>
          <w:szCs w:val="24"/>
        </w:rPr>
        <w:t xml:space="preserve"> completely overlooked the lease agreements relie</w:t>
      </w:r>
      <w:r w:rsidR="00B24619">
        <w:rPr>
          <w:rFonts w:ascii="Times New Roman" w:hAnsi="Times New Roman" w:cs="Times New Roman"/>
          <w:sz w:val="24"/>
          <w:szCs w:val="24"/>
        </w:rPr>
        <w:t>d upon by the second respondent</w:t>
      </w:r>
      <w:r w:rsidRPr="00000DD4">
        <w:rPr>
          <w:rFonts w:ascii="Times New Roman" w:hAnsi="Times New Roman" w:cs="Times New Roman"/>
          <w:sz w:val="24"/>
          <w:szCs w:val="24"/>
        </w:rPr>
        <w:t>.  I have already stated that those agreements were written on Maranatha Ferrochrome</w:t>
      </w:r>
      <w:r w:rsidR="00B2176E" w:rsidRPr="00000DD4">
        <w:rPr>
          <w:rFonts w:ascii="Times New Roman" w:hAnsi="Times New Roman" w:cs="Times New Roman"/>
          <w:sz w:val="24"/>
          <w:szCs w:val="24"/>
        </w:rPr>
        <w:t xml:space="preserve"> </w:t>
      </w:r>
      <w:r w:rsidR="00047528" w:rsidRPr="00000DD4">
        <w:rPr>
          <w:rFonts w:ascii="Times New Roman" w:hAnsi="Times New Roman" w:cs="Times New Roman"/>
          <w:sz w:val="24"/>
          <w:szCs w:val="24"/>
        </w:rPr>
        <w:t>(</w:t>
      </w:r>
      <w:r w:rsidR="00B2176E" w:rsidRPr="00000DD4">
        <w:rPr>
          <w:rFonts w:ascii="Times New Roman" w:hAnsi="Times New Roman" w:cs="Times New Roman"/>
          <w:sz w:val="24"/>
          <w:szCs w:val="24"/>
        </w:rPr>
        <w:t>Private</w:t>
      </w:r>
      <w:r w:rsidR="00047528" w:rsidRPr="00000DD4">
        <w:rPr>
          <w:rFonts w:ascii="Times New Roman" w:hAnsi="Times New Roman" w:cs="Times New Roman"/>
          <w:sz w:val="24"/>
          <w:szCs w:val="24"/>
        </w:rPr>
        <w:t>)</w:t>
      </w:r>
      <w:r w:rsidR="00B2176E" w:rsidRPr="00000DD4">
        <w:rPr>
          <w:rFonts w:ascii="Times New Roman" w:hAnsi="Times New Roman" w:cs="Times New Roman"/>
          <w:sz w:val="24"/>
          <w:szCs w:val="24"/>
        </w:rPr>
        <w:t xml:space="preserve"> </w:t>
      </w:r>
      <w:r w:rsidR="00232F42" w:rsidRPr="00000DD4">
        <w:rPr>
          <w:rFonts w:ascii="Times New Roman" w:hAnsi="Times New Roman" w:cs="Times New Roman"/>
          <w:sz w:val="24"/>
          <w:szCs w:val="24"/>
        </w:rPr>
        <w:t>Limited letterhead</w:t>
      </w:r>
      <w:r w:rsidRPr="00000DD4">
        <w:rPr>
          <w:rFonts w:ascii="Times New Roman" w:hAnsi="Times New Roman" w:cs="Times New Roman"/>
          <w:sz w:val="24"/>
          <w:szCs w:val="24"/>
        </w:rPr>
        <w:t>.  They show that Amble Mine (Private) Limited, the judgment debtor, was also listed as one of the lessors of the premises being leased out.  More importantly</w:t>
      </w:r>
      <w:r w:rsidR="001A251D" w:rsidRPr="00000DD4">
        <w:rPr>
          <w:rFonts w:ascii="Times New Roman" w:hAnsi="Times New Roman" w:cs="Times New Roman"/>
          <w:sz w:val="24"/>
          <w:szCs w:val="24"/>
        </w:rPr>
        <w:t>,</w:t>
      </w:r>
      <w:r w:rsidRPr="00000DD4">
        <w:rPr>
          <w:rFonts w:ascii="Times New Roman" w:hAnsi="Times New Roman" w:cs="Times New Roman"/>
          <w:sz w:val="24"/>
          <w:szCs w:val="24"/>
        </w:rPr>
        <w:t xml:space="preserve"> they show that rentals were being paid to Maranatha Ferrochrome (Private) Limited, which is literally the judgment debtor by virtue of its controlling authority over the judgment debtor.</w:t>
      </w:r>
    </w:p>
    <w:p w:rsidR="00E06EF5" w:rsidRPr="00000DD4" w:rsidRDefault="00E06EF5" w:rsidP="00151C6C">
      <w:pPr>
        <w:tabs>
          <w:tab w:val="left" w:pos="142"/>
          <w:tab w:val="left" w:pos="1134"/>
        </w:tabs>
        <w:spacing w:after="0" w:line="480" w:lineRule="auto"/>
        <w:jc w:val="both"/>
        <w:rPr>
          <w:rFonts w:ascii="Times New Roman" w:hAnsi="Times New Roman" w:cs="Times New Roman"/>
          <w:sz w:val="24"/>
          <w:szCs w:val="24"/>
        </w:rPr>
      </w:pPr>
    </w:p>
    <w:p w:rsidR="00E06EF5" w:rsidRPr="00000DD4" w:rsidRDefault="00E06EF5" w:rsidP="00151C6C">
      <w:pPr>
        <w:tabs>
          <w:tab w:val="left" w:pos="142"/>
          <w:tab w:val="left" w:pos="1134"/>
        </w:tabs>
        <w:spacing w:after="0" w:line="480" w:lineRule="auto"/>
        <w:jc w:val="both"/>
        <w:rPr>
          <w:rFonts w:ascii="Times New Roman" w:hAnsi="Times New Roman" w:cs="Times New Roman"/>
          <w:b/>
          <w:sz w:val="24"/>
          <w:szCs w:val="24"/>
        </w:rPr>
      </w:pPr>
      <w:r w:rsidRPr="00000DD4">
        <w:rPr>
          <w:rFonts w:ascii="Times New Roman" w:hAnsi="Times New Roman" w:cs="Times New Roman"/>
          <w:b/>
          <w:sz w:val="24"/>
          <w:szCs w:val="24"/>
        </w:rPr>
        <w:t>DISPOSITION</w:t>
      </w:r>
    </w:p>
    <w:p w:rsidR="00E06EF5" w:rsidRPr="00000DD4" w:rsidRDefault="00E06EF5" w:rsidP="00151C6C">
      <w:pPr>
        <w:tabs>
          <w:tab w:val="left" w:pos="142"/>
          <w:tab w:val="left" w:pos="1134"/>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tab/>
      </w:r>
      <w:r w:rsidRPr="00000DD4">
        <w:rPr>
          <w:rFonts w:ascii="Times New Roman" w:hAnsi="Times New Roman" w:cs="Times New Roman"/>
          <w:sz w:val="24"/>
          <w:szCs w:val="24"/>
        </w:rPr>
        <w:tab/>
        <w:t xml:space="preserve">These factors, together with the absence of any evidence pointing to the existence of a proper agreement of sale and the payment of the purchase price, can only lead to one </w:t>
      </w:r>
      <w:r w:rsidRPr="00000DD4">
        <w:rPr>
          <w:rFonts w:ascii="Times New Roman" w:hAnsi="Times New Roman" w:cs="Times New Roman"/>
          <w:sz w:val="24"/>
          <w:szCs w:val="24"/>
        </w:rPr>
        <w:lastRenderedPageBreak/>
        <w:t>conclu</w:t>
      </w:r>
      <w:r w:rsidR="001A251D" w:rsidRPr="00000DD4">
        <w:rPr>
          <w:rFonts w:ascii="Times New Roman" w:hAnsi="Times New Roman" w:cs="Times New Roman"/>
          <w:sz w:val="24"/>
          <w:szCs w:val="24"/>
        </w:rPr>
        <w:t>sion. It is that there was collu</w:t>
      </w:r>
      <w:r w:rsidRPr="00000DD4">
        <w:rPr>
          <w:rFonts w:ascii="Times New Roman" w:hAnsi="Times New Roman" w:cs="Times New Roman"/>
          <w:sz w:val="24"/>
          <w:szCs w:val="24"/>
        </w:rPr>
        <w:t>sion between the judgment debtor and the second respondent.  Indeed there is no distinction between the judgment debtor and the second respondent.  They are one and the same thing.  The purported transfer of the mining claims from the judgment debtor was an elaborate scheme designed to confound creditors.</w:t>
      </w:r>
    </w:p>
    <w:p w:rsidR="00E06EF5" w:rsidRPr="00000DD4" w:rsidRDefault="00E06EF5" w:rsidP="00151C6C">
      <w:pPr>
        <w:tabs>
          <w:tab w:val="left" w:pos="142"/>
          <w:tab w:val="left" w:pos="1134"/>
        </w:tabs>
        <w:spacing w:after="0" w:line="480" w:lineRule="auto"/>
        <w:jc w:val="both"/>
        <w:rPr>
          <w:rFonts w:ascii="Times New Roman" w:hAnsi="Times New Roman" w:cs="Times New Roman"/>
          <w:sz w:val="24"/>
          <w:szCs w:val="24"/>
        </w:rPr>
      </w:pPr>
    </w:p>
    <w:p w:rsidR="00E06EF5" w:rsidRPr="00000DD4" w:rsidRDefault="00E06EF5" w:rsidP="00151C6C">
      <w:pPr>
        <w:tabs>
          <w:tab w:val="left" w:pos="142"/>
          <w:tab w:val="left" w:pos="1134"/>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tab/>
      </w:r>
      <w:r w:rsidRPr="00000DD4">
        <w:rPr>
          <w:rFonts w:ascii="Times New Roman" w:hAnsi="Times New Roman" w:cs="Times New Roman"/>
          <w:sz w:val="24"/>
          <w:szCs w:val="24"/>
        </w:rPr>
        <w:tab/>
        <w:t>This is a classic case for disregarding the separate corporate personality of the companies in order to assign liability where it belongs.  Corporate personalit</w:t>
      </w:r>
      <w:r w:rsidR="00C208F5" w:rsidRPr="00000DD4">
        <w:rPr>
          <w:rFonts w:ascii="Times New Roman" w:hAnsi="Times New Roman" w:cs="Times New Roman"/>
          <w:sz w:val="24"/>
          <w:szCs w:val="24"/>
        </w:rPr>
        <w:t>y is being misused in order to d</w:t>
      </w:r>
      <w:r w:rsidRPr="00000DD4">
        <w:rPr>
          <w:rFonts w:ascii="Times New Roman" w:hAnsi="Times New Roman" w:cs="Times New Roman"/>
          <w:sz w:val="24"/>
          <w:szCs w:val="24"/>
        </w:rPr>
        <w:t xml:space="preserve">odge liability and for that reason policy considerations require that it be disregarded.  The appeal has merit given that the court </w:t>
      </w:r>
      <w:r w:rsidRPr="00000DD4">
        <w:rPr>
          <w:rFonts w:ascii="Times New Roman" w:hAnsi="Times New Roman" w:cs="Times New Roman"/>
          <w:i/>
          <w:sz w:val="24"/>
          <w:szCs w:val="24"/>
        </w:rPr>
        <w:t>a quo</w:t>
      </w:r>
      <w:r w:rsidRPr="00000DD4">
        <w:rPr>
          <w:rFonts w:ascii="Times New Roman" w:hAnsi="Times New Roman" w:cs="Times New Roman"/>
          <w:sz w:val="24"/>
          <w:szCs w:val="24"/>
        </w:rPr>
        <w:t xml:space="preserve"> clearly misdirected itself in material respects.</w:t>
      </w:r>
    </w:p>
    <w:p w:rsidR="00E06EF5" w:rsidRPr="00000DD4" w:rsidRDefault="00E06EF5" w:rsidP="002C5603">
      <w:pPr>
        <w:tabs>
          <w:tab w:val="left" w:pos="142"/>
          <w:tab w:val="left" w:pos="1134"/>
        </w:tabs>
        <w:spacing w:after="0" w:line="480" w:lineRule="auto"/>
        <w:jc w:val="both"/>
        <w:rPr>
          <w:rFonts w:ascii="Times New Roman" w:hAnsi="Times New Roman" w:cs="Times New Roman"/>
          <w:sz w:val="24"/>
          <w:szCs w:val="24"/>
        </w:rPr>
      </w:pPr>
    </w:p>
    <w:p w:rsidR="00E06EF5" w:rsidRPr="00000DD4" w:rsidRDefault="00E06EF5" w:rsidP="00151C6C">
      <w:pPr>
        <w:tabs>
          <w:tab w:val="left" w:pos="142"/>
          <w:tab w:val="left" w:pos="1134"/>
          <w:tab w:val="left" w:pos="2268"/>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tab/>
      </w:r>
      <w:r w:rsidRPr="00000DD4">
        <w:rPr>
          <w:rFonts w:ascii="Times New Roman" w:hAnsi="Times New Roman" w:cs="Times New Roman"/>
          <w:sz w:val="24"/>
          <w:szCs w:val="24"/>
        </w:rPr>
        <w:tab/>
        <w:t xml:space="preserve">The appellants asked for costs to be awarded on the higher scale owing to the dishonest manner in which the second respondent conducted itself.  No good case for such a punitive measure has been made, but there is no reason why costs should not follow the result in the usual manner. </w:t>
      </w:r>
    </w:p>
    <w:p w:rsidR="00D6131D" w:rsidRPr="00000DD4" w:rsidRDefault="00D6131D" w:rsidP="00F934D4">
      <w:pPr>
        <w:tabs>
          <w:tab w:val="left" w:pos="142"/>
          <w:tab w:val="left" w:pos="1134"/>
        </w:tabs>
        <w:spacing w:after="0" w:line="480" w:lineRule="auto"/>
        <w:jc w:val="both"/>
        <w:rPr>
          <w:rFonts w:ascii="Times New Roman" w:hAnsi="Times New Roman" w:cs="Times New Roman"/>
          <w:sz w:val="24"/>
          <w:szCs w:val="24"/>
        </w:rPr>
      </w:pPr>
    </w:p>
    <w:p w:rsidR="00E06EF5" w:rsidRPr="00000DD4" w:rsidRDefault="00E06EF5" w:rsidP="00151C6C">
      <w:pPr>
        <w:tabs>
          <w:tab w:val="left" w:pos="142"/>
          <w:tab w:val="left" w:pos="1134"/>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tab/>
      </w:r>
      <w:r w:rsidRPr="00000DD4">
        <w:rPr>
          <w:rFonts w:ascii="Times New Roman" w:hAnsi="Times New Roman" w:cs="Times New Roman"/>
          <w:sz w:val="24"/>
          <w:szCs w:val="24"/>
        </w:rPr>
        <w:tab/>
        <w:t>In the result, it is ordered as follows:</w:t>
      </w:r>
    </w:p>
    <w:p w:rsidR="00E06EF5" w:rsidRPr="00000DD4" w:rsidRDefault="00E06EF5" w:rsidP="00151C6C">
      <w:pPr>
        <w:pStyle w:val="ListParagraph"/>
        <w:numPr>
          <w:ilvl w:val="0"/>
          <w:numId w:val="5"/>
        </w:numPr>
        <w:tabs>
          <w:tab w:val="left" w:pos="142"/>
          <w:tab w:val="left" w:pos="1134"/>
        </w:tabs>
        <w:spacing w:after="0" w:line="480" w:lineRule="auto"/>
        <w:ind w:hanging="153"/>
        <w:jc w:val="both"/>
        <w:rPr>
          <w:rFonts w:ascii="Times New Roman" w:hAnsi="Times New Roman" w:cs="Times New Roman"/>
          <w:sz w:val="24"/>
          <w:szCs w:val="24"/>
        </w:rPr>
      </w:pPr>
      <w:r w:rsidRPr="00000DD4">
        <w:rPr>
          <w:rFonts w:ascii="Times New Roman" w:hAnsi="Times New Roman" w:cs="Times New Roman"/>
          <w:sz w:val="24"/>
          <w:szCs w:val="24"/>
        </w:rPr>
        <w:t>The appeal be and is hereby allowed with costs.</w:t>
      </w:r>
    </w:p>
    <w:p w:rsidR="00E06EF5" w:rsidRPr="00000DD4" w:rsidRDefault="00E06EF5" w:rsidP="00151C6C">
      <w:pPr>
        <w:pStyle w:val="ListParagraph"/>
        <w:numPr>
          <w:ilvl w:val="0"/>
          <w:numId w:val="5"/>
        </w:numPr>
        <w:tabs>
          <w:tab w:val="left" w:pos="142"/>
          <w:tab w:val="left" w:pos="1134"/>
        </w:tabs>
        <w:spacing w:after="0" w:line="480" w:lineRule="auto"/>
        <w:ind w:left="567" w:firstLine="0"/>
        <w:jc w:val="both"/>
        <w:rPr>
          <w:rFonts w:ascii="Times New Roman" w:hAnsi="Times New Roman" w:cs="Times New Roman"/>
          <w:sz w:val="24"/>
          <w:szCs w:val="24"/>
        </w:rPr>
      </w:pPr>
      <w:r w:rsidRPr="00000DD4">
        <w:rPr>
          <w:rFonts w:ascii="Times New Roman" w:hAnsi="Times New Roman" w:cs="Times New Roman"/>
          <w:sz w:val="24"/>
          <w:szCs w:val="24"/>
        </w:rPr>
        <w:t xml:space="preserve">The judgment of the court </w:t>
      </w:r>
      <w:r w:rsidRPr="00000DD4">
        <w:rPr>
          <w:rFonts w:ascii="Times New Roman" w:hAnsi="Times New Roman" w:cs="Times New Roman"/>
          <w:i/>
          <w:sz w:val="24"/>
          <w:szCs w:val="24"/>
        </w:rPr>
        <w:t>a quo</w:t>
      </w:r>
      <w:r w:rsidRPr="00000DD4">
        <w:rPr>
          <w:rFonts w:ascii="Times New Roman" w:hAnsi="Times New Roman" w:cs="Times New Roman"/>
          <w:sz w:val="24"/>
          <w:szCs w:val="24"/>
        </w:rPr>
        <w:t xml:space="preserve"> be and is hereby set </w:t>
      </w:r>
    </w:p>
    <w:p w:rsidR="00E06EF5" w:rsidRPr="00000DD4" w:rsidRDefault="00E06EF5" w:rsidP="00151C6C">
      <w:pPr>
        <w:pStyle w:val="ListParagraph"/>
        <w:tabs>
          <w:tab w:val="left" w:pos="142"/>
          <w:tab w:val="left" w:pos="720"/>
          <w:tab w:val="left" w:pos="1134"/>
        </w:tabs>
        <w:spacing w:after="0" w:line="480" w:lineRule="auto"/>
        <w:jc w:val="both"/>
        <w:rPr>
          <w:rFonts w:ascii="Times New Roman" w:hAnsi="Times New Roman" w:cs="Times New Roman"/>
          <w:sz w:val="24"/>
          <w:szCs w:val="24"/>
        </w:rPr>
      </w:pPr>
      <w:r w:rsidRPr="00000DD4">
        <w:rPr>
          <w:rFonts w:ascii="Times New Roman" w:hAnsi="Times New Roman" w:cs="Times New Roman"/>
          <w:sz w:val="24"/>
          <w:szCs w:val="24"/>
        </w:rPr>
        <w:tab/>
        <w:t>aside and</w:t>
      </w:r>
      <w:r w:rsidR="0051597D">
        <w:rPr>
          <w:rFonts w:ascii="Times New Roman" w:hAnsi="Times New Roman" w:cs="Times New Roman"/>
          <w:sz w:val="24"/>
          <w:szCs w:val="24"/>
        </w:rPr>
        <w:t xml:space="preserve"> substituted with the following:</w:t>
      </w:r>
    </w:p>
    <w:p w:rsidR="00E06EF5" w:rsidRPr="00000DD4" w:rsidRDefault="00E06EF5" w:rsidP="00151C6C">
      <w:pPr>
        <w:pStyle w:val="ListParagraph"/>
        <w:tabs>
          <w:tab w:val="left" w:pos="142"/>
          <w:tab w:val="left" w:pos="1701"/>
        </w:tabs>
        <w:spacing w:after="0" w:line="240" w:lineRule="auto"/>
        <w:ind w:left="1134" w:firstLine="567"/>
        <w:jc w:val="both"/>
        <w:rPr>
          <w:rFonts w:ascii="Times New Roman" w:hAnsi="Times New Roman" w:cs="Times New Roman"/>
          <w:sz w:val="24"/>
          <w:szCs w:val="24"/>
        </w:rPr>
      </w:pPr>
      <w:r w:rsidRPr="00000DD4">
        <w:rPr>
          <w:rFonts w:ascii="Times New Roman" w:hAnsi="Times New Roman" w:cs="Times New Roman"/>
          <w:sz w:val="24"/>
          <w:szCs w:val="24"/>
        </w:rPr>
        <w:t>“ (a)</w:t>
      </w:r>
      <w:r w:rsidR="00A65934">
        <w:rPr>
          <w:rFonts w:ascii="Times New Roman" w:hAnsi="Times New Roman" w:cs="Times New Roman"/>
          <w:sz w:val="24"/>
          <w:szCs w:val="24"/>
        </w:rPr>
        <w:tab/>
      </w:r>
      <w:r w:rsidRPr="00000DD4">
        <w:rPr>
          <w:rFonts w:ascii="Times New Roman" w:hAnsi="Times New Roman" w:cs="Times New Roman"/>
          <w:sz w:val="24"/>
          <w:szCs w:val="24"/>
        </w:rPr>
        <w:t xml:space="preserve">The claimant’s claim to all the property which was </w:t>
      </w:r>
    </w:p>
    <w:p w:rsidR="00E06EF5" w:rsidRPr="00000DD4" w:rsidRDefault="00E06EF5"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r w:rsidRPr="00000DD4">
        <w:rPr>
          <w:rFonts w:ascii="Times New Roman" w:hAnsi="Times New Roman" w:cs="Times New Roman"/>
          <w:sz w:val="24"/>
          <w:szCs w:val="24"/>
        </w:rPr>
        <w:t xml:space="preserve">   </w:t>
      </w:r>
      <w:r w:rsidR="009A0405">
        <w:rPr>
          <w:rFonts w:ascii="Times New Roman" w:hAnsi="Times New Roman" w:cs="Times New Roman"/>
          <w:sz w:val="24"/>
          <w:szCs w:val="24"/>
        </w:rPr>
        <w:tab/>
      </w:r>
      <w:r w:rsidRPr="00000DD4">
        <w:rPr>
          <w:rFonts w:ascii="Times New Roman" w:hAnsi="Times New Roman" w:cs="Times New Roman"/>
          <w:sz w:val="24"/>
          <w:szCs w:val="24"/>
        </w:rPr>
        <w:t xml:space="preserve"> placed under attachment in execution of the    </w:t>
      </w:r>
    </w:p>
    <w:p w:rsidR="00E06EF5" w:rsidRPr="00000DD4" w:rsidRDefault="00E06EF5"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r w:rsidRPr="00000DD4">
        <w:rPr>
          <w:rFonts w:ascii="Times New Roman" w:hAnsi="Times New Roman" w:cs="Times New Roman"/>
          <w:sz w:val="24"/>
          <w:szCs w:val="24"/>
        </w:rPr>
        <w:t xml:space="preserve">  </w:t>
      </w:r>
      <w:r w:rsidR="00A65934">
        <w:rPr>
          <w:rFonts w:ascii="Times New Roman" w:hAnsi="Times New Roman" w:cs="Times New Roman"/>
          <w:sz w:val="24"/>
          <w:szCs w:val="24"/>
        </w:rPr>
        <w:tab/>
      </w:r>
      <w:r w:rsidRPr="00000DD4">
        <w:rPr>
          <w:rFonts w:ascii="Times New Roman" w:hAnsi="Times New Roman" w:cs="Times New Roman"/>
          <w:sz w:val="24"/>
          <w:szCs w:val="24"/>
        </w:rPr>
        <w:t xml:space="preserve"> judgment in case number HC 5852/17 be and is hereby   </w:t>
      </w:r>
    </w:p>
    <w:p w:rsidR="00E06EF5" w:rsidRPr="00000DD4" w:rsidRDefault="00E06EF5"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r w:rsidRPr="00000DD4">
        <w:rPr>
          <w:rFonts w:ascii="Times New Roman" w:hAnsi="Times New Roman" w:cs="Times New Roman"/>
          <w:sz w:val="24"/>
          <w:szCs w:val="24"/>
        </w:rPr>
        <w:t xml:space="preserve">   </w:t>
      </w:r>
      <w:r w:rsidR="00A65934">
        <w:rPr>
          <w:rFonts w:ascii="Times New Roman" w:hAnsi="Times New Roman" w:cs="Times New Roman"/>
          <w:sz w:val="24"/>
          <w:szCs w:val="24"/>
        </w:rPr>
        <w:tab/>
      </w:r>
      <w:r w:rsidRPr="00000DD4">
        <w:rPr>
          <w:rFonts w:ascii="Times New Roman" w:hAnsi="Times New Roman" w:cs="Times New Roman"/>
          <w:sz w:val="24"/>
          <w:szCs w:val="24"/>
        </w:rPr>
        <w:t xml:space="preserve"> dismissed.</w:t>
      </w:r>
    </w:p>
    <w:p w:rsidR="00E06EF5" w:rsidRPr="00000DD4" w:rsidRDefault="00E06EF5" w:rsidP="00151C6C">
      <w:pPr>
        <w:pStyle w:val="ListParagraph"/>
        <w:tabs>
          <w:tab w:val="left" w:pos="142"/>
          <w:tab w:val="left" w:pos="1134"/>
        </w:tabs>
        <w:spacing w:after="0" w:line="240" w:lineRule="auto"/>
        <w:ind w:left="1418" w:firstLine="425"/>
        <w:jc w:val="both"/>
        <w:rPr>
          <w:rFonts w:ascii="Times New Roman" w:hAnsi="Times New Roman" w:cs="Times New Roman"/>
          <w:sz w:val="24"/>
          <w:szCs w:val="24"/>
        </w:rPr>
      </w:pPr>
      <w:r w:rsidRPr="00000DD4">
        <w:rPr>
          <w:rFonts w:ascii="Times New Roman" w:hAnsi="Times New Roman" w:cs="Times New Roman"/>
          <w:sz w:val="24"/>
          <w:szCs w:val="24"/>
        </w:rPr>
        <w:t>(b)</w:t>
      </w:r>
      <w:r w:rsidR="009A0405">
        <w:rPr>
          <w:rFonts w:ascii="Times New Roman" w:hAnsi="Times New Roman" w:cs="Times New Roman"/>
          <w:sz w:val="24"/>
          <w:szCs w:val="24"/>
        </w:rPr>
        <w:tab/>
      </w:r>
      <w:r w:rsidRPr="00000DD4">
        <w:rPr>
          <w:rFonts w:ascii="Times New Roman" w:hAnsi="Times New Roman" w:cs="Times New Roman"/>
          <w:sz w:val="24"/>
          <w:szCs w:val="24"/>
        </w:rPr>
        <w:t xml:space="preserve">A certain Chrome Mine, comprising of the mining  </w:t>
      </w:r>
    </w:p>
    <w:p w:rsidR="00E06EF5" w:rsidRPr="00000DD4" w:rsidRDefault="00E06EF5" w:rsidP="00151C6C">
      <w:pPr>
        <w:pStyle w:val="ListParagraph"/>
        <w:tabs>
          <w:tab w:val="left" w:pos="142"/>
          <w:tab w:val="left" w:pos="1134"/>
          <w:tab w:val="left" w:pos="2160"/>
        </w:tabs>
        <w:spacing w:after="0" w:line="240" w:lineRule="auto"/>
        <w:ind w:left="2160"/>
        <w:jc w:val="both"/>
        <w:rPr>
          <w:rFonts w:ascii="Times New Roman" w:hAnsi="Times New Roman" w:cs="Times New Roman"/>
          <w:sz w:val="24"/>
          <w:szCs w:val="24"/>
          <w:u w:val="single"/>
        </w:rPr>
      </w:pPr>
      <w:r w:rsidRPr="00000DD4">
        <w:rPr>
          <w:rFonts w:ascii="Times New Roman" w:hAnsi="Times New Roman" w:cs="Times New Roman"/>
          <w:sz w:val="24"/>
          <w:szCs w:val="24"/>
        </w:rPr>
        <w:t>claim, being a block of 2</w:t>
      </w:r>
      <w:r w:rsidR="00690884" w:rsidRPr="00000DD4">
        <w:rPr>
          <w:rFonts w:ascii="Times New Roman" w:hAnsi="Times New Roman" w:cs="Times New Roman"/>
          <w:sz w:val="24"/>
          <w:szCs w:val="24"/>
        </w:rPr>
        <w:t>5 mining claims known as BEE 47, r</w:t>
      </w:r>
      <w:r w:rsidRPr="00000DD4">
        <w:rPr>
          <w:rFonts w:ascii="Times New Roman" w:hAnsi="Times New Roman" w:cs="Times New Roman"/>
          <w:sz w:val="24"/>
          <w:szCs w:val="24"/>
        </w:rPr>
        <w:t xml:space="preserve">egistered as number G 31 OBM be and is hereby declared </w:t>
      </w:r>
      <w:r w:rsidR="00690884" w:rsidRPr="00000DD4">
        <w:rPr>
          <w:rFonts w:ascii="Times New Roman" w:hAnsi="Times New Roman" w:cs="Times New Roman"/>
          <w:sz w:val="24"/>
          <w:szCs w:val="24"/>
          <w:u w:val="single"/>
        </w:rPr>
        <w:t>execu</w:t>
      </w:r>
      <w:r w:rsidRPr="00000DD4">
        <w:rPr>
          <w:rFonts w:ascii="Times New Roman" w:hAnsi="Times New Roman" w:cs="Times New Roman"/>
          <w:sz w:val="24"/>
          <w:szCs w:val="24"/>
          <w:u w:val="single"/>
        </w:rPr>
        <w:t>table.</w:t>
      </w:r>
    </w:p>
    <w:p w:rsidR="00E06EF5" w:rsidRPr="00000DD4" w:rsidRDefault="00E06EF5" w:rsidP="00151C6C">
      <w:pPr>
        <w:pStyle w:val="ListParagraph"/>
        <w:tabs>
          <w:tab w:val="left" w:pos="142"/>
          <w:tab w:val="left" w:pos="1134"/>
        </w:tabs>
        <w:spacing w:after="0" w:line="240" w:lineRule="auto"/>
        <w:ind w:left="1418" w:firstLine="425"/>
        <w:jc w:val="both"/>
        <w:rPr>
          <w:rFonts w:ascii="Times New Roman" w:hAnsi="Times New Roman" w:cs="Times New Roman"/>
          <w:sz w:val="24"/>
          <w:szCs w:val="24"/>
        </w:rPr>
      </w:pPr>
      <w:r w:rsidRPr="00000DD4">
        <w:rPr>
          <w:rFonts w:ascii="Times New Roman" w:hAnsi="Times New Roman" w:cs="Times New Roman"/>
          <w:sz w:val="24"/>
          <w:szCs w:val="24"/>
        </w:rPr>
        <w:t>(c)</w:t>
      </w:r>
      <w:r w:rsidR="009A0405">
        <w:rPr>
          <w:rFonts w:ascii="Times New Roman" w:hAnsi="Times New Roman" w:cs="Times New Roman"/>
          <w:sz w:val="24"/>
          <w:szCs w:val="24"/>
        </w:rPr>
        <w:tab/>
      </w:r>
      <w:r w:rsidRPr="00000DD4">
        <w:rPr>
          <w:rFonts w:ascii="Times New Roman" w:hAnsi="Times New Roman" w:cs="Times New Roman"/>
          <w:sz w:val="24"/>
          <w:szCs w:val="24"/>
        </w:rPr>
        <w:t>The claimant shall bear the costs.”</w:t>
      </w:r>
    </w:p>
    <w:p w:rsidR="00E06EF5" w:rsidRPr="00000DD4" w:rsidRDefault="00E06EF5"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p>
    <w:p w:rsidR="00E06EF5" w:rsidRPr="00000DD4" w:rsidRDefault="00E06EF5"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p>
    <w:p w:rsidR="00B5517A" w:rsidRPr="00000DD4" w:rsidRDefault="00B5517A"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p>
    <w:p w:rsidR="00B5517A" w:rsidRDefault="00B5517A"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p>
    <w:p w:rsidR="0045351F" w:rsidRDefault="0045351F"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p>
    <w:p w:rsidR="0045351F" w:rsidRDefault="0045351F"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p>
    <w:p w:rsidR="0045351F" w:rsidRDefault="0045351F"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p>
    <w:p w:rsidR="0045351F" w:rsidRDefault="0045351F"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p>
    <w:p w:rsidR="0045351F" w:rsidRPr="00000DD4" w:rsidRDefault="0045351F"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p>
    <w:p w:rsidR="00B5517A" w:rsidRPr="00000DD4" w:rsidRDefault="00B5517A"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p>
    <w:p w:rsidR="00E06EF5" w:rsidRPr="00000DD4" w:rsidRDefault="00B5517A"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r w:rsidRPr="00000DD4">
        <w:rPr>
          <w:rFonts w:ascii="Times New Roman" w:hAnsi="Times New Roman" w:cs="Times New Roman"/>
          <w:sz w:val="24"/>
          <w:szCs w:val="24"/>
        </w:rPr>
        <w:t xml:space="preserve"> </w:t>
      </w:r>
    </w:p>
    <w:p w:rsidR="00E06EF5" w:rsidRPr="00000DD4" w:rsidRDefault="00E06EF5"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p>
    <w:p w:rsidR="00E06EF5" w:rsidRPr="00000DD4" w:rsidRDefault="00E06EF5"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r w:rsidRPr="00000DD4">
        <w:rPr>
          <w:rFonts w:ascii="Times New Roman" w:hAnsi="Times New Roman" w:cs="Times New Roman"/>
          <w:b/>
          <w:sz w:val="24"/>
          <w:szCs w:val="24"/>
        </w:rPr>
        <w:t>MAVANGIRA JA:</w:t>
      </w:r>
      <w:r w:rsidRPr="00000DD4">
        <w:rPr>
          <w:rFonts w:ascii="Times New Roman" w:hAnsi="Times New Roman" w:cs="Times New Roman"/>
          <w:sz w:val="24"/>
          <w:szCs w:val="24"/>
        </w:rPr>
        <w:tab/>
      </w:r>
      <w:r w:rsidRPr="00000DD4">
        <w:rPr>
          <w:rFonts w:ascii="Times New Roman" w:hAnsi="Times New Roman" w:cs="Times New Roman"/>
          <w:sz w:val="24"/>
          <w:szCs w:val="24"/>
        </w:rPr>
        <w:tab/>
      </w:r>
      <w:r w:rsidRPr="00000DD4">
        <w:rPr>
          <w:rFonts w:ascii="Times New Roman" w:hAnsi="Times New Roman" w:cs="Times New Roman"/>
          <w:sz w:val="24"/>
          <w:szCs w:val="24"/>
        </w:rPr>
        <w:tab/>
        <w:t>I agree</w:t>
      </w:r>
    </w:p>
    <w:p w:rsidR="00E06EF5" w:rsidRPr="00000DD4" w:rsidRDefault="00E06EF5"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p>
    <w:p w:rsidR="00E06EF5" w:rsidRPr="00000DD4" w:rsidRDefault="00E06EF5"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p>
    <w:p w:rsidR="00E06EF5" w:rsidRPr="00000DD4" w:rsidRDefault="00E06EF5"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p>
    <w:p w:rsidR="00E06EF5" w:rsidRPr="00000DD4" w:rsidRDefault="00E06EF5"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p>
    <w:p w:rsidR="00727D90" w:rsidRPr="00000DD4" w:rsidRDefault="00727D90"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p>
    <w:p w:rsidR="00E06EF5" w:rsidRPr="00000DD4" w:rsidRDefault="00E06EF5" w:rsidP="00151C6C">
      <w:pPr>
        <w:pStyle w:val="ListParagraph"/>
        <w:tabs>
          <w:tab w:val="left" w:pos="142"/>
          <w:tab w:val="left" w:pos="1134"/>
        </w:tabs>
        <w:spacing w:after="0" w:line="240" w:lineRule="auto"/>
        <w:ind w:left="1418"/>
        <w:jc w:val="both"/>
        <w:rPr>
          <w:rFonts w:ascii="Times New Roman" w:hAnsi="Times New Roman" w:cs="Times New Roman"/>
          <w:sz w:val="24"/>
          <w:szCs w:val="24"/>
        </w:rPr>
      </w:pPr>
      <w:r w:rsidRPr="00000DD4">
        <w:rPr>
          <w:rFonts w:ascii="Times New Roman" w:hAnsi="Times New Roman" w:cs="Times New Roman"/>
          <w:b/>
          <w:sz w:val="24"/>
          <w:szCs w:val="24"/>
        </w:rPr>
        <w:t>UCHENA JA:</w:t>
      </w:r>
      <w:r w:rsidRPr="00000DD4">
        <w:rPr>
          <w:rFonts w:ascii="Times New Roman" w:hAnsi="Times New Roman" w:cs="Times New Roman"/>
          <w:sz w:val="24"/>
          <w:szCs w:val="24"/>
        </w:rPr>
        <w:tab/>
      </w:r>
      <w:r w:rsidRPr="00000DD4">
        <w:rPr>
          <w:rFonts w:ascii="Times New Roman" w:hAnsi="Times New Roman" w:cs="Times New Roman"/>
          <w:sz w:val="24"/>
          <w:szCs w:val="24"/>
        </w:rPr>
        <w:tab/>
      </w:r>
      <w:r w:rsidRPr="00000DD4">
        <w:rPr>
          <w:rFonts w:ascii="Times New Roman" w:hAnsi="Times New Roman" w:cs="Times New Roman"/>
          <w:sz w:val="24"/>
          <w:szCs w:val="24"/>
        </w:rPr>
        <w:tab/>
        <w:t>I agree</w:t>
      </w:r>
    </w:p>
    <w:p w:rsidR="00EA4DE6" w:rsidRPr="00000DD4" w:rsidRDefault="00EA4DE6" w:rsidP="00151C6C">
      <w:pPr>
        <w:tabs>
          <w:tab w:val="left" w:pos="142"/>
          <w:tab w:val="left" w:pos="1134"/>
        </w:tabs>
        <w:spacing w:after="0" w:line="240" w:lineRule="auto"/>
        <w:jc w:val="both"/>
        <w:rPr>
          <w:rFonts w:ascii="Times New Roman" w:hAnsi="Times New Roman" w:cs="Times New Roman"/>
          <w:sz w:val="24"/>
          <w:szCs w:val="24"/>
        </w:rPr>
      </w:pPr>
    </w:p>
    <w:p w:rsidR="00EA4DE6" w:rsidRDefault="00EA4DE6" w:rsidP="00151C6C">
      <w:pPr>
        <w:tabs>
          <w:tab w:val="left" w:pos="142"/>
          <w:tab w:val="left" w:pos="1134"/>
        </w:tabs>
        <w:spacing w:after="0" w:line="240" w:lineRule="auto"/>
        <w:jc w:val="both"/>
        <w:rPr>
          <w:rFonts w:ascii="Times New Roman" w:hAnsi="Times New Roman" w:cs="Times New Roman"/>
          <w:sz w:val="24"/>
          <w:szCs w:val="24"/>
        </w:rPr>
      </w:pPr>
    </w:p>
    <w:p w:rsidR="003C3044" w:rsidRPr="00000DD4" w:rsidRDefault="003C3044" w:rsidP="00151C6C">
      <w:pPr>
        <w:tabs>
          <w:tab w:val="left" w:pos="142"/>
          <w:tab w:val="left" w:pos="1134"/>
        </w:tabs>
        <w:spacing w:after="0" w:line="240" w:lineRule="auto"/>
        <w:jc w:val="both"/>
        <w:rPr>
          <w:rFonts w:ascii="Times New Roman" w:hAnsi="Times New Roman" w:cs="Times New Roman"/>
          <w:sz w:val="24"/>
          <w:szCs w:val="24"/>
        </w:rPr>
      </w:pPr>
    </w:p>
    <w:p w:rsidR="00E8610D" w:rsidRPr="00000DD4" w:rsidRDefault="00E8610D" w:rsidP="00151C6C">
      <w:pPr>
        <w:tabs>
          <w:tab w:val="left" w:pos="142"/>
          <w:tab w:val="left" w:pos="1134"/>
        </w:tabs>
        <w:spacing w:after="0" w:line="240" w:lineRule="auto"/>
        <w:jc w:val="both"/>
        <w:rPr>
          <w:rFonts w:ascii="Times New Roman" w:hAnsi="Times New Roman" w:cs="Times New Roman"/>
          <w:sz w:val="24"/>
          <w:szCs w:val="24"/>
        </w:rPr>
      </w:pPr>
    </w:p>
    <w:p w:rsidR="00EA4DE6" w:rsidRPr="00000DD4" w:rsidRDefault="00B5517A" w:rsidP="00151C6C">
      <w:pPr>
        <w:tabs>
          <w:tab w:val="left" w:pos="142"/>
          <w:tab w:val="left" w:pos="1134"/>
        </w:tabs>
        <w:spacing w:after="0" w:line="240" w:lineRule="auto"/>
        <w:jc w:val="both"/>
        <w:rPr>
          <w:rFonts w:ascii="Times New Roman" w:hAnsi="Times New Roman" w:cs="Times New Roman"/>
          <w:sz w:val="24"/>
          <w:szCs w:val="24"/>
        </w:rPr>
      </w:pPr>
      <w:r w:rsidRPr="00000DD4">
        <w:rPr>
          <w:rFonts w:ascii="Times New Roman" w:hAnsi="Times New Roman" w:cs="Times New Roman"/>
          <w:i/>
          <w:sz w:val="24"/>
          <w:szCs w:val="24"/>
        </w:rPr>
        <w:t>Zimudzi &amp; Associates, appellant’s legal practitioners</w:t>
      </w:r>
    </w:p>
    <w:p w:rsidR="00EA4DE6" w:rsidRPr="00000DD4" w:rsidRDefault="00B5517A" w:rsidP="00151C6C">
      <w:pPr>
        <w:tabs>
          <w:tab w:val="left" w:pos="142"/>
          <w:tab w:val="left" w:pos="1134"/>
        </w:tabs>
        <w:spacing w:after="0" w:line="240" w:lineRule="auto"/>
        <w:jc w:val="both"/>
        <w:rPr>
          <w:rFonts w:ascii="Times New Roman" w:hAnsi="Times New Roman" w:cs="Times New Roman"/>
          <w:sz w:val="24"/>
          <w:szCs w:val="24"/>
        </w:rPr>
      </w:pPr>
      <w:r w:rsidRPr="00000DD4">
        <w:rPr>
          <w:rFonts w:ascii="Times New Roman" w:hAnsi="Times New Roman" w:cs="Times New Roman"/>
          <w:i/>
          <w:sz w:val="24"/>
          <w:szCs w:val="24"/>
        </w:rPr>
        <w:t xml:space="preserve">Dube –Banda Nzarayapenga, </w:t>
      </w:r>
      <w:r w:rsidR="00E8610D" w:rsidRPr="00000DD4">
        <w:rPr>
          <w:rFonts w:ascii="Times New Roman" w:hAnsi="Times New Roman" w:cs="Times New Roman"/>
          <w:i/>
          <w:sz w:val="24"/>
          <w:szCs w:val="24"/>
        </w:rPr>
        <w:t>1</w:t>
      </w:r>
      <w:r w:rsidR="005A38A2" w:rsidRPr="00000DD4">
        <w:rPr>
          <w:rFonts w:ascii="Times New Roman" w:hAnsi="Times New Roman" w:cs="Times New Roman"/>
          <w:i/>
          <w:sz w:val="24"/>
          <w:szCs w:val="24"/>
          <w:vertAlign w:val="superscript"/>
        </w:rPr>
        <w:t>st</w:t>
      </w:r>
      <w:r w:rsidR="005A38A2" w:rsidRPr="00000DD4">
        <w:rPr>
          <w:rFonts w:ascii="Times New Roman" w:hAnsi="Times New Roman" w:cs="Times New Roman"/>
          <w:i/>
          <w:sz w:val="24"/>
          <w:szCs w:val="24"/>
        </w:rPr>
        <w:t xml:space="preserve"> respondent’s</w:t>
      </w:r>
      <w:r w:rsidRPr="00000DD4">
        <w:rPr>
          <w:rFonts w:ascii="Times New Roman" w:hAnsi="Times New Roman" w:cs="Times New Roman"/>
          <w:i/>
          <w:sz w:val="24"/>
          <w:szCs w:val="24"/>
        </w:rPr>
        <w:t xml:space="preserve"> legal practitioners</w:t>
      </w:r>
    </w:p>
    <w:p w:rsidR="00E8610D" w:rsidRPr="00000DD4" w:rsidRDefault="00E8610D" w:rsidP="00151C6C">
      <w:pPr>
        <w:tabs>
          <w:tab w:val="left" w:pos="142"/>
          <w:tab w:val="left" w:pos="1134"/>
        </w:tabs>
        <w:spacing w:after="0" w:line="240" w:lineRule="auto"/>
        <w:jc w:val="both"/>
        <w:rPr>
          <w:rFonts w:ascii="Times New Roman" w:hAnsi="Times New Roman" w:cs="Times New Roman"/>
          <w:sz w:val="24"/>
          <w:szCs w:val="24"/>
        </w:rPr>
      </w:pPr>
      <w:r w:rsidRPr="00000DD4">
        <w:rPr>
          <w:rFonts w:ascii="Times New Roman" w:hAnsi="Times New Roman" w:cs="Times New Roman"/>
          <w:i/>
          <w:sz w:val="24"/>
          <w:szCs w:val="24"/>
        </w:rPr>
        <w:t>Messrs Kantor &amp; Immerman, 2</w:t>
      </w:r>
      <w:r w:rsidRPr="00000DD4">
        <w:rPr>
          <w:rFonts w:ascii="Times New Roman" w:hAnsi="Times New Roman" w:cs="Times New Roman"/>
          <w:i/>
          <w:sz w:val="24"/>
          <w:szCs w:val="24"/>
          <w:vertAlign w:val="superscript"/>
        </w:rPr>
        <w:t>nd</w:t>
      </w:r>
      <w:r w:rsidRPr="00000DD4">
        <w:rPr>
          <w:rFonts w:ascii="Times New Roman" w:hAnsi="Times New Roman" w:cs="Times New Roman"/>
          <w:i/>
          <w:sz w:val="24"/>
          <w:szCs w:val="24"/>
        </w:rPr>
        <w:t xml:space="preserve"> respondent’s legal practitioners</w:t>
      </w:r>
    </w:p>
    <w:p w:rsidR="00E06EF5" w:rsidRPr="00000DD4" w:rsidRDefault="00E06EF5" w:rsidP="00151C6C">
      <w:pPr>
        <w:tabs>
          <w:tab w:val="left" w:pos="142"/>
          <w:tab w:val="left" w:pos="1134"/>
        </w:tabs>
        <w:spacing w:after="0" w:line="480" w:lineRule="auto"/>
        <w:jc w:val="both"/>
        <w:rPr>
          <w:rFonts w:ascii="Times New Roman" w:hAnsi="Times New Roman" w:cs="Times New Roman"/>
          <w:sz w:val="24"/>
          <w:szCs w:val="24"/>
        </w:rPr>
      </w:pPr>
    </w:p>
    <w:p w:rsidR="00E06EF5" w:rsidRPr="00000DD4" w:rsidRDefault="00E06EF5" w:rsidP="00151C6C">
      <w:pPr>
        <w:spacing w:after="0"/>
        <w:rPr>
          <w:rFonts w:ascii="Times New Roman" w:hAnsi="Times New Roman" w:cs="Times New Roman"/>
          <w:sz w:val="24"/>
          <w:szCs w:val="24"/>
        </w:rPr>
      </w:pPr>
    </w:p>
    <w:sectPr w:rsidR="00E06EF5" w:rsidRPr="00000DD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27EB" w:rsidRDefault="004B27EB" w:rsidP="00482784">
      <w:pPr>
        <w:spacing w:after="0" w:line="240" w:lineRule="auto"/>
      </w:pPr>
      <w:r>
        <w:separator/>
      </w:r>
    </w:p>
  </w:endnote>
  <w:endnote w:type="continuationSeparator" w:id="0">
    <w:p w:rsidR="004B27EB" w:rsidRDefault="004B27EB" w:rsidP="00482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27EB" w:rsidRDefault="004B27EB" w:rsidP="00482784">
      <w:pPr>
        <w:spacing w:after="0" w:line="240" w:lineRule="auto"/>
      </w:pPr>
      <w:r>
        <w:separator/>
      </w:r>
    </w:p>
  </w:footnote>
  <w:footnote w:type="continuationSeparator" w:id="0">
    <w:p w:rsidR="004B27EB" w:rsidRDefault="004B27EB" w:rsidP="004827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84" w:rsidRPr="00020B30" w:rsidRDefault="00482784" w:rsidP="00482784">
    <w:pPr>
      <w:spacing w:after="0" w:line="240" w:lineRule="auto"/>
      <w:jc w:val="right"/>
      <w:rPr>
        <w:rFonts w:ascii="Times New Roman" w:hAnsi="Times New Roman" w:cs="Times New Roman"/>
        <w:noProof/>
        <w:sz w:val="24"/>
        <w:szCs w:val="24"/>
      </w:rPr>
    </w:pP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482784" w:rsidRDefault="00482784">
                          <w:pPr>
                            <w:spacing w:after="0" w:line="240" w:lineRule="auto"/>
                            <w:rPr>
                              <w:color w:val="FFFFFF" w:themeColor="background1"/>
                            </w:rPr>
                          </w:pPr>
                          <w:r>
                            <w:fldChar w:fldCharType="begin"/>
                          </w:r>
                          <w:r>
                            <w:instrText xml:space="preserve"> PAGE   \* MERGEFORMAT </w:instrText>
                          </w:r>
                          <w:r>
                            <w:fldChar w:fldCharType="separate"/>
                          </w:r>
                          <w:r w:rsidR="009B21E1" w:rsidRPr="009B21E1">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6"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I+GHwIAACo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" o:allowincell="f" fillcolor="#a8d08d [1945]" stroked="f">
              <v:textbox style="mso-fit-shape-to-text:t" inset=",0,,0">
                <w:txbxContent>
                  <w:p w:rsidR="00482784" w:rsidRDefault="00482784">
                    <w:pPr>
                      <w:spacing w:after="0" w:line="240" w:lineRule="auto"/>
                      <w:rPr>
                        <w:color w:val="FFFFFF" w:themeColor="background1"/>
                      </w:rPr>
                    </w:pPr>
                    <w:r>
                      <w:fldChar w:fldCharType="begin"/>
                    </w:r>
                    <w:r>
                      <w:instrText xml:space="preserve"> PAGE   \* MERGEFORMAT </w:instrText>
                    </w:r>
                    <w:r>
                      <w:fldChar w:fldCharType="separate"/>
                    </w:r>
                    <w:r w:rsidR="009B21E1" w:rsidRPr="009B21E1">
                      <w:rPr>
                        <w:noProof/>
                        <w:color w:val="FFFFFF" w:themeColor="background1"/>
                      </w:rPr>
                      <w:t>1</w:t>
                    </w:r>
                    <w:r>
                      <w:rPr>
                        <w:noProof/>
                        <w:color w:val="FFFFFF" w:themeColor="background1"/>
                      </w:rPr>
                      <w:fldChar w:fldCharType="end"/>
                    </w:r>
                  </w:p>
                </w:txbxContent>
              </v:textbox>
              <w10:wrap anchorx="page" anchory="margin"/>
            </v:shape>
          </w:pict>
        </mc:Fallback>
      </mc:AlternateContent>
    </w:r>
    <w:r>
      <w:tab/>
    </w:r>
    <w:r w:rsidR="00FF5C44">
      <w:rPr>
        <w:rFonts w:ascii="Times New Roman" w:hAnsi="Times New Roman" w:cs="Times New Roman"/>
        <w:noProof/>
        <w:sz w:val="24"/>
        <w:szCs w:val="24"/>
      </w:rPr>
      <w:t>Judgment No. SC</w:t>
    </w:r>
    <w:r w:rsidR="002004D8">
      <w:rPr>
        <w:rFonts w:ascii="Times New Roman" w:hAnsi="Times New Roman" w:cs="Times New Roman"/>
        <w:noProof/>
        <w:sz w:val="24"/>
        <w:szCs w:val="24"/>
      </w:rPr>
      <w:t xml:space="preserve"> 9/21</w:t>
    </w:r>
  </w:p>
  <w:p w:rsidR="00482784" w:rsidRPr="00020B30" w:rsidRDefault="00482784" w:rsidP="00482784">
    <w:pPr>
      <w:spacing w:after="0" w:line="240" w:lineRule="auto"/>
      <w:jc w:val="right"/>
      <w:rPr>
        <w:rFonts w:ascii="Times New Roman" w:hAnsi="Times New Roman" w:cs="Times New Roman"/>
        <w:noProof/>
        <w:sz w:val="24"/>
        <w:szCs w:val="24"/>
      </w:rPr>
    </w:pPr>
    <w:r w:rsidRPr="00020B30">
      <w:rPr>
        <w:rFonts w:ascii="Times New Roman" w:hAnsi="Times New Roman" w:cs="Times New Roman"/>
        <w:noProof/>
        <w:sz w:val="24"/>
        <w:szCs w:val="24"/>
      </w:rPr>
      <w:t xml:space="preserve">Civil Appeal </w:t>
    </w:r>
    <w:r>
      <w:rPr>
        <w:rFonts w:ascii="Times New Roman" w:hAnsi="Times New Roman" w:cs="Times New Roman"/>
        <w:noProof/>
        <w:sz w:val="24"/>
        <w:szCs w:val="24"/>
      </w:rPr>
      <w:t>No. SC 252/20</w:t>
    </w:r>
  </w:p>
  <w:p w:rsidR="00482784" w:rsidRDefault="004827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2C36AA"/>
    <w:multiLevelType w:val="hybridMultilevel"/>
    <w:tmpl w:val="A3FA2D10"/>
    <w:lvl w:ilvl="0" w:tplc="E7B80296">
      <w:start w:val="1"/>
      <w:numFmt w:val="decimal"/>
      <w:lvlText w:val="%1."/>
      <w:lvlJc w:val="left"/>
      <w:pPr>
        <w:ind w:left="1636" w:hanging="360"/>
      </w:pPr>
      <w:rPr>
        <w:rFonts w:hint="default"/>
      </w:rPr>
    </w:lvl>
    <w:lvl w:ilvl="1" w:tplc="08090019" w:tentative="1">
      <w:start w:val="1"/>
      <w:numFmt w:val="lowerLetter"/>
      <w:lvlText w:val="%2."/>
      <w:lvlJc w:val="left"/>
      <w:pPr>
        <w:ind w:left="2356" w:hanging="360"/>
      </w:pPr>
    </w:lvl>
    <w:lvl w:ilvl="2" w:tplc="0809001B" w:tentative="1">
      <w:start w:val="1"/>
      <w:numFmt w:val="lowerRoman"/>
      <w:lvlText w:val="%3."/>
      <w:lvlJc w:val="right"/>
      <w:pPr>
        <w:ind w:left="3076" w:hanging="180"/>
      </w:pPr>
    </w:lvl>
    <w:lvl w:ilvl="3" w:tplc="0809000F" w:tentative="1">
      <w:start w:val="1"/>
      <w:numFmt w:val="decimal"/>
      <w:lvlText w:val="%4."/>
      <w:lvlJc w:val="left"/>
      <w:pPr>
        <w:ind w:left="3796" w:hanging="360"/>
      </w:pPr>
    </w:lvl>
    <w:lvl w:ilvl="4" w:tplc="08090019" w:tentative="1">
      <w:start w:val="1"/>
      <w:numFmt w:val="lowerLetter"/>
      <w:lvlText w:val="%5."/>
      <w:lvlJc w:val="left"/>
      <w:pPr>
        <w:ind w:left="4516" w:hanging="360"/>
      </w:pPr>
    </w:lvl>
    <w:lvl w:ilvl="5" w:tplc="0809001B" w:tentative="1">
      <w:start w:val="1"/>
      <w:numFmt w:val="lowerRoman"/>
      <w:lvlText w:val="%6."/>
      <w:lvlJc w:val="right"/>
      <w:pPr>
        <w:ind w:left="5236" w:hanging="180"/>
      </w:pPr>
    </w:lvl>
    <w:lvl w:ilvl="6" w:tplc="0809000F" w:tentative="1">
      <w:start w:val="1"/>
      <w:numFmt w:val="decimal"/>
      <w:lvlText w:val="%7."/>
      <w:lvlJc w:val="left"/>
      <w:pPr>
        <w:ind w:left="5956" w:hanging="360"/>
      </w:pPr>
    </w:lvl>
    <w:lvl w:ilvl="7" w:tplc="08090019" w:tentative="1">
      <w:start w:val="1"/>
      <w:numFmt w:val="lowerLetter"/>
      <w:lvlText w:val="%8."/>
      <w:lvlJc w:val="left"/>
      <w:pPr>
        <w:ind w:left="6676" w:hanging="360"/>
      </w:pPr>
    </w:lvl>
    <w:lvl w:ilvl="8" w:tplc="0809001B" w:tentative="1">
      <w:start w:val="1"/>
      <w:numFmt w:val="lowerRoman"/>
      <w:lvlText w:val="%9."/>
      <w:lvlJc w:val="right"/>
      <w:pPr>
        <w:ind w:left="7396" w:hanging="180"/>
      </w:pPr>
    </w:lvl>
  </w:abstractNum>
  <w:abstractNum w:abstractNumId="1" w15:restartNumberingAfterBreak="0">
    <w:nsid w:val="26287666"/>
    <w:multiLevelType w:val="hybridMultilevel"/>
    <w:tmpl w:val="A8D48044"/>
    <w:lvl w:ilvl="0" w:tplc="FD0C3E70">
      <w:start w:val="1"/>
      <w:numFmt w:val="decimal"/>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8EF55D6"/>
    <w:multiLevelType w:val="hybridMultilevel"/>
    <w:tmpl w:val="6C405010"/>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5AEA0884"/>
    <w:multiLevelType w:val="hybridMultilevel"/>
    <w:tmpl w:val="7BF4E4B0"/>
    <w:lvl w:ilvl="0" w:tplc="13642060">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AA4B00"/>
    <w:multiLevelType w:val="hybridMultilevel"/>
    <w:tmpl w:val="99EEA586"/>
    <w:lvl w:ilvl="0" w:tplc="0809000F">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76C300A"/>
    <w:multiLevelType w:val="hybridMultilevel"/>
    <w:tmpl w:val="7BF84FEE"/>
    <w:lvl w:ilvl="0" w:tplc="5B3CA04E">
      <w:start w:val="4"/>
      <w:numFmt w:val="decimal"/>
      <w:lvlText w:val="%1."/>
      <w:lvlJc w:val="left"/>
      <w:pPr>
        <w:ind w:left="780" w:hanging="360"/>
      </w:pPr>
      <w:rPr>
        <w:rFonts w:hint="default"/>
        <w:i w:val="0"/>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84"/>
    <w:rsid w:val="00000DD4"/>
    <w:rsid w:val="00012422"/>
    <w:rsid w:val="00015979"/>
    <w:rsid w:val="00021093"/>
    <w:rsid w:val="00023D98"/>
    <w:rsid w:val="00024D90"/>
    <w:rsid w:val="000360FA"/>
    <w:rsid w:val="00037414"/>
    <w:rsid w:val="000406CF"/>
    <w:rsid w:val="0004112A"/>
    <w:rsid w:val="00042E2A"/>
    <w:rsid w:val="0004363C"/>
    <w:rsid w:val="00045770"/>
    <w:rsid w:val="00047528"/>
    <w:rsid w:val="00050021"/>
    <w:rsid w:val="000609E3"/>
    <w:rsid w:val="0007452F"/>
    <w:rsid w:val="00094BE6"/>
    <w:rsid w:val="000A0F6D"/>
    <w:rsid w:val="000A22C1"/>
    <w:rsid w:val="000A37DB"/>
    <w:rsid w:val="000A5847"/>
    <w:rsid w:val="000A5AA3"/>
    <w:rsid w:val="000A626E"/>
    <w:rsid w:val="000A6D54"/>
    <w:rsid w:val="000B084C"/>
    <w:rsid w:val="000C25C4"/>
    <w:rsid w:val="000C3416"/>
    <w:rsid w:val="000C4984"/>
    <w:rsid w:val="000D168C"/>
    <w:rsid w:val="000D2EC1"/>
    <w:rsid w:val="000E12C9"/>
    <w:rsid w:val="000E1E40"/>
    <w:rsid w:val="000F3723"/>
    <w:rsid w:val="000F7A1A"/>
    <w:rsid w:val="0010095C"/>
    <w:rsid w:val="0011325E"/>
    <w:rsid w:val="00123BA1"/>
    <w:rsid w:val="00130BDC"/>
    <w:rsid w:val="001338EF"/>
    <w:rsid w:val="001342A0"/>
    <w:rsid w:val="00134DDB"/>
    <w:rsid w:val="00136F99"/>
    <w:rsid w:val="00145A35"/>
    <w:rsid w:val="001462C9"/>
    <w:rsid w:val="0015168B"/>
    <w:rsid w:val="00151C6C"/>
    <w:rsid w:val="001552AE"/>
    <w:rsid w:val="00157570"/>
    <w:rsid w:val="00164319"/>
    <w:rsid w:val="00166B23"/>
    <w:rsid w:val="00166B28"/>
    <w:rsid w:val="00166ED0"/>
    <w:rsid w:val="00170ABE"/>
    <w:rsid w:val="001739F8"/>
    <w:rsid w:val="00177F50"/>
    <w:rsid w:val="00187618"/>
    <w:rsid w:val="00193C14"/>
    <w:rsid w:val="001A251D"/>
    <w:rsid w:val="001A3C33"/>
    <w:rsid w:val="001A4FBD"/>
    <w:rsid w:val="001A5A74"/>
    <w:rsid w:val="001B083F"/>
    <w:rsid w:val="001D0D72"/>
    <w:rsid w:val="001D3ABA"/>
    <w:rsid w:val="001D45F2"/>
    <w:rsid w:val="001D4E74"/>
    <w:rsid w:val="001D59B2"/>
    <w:rsid w:val="001E33B4"/>
    <w:rsid w:val="001E572B"/>
    <w:rsid w:val="001E6E6A"/>
    <w:rsid w:val="002004D8"/>
    <w:rsid w:val="002047BB"/>
    <w:rsid w:val="002057DA"/>
    <w:rsid w:val="00207631"/>
    <w:rsid w:val="0021400C"/>
    <w:rsid w:val="0021636E"/>
    <w:rsid w:val="0022188D"/>
    <w:rsid w:val="0022740C"/>
    <w:rsid w:val="00231968"/>
    <w:rsid w:val="00232681"/>
    <w:rsid w:val="00232F42"/>
    <w:rsid w:val="002334BB"/>
    <w:rsid w:val="002345B1"/>
    <w:rsid w:val="00237961"/>
    <w:rsid w:val="00242091"/>
    <w:rsid w:val="002561BB"/>
    <w:rsid w:val="00265325"/>
    <w:rsid w:val="00265AC5"/>
    <w:rsid w:val="002701C1"/>
    <w:rsid w:val="00275445"/>
    <w:rsid w:val="00275FC9"/>
    <w:rsid w:val="002769C2"/>
    <w:rsid w:val="0028098E"/>
    <w:rsid w:val="00281174"/>
    <w:rsid w:val="0028415D"/>
    <w:rsid w:val="002850DF"/>
    <w:rsid w:val="00285A7C"/>
    <w:rsid w:val="00291368"/>
    <w:rsid w:val="002932C9"/>
    <w:rsid w:val="00295DFE"/>
    <w:rsid w:val="002976E4"/>
    <w:rsid w:val="002A67BB"/>
    <w:rsid w:val="002A6B6C"/>
    <w:rsid w:val="002C268D"/>
    <w:rsid w:val="002C414F"/>
    <w:rsid w:val="002C5603"/>
    <w:rsid w:val="002C70A8"/>
    <w:rsid w:val="002E5331"/>
    <w:rsid w:val="002F1910"/>
    <w:rsid w:val="002F5965"/>
    <w:rsid w:val="0030033D"/>
    <w:rsid w:val="00301C1E"/>
    <w:rsid w:val="00303790"/>
    <w:rsid w:val="00315824"/>
    <w:rsid w:val="00316840"/>
    <w:rsid w:val="003208E0"/>
    <w:rsid w:val="00323673"/>
    <w:rsid w:val="00323F57"/>
    <w:rsid w:val="003452CF"/>
    <w:rsid w:val="00351414"/>
    <w:rsid w:val="00356E21"/>
    <w:rsid w:val="00360B79"/>
    <w:rsid w:val="00363CD5"/>
    <w:rsid w:val="0037212B"/>
    <w:rsid w:val="003753BE"/>
    <w:rsid w:val="00380535"/>
    <w:rsid w:val="00382C55"/>
    <w:rsid w:val="00384928"/>
    <w:rsid w:val="00390CD2"/>
    <w:rsid w:val="00394A1A"/>
    <w:rsid w:val="003A5AF5"/>
    <w:rsid w:val="003C3044"/>
    <w:rsid w:val="003C33F7"/>
    <w:rsid w:val="003D1B06"/>
    <w:rsid w:val="003D2B1C"/>
    <w:rsid w:val="003D39DC"/>
    <w:rsid w:val="003E2361"/>
    <w:rsid w:val="003E6B66"/>
    <w:rsid w:val="003F5DFC"/>
    <w:rsid w:val="003F697E"/>
    <w:rsid w:val="00401B2A"/>
    <w:rsid w:val="00401EFD"/>
    <w:rsid w:val="004073C8"/>
    <w:rsid w:val="00415753"/>
    <w:rsid w:val="00425E5C"/>
    <w:rsid w:val="0042649C"/>
    <w:rsid w:val="00440C1F"/>
    <w:rsid w:val="00442182"/>
    <w:rsid w:val="0045270D"/>
    <w:rsid w:val="0045351F"/>
    <w:rsid w:val="004538E7"/>
    <w:rsid w:val="004600CE"/>
    <w:rsid w:val="004703BA"/>
    <w:rsid w:val="00472D78"/>
    <w:rsid w:val="00473922"/>
    <w:rsid w:val="004814E5"/>
    <w:rsid w:val="00482784"/>
    <w:rsid w:val="004840B8"/>
    <w:rsid w:val="004861BA"/>
    <w:rsid w:val="00493306"/>
    <w:rsid w:val="004971D9"/>
    <w:rsid w:val="004B1163"/>
    <w:rsid w:val="004B27EB"/>
    <w:rsid w:val="004D310D"/>
    <w:rsid w:val="004D45DE"/>
    <w:rsid w:val="004D575A"/>
    <w:rsid w:val="004E0352"/>
    <w:rsid w:val="004E0B0F"/>
    <w:rsid w:val="004E1DE9"/>
    <w:rsid w:val="00504B9A"/>
    <w:rsid w:val="005050D3"/>
    <w:rsid w:val="00505C67"/>
    <w:rsid w:val="005070BB"/>
    <w:rsid w:val="00507B43"/>
    <w:rsid w:val="00507B69"/>
    <w:rsid w:val="00510B1E"/>
    <w:rsid w:val="005111C7"/>
    <w:rsid w:val="00512FC0"/>
    <w:rsid w:val="00514F97"/>
    <w:rsid w:val="0051597D"/>
    <w:rsid w:val="00530E75"/>
    <w:rsid w:val="00531F59"/>
    <w:rsid w:val="0054072B"/>
    <w:rsid w:val="005445B6"/>
    <w:rsid w:val="00552F54"/>
    <w:rsid w:val="00555650"/>
    <w:rsid w:val="00562D51"/>
    <w:rsid w:val="005632B5"/>
    <w:rsid w:val="005640F6"/>
    <w:rsid w:val="00565A11"/>
    <w:rsid w:val="00565F70"/>
    <w:rsid w:val="00566B12"/>
    <w:rsid w:val="00567828"/>
    <w:rsid w:val="00574130"/>
    <w:rsid w:val="0057534A"/>
    <w:rsid w:val="005755BD"/>
    <w:rsid w:val="005A38A2"/>
    <w:rsid w:val="005C2912"/>
    <w:rsid w:val="005C5207"/>
    <w:rsid w:val="005D3742"/>
    <w:rsid w:val="005D5034"/>
    <w:rsid w:val="005D5C89"/>
    <w:rsid w:val="005D68D7"/>
    <w:rsid w:val="005E2BF1"/>
    <w:rsid w:val="005E33C9"/>
    <w:rsid w:val="005E4B24"/>
    <w:rsid w:val="005F0608"/>
    <w:rsid w:val="005F0D93"/>
    <w:rsid w:val="00605253"/>
    <w:rsid w:val="00607D65"/>
    <w:rsid w:val="00613E8C"/>
    <w:rsid w:val="0062077F"/>
    <w:rsid w:val="00621DD1"/>
    <w:rsid w:val="00623D43"/>
    <w:rsid w:val="00631E3E"/>
    <w:rsid w:val="00634890"/>
    <w:rsid w:val="00634AC5"/>
    <w:rsid w:val="0064109C"/>
    <w:rsid w:val="00642296"/>
    <w:rsid w:val="00661B65"/>
    <w:rsid w:val="00662B73"/>
    <w:rsid w:val="00663AF3"/>
    <w:rsid w:val="006802BF"/>
    <w:rsid w:val="00685B0C"/>
    <w:rsid w:val="00690884"/>
    <w:rsid w:val="006A2D63"/>
    <w:rsid w:val="006B0BC4"/>
    <w:rsid w:val="006B7AEE"/>
    <w:rsid w:val="006C33BD"/>
    <w:rsid w:val="006C4036"/>
    <w:rsid w:val="006C5DBC"/>
    <w:rsid w:val="006D295D"/>
    <w:rsid w:val="006D2FE9"/>
    <w:rsid w:val="006D4840"/>
    <w:rsid w:val="006D53AF"/>
    <w:rsid w:val="006D72EB"/>
    <w:rsid w:val="006E0718"/>
    <w:rsid w:val="006E5F8D"/>
    <w:rsid w:val="006F3835"/>
    <w:rsid w:val="006F7827"/>
    <w:rsid w:val="006F7C6E"/>
    <w:rsid w:val="007036F4"/>
    <w:rsid w:val="00704A65"/>
    <w:rsid w:val="00707B8E"/>
    <w:rsid w:val="007144DE"/>
    <w:rsid w:val="00725AB9"/>
    <w:rsid w:val="0072604D"/>
    <w:rsid w:val="00727D90"/>
    <w:rsid w:val="00734691"/>
    <w:rsid w:val="0073546D"/>
    <w:rsid w:val="00746171"/>
    <w:rsid w:val="00751691"/>
    <w:rsid w:val="0075309E"/>
    <w:rsid w:val="007638C1"/>
    <w:rsid w:val="00767120"/>
    <w:rsid w:val="00767A81"/>
    <w:rsid w:val="00771BD4"/>
    <w:rsid w:val="007763BB"/>
    <w:rsid w:val="00781DF4"/>
    <w:rsid w:val="0078452C"/>
    <w:rsid w:val="00787D09"/>
    <w:rsid w:val="00795BC8"/>
    <w:rsid w:val="007B1B40"/>
    <w:rsid w:val="007B1B4E"/>
    <w:rsid w:val="007B77D7"/>
    <w:rsid w:val="007B7FBA"/>
    <w:rsid w:val="007D30F6"/>
    <w:rsid w:val="007D7A02"/>
    <w:rsid w:val="007E0261"/>
    <w:rsid w:val="007E1B14"/>
    <w:rsid w:val="007E3FC8"/>
    <w:rsid w:val="007F1537"/>
    <w:rsid w:val="00802465"/>
    <w:rsid w:val="00802D75"/>
    <w:rsid w:val="0081453E"/>
    <w:rsid w:val="00816526"/>
    <w:rsid w:val="00820E0A"/>
    <w:rsid w:val="00822732"/>
    <w:rsid w:val="0083120B"/>
    <w:rsid w:val="008332BF"/>
    <w:rsid w:val="00833D67"/>
    <w:rsid w:val="00835CA1"/>
    <w:rsid w:val="00836174"/>
    <w:rsid w:val="0084363D"/>
    <w:rsid w:val="00851CD6"/>
    <w:rsid w:val="00852CD0"/>
    <w:rsid w:val="008570B0"/>
    <w:rsid w:val="008641F1"/>
    <w:rsid w:val="008643D0"/>
    <w:rsid w:val="00865224"/>
    <w:rsid w:val="008745E9"/>
    <w:rsid w:val="00896D06"/>
    <w:rsid w:val="008B114C"/>
    <w:rsid w:val="008B3E8D"/>
    <w:rsid w:val="008C113C"/>
    <w:rsid w:val="008C5B89"/>
    <w:rsid w:val="008D255F"/>
    <w:rsid w:val="008E0C57"/>
    <w:rsid w:val="008E196E"/>
    <w:rsid w:val="008E4405"/>
    <w:rsid w:val="008E7B21"/>
    <w:rsid w:val="008F0BB8"/>
    <w:rsid w:val="008F7266"/>
    <w:rsid w:val="00911AA8"/>
    <w:rsid w:val="00913571"/>
    <w:rsid w:val="00920264"/>
    <w:rsid w:val="00922521"/>
    <w:rsid w:val="009242A9"/>
    <w:rsid w:val="009244A1"/>
    <w:rsid w:val="00931DD4"/>
    <w:rsid w:val="00932A9D"/>
    <w:rsid w:val="00935159"/>
    <w:rsid w:val="00935DF8"/>
    <w:rsid w:val="0093677B"/>
    <w:rsid w:val="00941C7E"/>
    <w:rsid w:val="00945781"/>
    <w:rsid w:val="0095395B"/>
    <w:rsid w:val="00961574"/>
    <w:rsid w:val="00962BD3"/>
    <w:rsid w:val="00967398"/>
    <w:rsid w:val="009677F7"/>
    <w:rsid w:val="00971836"/>
    <w:rsid w:val="00983ABA"/>
    <w:rsid w:val="00986FE3"/>
    <w:rsid w:val="00990B82"/>
    <w:rsid w:val="0099125A"/>
    <w:rsid w:val="00995625"/>
    <w:rsid w:val="00995D34"/>
    <w:rsid w:val="009A0405"/>
    <w:rsid w:val="009B21E1"/>
    <w:rsid w:val="009B5AB9"/>
    <w:rsid w:val="009B7A2B"/>
    <w:rsid w:val="009C4708"/>
    <w:rsid w:val="009C49B8"/>
    <w:rsid w:val="009D1D2E"/>
    <w:rsid w:val="009D5006"/>
    <w:rsid w:val="009D6159"/>
    <w:rsid w:val="009E1EDF"/>
    <w:rsid w:val="009E354E"/>
    <w:rsid w:val="009E4993"/>
    <w:rsid w:val="009F2A73"/>
    <w:rsid w:val="009F5A99"/>
    <w:rsid w:val="00A065A9"/>
    <w:rsid w:val="00A16792"/>
    <w:rsid w:val="00A304C9"/>
    <w:rsid w:val="00A32112"/>
    <w:rsid w:val="00A41035"/>
    <w:rsid w:val="00A432EC"/>
    <w:rsid w:val="00A548A0"/>
    <w:rsid w:val="00A607EA"/>
    <w:rsid w:val="00A640EA"/>
    <w:rsid w:val="00A65934"/>
    <w:rsid w:val="00A71B58"/>
    <w:rsid w:val="00A77946"/>
    <w:rsid w:val="00A805C7"/>
    <w:rsid w:val="00A84B92"/>
    <w:rsid w:val="00A859AC"/>
    <w:rsid w:val="00A968FB"/>
    <w:rsid w:val="00AA00DD"/>
    <w:rsid w:val="00AA0B36"/>
    <w:rsid w:val="00AC66D5"/>
    <w:rsid w:val="00AD032B"/>
    <w:rsid w:val="00AD2452"/>
    <w:rsid w:val="00AD389E"/>
    <w:rsid w:val="00AD3B0A"/>
    <w:rsid w:val="00AD47A1"/>
    <w:rsid w:val="00AD6181"/>
    <w:rsid w:val="00AD66BF"/>
    <w:rsid w:val="00AD7B4B"/>
    <w:rsid w:val="00AE5AC9"/>
    <w:rsid w:val="00AF343F"/>
    <w:rsid w:val="00B00840"/>
    <w:rsid w:val="00B02676"/>
    <w:rsid w:val="00B02D07"/>
    <w:rsid w:val="00B03F48"/>
    <w:rsid w:val="00B073A3"/>
    <w:rsid w:val="00B07EC8"/>
    <w:rsid w:val="00B134B8"/>
    <w:rsid w:val="00B13DC3"/>
    <w:rsid w:val="00B2176E"/>
    <w:rsid w:val="00B21883"/>
    <w:rsid w:val="00B23E41"/>
    <w:rsid w:val="00B24619"/>
    <w:rsid w:val="00B34EE8"/>
    <w:rsid w:val="00B40066"/>
    <w:rsid w:val="00B41074"/>
    <w:rsid w:val="00B41628"/>
    <w:rsid w:val="00B43CFC"/>
    <w:rsid w:val="00B47B38"/>
    <w:rsid w:val="00B53285"/>
    <w:rsid w:val="00B5517A"/>
    <w:rsid w:val="00B60436"/>
    <w:rsid w:val="00B65304"/>
    <w:rsid w:val="00B830C0"/>
    <w:rsid w:val="00B9023E"/>
    <w:rsid w:val="00B90C2A"/>
    <w:rsid w:val="00BA2675"/>
    <w:rsid w:val="00BA56BA"/>
    <w:rsid w:val="00BB3E0B"/>
    <w:rsid w:val="00BC38CD"/>
    <w:rsid w:val="00BC5F1F"/>
    <w:rsid w:val="00BC64A5"/>
    <w:rsid w:val="00BD24A8"/>
    <w:rsid w:val="00BD63E0"/>
    <w:rsid w:val="00BD7781"/>
    <w:rsid w:val="00BE0624"/>
    <w:rsid w:val="00BE0F4A"/>
    <w:rsid w:val="00BE72C9"/>
    <w:rsid w:val="00C102CD"/>
    <w:rsid w:val="00C208F5"/>
    <w:rsid w:val="00C243EA"/>
    <w:rsid w:val="00C359C1"/>
    <w:rsid w:val="00C424F0"/>
    <w:rsid w:val="00C50298"/>
    <w:rsid w:val="00C5539B"/>
    <w:rsid w:val="00C651F8"/>
    <w:rsid w:val="00C7635C"/>
    <w:rsid w:val="00C80DFB"/>
    <w:rsid w:val="00C83AD3"/>
    <w:rsid w:val="00CA113F"/>
    <w:rsid w:val="00CB4017"/>
    <w:rsid w:val="00CB6690"/>
    <w:rsid w:val="00CC30E8"/>
    <w:rsid w:val="00CE099F"/>
    <w:rsid w:val="00CE53DB"/>
    <w:rsid w:val="00CE6B07"/>
    <w:rsid w:val="00CF3DF7"/>
    <w:rsid w:val="00D06702"/>
    <w:rsid w:val="00D121EE"/>
    <w:rsid w:val="00D1743A"/>
    <w:rsid w:val="00D25BDD"/>
    <w:rsid w:val="00D272A6"/>
    <w:rsid w:val="00D27B56"/>
    <w:rsid w:val="00D331A3"/>
    <w:rsid w:val="00D3684E"/>
    <w:rsid w:val="00D37D0B"/>
    <w:rsid w:val="00D447D2"/>
    <w:rsid w:val="00D44C82"/>
    <w:rsid w:val="00D45969"/>
    <w:rsid w:val="00D459AB"/>
    <w:rsid w:val="00D60E7D"/>
    <w:rsid w:val="00D6131D"/>
    <w:rsid w:val="00D61449"/>
    <w:rsid w:val="00D6352A"/>
    <w:rsid w:val="00D63929"/>
    <w:rsid w:val="00D65376"/>
    <w:rsid w:val="00D66DA2"/>
    <w:rsid w:val="00D6750F"/>
    <w:rsid w:val="00D74FE0"/>
    <w:rsid w:val="00D7646D"/>
    <w:rsid w:val="00D930A0"/>
    <w:rsid w:val="00DB05C1"/>
    <w:rsid w:val="00DB3649"/>
    <w:rsid w:val="00DB427E"/>
    <w:rsid w:val="00DD4605"/>
    <w:rsid w:val="00DF0B4E"/>
    <w:rsid w:val="00E00AE8"/>
    <w:rsid w:val="00E06EF5"/>
    <w:rsid w:val="00E07853"/>
    <w:rsid w:val="00E119DE"/>
    <w:rsid w:val="00E1372D"/>
    <w:rsid w:val="00E17FAE"/>
    <w:rsid w:val="00E20109"/>
    <w:rsid w:val="00E25382"/>
    <w:rsid w:val="00E2643A"/>
    <w:rsid w:val="00E3268E"/>
    <w:rsid w:val="00E43BD0"/>
    <w:rsid w:val="00E44F2A"/>
    <w:rsid w:val="00E4750B"/>
    <w:rsid w:val="00E478B9"/>
    <w:rsid w:val="00E523CC"/>
    <w:rsid w:val="00E54EAC"/>
    <w:rsid w:val="00E57564"/>
    <w:rsid w:val="00E602FF"/>
    <w:rsid w:val="00E674F0"/>
    <w:rsid w:val="00E73547"/>
    <w:rsid w:val="00E7639F"/>
    <w:rsid w:val="00E84277"/>
    <w:rsid w:val="00E84E6B"/>
    <w:rsid w:val="00E8559D"/>
    <w:rsid w:val="00E85EC6"/>
    <w:rsid w:val="00E8610D"/>
    <w:rsid w:val="00E876EB"/>
    <w:rsid w:val="00E90BCB"/>
    <w:rsid w:val="00E90DDE"/>
    <w:rsid w:val="00E95324"/>
    <w:rsid w:val="00EA22B1"/>
    <w:rsid w:val="00EA4DE6"/>
    <w:rsid w:val="00EA6F57"/>
    <w:rsid w:val="00EB0020"/>
    <w:rsid w:val="00EB6EF4"/>
    <w:rsid w:val="00EC420E"/>
    <w:rsid w:val="00EC5367"/>
    <w:rsid w:val="00ED28D6"/>
    <w:rsid w:val="00ED2A36"/>
    <w:rsid w:val="00ED7B31"/>
    <w:rsid w:val="00EE572D"/>
    <w:rsid w:val="00EE6245"/>
    <w:rsid w:val="00EE78FC"/>
    <w:rsid w:val="00EF0FFC"/>
    <w:rsid w:val="00EF1DB7"/>
    <w:rsid w:val="00EF5918"/>
    <w:rsid w:val="00F05BB9"/>
    <w:rsid w:val="00F12A6D"/>
    <w:rsid w:val="00F133C2"/>
    <w:rsid w:val="00F14A99"/>
    <w:rsid w:val="00F2577D"/>
    <w:rsid w:val="00F2612B"/>
    <w:rsid w:val="00F303EC"/>
    <w:rsid w:val="00F43029"/>
    <w:rsid w:val="00F44AA8"/>
    <w:rsid w:val="00F52792"/>
    <w:rsid w:val="00F53931"/>
    <w:rsid w:val="00F57564"/>
    <w:rsid w:val="00F7421C"/>
    <w:rsid w:val="00F80821"/>
    <w:rsid w:val="00F90ED4"/>
    <w:rsid w:val="00F926F1"/>
    <w:rsid w:val="00F934D4"/>
    <w:rsid w:val="00F94F2C"/>
    <w:rsid w:val="00FA0B93"/>
    <w:rsid w:val="00FB1515"/>
    <w:rsid w:val="00FB5DD0"/>
    <w:rsid w:val="00FC5E84"/>
    <w:rsid w:val="00FE144B"/>
    <w:rsid w:val="00FE71E3"/>
    <w:rsid w:val="00FE744B"/>
    <w:rsid w:val="00FE78A8"/>
    <w:rsid w:val="00FF374A"/>
    <w:rsid w:val="00FF5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A76ECE-3608-4000-AFE9-0D7710326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784"/>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784"/>
    <w:pPr>
      <w:ind w:left="720"/>
      <w:contextualSpacing/>
    </w:pPr>
  </w:style>
  <w:style w:type="paragraph" w:styleId="Header">
    <w:name w:val="header"/>
    <w:basedOn w:val="Normal"/>
    <w:link w:val="HeaderChar"/>
    <w:uiPriority w:val="99"/>
    <w:unhideWhenUsed/>
    <w:rsid w:val="004827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2784"/>
    <w:rPr>
      <w:lang w:val="en-ZW"/>
    </w:rPr>
  </w:style>
  <w:style w:type="paragraph" w:styleId="Footer">
    <w:name w:val="footer"/>
    <w:basedOn w:val="Normal"/>
    <w:link w:val="FooterChar"/>
    <w:uiPriority w:val="99"/>
    <w:unhideWhenUsed/>
    <w:rsid w:val="004827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2784"/>
    <w:rPr>
      <w:lang w:val="en-ZW"/>
    </w:rPr>
  </w:style>
  <w:style w:type="paragraph" w:styleId="BalloonText">
    <w:name w:val="Balloon Text"/>
    <w:basedOn w:val="Normal"/>
    <w:link w:val="BalloonTextChar"/>
    <w:uiPriority w:val="99"/>
    <w:semiHidden/>
    <w:unhideWhenUsed/>
    <w:rsid w:val="00394A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A1A"/>
    <w:rPr>
      <w:rFonts w:ascii="Segoe UI" w:hAnsi="Segoe UI" w:cs="Segoe UI"/>
      <w:sz w:val="18"/>
      <w:szCs w:val="18"/>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8B8B2-8091-4797-984B-091917020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3581</Words>
  <Characters>20415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Sandra</cp:lastModifiedBy>
  <cp:revision>2</cp:revision>
  <cp:lastPrinted>2020-11-13T09:25:00Z</cp:lastPrinted>
  <dcterms:created xsi:type="dcterms:W3CDTF">2021-06-03T09:23:00Z</dcterms:created>
  <dcterms:modified xsi:type="dcterms:W3CDTF">2021-06-03T09:23:00Z</dcterms:modified>
</cp:coreProperties>
</file>