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1DB13" w14:textId="77777777" w:rsidR="00983AD3" w:rsidRPr="00DF36AC" w:rsidRDefault="00983AD3">
      <w:pPr>
        <w:rPr>
          <w:b/>
          <w:u w:val="single"/>
        </w:rPr>
      </w:pPr>
      <w:r w:rsidRPr="00DF36AC">
        <w:rPr>
          <w:b/>
          <w:u w:val="single"/>
        </w:rPr>
        <w:t>EX TEMPORE</w:t>
      </w:r>
    </w:p>
    <w:p w14:paraId="28AE15D6" w14:textId="77777777" w:rsidR="00DB2839" w:rsidRPr="00DF36AC" w:rsidRDefault="00DB2839"/>
    <w:p w14:paraId="3988737B" w14:textId="77777777" w:rsidR="001246D0" w:rsidRPr="00DF36AC" w:rsidRDefault="001246D0"/>
    <w:p w14:paraId="42C30D20" w14:textId="77777777" w:rsidR="00DB2839" w:rsidRPr="00DF36AC" w:rsidRDefault="00DB2839"/>
    <w:p w14:paraId="4FDB5D7D" w14:textId="77777777" w:rsidR="00DB2839" w:rsidRPr="00DF36AC" w:rsidRDefault="00983AD3" w:rsidP="00DB2839">
      <w:pPr>
        <w:jc w:val="center"/>
        <w:rPr>
          <w:b/>
        </w:rPr>
      </w:pPr>
      <w:r w:rsidRPr="00DF36AC">
        <w:rPr>
          <w:b/>
        </w:rPr>
        <w:t>ELPHAS</w:t>
      </w:r>
      <w:r w:rsidR="00DF36AC" w:rsidRPr="00DF36AC">
        <w:rPr>
          <w:b/>
        </w:rPr>
        <w:t xml:space="preserve">    </w:t>
      </w:r>
      <w:r w:rsidRPr="00DF36AC">
        <w:rPr>
          <w:b/>
        </w:rPr>
        <w:t xml:space="preserve"> MAVUNE </w:t>
      </w:r>
      <w:r w:rsidR="00DF36AC" w:rsidRPr="00DF36AC">
        <w:rPr>
          <w:b/>
        </w:rPr>
        <w:t xml:space="preserve">    </w:t>
      </w:r>
      <w:r w:rsidRPr="00DF36AC">
        <w:rPr>
          <w:b/>
        </w:rPr>
        <w:t xml:space="preserve">MAPHISA </w:t>
      </w:r>
    </w:p>
    <w:p w14:paraId="2D9E6E96" w14:textId="77777777" w:rsidR="00383032" w:rsidRPr="00DF36AC" w:rsidRDefault="00383032" w:rsidP="00DB2839">
      <w:pPr>
        <w:jc w:val="center"/>
        <w:rPr>
          <w:b/>
        </w:rPr>
      </w:pPr>
      <w:r w:rsidRPr="00DF36AC">
        <w:rPr>
          <w:b/>
        </w:rPr>
        <w:t>v</w:t>
      </w:r>
    </w:p>
    <w:p w14:paraId="320532BB" w14:textId="77777777" w:rsidR="00383032" w:rsidRPr="00DF36AC" w:rsidRDefault="00983AD3" w:rsidP="00DB2839">
      <w:pPr>
        <w:jc w:val="center"/>
        <w:rPr>
          <w:b/>
        </w:rPr>
      </w:pPr>
      <w:r w:rsidRPr="00DF36AC">
        <w:rPr>
          <w:b/>
        </w:rPr>
        <w:t>BULAWAYO</w:t>
      </w:r>
      <w:r w:rsidR="00DF36AC" w:rsidRPr="00DF36AC">
        <w:rPr>
          <w:b/>
        </w:rPr>
        <w:t xml:space="preserve">    </w:t>
      </w:r>
      <w:r w:rsidRPr="00DF36AC">
        <w:rPr>
          <w:b/>
        </w:rPr>
        <w:t xml:space="preserve"> MUNICIPAL</w:t>
      </w:r>
      <w:r w:rsidR="00DF36AC" w:rsidRPr="00DF36AC">
        <w:rPr>
          <w:b/>
        </w:rPr>
        <w:t xml:space="preserve">    </w:t>
      </w:r>
      <w:r w:rsidRPr="00DF36AC">
        <w:rPr>
          <w:b/>
        </w:rPr>
        <w:t xml:space="preserve"> COMMERCIAL </w:t>
      </w:r>
      <w:r w:rsidR="00DF36AC" w:rsidRPr="00DF36AC">
        <w:rPr>
          <w:b/>
        </w:rPr>
        <w:t xml:space="preserve">    </w:t>
      </w:r>
      <w:r w:rsidRPr="00DF36AC">
        <w:rPr>
          <w:b/>
        </w:rPr>
        <w:t>UNDERTAKING</w:t>
      </w:r>
    </w:p>
    <w:p w14:paraId="0C77F94B" w14:textId="77777777" w:rsidR="00983AD3" w:rsidRPr="00DF36AC" w:rsidRDefault="005E07F4" w:rsidP="00DF36AC">
      <w:pPr>
        <w:jc w:val="center"/>
        <w:rPr>
          <w:b/>
        </w:rPr>
      </w:pPr>
      <w:r w:rsidRPr="00DF36AC">
        <w:rPr>
          <w:b/>
        </w:rPr>
        <w:t xml:space="preserve">GORDON </w:t>
      </w:r>
      <w:r w:rsidR="00DF36AC" w:rsidRPr="00DF36AC">
        <w:rPr>
          <w:b/>
        </w:rPr>
        <w:t xml:space="preserve">    </w:t>
      </w:r>
      <w:r w:rsidRPr="00DF36AC">
        <w:rPr>
          <w:b/>
        </w:rPr>
        <w:t>GEDDES</w:t>
      </w:r>
    </w:p>
    <w:p w14:paraId="71A35F0D" w14:textId="77777777" w:rsidR="006E0951" w:rsidRPr="00DF36AC" w:rsidRDefault="006E0951" w:rsidP="006E0951">
      <w:pPr>
        <w:jc w:val="both"/>
        <w:rPr>
          <w:b/>
        </w:rPr>
      </w:pPr>
    </w:p>
    <w:p w14:paraId="23826764" w14:textId="77777777" w:rsidR="00E404FC" w:rsidRPr="00DF36AC" w:rsidRDefault="00E404FC" w:rsidP="006E0951">
      <w:pPr>
        <w:jc w:val="both"/>
        <w:rPr>
          <w:b/>
        </w:rPr>
      </w:pPr>
    </w:p>
    <w:p w14:paraId="5CC52FEF" w14:textId="77777777" w:rsidR="00DF36AC" w:rsidRPr="00DF36AC" w:rsidRDefault="00DF36AC" w:rsidP="006E0951">
      <w:pPr>
        <w:jc w:val="both"/>
        <w:rPr>
          <w:b/>
        </w:rPr>
      </w:pPr>
    </w:p>
    <w:p w14:paraId="13CCBE0A" w14:textId="77777777" w:rsidR="00E404FC" w:rsidRPr="00DF36AC" w:rsidRDefault="00E404FC" w:rsidP="006E0951">
      <w:pPr>
        <w:jc w:val="both"/>
        <w:rPr>
          <w:b/>
        </w:rPr>
      </w:pPr>
      <w:r w:rsidRPr="00DF36AC">
        <w:rPr>
          <w:b/>
        </w:rPr>
        <w:t xml:space="preserve">SUPREME COURT OF </w:t>
      </w:r>
      <w:smartTag w:uri="urn:schemas-microsoft-com:office:smarttags" w:element="country-region">
        <w:smartTag w:uri="urn:schemas-microsoft-com:office:smarttags" w:element="place">
          <w:r w:rsidRPr="00DF36AC">
            <w:rPr>
              <w:b/>
            </w:rPr>
            <w:t>ZIMBABWE</w:t>
          </w:r>
        </w:smartTag>
      </w:smartTag>
    </w:p>
    <w:p w14:paraId="30A353C9" w14:textId="77777777" w:rsidR="00E404FC" w:rsidRPr="00DF36AC" w:rsidRDefault="007830E4" w:rsidP="006E0951">
      <w:pPr>
        <w:jc w:val="both"/>
        <w:rPr>
          <w:b/>
        </w:rPr>
      </w:pPr>
      <w:r w:rsidRPr="00DF36AC">
        <w:rPr>
          <w:b/>
        </w:rPr>
        <w:t>GOWORA JA, PATEL JA &amp; ZIYAMBI AJA</w:t>
      </w:r>
    </w:p>
    <w:p w14:paraId="04D20ACF" w14:textId="77777777" w:rsidR="00AF48D9" w:rsidRPr="00DF36AC" w:rsidRDefault="007830E4" w:rsidP="006E0951">
      <w:pPr>
        <w:jc w:val="both"/>
      </w:pPr>
      <w:r w:rsidRPr="00DF36AC">
        <w:rPr>
          <w:b/>
        </w:rPr>
        <w:t>BULAWAYO</w:t>
      </w:r>
      <w:r w:rsidR="00AF48D9" w:rsidRPr="00DF36AC">
        <w:rPr>
          <w:b/>
        </w:rPr>
        <w:t xml:space="preserve">, </w:t>
      </w:r>
      <w:r w:rsidRPr="00DF36AC">
        <w:rPr>
          <w:b/>
        </w:rPr>
        <w:t>27 NOVEMBER 2017</w:t>
      </w:r>
    </w:p>
    <w:p w14:paraId="08F550F0" w14:textId="77777777" w:rsidR="008E3E30" w:rsidRPr="00DF36AC" w:rsidRDefault="008E3E30" w:rsidP="00412229">
      <w:pPr>
        <w:spacing w:line="360" w:lineRule="auto"/>
        <w:jc w:val="both"/>
      </w:pPr>
    </w:p>
    <w:p w14:paraId="462EC155" w14:textId="77777777" w:rsidR="00B763ED" w:rsidRPr="00DF36AC" w:rsidRDefault="00B763ED" w:rsidP="00412229">
      <w:pPr>
        <w:spacing w:line="360" w:lineRule="auto"/>
        <w:jc w:val="both"/>
      </w:pPr>
    </w:p>
    <w:p w14:paraId="0ABBB1EC" w14:textId="77777777" w:rsidR="008E3E30" w:rsidRPr="00DF36AC" w:rsidRDefault="00A858A9" w:rsidP="00DF36AC">
      <w:pPr>
        <w:spacing w:line="480" w:lineRule="auto"/>
        <w:jc w:val="both"/>
      </w:pPr>
      <w:r w:rsidRPr="00DF36AC">
        <w:t>T</w:t>
      </w:r>
      <w:r w:rsidR="002D0DAD" w:rsidRPr="00DF36AC">
        <w:t>he appellant</w:t>
      </w:r>
      <w:r w:rsidRPr="00DF36AC">
        <w:t xml:space="preserve"> in person</w:t>
      </w:r>
    </w:p>
    <w:p w14:paraId="5DA56E9E" w14:textId="77777777" w:rsidR="002D0DAD" w:rsidRPr="00DF36AC" w:rsidRDefault="00A858A9" w:rsidP="00DF36AC">
      <w:pPr>
        <w:spacing w:line="480" w:lineRule="auto"/>
        <w:jc w:val="both"/>
      </w:pPr>
      <w:r w:rsidRPr="00DF36AC">
        <w:rPr>
          <w:i/>
        </w:rPr>
        <w:t>L. Nkomo</w:t>
      </w:r>
      <w:r w:rsidR="002D0DAD" w:rsidRPr="00DF36AC">
        <w:t xml:space="preserve">, for the </w:t>
      </w:r>
      <w:r w:rsidR="00DF36AC">
        <w:t>first</w:t>
      </w:r>
      <w:r w:rsidRPr="00DF36AC">
        <w:t xml:space="preserve"> </w:t>
      </w:r>
      <w:r w:rsidR="002D0DAD" w:rsidRPr="00DF36AC">
        <w:t>respondent</w:t>
      </w:r>
    </w:p>
    <w:p w14:paraId="2E9192F8" w14:textId="77777777" w:rsidR="005E07F4" w:rsidRPr="00DF36AC" w:rsidRDefault="005E07F4" w:rsidP="004D7AD8">
      <w:pPr>
        <w:jc w:val="both"/>
      </w:pPr>
      <w:r w:rsidRPr="00DF36AC">
        <w:t xml:space="preserve">No </w:t>
      </w:r>
      <w:r w:rsidR="00DF36AC">
        <w:t>appearance for the second</w:t>
      </w:r>
      <w:r w:rsidRPr="00DF36AC">
        <w:t xml:space="preserve"> respondent</w:t>
      </w:r>
    </w:p>
    <w:p w14:paraId="21BFF954" w14:textId="77777777" w:rsidR="00222F74" w:rsidRPr="00DF36AC" w:rsidRDefault="00222F74" w:rsidP="00412229">
      <w:pPr>
        <w:spacing w:line="360" w:lineRule="auto"/>
        <w:jc w:val="both"/>
      </w:pPr>
    </w:p>
    <w:p w14:paraId="5CCCDF0F" w14:textId="77777777" w:rsidR="00B763ED" w:rsidRPr="00DF36AC" w:rsidRDefault="00B763ED" w:rsidP="00412229">
      <w:pPr>
        <w:spacing w:line="360" w:lineRule="auto"/>
        <w:jc w:val="both"/>
      </w:pPr>
    </w:p>
    <w:p w14:paraId="3A963098" w14:textId="77777777" w:rsidR="004C3897" w:rsidRPr="00DF36AC" w:rsidRDefault="0002331C" w:rsidP="00DF36AC">
      <w:pPr>
        <w:spacing w:line="480" w:lineRule="auto"/>
        <w:jc w:val="both"/>
      </w:pPr>
      <w:r w:rsidRPr="00DF36AC">
        <w:tab/>
      </w:r>
      <w:r w:rsidR="00DF36AC">
        <w:tab/>
      </w:r>
      <w:r w:rsidRPr="00DF36AC">
        <w:rPr>
          <w:b/>
        </w:rPr>
        <w:t xml:space="preserve">PATEL </w:t>
      </w:r>
      <w:r w:rsidR="00F7784D" w:rsidRPr="00DF36AC">
        <w:rPr>
          <w:b/>
        </w:rPr>
        <w:t>JA:</w:t>
      </w:r>
      <w:r w:rsidR="00DF36AC">
        <w:rPr>
          <w:b/>
        </w:rPr>
        <w:tab/>
      </w:r>
      <w:r w:rsidR="00196877" w:rsidRPr="00DF36AC">
        <w:t>This is an appeal against the judgment of the High Court, dated 13 July 2017, dismissing an application for review of the determination of an arbitrator which had dismissed preliminary issues raised b</w:t>
      </w:r>
      <w:r w:rsidR="00F91A07" w:rsidRPr="00DF36AC">
        <w:t>y</w:t>
      </w:r>
      <w:r w:rsidR="00196877" w:rsidRPr="00DF36AC">
        <w:t xml:space="preserve"> the appellant relating, </w:t>
      </w:r>
      <w:r w:rsidR="00196877" w:rsidRPr="00DF36AC">
        <w:rPr>
          <w:i/>
        </w:rPr>
        <w:t>inter alia</w:t>
      </w:r>
      <w:r w:rsidR="00196877" w:rsidRPr="00DF36AC">
        <w:t xml:space="preserve">, to the legal status of the first respondent and its </w:t>
      </w:r>
      <w:bookmarkStart w:id="0" w:name="_GoBack"/>
      <w:bookmarkEnd w:id="0"/>
      <w:r w:rsidR="00196877" w:rsidRPr="00DF36AC">
        <w:t>capacity to enforce a franchise agreement between the parties.</w:t>
      </w:r>
    </w:p>
    <w:p w14:paraId="2ED31182" w14:textId="77777777" w:rsidR="004C3897" w:rsidRPr="00DF36AC" w:rsidRDefault="004C3897" w:rsidP="00DF36AC">
      <w:pPr>
        <w:spacing w:line="480" w:lineRule="auto"/>
        <w:jc w:val="both"/>
      </w:pPr>
    </w:p>
    <w:p w14:paraId="72537D58" w14:textId="77777777" w:rsidR="006C20E0" w:rsidRPr="00DF36AC" w:rsidRDefault="004C3897" w:rsidP="00DF36AC">
      <w:pPr>
        <w:spacing w:line="480" w:lineRule="auto"/>
        <w:jc w:val="both"/>
      </w:pPr>
      <w:r w:rsidRPr="00DF36AC">
        <w:tab/>
      </w:r>
      <w:r w:rsidR="00DF36AC">
        <w:tab/>
      </w:r>
      <w:r w:rsidRPr="00DF36AC">
        <w:t xml:space="preserve">The court </w:t>
      </w:r>
      <w:r w:rsidRPr="00DF36AC">
        <w:rPr>
          <w:i/>
        </w:rPr>
        <w:t>a quo</w:t>
      </w:r>
      <w:r w:rsidRPr="00DF36AC">
        <w:t xml:space="preserve"> found that the appellant had proceeded erroneously by not invoking the procedure prescribed for setting aside arbitral awards under Article 34 of the Model Law scheduled to the Arbitration Act</w:t>
      </w:r>
      <w:r w:rsidR="00A36E32" w:rsidRPr="00DF36AC">
        <w:t xml:space="preserve"> [</w:t>
      </w:r>
      <w:r w:rsidR="00A36E32" w:rsidRPr="00DF36AC">
        <w:rPr>
          <w:i/>
        </w:rPr>
        <w:t xml:space="preserve">Chapter </w:t>
      </w:r>
      <w:r w:rsidR="006A5ECA" w:rsidRPr="00DF36AC">
        <w:rPr>
          <w:i/>
        </w:rPr>
        <w:t>7:15</w:t>
      </w:r>
      <w:r w:rsidR="00A36E32" w:rsidRPr="00DF36AC">
        <w:t>]</w:t>
      </w:r>
      <w:r w:rsidRPr="00DF36AC">
        <w:t xml:space="preserve">. </w:t>
      </w:r>
      <w:r w:rsidR="00F23005" w:rsidRPr="00DF36AC">
        <w:t xml:space="preserve">The court further found that, even if the application had been mounted in terms of </w:t>
      </w:r>
      <w:proofErr w:type="spellStart"/>
      <w:r w:rsidR="00F23005" w:rsidRPr="00DF36AC">
        <w:t>ss</w:t>
      </w:r>
      <w:proofErr w:type="spellEnd"/>
      <w:r w:rsidR="00F23005" w:rsidRPr="00DF36AC">
        <w:rPr>
          <w:b/>
        </w:rPr>
        <w:t xml:space="preserve"> </w:t>
      </w:r>
      <w:r w:rsidR="00F23005" w:rsidRPr="00DF36AC">
        <w:t>26 and 27 of the High Court Act</w:t>
      </w:r>
      <w:r w:rsidR="00A36E32" w:rsidRPr="00DF36AC">
        <w:t xml:space="preserve"> [</w:t>
      </w:r>
      <w:r w:rsidR="00A36E32" w:rsidRPr="00DF36AC">
        <w:rPr>
          <w:i/>
        </w:rPr>
        <w:t xml:space="preserve">Chapter </w:t>
      </w:r>
      <w:r w:rsidR="001246D0" w:rsidRPr="00DF36AC">
        <w:rPr>
          <w:i/>
        </w:rPr>
        <w:t>7:06</w:t>
      </w:r>
      <w:r w:rsidR="00A36E32" w:rsidRPr="00DF36AC">
        <w:t>]</w:t>
      </w:r>
      <w:r w:rsidR="00F23005" w:rsidRPr="00DF36AC">
        <w:t xml:space="preserve">, the appellant had not alleged any valid grounds of review to set aside the </w:t>
      </w:r>
      <w:r w:rsidR="00F23005" w:rsidRPr="00DF36AC">
        <w:lastRenderedPageBreak/>
        <w:t>determination of the arbitrator.</w:t>
      </w:r>
      <w:r w:rsidR="00774B90" w:rsidRPr="00DF36AC">
        <w:t xml:space="preserve"> In our view, we </w:t>
      </w:r>
      <w:r w:rsidR="00F91A07" w:rsidRPr="00DF36AC">
        <w:t xml:space="preserve">entirely </w:t>
      </w:r>
      <w:r w:rsidR="00774B90" w:rsidRPr="00DF36AC">
        <w:t xml:space="preserve">agree with the court </w:t>
      </w:r>
      <w:r w:rsidR="00774B90" w:rsidRPr="00DF36AC">
        <w:rPr>
          <w:i/>
        </w:rPr>
        <w:t>a quo</w:t>
      </w:r>
      <w:r w:rsidR="001F6523" w:rsidRPr="00DF36AC">
        <w:rPr>
          <w:i/>
        </w:rPr>
        <w:t xml:space="preserve"> </w:t>
      </w:r>
      <w:r w:rsidR="00774B90" w:rsidRPr="00DF36AC">
        <w:t xml:space="preserve">that there was no proper review before it. </w:t>
      </w:r>
      <w:r w:rsidR="008F21BC" w:rsidRPr="00DF36AC">
        <w:t xml:space="preserve">We also take the view that the court should have stopped after making those findings and should not have proceeded to deal with the merits of the review application. </w:t>
      </w:r>
    </w:p>
    <w:p w14:paraId="07FC8000" w14:textId="77777777" w:rsidR="006C20E0" w:rsidRPr="00DF36AC" w:rsidRDefault="006C20E0" w:rsidP="00DF36AC">
      <w:pPr>
        <w:spacing w:line="480" w:lineRule="auto"/>
        <w:jc w:val="both"/>
      </w:pPr>
    </w:p>
    <w:p w14:paraId="7CC72A2E" w14:textId="77777777" w:rsidR="00AD0119" w:rsidRPr="00DF36AC" w:rsidRDefault="006C20E0" w:rsidP="00DF36AC">
      <w:pPr>
        <w:spacing w:line="480" w:lineRule="auto"/>
        <w:jc w:val="both"/>
      </w:pPr>
      <w:r w:rsidRPr="00DF36AC">
        <w:tab/>
      </w:r>
      <w:r w:rsidR="00DF36AC">
        <w:tab/>
      </w:r>
      <w:r w:rsidR="0027788D" w:rsidRPr="00DF36AC">
        <w:t xml:space="preserve">We note that the appeal herein is stated to be against the whole judgment of the High Court. </w:t>
      </w:r>
      <w:r w:rsidR="009076DF" w:rsidRPr="00DF36AC">
        <w:t xml:space="preserve"> However, the grounds of appeal set out in the notice of appeal are confined to the merits of the arbitrator’s determination on the preliminary issues. </w:t>
      </w:r>
      <w:r w:rsidR="00A02B15" w:rsidRPr="00DF36AC">
        <w:t xml:space="preserve">They do not in any way impugn the main findings of the court relating to its powers of review and the impropriety of the purported review application before it. </w:t>
      </w:r>
    </w:p>
    <w:p w14:paraId="7FAA3106" w14:textId="77777777" w:rsidR="00AD0119" w:rsidRPr="00DF36AC" w:rsidRDefault="00AD0119" w:rsidP="00DF36AC">
      <w:pPr>
        <w:spacing w:line="480" w:lineRule="auto"/>
        <w:jc w:val="both"/>
      </w:pPr>
    </w:p>
    <w:p w14:paraId="3F27BF5F" w14:textId="77777777" w:rsidR="008617CF" w:rsidRPr="00DF36AC" w:rsidRDefault="00AD0119" w:rsidP="00DF36AC">
      <w:pPr>
        <w:spacing w:line="480" w:lineRule="auto"/>
        <w:jc w:val="both"/>
      </w:pPr>
      <w:r w:rsidRPr="00DF36AC">
        <w:tab/>
      </w:r>
      <w:r w:rsidR="00DF36AC">
        <w:tab/>
      </w:r>
      <w:r w:rsidRPr="00DF36AC">
        <w:t xml:space="preserve">We also note that, following the </w:t>
      </w:r>
      <w:r w:rsidR="000C2CCD" w:rsidRPr="00DF36AC">
        <w:t>determination</w:t>
      </w:r>
      <w:r w:rsidRPr="00DF36AC">
        <w:t xml:space="preserve"> of the arbitrator on the preliminary points, the arbitration proceedings were continued with the active participation of the appellant.</w:t>
      </w:r>
      <w:r w:rsidR="00F61996" w:rsidRPr="00DF36AC">
        <w:t xml:space="preserve"> The arbitrator then rendered his final award on 3 December 2015. </w:t>
      </w:r>
      <w:r w:rsidR="00B97437" w:rsidRPr="00DF36AC">
        <w:t xml:space="preserve">Thereafter, the appellant instituted further review proceedings on 24 May 2016 against the final award. </w:t>
      </w:r>
      <w:r w:rsidR="00EC61F1" w:rsidRPr="00DF36AC">
        <w:t xml:space="preserve">These proceedings were also dismissed </w:t>
      </w:r>
      <w:r w:rsidR="004E1D03" w:rsidRPr="00DF36AC">
        <w:t xml:space="preserve">by the High Court </w:t>
      </w:r>
      <w:r w:rsidR="00EC61F1" w:rsidRPr="00DF36AC">
        <w:t>on 27 October 2016</w:t>
      </w:r>
      <w:r w:rsidRPr="00DF36AC">
        <w:t xml:space="preserve"> </w:t>
      </w:r>
      <w:r w:rsidR="00EC61F1" w:rsidRPr="00DF36AC">
        <w:t xml:space="preserve">on the basis that the review was improperly instituted. </w:t>
      </w:r>
      <w:r w:rsidR="007003EA" w:rsidRPr="00DF36AC">
        <w:t>Both the final award</w:t>
      </w:r>
      <w:r w:rsidR="00DF36AC">
        <w:t xml:space="preserve"> of the arbitrator and the judg</w:t>
      </w:r>
      <w:r w:rsidR="007003EA" w:rsidRPr="00DF36AC">
        <w:t xml:space="preserve">ment of the High Court remain extant. </w:t>
      </w:r>
      <w:r w:rsidR="00C56A6B" w:rsidRPr="00DF36AC">
        <w:t xml:space="preserve">As was grudgingly conceded by the appellant, this fact renders the present appeal academic and futile. </w:t>
      </w:r>
    </w:p>
    <w:p w14:paraId="72E573A7" w14:textId="77777777" w:rsidR="008617CF" w:rsidRPr="00DF36AC" w:rsidRDefault="008617CF" w:rsidP="00DF36AC">
      <w:pPr>
        <w:spacing w:line="480" w:lineRule="auto"/>
        <w:jc w:val="both"/>
      </w:pPr>
    </w:p>
    <w:p w14:paraId="6792CD32" w14:textId="77777777" w:rsidR="00B50C8F" w:rsidRPr="00DF36AC" w:rsidRDefault="008617CF" w:rsidP="00DF36AC">
      <w:pPr>
        <w:spacing w:line="480" w:lineRule="auto"/>
        <w:jc w:val="both"/>
      </w:pPr>
      <w:r w:rsidRPr="00DF36AC">
        <w:tab/>
      </w:r>
      <w:r w:rsidR="00DF36AC">
        <w:tab/>
      </w:r>
      <w:r w:rsidRPr="00DF36AC">
        <w:t xml:space="preserve">As regards costs, Mr </w:t>
      </w:r>
      <w:r w:rsidRPr="00DF36AC">
        <w:rPr>
          <w:i/>
        </w:rPr>
        <w:t>Nkomo</w:t>
      </w:r>
      <w:r w:rsidRPr="00DF36AC">
        <w:t xml:space="preserve">, for the first respondent, sought costs on a punitive scale. </w:t>
      </w:r>
      <w:r w:rsidR="00DD4E4D" w:rsidRPr="00DF36AC">
        <w:t xml:space="preserve"> The reasons therefor</w:t>
      </w:r>
      <w:r w:rsidR="00DF36AC">
        <w:t>e</w:t>
      </w:r>
      <w:r w:rsidR="00DD4E4D" w:rsidRPr="00DF36AC">
        <w:t xml:space="preserve"> were that the appellant has yet to relinquish the franchised premises, notwithstanding his contention that the franchise agreement is a </w:t>
      </w:r>
      <w:r w:rsidR="00DD4E4D" w:rsidRPr="00DF36AC">
        <w:lastRenderedPageBreak/>
        <w:t xml:space="preserve">nullity, and that he has obstinately resisted the first respondent’s attempts to repossess the premises. </w:t>
      </w:r>
      <w:r w:rsidR="00483B49" w:rsidRPr="00DF36AC">
        <w:t xml:space="preserve">We agree with Mr </w:t>
      </w:r>
      <w:r w:rsidR="00483B49" w:rsidRPr="00DF36AC">
        <w:rPr>
          <w:i/>
        </w:rPr>
        <w:t>Nkomo</w:t>
      </w:r>
      <w:r w:rsidR="00483B49" w:rsidRPr="00DF36AC">
        <w:t xml:space="preserve"> that the appellant has continually abused court process and still continues to do so. </w:t>
      </w:r>
      <w:r w:rsidR="00742E3C" w:rsidRPr="00DF36AC">
        <w:t xml:space="preserve">It is therefore necessary to make an appropriate award of punitive costs. </w:t>
      </w:r>
    </w:p>
    <w:p w14:paraId="05D6D700" w14:textId="77777777" w:rsidR="00B50C8F" w:rsidRPr="00DF36AC" w:rsidRDefault="00B50C8F" w:rsidP="00DF36AC">
      <w:pPr>
        <w:spacing w:line="480" w:lineRule="auto"/>
        <w:jc w:val="both"/>
      </w:pPr>
    </w:p>
    <w:p w14:paraId="1E02DAB1" w14:textId="77777777" w:rsidR="00222F74" w:rsidRPr="00DF36AC" w:rsidRDefault="00B50C8F" w:rsidP="00DF36AC">
      <w:pPr>
        <w:spacing w:line="480" w:lineRule="auto"/>
        <w:jc w:val="both"/>
      </w:pPr>
      <w:r w:rsidRPr="00DF36AC">
        <w:tab/>
      </w:r>
      <w:r w:rsidR="00DF36AC">
        <w:tab/>
      </w:r>
      <w:r w:rsidRPr="00DF36AC">
        <w:t xml:space="preserve">In the result, it is ordered that the appeal be and is hereby dismissed with costs on a legal practitioner and client scale. </w:t>
      </w:r>
      <w:r w:rsidR="00742E3C" w:rsidRPr="00DF36AC">
        <w:t xml:space="preserve"> </w:t>
      </w:r>
      <w:r w:rsidR="00483B49" w:rsidRPr="00DF36AC">
        <w:t xml:space="preserve"> </w:t>
      </w:r>
      <w:r w:rsidR="00DD4E4D" w:rsidRPr="00DF36AC">
        <w:t xml:space="preserve"> </w:t>
      </w:r>
      <w:r w:rsidR="00AD0119" w:rsidRPr="00DF36AC">
        <w:t xml:space="preserve"> </w:t>
      </w:r>
      <w:r w:rsidR="0002331C" w:rsidRPr="00DF36AC">
        <w:tab/>
      </w:r>
    </w:p>
    <w:p w14:paraId="6E8C7AE9" w14:textId="77777777" w:rsidR="0002331C" w:rsidRDefault="0002331C" w:rsidP="00DF36AC">
      <w:pPr>
        <w:spacing w:line="480" w:lineRule="auto"/>
        <w:jc w:val="both"/>
      </w:pPr>
    </w:p>
    <w:p w14:paraId="1E5428D8" w14:textId="77777777" w:rsidR="00DF36AC" w:rsidRPr="00DF36AC" w:rsidRDefault="00DF36AC" w:rsidP="00DF36AC">
      <w:pPr>
        <w:jc w:val="both"/>
      </w:pPr>
    </w:p>
    <w:p w14:paraId="1DAFA509" w14:textId="77777777" w:rsidR="0050064D" w:rsidRPr="00DF36AC" w:rsidRDefault="00DF36AC" w:rsidP="00DF36AC">
      <w:pPr>
        <w:spacing w:line="480" w:lineRule="auto"/>
        <w:jc w:val="both"/>
      </w:pPr>
      <w:r>
        <w:tab/>
      </w:r>
      <w:r w:rsidR="0050064D" w:rsidRPr="00DF36AC">
        <w:tab/>
      </w:r>
      <w:r w:rsidR="00BF18FF" w:rsidRPr="00DF36AC">
        <w:rPr>
          <w:b/>
        </w:rPr>
        <w:t>GOWORA JA</w:t>
      </w:r>
      <w:r w:rsidR="00E91792" w:rsidRPr="00DF36AC">
        <w:rPr>
          <w:b/>
        </w:rPr>
        <w:t>:</w:t>
      </w:r>
      <w:r w:rsidR="00F47370" w:rsidRPr="00DF36AC">
        <w:tab/>
      </w:r>
      <w:r w:rsidR="00E91792" w:rsidRPr="00DF36AC">
        <w:tab/>
        <w:t>I agree.</w:t>
      </w:r>
    </w:p>
    <w:p w14:paraId="765B1771" w14:textId="77777777" w:rsidR="004A0853" w:rsidRPr="00DF36AC" w:rsidRDefault="004A0853" w:rsidP="00DF36AC">
      <w:pPr>
        <w:spacing w:line="480" w:lineRule="auto"/>
        <w:jc w:val="both"/>
      </w:pPr>
    </w:p>
    <w:p w14:paraId="1F9F4DB4" w14:textId="77777777" w:rsidR="00D46F42" w:rsidRPr="00DF36AC" w:rsidRDefault="00D46F42" w:rsidP="00DF36AC">
      <w:pPr>
        <w:spacing w:line="480" w:lineRule="auto"/>
        <w:jc w:val="both"/>
      </w:pPr>
      <w:r w:rsidRPr="00DF36AC">
        <w:tab/>
      </w:r>
      <w:r w:rsidR="00DF36AC">
        <w:tab/>
      </w:r>
      <w:r w:rsidR="00BF18FF" w:rsidRPr="00DF36AC">
        <w:rPr>
          <w:b/>
        </w:rPr>
        <w:t>ZIYAMBI AJA</w:t>
      </w:r>
      <w:r w:rsidRPr="00DF36AC">
        <w:rPr>
          <w:b/>
        </w:rPr>
        <w:t>:</w:t>
      </w:r>
      <w:r w:rsidR="00F47370" w:rsidRPr="00DF36AC">
        <w:tab/>
      </w:r>
      <w:r w:rsidRPr="00DF36AC">
        <w:tab/>
        <w:t>I agree.</w:t>
      </w:r>
    </w:p>
    <w:p w14:paraId="3D74AB69" w14:textId="77777777" w:rsidR="003F22E9" w:rsidRPr="00DF36AC" w:rsidRDefault="003F22E9" w:rsidP="00DF36AC">
      <w:pPr>
        <w:jc w:val="both"/>
      </w:pPr>
    </w:p>
    <w:p w14:paraId="3FE0BDC0" w14:textId="77777777" w:rsidR="003F22E9" w:rsidRPr="00DF36AC" w:rsidRDefault="003F22E9" w:rsidP="00DF36AC">
      <w:pPr>
        <w:spacing w:line="480" w:lineRule="auto"/>
        <w:jc w:val="both"/>
      </w:pPr>
    </w:p>
    <w:p w14:paraId="2BDC4A17" w14:textId="77777777" w:rsidR="00412229" w:rsidRPr="00DF36AC" w:rsidRDefault="00CC2C28" w:rsidP="00DF36AC">
      <w:pPr>
        <w:spacing w:line="480" w:lineRule="auto"/>
        <w:jc w:val="both"/>
      </w:pPr>
      <w:r w:rsidRPr="00DF36AC">
        <w:rPr>
          <w:i/>
        </w:rPr>
        <w:t>Calderwood</w:t>
      </w:r>
      <w:r w:rsidR="003F22E9" w:rsidRPr="00DF36AC">
        <w:t xml:space="preserve">, </w:t>
      </w:r>
      <w:r w:rsidRPr="00DF36AC">
        <w:rPr>
          <w:i/>
        </w:rPr>
        <w:t xml:space="preserve">Bryce-Hendrie &amp; Partners, </w:t>
      </w:r>
      <w:r w:rsidR="003F22E9" w:rsidRPr="00DF36AC">
        <w:t>1</w:t>
      </w:r>
      <w:r w:rsidR="003F22E9" w:rsidRPr="00DF36AC">
        <w:rPr>
          <w:vertAlign w:val="superscript"/>
        </w:rPr>
        <w:t>st</w:t>
      </w:r>
      <w:r w:rsidR="003F22E9" w:rsidRPr="00DF36AC">
        <w:t xml:space="preserve"> respondent’s legal practitioners</w:t>
      </w:r>
      <w:r w:rsidR="002D1C8B" w:rsidRPr="00DF36AC">
        <w:t xml:space="preserve"> </w:t>
      </w:r>
    </w:p>
    <w:sectPr w:rsidR="00412229" w:rsidRPr="00DF36AC">
      <w:headerReference w:type="even" r:id="rI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E90705" w14:textId="77777777" w:rsidR="005A7225" w:rsidRDefault="005A7225">
      <w:r>
        <w:separator/>
      </w:r>
    </w:p>
  </w:endnote>
  <w:endnote w:type="continuationSeparator" w:id="0">
    <w:p w14:paraId="1BAB7326" w14:textId="77777777" w:rsidR="005A7225" w:rsidRDefault="005A7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88139" w14:textId="77777777" w:rsidR="005A7225" w:rsidRDefault="005A7225">
      <w:r>
        <w:separator/>
      </w:r>
    </w:p>
  </w:footnote>
  <w:footnote w:type="continuationSeparator" w:id="0">
    <w:p w14:paraId="263352C6" w14:textId="77777777" w:rsidR="005A7225" w:rsidRDefault="005A7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13F48" w14:textId="77777777"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F59CCC" w14:textId="77777777" w:rsidR="00412229" w:rsidRDefault="00412229" w:rsidP="007777D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12C46" w14:textId="77777777" w:rsidR="00412229" w:rsidRPr="00272765" w:rsidRDefault="00DF36AC" w:rsidP="00DF36AC">
    <w:pPr>
      <w:pStyle w:val="Header"/>
      <w:jc w:val="center"/>
      <w:rPr>
        <w:rFonts w:ascii="Book Antiqua" w:hAnsi="Book Antiqua"/>
      </w:rPr>
    </w:pPr>
    <w:r w:rsidRPr="00DF36AC">
      <w:rPr>
        <w:rFonts w:ascii="Book Antiqua" w:hAnsi="Book Antiqua"/>
        <w:noProof/>
        <w:lang w:eastAsia="en-GB"/>
      </w:rPr>
      <mc:AlternateContent>
        <mc:Choice Requires="wps">
          <w:drawing>
            <wp:anchor distT="0" distB="0" distL="114300" distR="114300" simplePos="0" relativeHeight="251660288" behindDoc="0" locked="0" layoutInCell="0" allowOverlap="1" wp14:anchorId="0D5D40DB" wp14:editId="4D8DD418">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71589" w14:textId="77777777" w:rsidR="00DF36AC" w:rsidRDefault="00DF36AC" w:rsidP="00DF36AC">
                          <w:pPr>
                            <w:pStyle w:val="Header"/>
                            <w:jc w:val="right"/>
                            <w:rPr>
                              <w:noProof/>
                              <w:sz w:val="20"/>
                              <w:szCs w:val="20"/>
                            </w:rPr>
                          </w:pPr>
                          <w:r>
                            <w:rPr>
                              <w:noProof/>
                              <w:sz w:val="20"/>
                              <w:szCs w:val="20"/>
                            </w:rPr>
                            <w:t>Judgment No. SC 14/18</w:t>
                          </w:r>
                        </w:p>
                        <w:p w14:paraId="2D41E337" w14:textId="77777777" w:rsidR="00DF36AC" w:rsidRDefault="00C17CA7" w:rsidP="00DF36AC">
                          <w:pPr>
                            <w:jc w:val="right"/>
                            <w:rPr>
                              <w:rFonts w:ascii="Book Antiqua" w:hAnsi="Book Antiqua"/>
                            </w:rPr>
                          </w:pPr>
                          <w:r>
                            <w:rPr>
                              <w:noProof/>
                              <w:sz w:val="20"/>
                              <w:szCs w:val="20"/>
                            </w:rPr>
                            <w:t>Civil Appeal</w:t>
                          </w:r>
                          <w:r w:rsidR="00DF36AC">
                            <w:rPr>
                              <w:noProof/>
                              <w:sz w:val="20"/>
                              <w:szCs w:val="20"/>
                            </w:rPr>
                            <w:t xml:space="preserve"> No. SC 524/17</w:t>
                          </w:r>
                        </w:p>
                        <w:p w14:paraId="53B68288" w14:textId="77777777" w:rsidR="00DF36AC" w:rsidRDefault="00DF36AC">
                          <w:pPr>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D5D40DB"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5371589" w14:textId="77777777" w:rsidR="00DF36AC" w:rsidRDefault="00DF36AC" w:rsidP="00DF36AC">
                    <w:pPr>
                      <w:pStyle w:val="Header"/>
                      <w:jc w:val="right"/>
                      <w:rPr>
                        <w:noProof/>
                        <w:sz w:val="20"/>
                        <w:szCs w:val="20"/>
                      </w:rPr>
                    </w:pPr>
                    <w:r>
                      <w:rPr>
                        <w:noProof/>
                        <w:sz w:val="20"/>
                        <w:szCs w:val="20"/>
                      </w:rPr>
                      <w:t>Judgment No. SC 14/18</w:t>
                    </w:r>
                  </w:p>
                  <w:p w14:paraId="2D41E337" w14:textId="77777777" w:rsidR="00DF36AC" w:rsidRDefault="00C17CA7" w:rsidP="00DF36AC">
                    <w:pPr>
                      <w:jc w:val="right"/>
                      <w:rPr>
                        <w:rFonts w:ascii="Book Antiqua" w:hAnsi="Book Antiqua"/>
                      </w:rPr>
                    </w:pPr>
                    <w:r>
                      <w:rPr>
                        <w:noProof/>
                        <w:sz w:val="20"/>
                        <w:szCs w:val="20"/>
                      </w:rPr>
                      <w:t>Civil Appeal</w:t>
                    </w:r>
                    <w:r w:rsidR="00DF36AC">
                      <w:rPr>
                        <w:noProof/>
                        <w:sz w:val="20"/>
                        <w:szCs w:val="20"/>
                      </w:rPr>
                      <w:t xml:space="preserve"> No. SC 524/17</w:t>
                    </w:r>
                  </w:p>
                  <w:p w14:paraId="53B68288" w14:textId="77777777" w:rsidR="00DF36AC" w:rsidRDefault="00DF36AC">
                    <w:pPr>
                      <w:jc w:val="right"/>
                      <w:rPr>
                        <w:noProof/>
                      </w:rPr>
                    </w:pPr>
                  </w:p>
                </w:txbxContent>
              </v:textbox>
              <w10:wrap anchorx="margin" anchory="margin"/>
            </v:shape>
          </w:pict>
        </mc:Fallback>
      </mc:AlternateContent>
    </w:r>
    <w:r w:rsidRPr="00DF36AC">
      <w:rPr>
        <w:rFonts w:ascii="Book Antiqua" w:hAnsi="Book Antiqua"/>
        <w:noProof/>
        <w:lang w:eastAsia="en-GB"/>
      </w:rPr>
      <mc:AlternateContent>
        <mc:Choice Requires="wps">
          <w:drawing>
            <wp:anchor distT="0" distB="0" distL="114300" distR="114300" simplePos="0" relativeHeight="251659264" behindDoc="0" locked="0" layoutInCell="0" allowOverlap="1" wp14:anchorId="550E81F2" wp14:editId="289C09F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B2DE3B0" w14:textId="77777777" w:rsidR="00DF36AC" w:rsidRDefault="00DF36AC">
                          <w:pPr>
                            <w:rPr>
                              <w:color w:val="FFFFFF" w:themeColor="background1"/>
                            </w:rPr>
                          </w:pPr>
                          <w:r>
                            <w:fldChar w:fldCharType="begin"/>
                          </w:r>
                          <w:r>
                            <w:instrText xml:space="preserve"> PAGE   \* MERGEFORMAT </w:instrText>
                          </w:r>
                          <w:r>
                            <w:fldChar w:fldCharType="separate"/>
                          </w:r>
                          <w:r w:rsidR="00622E5F" w:rsidRPr="00622E5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550E81F2"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5B2DE3B0" w14:textId="77777777" w:rsidR="00DF36AC" w:rsidRDefault="00DF36AC">
                    <w:pPr>
                      <w:rPr>
                        <w:color w:val="FFFFFF" w:themeColor="background1"/>
                      </w:rPr>
                    </w:pPr>
                    <w:r>
                      <w:fldChar w:fldCharType="begin"/>
                    </w:r>
                    <w:r>
                      <w:instrText xml:space="preserve"> PAGE   \* MERGEFORMAT </w:instrText>
                    </w:r>
                    <w:r>
                      <w:fldChar w:fldCharType="separate"/>
                    </w:r>
                    <w:r w:rsidR="00622E5F" w:rsidRPr="00622E5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AD3"/>
    <w:rsid w:val="00002850"/>
    <w:rsid w:val="0002331C"/>
    <w:rsid w:val="000731C4"/>
    <w:rsid w:val="000C2CCD"/>
    <w:rsid w:val="00121C25"/>
    <w:rsid w:val="001246D0"/>
    <w:rsid w:val="00135615"/>
    <w:rsid w:val="00141378"/>
    <w:rsid w:val="001436F8"/>
    <w:rsid w:val="0017234F"/>
    <w:rsid w:val="00196877"/>
    <w:rsid w:val="001E245B"/>
    <w:rsid w:val="001F6523"/>
    <w:rsid w:val="001F6C7E"/>
    <w:rsid w:val="00222F74"/>
    <w:rsid w:val="00250283"/>
    <w:rsid w:val="00261FDE"/>
    <w:rsid w:val="00272765"/>
    <w:rsid w:val="00273E40"/>
    <w:rsid w:val="0027788D"/>
    <w:rsid w:val="002A7600"/>
    <w:rsid w:val="002C737A"/>
    <w:rsid w:val="002D0DAD"/>
    <w:rsid w:val="002D1C8B"/>
    <w:rsid w:val="003235C5"/>
    <w:rsid w:val="00383032"/>
    <w:rsid w:val="00386038"/>
    <w:rsid w:val="003B7E4F"/>
    <w:rsid w:val="003E0F83"/>
    <w:rsid w:val="003F22E9"/>
    <w:rsid w:val="00412229"/>
    <w:rsid w:val="00416D42"/>
    <w:rsid w:val="00483B49"/>
    <w:rsid w:val="004847EF"/>
    <w:rsid w:val="004A0853"/>
    <w:rsid w:val="004B026E"/>
    <w:rsid w:val="004C3897"/>
    <w:rsid w:val="004D17B7"/>
    <w:rsid w:val="004D7AD8"/>
    <w:rsid w:val="004E1D03"/>
    <w:rsid w:val="004F020F"/>
    <w:rsid w:val="0050064D"/>
    <w:rsid w:val="005A10B0"/>
    <w:rsid w:val="005A7225"/>
    <w:rsid w:val="005C6D91"/>
    <w:rsid w:val="005D4C93"/>
    <w:rsid w:val="005E07F4"/>
    <w:rsid w:val="005E4C64"/>
    <w:rsid w:val="00622E5F"/>
    <w:rsid w:val="00657433"/>
    <w:rsid w:val="006A5ECA"/>
    <w:rsid w:val="006B7B5C"/>
    <w:rsid w:val="006C20E0"/>
    <w:rsid w:val="006C4E70"/>
    <w:rsid w:val="006E0951"/>
    <w:rsid w:val="006F26A7"/>
    <w:rsid w:val="007003EA"/>
    <w:rsid w:val="00715C31"/>
    <w:rsid w:val="00741128"/>
    <w:rsid w:val="00742E3C"/>
    <w:rsid w:val="007620DD"/>
    <w:rsid w:val="00774B90"/>
    <w:rsid w:val="007777DD"/>
    <w:rsid w:val="007830E4"/>
    <w:rsid w:val="007C203F"/>
    <w:rsid w:val="007C3E96"/>
    <w:rsid w:val="007E3866"/>
    <w:rsid w:val="00815096"/>
    <w:rsid w:val="00837726"/>
    <w:rsid w:val="008617CF"/>
    <w:rsid w:val="008A53DD"/>
    <w:rsid w:val="008E3E30"/>
    <w:rsid w:val="008F21BC"/>
    <w:rsid w:val="009076DF"/>
    <w:rsid w:val="00912E63"/>
    <w:rsid w:val="009570E4"/>
    <w:rsid w:val="00983AD3"/>
    <w:rsid w:val="009C7FA3"/>
    <w:rsid w:val="009D728C"/>
    <w:rsid w:val="00A00250"/>
    <w:rsid w:val="00A02B15"/>
    <w:rsid w:val="00A06897"/>
    <w:rsid w:val="00A36E32"/>
    <w:rsid w:val="00A858A9"/>
    <w:rsid w:val="00AD0119"/>
    <w:rsid w:val="00AF48D9"/>
    <w:rsid w:val="00B15F4D"/>
    <w:rsid w:val="00B30AE0"/>
    <w:rsid w:val="00B50C8F"/>
    <w:rsid w:val="00B52BA6"/>
    <w:rsid w:val="00B74196"/>
    <w:rsid w:val="00B763ED"/>
    <w:rsid w:val="00B7676F"/>
    <w:rsid w:val="00B97437"/>
    <w:rsid w:val="00BF18FF"/>
    <w:rsid w:val="00C076D2"/>
    <w:rsid w:val="00C17CA7"/>
    <w:rsid w:val="00C56A6B"/>
    <w:rsid w:val="00C854F5"/>
    <w:rsid w:val="00CC2C28"/>
    <w:rsid w:val="00D30F0C"/>
    <w:rsid w:val="00D46F42"/>
    <w:rsid w:val="00D60394"/>
    <w:rsid w:val="00D7375A"/>
    <w:rsid w:val="00DB2839"/>
    <w:rsid w:val="00DD4E4D"/>
    <w:rsid w:val="00DF36AC"/>
    <w:rsid w:val="00E404FC"/>
    <w:rsid w:val="00E74FEB"/>
    <w:rsid w:val="00E81D67"/>
    <w:rsid w:val="00E829E0"/>
    <w:rsid w:val="00E91792"/>
    <w:rsid w:val="00EC61F1"/>
    <w:rsid w:val="00F1235E"/>
    <w:rsid w:val="00F20D08"/>
    <w:rsid w:val="00F23005"/>
    <w:rsid w:val="00F47370"/>
    <w:rsid w:val="00F61996"/>
    <w:rsid w:val="00F7784D"/>
    <w:rsid w:val="00F905A6"/>
    <w:rsid w:val="00F91A0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E80816C"/>
  <w15:docId w15:val="{FD9D3B2B-E388-4158-B029-A90ABA4D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BalloonText">
    <w:name w:val="Balloon Text"/>
    <w:basedOn w:val="Normal"/>
    <w:link w:val="BalloonTextChar"/>
    <w:semiHidden/>
    <w:unhideWhenUsed/>
    <w:rsid w:val="006A5ECA"/>
    <w:rPr>
      <w:rFonts w:ascii="Segoe UI" w:hAnsi="Segoe UI" w:cs="Segoe UI"/>
      <w:sz w:val="18"/>
      <w:szCs w:val="18"/>
    </w:rPr>
  </w:style>
  <w:style w:type="character" w:customStyle="1" w:styleId="BalloonTextChar">
    <w:name w:val="Balloon Text Char"/>
    <w:basedOn w:val="DefaultParagraphFont"/>
    <w:link w:val="BalloonText"/>
    <w:semiHidden/>
    <w:rsid w:val="006A5ECA"/>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P%20present\ZSC%202018\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0</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dc:creator>
  <cp:lastModifiedBy>Sandra Muengwa</cp:lastModifiedBy>
  <cp:revision>2</cp:revision>
  <cp:lastPrinted>2018-02-19T12:32:00Z</cp:lastPrinted>
  <dcterms:created xsi:type="dcterms:W3CDTF">2018-04-25T10:08:00Z</dcterms:created>
  <dcterms:modified xsi:type="dcterms:W3CDTF">2018-04-25T10:08:00Z</dcterms:modified>
</cp:coreProperties>
</file>