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48" w:rsidRDefault="00850A48" w:rsidP="002855C0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55C0" w:rsidRDefault="002855C0" w:rsidP="002855C0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55C0">
        <w:rPr>
          <w:rFonts w:ascii="Times New Roman" w:hAnsi="Times New Roman" w:cs="Times New Roman"/>
          <w:b/>
          <w:sz w:val="24"/>
          <w:szCs w:val="24"/>
          <w:u w:val="single"/>
        </w:rPr>
        <w:t>DISTRIBUTABLE (4)</w:t>
      </w:r>
    </w:p>
    <w:p w:rsidR="002855C0" w:rsidRPr="002855C0" w:rsidRDefault="002855C0" w:rsidP="002855C0">
      <w:pPr>
        <w:tabs>
          <w:tab w:val="left" w:pos="184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0A48" w:rsidRPr="0008675D" w:rsidRDefault="0008675D" w:rsidP="0008675D">
      <w:pPr>
        <w:pStyle w:val="ListParagraph"/>
        <w:numPr>
          <w:ilvl w:val="0"/>
          <w:numId w:val="9"/>
        </w:num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850A48" w:rsidRPr="0008675D">
        <w:rPr>
          <w:rFonts w:ascii="Times New Roman" w:hAnsi="Times New Roman" w:cs="Times New Roman"/>
          <w:b/>
          <w:sz w:val="24"/>
          <w:szCs w:val="24"/>
        </w:rPr>
        <w:t>MARANGE     APOSTOLIC     CHURCH     OF     ST     JOHANNE     (2)    ISRAEL     RUWOKO</w:t>
      </w:r>
    </w:p>
    <w:p w:rsidR="00850A48" w:rsidRPr="0008675D" w:rsidRDefault="00850A48" w:rsidP="00AA73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>v</w:t>
      </w:r>
    </w:p>
    <w:p w:rsidR="00850A48" w:rsidRPr="0008675D" w:rsidRDefault="001E0F22" w:rsidP="00AA73C4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>CLEMENCE</w:t>
      </w:r>
      <w:r w:rsidR="00850A48" w:rsidRPr="0008675D">
        <w:rPr>
          <w:rFonts w:ascii="Times New Roman" w:hAnsi="Times New Roman" w:cs="Times New Roman"/>
          <w:b/>
          <w:sz w:val="24"/>
          <w:szCs w:val="24"/>
        </w:rPr>
        <w:t xml:space="preserve">     MOMBERUME</w:t>
      </w:r>
    </w:p>
    <w:p w:rsidR="00850A48" w:rsidRPr="0008675D" w:rsidRDefault="00850A48" w:rsidP="00850A4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50A48" w:rsidRPr="0008675D" w:rsidRDefault="00850A48" w:rsidP="00850A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50A48" w:rsidRPr="0008675D" w:rsidRDefault="00850A48" w:rsidP="00850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850A48" w:rsidRPr="0008675D" w:rsidRDefault="00850A48" w:rsidP="00850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>GWAUNZA JA, GOWORA JA &amp;</w:t>
      </w:r>
      <w:r w:rsidR="00814C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b/>
          <w:sz w:val="24"/>
          <w:szCs w:val="24"/>
        </w:rPr>
        <w:t>PATEL JA</w:t>
      </w:r>
    </w:p>
    <w:p w:rsidR="00850A48" w:rsidRPr="0008675D" w:rsidRDefault="00A02658" w:rsidP="00850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HARARE, FEBRUARY 7 &amp;</w:t>
      </w:r>
      <w:r w:rsidR="00BB3E65" w:rsidRPr="00086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FC3">
        <w:rPr>
          <w:rFonts w:ascii="Times New Roman" w:hAnsi="Times New Roman" w:cs="Times New Roman"/>
          <w:b/>
          <w:sz w:val="24"/>
          <w:szCs w:val="24"/>
        </w:rPr>
        <w:t>FEBRUARY 21</w:t>
      </w:r>
      <w:r w:rsidR="00814C3D">
        <w:rPr>
          <w:rFonts w:ascii="Times New Roman" w:hAnsi="Times New Roman" w:cs="Times New Roman"/>
          <w:b/>
          <w:sz w:val="24"/>
          <w:szCs w:val="24"/>
        </w:rPr>
        <w:t>,</w:t>
      </w:r>
      <w:r w:rsidR="00850A48" w:rsidRPr="0008675D">
        <w:rPr>
          <w:rFonts w:ascii="Times New Roman" w:hAnsi="Times New Roman" w:cs="Times New Roman"/>
          <w:b/>
          <w:sz w:val="24"/>
          <w:szCs w:val="24"/>
        </w:rPr>
        <w:t xml:space="preserve"> 2014</w:t>
      </w:r>
    </w:p>
    <w:p w:rsidR="00850A48" w:rsidRPr="0008675D" w:rsidRDefault="00850A48" w:rsidP="00850A4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50A48" w:rsidRPr="0008675D" w:rsidRDefault="00850A48" w:rsidP="00850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0A48" w:rsidRPr="0008675D" w:rsidRDefault="00850A48" w:rsidP="00850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i/>
          <w:sz w:val="24"/>
          <w:szCs w:val="24"/>
        </w:rPr>
        <w:t>R. Goba</w:t>
      </w:r>
      <w:r w:rsidRPr="0008675D">
        <w:rPr>
          <w:rFonts w:ascii="Times New Roman" w:hAnsi="Times New Roman" w:cs="Times New Roman"/>
          <w:sz w:val="24"/>
          <w:szCs w:val="24"/>
        </w:rPr>
        <w:t>, for the 1</w:t>
      </w:r>
      <w:r w:rsidRPr="0008675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8675D">
        <w:rPr>
          <w:rFonts w:ascii="Times New Roman" w:hAnsi="Times New Roman" w:cs="Times New Roman"/>
          <w:sz w:val="24"/>
          <w:szCs w:val="24"/>
        </w:rPr>
        <w:t xml:space="preserve"> appellant</w:t>
      </w:r>
    </w:p>
    <w:p w:rsidR="00850A48" w:rsidRPr="0008675D" w:rsidRDefault="00850A48" w:rsidP="00850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i/>
          <w:sz w:val="24"/>
          <w:szCs w:val="24"/>
        </w:rPr>
        <w:t>T. Mberi,</w:t>
      </w:r>
      <w:r w:rsidRPr="0008675D">
        <w:rPr>
          <w:rFonts w:ascii="Times New Roman" w:hAnsi="Times New Roman" w:cs="Times New Roman"/>
          <w:sz w:val="24"/>
          <w:szCs w:val="24"/>
        </w:rPr>
        <w:t xml:space="preserve"> for the 2</w:t>
      </w:r>
      <w:r w:rsidRPr="000867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appellant</w:t>
      </w:r>
    </w:p>
    <w:p w:rsidR="00850A48" w:rsidRPr="0008675D" w:rsidRDefault="00850A48" w:rsidP="00850A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i/>
          <w:sz w:val="24"/>
          <w:szCs w:val="24"/>
        </w:rPr>
        <w:t>T. Mpofu,</w:t>
      </w:r>
      <w:r w:rsidRPr="0008675D">
        <w:rPr>
          <w:rFonts w:ascii="Times New Roman" w:hAnsi="Times New Roman" w:cs="Times New Roman"/>
          <w:sz w:val="24"/>
          <w:szCs w:val="24"/>
        </w:rPr>
        <w:t xml:space="preserve"> for the respondent</w:t>
      </w:r>
    </w:p>
    <w:p w:rsidR="00850A48" w:rsidRPr="0008675D" w:rsidRDefault="00850A48" w:rsidP="00850A4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50A48" w:rsidRPr="0008675D" w:rsidRDefault="00850A48" w:rsidP="00850A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b/>
          <w:sz w:val="24"/>
          <w:szCs w:val="24"/>
        </w:rPr>
        <w:tab/>
        <w:t>GWAUNZA JA:</w:t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>This is</w:t>
      </w:r>
      <w:r w:rsidRPr="0008675D">
        <w:rPr>
          <w:rFonts w:ascii="Times New Roman" w:hAnsi="Times New Roman" w:cs="Times New Roman"/>
          <w:sz w:val="24"/>
          <w:szCs w:val="24"/>
        </w:rPr>
        <w:tab/>
        <w:t>an appeal against the decision of the High Court Harare, in HC 11782/2011</w:t>
      </w:r>
      <w:r w:rsidR="00BB3E65" w:rsidRPr="0008675D">
        <w:rPr>
          <w:rFonts w:ascii="Times New Roman" w:hAnsi="Times New Roman" w:cs="Times New Roman"/>
          <w:sz w:val="24"/>
          <w:szCs w:val="24"/>
        </w:rPr>
        <w:t>,</w:t>
      </w:r>
      <w:r w:rsidRPr="0008675D">
        <w:rPr>
          <w:rFonts w:ascii="Times New Roman" w:hAnsi="Times New Roman" w:cs="Times New Roman"/>
          <w:sz w:val="24"/>
          <w:szCs w:val="24"/>
        </w:rPr>
        <w:t xml:space="preserve"> w</w:t>
      </w:r>
      <w:r w:rsidR="0089183B" w:rsidRPr="0008675D">
        <w:rPr>
          <w:rFonts w:ascii="Times New Roman" w:hAnsi="Times New Roman" w:cs="Times New Roman"/>
          <w:sz w:val="24"/>
          <w:szCs w:val="24"/>
        </w:rPr>
        <w:t>hich was handed down on 15 May 2013.</w:t>
      </w: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3C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ab/>
        <w:t xml:space="preserve">The background to the dispute is that the respondent instituted court action in 2005 against the 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first </w:t>
      </w:r>
      <w:r w:rsidR="00081EDF" w:rsidRPr="0008675D">
        <w:rPr>
          <w:rFonts w:ascii="Times New Roman" w:hAnsi="Times New Roman" w:cs="Times New Roman"/>
          <w:sz w:val="24"/>
          <w:szCs w:val="24"/>
        </w:rPr>
        <w:t>appellant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 and two others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081EDF" w:rsidRPr="0008675D">
        <w:rPr>
          <w:rFonts w:ascii="Times New Roman" w:hAnsi="Times New Roman" w:cs="Times New Roman"/>
          <w:sz w:val="24"/>
          <w:szCs w:val="24"/>
        </w:rPr>
        <w:t>for,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081EDF" w:rsidRPr="0008675D">
        <w:rPr>
          <w:rFonts w:ascii="Times New Roman" w:hAnsi="Times New Roman" w:cs="Times New Roman"/>
          <w:i/>
          <w:sz w:val="24"/>
          <w:szCs w:val="24"/>
        </w:rPr>
        <w:t>inter alia</w:t>
      </w:r>
      <w:r w:rsidR="00E92E8E" w:rsidRPr="0008675D">
        <w:rPr>
          <w:rFonts w:ascii="Times New Roman" w:hAnsi="Times New Roman" w:cs="Times New Roman"/>
          <w:i/>
          <w:sz w:val="24"/>
          <w:szCs w:val="24"/>
        </w:rPr>
        <w:t>,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 the return of certain church goods and regalia.  On 13 December </w:t>
      </w:r>
      <w:smartTag w:uri="urn:schemas-microsoft-com:office:smarttags" w:element="metricconverter">
        <w:smartTagPr>
          <w:attr w:name="ProductID" w:val="2006 a"/>
        </w:smartTagPr>
        <w:r w:rsidR="00081EDF" w:rsidRPr="0008675D">
          <w:rPr>
            <w:rFonts w:ascii="Times New Roman" w:hAnsi="Times New Roman" w:cs="Times New Roman"/>
            <w:sz w:val="24"/>
            <w:szCs w:val="24"/>
          </w:rPr>
          <w:t>2006 a</w:t>
        </w:r>
      </w:smartTag>
      <w:r w:rsidR="00081EDF" w:rsidRPr="0008675D">
        <w:rPr>
          <w:rFonts w:ascii="Times New Roman" w:hAnsi="Times New Roman" w:cs="Times New Roman"/>
          <w:sz w:val="24"/>
          <w:szCs w:val="24"/>
        </w:rPr>
        <w:t xml:space="preserve"> default judgment was grante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d in favour of the respondent. 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This judgment was subsequently rescinded on 14 May 2007.  </w:t>
      </w:r>
      <w:r w:rsidR="00BB3E65" w:rsidRPr="0008675D">
        <w:rPr>
          <w:rFonts w:ascii="Times New Roman" w:hAnsi="Times New Roman" w:cs="Times New Roman"/>
          <w:sz w:val="24"/>
          <w:szCs w:val="24"/>
        </w:rPr>
        <w:t>Almost two years later, on</w:t>
      </w:r>
      <w:r w:rsidR="00814C3D">
        <w:rPr>
          <w:rFonts w:ascii="Times New Roman" w:hAnsi="Times New Roman" w:cs="Times New Roman"/>
          <w:sz w:val="24"/>
          <w:szCs w:val="24"/>
        </w:rPr>
        <w:t xml:space="preserve"> </w:t>
      </w:r>
      <w:r w:rsidR="00E92E8E" w:rsidRPr="0008675D">
        <w:rPr>
          <w:rFonts w:ascii="Times New Roman" w:hAnsi="Times New Roman" w:cs="Times New Roman"/>
          <w:sz w:val="24"/>
          <w:szCs w:val="24"/>
        </w:rPr>
        <w:t xml:space="preserve">3 </w:t>
      </w:r>
      <w:r w:rsidR="00081EDF" w:rsidRPr="0008675D">
        <w:rPr>
          <w:rFonts w:ascii="Times New Roman" w:hAnsi="Times New Roman" w:cs="Times New Roman"/>
          <w:sz w:val="24"/>
          <w:szCs w:val="24"/>
        </w:rPr>
        <w:t>February 2009, the respondent’s then leg</w:t>
      </w:r>
      <w:r w:rsidR="009E07D5" w:rsidRPr="0008675D">
        <w:rPr>
          <w:rFonts w:ascii="Times New Roman" w:hAnsi="Times New Roman" w:cs="Times New Roman"/>
          <w:sz w:val="24"/>
          <w:szCs w:val="24"/>
        </w:rPr>
        <w:t>al practitioners filed a notice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 of withdrawal</w:t>
      </w:r>
      <w:r w:rsidR="00E92E8E" w:rsidRPr="0008675D">
        <w:rPr>
          <w:rFonts w:ascii="Times New Roman" w:hAnsi="Times New Roman" w:cs="Times New Roman"/>
          <w:sz w:val="24"/>
          <w:szCs w:val="24"/>
        </w:rPr>
        <w:t xml:space="preserve"> of the action,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 purportedly on the instruction</w:t>
      </w:r>
      <w:r w:rsidR="00DE5C3B" w:rsidRPr="0008675D">
        <w:rPr>
          <w:rFonts w:ascii="Times New Roman" w:hAnsi="Times New Roman" w:cs="Times New Roman"/>
          <w:sz w:val="24"/>
          <w:szCs w:val="24"/>
        </w:rPr>
        <w:t>s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 of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second</w:t>
      </w:r>
      <w:r w:rsidR="00081EDF" w:rsidRPr="0008675D">
        <w:rPr>
          <w:rFonts w:ascii="Times New Roman" w:hAnsi="Times New Roman" w:cs="Times New Roman"/>
          <w:sz w:val="24"/>
          <w:szCs w:val="24"/>
        </w:rPr>
        <w:t xml:space="preserve"> appellant. </w:t>
      </w:r>
    </w:p>
    <w:p w:rsidR="00081EDF" w:rsidRPr="0008675D" w:rsidRDefault="00203762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It is pertinent to note that the first appellant and the respondent belong to </w:t>
      </w:r>
      <w:r w:rsidR="00DE5C3B" w:rsidRPr="0008675D">
        <w:rPr>
          <w:rFonts w:ascii="Times New Roman" w:hAnsi="Times New Roman" w:cs="Times New Roman"/>
          <w:sz w:val="24"/>
          <w:szCs w:val="24"/>
        </w:rPr>
        <w:t>rival</w:t>
      </w:r>
      <w:r w:rsidRPr="0008675D">
        <w:rPr>
          <w:rFonts w:ascii="Times New Roman" w:hAnsi="Times New Roman" w:cs="Times New Roman"/>
          <w:sz w:val="24"/>
          <w:szCs w:val="24"/>
        </w:rPr>
        <w:t xml:space="preserve"> factions of what used to be one church. </w:t>
      </w:r>
    </w:p>
    <w:p w:rsidR="00BB3E65" w:rsidRPr="0008675D" w:rsidRDefault="00BB3E65" w:rsidP="00BB3E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EDF" w:rsidRPr="0008675D" w:rsidRDefault="00BB3E65" w:rsidP="00BB3E6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675D">
        <w:rPr>
          <w:rFonts w:ascii="Times New Roman" w:hAnsi="Times New Roman" w:cs="Times New Roman"/>
          <w:sz w:val="24"/>
          <w:szCs w:val="24"/>
        </w:rPr>
        <w:tab/>
        <w:t xml:space="preserve">The crux of the appeal is whether or not the court </w:t>
      </w:r>
      <w:r w:rsidRPr="0008675D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Pr="0008675D">
        <w:rPr>
          <w:rFonts w:ascii="Times New Roman" w:hAnsi="Times New Roman" w:cs="Times New Roman"/>
          <w:sz w:val="24"/>
          <w:szCs w:val="24"/>
        </w:rPr>
        <w:t>erred in accepting that the said notice of withdrawal in case No. 2716/2005</w:t>
      </w:r>
      <w:r w:rsidR="00814C3D">
        <w:rPr>
          <w:rFonts w:ascii="Times New Roman" w:hAnsi="Times New Roman" w:cs="Times New Roman"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sz w:val="24"/>
          <w:szCs w:val="24"/>
        </w:rPr>
        <w:t>was filed on the instructions of the second appellant as opposed to the respondent.</w:t>
      </w:r>
    </w:p>
    <w:p w:rsidR="00BB3E65" w:rsidRPr="0008675D" w:rsidRDefault="00081EDF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</w:p>
    <w:p w:rsidR="0004783C" w:rsidRPr="0008675D" w:rsidRDefault="00081EDF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The judge </w:t>
      </w:r>
      <w:r w:rsidRPr="0008675D">
        <w:rPr>
          <w:rFonts w:ascii="Times New Roman" w:hAnsi="Times New Roman" w:cs="Times New Roman"/>
          <w:i/>
          <w:sz w:val="24"/>
          <w:szCs w:val="24"/>
        </w:rPr>
        <w:t>a quo</w:t>
      </w:r>
      <w:r w:rsidRPr="0008675D">
        <w:rPr>
          <w:rFonts w:ascii="Times New Roman" w:hAnsi="Times New Roman" w:cs="Times New Roman"/>
          <w:sz w:val="24"/>
          <w:szCs w:val="24"/>
        </w:rPr>
        <w:t xml:space="preserve"> accepted the respondent’s version that the second appellant, acting</w:t>
      </w:r>
      <w:r w:rsidR="00203762" w:rsidRPr="0008675D">
        <w:rPr>
          <w:rFonts w:ascii="Times New Roman" w:hAnsi="Times New Roman" w:cs="Times New Roman"/>
          <w:sz w:val="24"/>
          <w:szCs w:val="24"/>
        </w:rPr>
        <w:t xml:space="preserve"> maliciously and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without the respondent’s specific mandate</w:t>
      </w:r>
      <w:r w:rsidR="00BB3E65" w:rsidRPr="0008675D">
        <w:rPr>
          <w:rFonts w:ascii="Times New Roman" w:hAnsi="Times New Roman" w:cs="Times New Roman"/>
          <w:sz w:val="24"/>
          <w:szCs w:val="24"/>
        </w:rPr>
        <w:t>,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E92E8E" w:rsidRPr="0008675D">
        <w:rPr>
          <w:rFonts w:ascii="Times New Roman" w:hAnsi="Times New Roman" w:cs="Times New Roman"/>
          <w:sz w:val="24"/>
          <w:szCs w:val="24"/>
        </w:rPr>
        <w:t xml:space="preserve">gave </w:t>
      </w:r>
      <w:r w:rsidRPr="0008675D">
        <w:rPr>
          <w:rFonts w:ascii="Times New Roman" w:hAnsi="Times New Roman" w:cs="Times New Roman"/>
          <w:sz w:val="24"/>
          <w:szCs w:val="24"/>
        </w:rPr>
        <w:t>the instructions</w:t>
      </w:r>
      <w:r w:rsidR="00203762" w:rsidRPr="0008675D">
        <w:rPr>
          <w:rFonts w:ascii="Times New Roman" w:hAnsi="Times New Roman" w:cs="Times New Roman"/>
          <w:sz w:val="24"/>
          <w:szCs w:val="24"/>
        </w:rPr>
        <w:t xml:space="preserve"> to the legal practitioners</w:t>
      </w:r>
      <w:r w:rsidRPr="0008675D">
        <w:rPr>
          <w:rFonts w:ascii="Times New Roman" w:hAnsi="Times New Roman" w:cs="Times New Roman"/>
          <w:sz w:val="24"/>
          <w:szCs w:val="24"/>
        </w:rPr>
        <w:t xml:space="preserve"> to wit</w:t>
      </w:r>
      <w:r w:rsidR="00203762" w:rsidRPr="0008675D">
        <w:rPr>
          <w:rFonts w:ascii="Times New Roman" w:hAnsi="Times New Roman" w:cs="Times New Roman"/>
          <w:sz w:val="24"/>
          <w:szCs w:val="24"/>
        </w:rPr>
        <w:t>hdraw the action in HC 2716/05.</w:t>
      </w:r>
      <w:r w:rsidRPr="0008675D">
        <w:rPr>
          <w:rFonts w:ascii="Times New Roman" w:hAnsi="Times New Roman" w:cs="Times New Roman"/>
          <w:sz w:val="24"/>
          <w:szCs w:val="24"/>
        </w:rPr>
        <w:t xml:space="preserve"> In</w:t>
      </w:r>
      <w:r w:rsidR="00203762" w:rsidRPr="0008675D">
        <w:rPr>
          <w:rFonts w:ascii="Times New Roman" w:hAnsi="Times New Roman" w:cs="Times New Roman"/>
          <w:sz w:val="24"/>
          <w:szCs w:val="24"/>
        </w:rPr>
        <w:t xml:space="preserve"> accepting this evidence</w:t>
      </w:r>
      <w:r w:rsidR="00AA73C4" w:rsidRPr="0008675D">
        <w:rPr>
          <w:rFonts w:ascii="Times New Roman" w:hAnsi="Times New Roman" w:cs="Times New Roman"/>
          <w:sz w:val="24"/>
          <w:szCs w:val="24"/>
        </w:rPr>
        <w:t>, the learned Judge relied es</w:t>
      </w:r>
      <w:r w:rsidR="00223410" w:rsidRPr="0008675D">
        <w:rPr>
          <w:rFonts w:ascii="Times New Roman" w:hAnsi="Times New Roman" w:cs="Times New Roman"/>
          <w:sz w:val="24"/>
          <w:szCs w:val="24"/>
        </w:rPr>
        <w:t xml:space="preserve">sentially </w:t>
      </w:r>
      <w:r w:rsidRPr="0008675D">
        <w:rPr>
          <w:rFonts w:ascii="Times New Roman" w:hAnsi="Times New Roman" w:cs="Times New Roman"/>
          <w:sz w:val="24"/>
          <w:szCs w:val="24"/>
        </w:rPr>
        <w:t>on the affidavit</w:t>
      </w:r>
      <w:r w:rsidR="00223410" w:rsidRPr="0008675D">
        <w:rPr>
          <w:rFonts w:ascii="Times New Roman" w:hAnsi="Times New Roman" w:cs="Times New Roman"/>
          <w:sz w:val="24"/>
          <w:szCs w:val="24"/>
        </w:rPr>
        <w:t xml:space="preserve"> dated </w:t>
      </w:r>
      <w:r w:rsidR="00577C6A" w:rsidRPr="0008675D">
        <w:rPr>
          <w:rFonts w:ascii="Times New Roman" w:hAnsi="Times New Roman" w:cs="Times New Roman"/>
          <w:sz w:val="24"/>
          <w:szCs w:val="24"/>
        </w:rPr>
        <w:t>24 November 2011 and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filed by the respondent’s erstwhile legal practitioner, Mr Gunje</w:t>
      </w:r>
      <w:r w:rsidR="00577C6A" w:rsidRPr="0008675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77C6A" w:rsidRPr="0008675D">
        <w:rPr>
          <w:rFonts w:ascii="Times New Roman" w:hAnsi="Times New Roman" w:cs="Times New Roman"/>
          <w:sz w:val="24"/>
          <w:szCs w:val="24"/>
        </w:rPr>
        <w:t>The</w:t>
      </w:r>
      <w:r w:rsidR="00577C6A" w:rsidRPr="00086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77C6A" w:rsidRPr="0008675D">
        <w:rPr>
          <w:rFonts w:ascii="Times New Roman" w:hAnsi="Times New Roman" w:cs="Times New Roman"/>
          <w:sz w:val="24"/>
          <w:szCs w:val="24"/>
        </w:rPr>
        <w:t>affidavit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577C6A" w:rsidRPr="0008675D">
        <w:rPr>
          <w:rFonts w:ascii="Times New Roman" w:hAnsi="Times New Roman" w:cs="Times New Roman"/>
          <w:sz w:val="24"/>
          <w:szCs w:val="24"/>
        </w:rPr>
        <w:t>was</w:t>
      </w:r>
      <w:r w:rsidR="0004783C" w:rsidRPr="0008675D">
        <w:rPr>
          <w:rFonts w:ascii="Times New Roman" w:hAnsi="Times New Roman" w:cs="Times New Roman"/>
          <w:sz w:val="24"/>
          <w:szCs w:val="24"/>
        </w:rPr>
        <w:t xml:space="preserve"> to the effect that Mr Gunje</w:t>
      </w:r>
      <w:r w:rsidRPr="0008675D">
        <w:rPr>
          <w:rFonts w:ascii="Times New Roman" w:hAnsi="Times New Roman" w:cs="Times New Roman"/>
          <w:sz w:val="24"/>
          <w:szCs w:val="24"/>
        </w:rPr>
        <w:t xml:space="preserve"> had in </w:t>
      </w:r>
      <w:r w:rsidR="00DE5C3B" w:rsidRPr="0008675D">
        <w:rPr>
          <w:rFonts w:ascii="Times New Roman" w:hAnsi="Times New Roman" w:cs="Times New Roman"/>
          <w:sz w:val="24"/>
          <w:szCs w:val="24"/>
        </w:rPr>
        <w:t>fact</w:t>
      </w:r>
      <w:r w:rsidRPr="0008675D">
        <w:rPr>
          <w:rFonts w:ascii="Times New Roman" w:hAnsi="Times New Roman" w:cs="Times New Roman"/>
          <w:sz w:val="24"/>
          <w:szCs w:val="24"/>
        </w:rPr>
        <w:t xml:space="preserve"> never met the respondent, had always dealt with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second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appellant as the respondent’s representative and that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second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appellant was the one who gave him the instructions to file the notice of withdrawal.</w:t>
      </w:r>
      <w:r w:rsidR="00724763" w:rsidRPr="0008675D">
        <w:rPr>
          <w:rFonts w:ascii="Times New Roman" w:hAnsi="Times New Roman" w:cs="Times New Roman"/>
        </w:rPr>
        <w:t xml:space="preserve"> T</w:t>
      </w:r>
      <w:r w:rsidR="00724763" w:rsidRPr="0008675D">
        <w:rPr>
          <w:rFonts w:ascii="Times New Roman" w:hAnsi="Times New Roman" w:cs="Times New Roman"/>
          <w:sz w:val="24"/>
          <w:szCs w:val="24"/>
        </w:rPr>
        <w:t xml:space="preserve">he court </w:t>
      </w:r>
      <w:r w:rsidR="00724763" w:rsidRPr="0008675D">
        <w:rPr>
          <w:rFonts w:ascii="Times New Roman" w:hAnsi="Times New Roman" w:cs="Times New Roman"/>
          <w:i/>
          <w:sz w:val="24"/>
          <w:szCs w:val="24"/>
        </w:rPr>
        <w:t>a quo</w:t>
      </w:r>
      <w:r w:rsidR="00724763" w:rsidRPr="0008675D">
        <w:rPr>
          <w:rFonts w:ascii="Times New Roman" w:hAnsi="Times New Roman" w:cs="Times New Roman"/>
          <w:sz w:val="24"/>
          <w:szCs w:val="24"/>
        </w:rPr>
        <w:t xml:space="preserve">, however, made no reference to </w:t>
      </w:r>
      <w:r w:rsidR="002A5FBD" w:rsidRPr="0008675D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 w:rsidR="00724763" w:rsidRPr="0008675D">
        <w:rPr>
          <w:rFonts w:ascii="Times New Roman" w:hAnsi="Times New Roman" w:cs="Times New Roman"/>
          <w:sz w:val="24"/>
          <w:szCs w:val="24"/>
        </w:rPr>
        <w:t xml:space="preserve">letter, written by Mr Gunje almost three years earlier on 9 February 2009, and addressed to the first appellant’s legal practitioners. </w:t>
      </w:r>
      <w:r w:rsidR="002A5FBD" w:rsidRPr="0008675D">
        <w:rPr>
          <w:rFonts w:ascii="Times New Roman" w:hAnsi="Times New Roman" w:cs="Times New Roman"/>
          <w:sz w:val="24"/>
          <w:szCs w:val="24"/>
        </w:rPr>
        <w:t>As indicated below, we fin</w:t>
      </w:r>
      <w:r w:rsidR="00724763" w:rsidRPr="0008675D">
        <w:rPr>
          <w:rFonts w:ascii="Times New Roman" w:hAnsi="Times New Roman" w:cs="Times New Roman"/>
          <w:sz w:val="24"/>
          <w:szCs w:val="24"/>
        </w:rPr>
        <w:t xml:space="preserve">d </w:t>
      </w:r>
      <w:r w:rsidR="002A5FBD" w:rsidRPr="0008675D">
        <w:rPr>
          <w:rFonts w:ascii="Times New Roman" w:hAnsi="Times New Roman" w:cs="Times New Roman"/>
          <w:sz w:val="24"/>
          <w:szCs w:val="24"/>
        </w:rPr>
        <w:t>t</w:t>
      </w:r>
      <w:r w:rsidR="00724763" w:rsidRPr="0008675D">
        <w:rPr>
          <w:rFonts w:ascii="Times New Roman" w:hAnsi="Times New Roman" w:cs="Times New Roman"/>
          <w:sz w:val="24"/>
          <w:szCs w:val="24"/>
        </w:rPr>
        <w:t>he contents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724763" w:rsidRPr="0008675D">
        <w:rPr>
          <w:rFonts w:ascii="Times New Roman" w:hAnsi="Times New Roman" w:cs="Times New Roman"/>
          <w:sz w:val="24"/>
          <w:szCs w:val="24"/>
        </w:rPr>
        <w:t>of this letter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724763" w:rsidRPr="0008675D">
        <w:rPr>
          <w:rFonts w:ascii="Times New Roman" w:hAnsi="Times New Roman" w:cs="Times New Roman"/>
          <w:sz w:val="24"/>
          <w:szCs w:val="24"/>
        </w:rPr>
        <w:t>to be quite significant.</w:t>
      </w:r>
    </w:p>
    <w:p w:rsidR="00D212E3" w:rsidRPr="0008675D" w:rsidRDefault="009E07D5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The second appellant’s defence </w:t>
      </w:r>
      <w:r w:rsidR="00E92E8E" w:rsidRPr="0008675D">
        <w:rPr>
          <w:rFonts w:ascii="Times New Roman" w:hAnsi="Times New Roman" w:cs="Times New Roman"/>
          <w:sz w:val="24"/>
          <w:szCs w:val="24"/>
        </w:rPr>
        <w:t xml:space="preserve">was </w:t>
      </w:r>
      <w:r w:rsidRPr="0008675D">
        <w:rPr>
          <w:rFonts w:ascii="Times New Roman" w:hAnsi="Times New Roman" w:cs="Times New Roman"/>
          <w:sz w:val="24"/>
          <w:szCs w:val="24"/>
        </w:rPr>
        <w:t>that he</w:t>
      </w:r>
      <w:r w:rsidR="0044548F" w:rsidRPr="0008675D">
        <w:rPr>
          <w:rFonts w:ascii="Times New Roman" w:hAnsi="Times New Roman" w:cs="Times New Roman"/>
          <w:sz w:val="24"/>
          <w:szCs w:val="24"/>
        </w:rPr>
        <w:t xml:space="preserve"> never gave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 the </w:t>
      </w:r>
      <w:r w:rsidRPr="0008675D">
        <w:rPr>
          <w:rFonts w:ascii="Times New Roman" w:hAnsi="Times New Roman" w:cs="Times New Roman"/>
          <w:sz w:val="24"/>
          <w:szCs w:val="24"/>
        </w:rPr>
        <w:t>instructions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 in question to the respondent’s legal practitioners</w:t>
      </w:r>
      <w:r w:rsidR="00E92E8E" w:rsidRPr="0008675D">
        <w:rPr>
          <w:rFonts w:ascii="Times New Roman" w:hAnsi="Times New Roman" w:cs="Times New Roman"/>
          <w:sz w:val="24"/>
          <w:szCs w:val="24"/>
        </w:rPr>
        <w:t>;</w:t>
      </w:r>
      <w:r w:rsidRPr="0008675D">
        <w:rPr>
          <w:rFonts w:ascii="Times New Roman" w:hAnsi="Times New Roman" w:cs="Times New Roman"/>
          <w:sz w:val="24"/>
          <w:szCs w:val="24"/>
        </w:rPr>
        <w:t xml:space="preserve"> rather</w:t>
      </w:r>
      <w:r w:rsidR="00BB3E65" w:rsidRPr="0008675D">
        <w:rPr>
          <w:rFonts w:ascii="Times New Roman" w:hAnsi="Times New Roman" w:cs="Times New Roman"/>
          <w:sz w:val="24"/>
          <w:szCs w:val="24"/>
        </w:rPr>
        <w:t>,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that it was </w:t>
      </w:r>
      <w:r w:rsidR="00BB3E65" w:rsidRPr="0008675D">
        <w:rPr>
          <w:rFonts w:ascii="Times New Roman" w:hAnsi="Times New Roman" w:cs="Times New Roman"/>
          <w:sz w:val="24"/>
          <w:szCs w:val="24"/>
        </w:rPr>
        <w:t xml:space="preserve">the respondent himself who did so. </w:t>
      </w:r>
      <w:r w:rsidR="00D212E3" w:rsidRPr="0008675D">
        <w:rPr>
          <w:rFonts w:ascii="Times New Roman" w:hAnsi="Times New Roman" w:cs="Times New Roman"/>
          <w:sz w:val="24"/>
          <w:szCs w:val="24"/>
        </w:rPr>
        <w:t>The first appellant, in his notice of appeal and heads of argument</w:t>
      </w:r>
      <w:r w:rsidR="00DE5C3B" w:rsidRPr="0008675D">
        <w:rPr>
          <w:rFonts w:ascii="Times New Roman" w:hAnsi="Times New Roman" w:cs="Times New Roman"/>
          <w:sz w:val="24"/>
          <w:szCs w:val="24"/>
        </w:rPr>
        <w:t>,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 took the same position.  Strangely</w:t>
      </w:r>
      <w:r w:rsidR="00BB3E65" w:rsidRPr="0008675D">
        <w:rPr>
          <w:rFonts w:ascii="Times New Roman" w:hAnsi="Times New Roman" w:cs="Times New Roman"/>
          <w:sz w:val="24"/>
          <w:szCs w:val="24"/>
        </w:rPr>
        <w:t>,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 in argument before us, Mr </w:t>
      </w:r>
      <w:r w:rsidR="00D212E3" w:rsidRPr="0008675D">
        <w:rPr>
          <w:rFonts w:ascii="Times New Roman" w:hAnsi="Times New Roman" w:cs="Times New Roman"/>
          <w:i/>
          <w:sz w:val="24"/>
          <w:szCs w:val="24"/>
        </w:rPr>
        <w:t>Goba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 for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first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 appellant deviated from this position and attempted to argue that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second</w:t>
      </w:r>
      <w:r w:rsidR="00D212E3" w:rsidRPr="0008675D">
        <w:rPr>
          <w:rFonts w:ascii="Times New Roman" w:hAnsi="Times New Roman" w:cs="Times New Roman"/>
          <w:sz w:val="24"/>
          <w:szCs w:val="24"/>
        </w:rPr>
        <w:t xml:space="preserve"> appellant did in fact give the relevant instructions, but solely acting as agent for the respondent.</w:t>
      </w:r>
    </w:p>
    <w:p w:rsidR="00490B33" w:rsidRPr="0008675D" w:rsidRDefault="00490B33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0B33" w:rsidRPr="0008675D" w:rsidRDefault="00490B33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ab/>
      </w:r>
      <w:r w:rsidR="00BB3E65" w:rsidRPr="0008675D">
        <w:rPr>
          <w:rFonts w:ascii="Times New Roman" w:hAnsi="Times New Roman" w:cs="Times New Roman"/>
          <w:sz w:val="24"/>
          <w:szCs w:val="24"/>
        </w:rPr>
        <w:t>In o</w:t>
      </w:r>
      <w:r w:rsidRPr="0008675D">
        <w:rPr>
          <w:rFonts w:ascii="Times New Roman" w:hAnsi="Times New Roman" w:cs="Times New Roman"/>
          <w:sz w:val="24"/>
          <w:szCs w:val="24"/>
        </w:rPr>
        <w:t>ur assessment of Mr Gunje’s affidavit</w:t>
      </w:r>
      <w:r w:rsidR="00E92E8E" w:rsidRPr="0008675D">
        <w:rPr>
          <w:rFonts w:ascii="Times New Roman" w:hAnsi="Times New Roman" w:cs="Times New Roman"/>
          <w:sz w:val="24"/>
          <w:szCs w:val="24"/>
        </w:rPr>
        <w:t xml:space="preserve">, we find </w:t>
      </w:r>
      <w:r w:rsidRPr="0008675D">
        <w:rPr>
          <w:rFonts w:ascii="Times New Roman" w:hAnsi="Times New Roman" w:cs="Times New Roman"/>
          <w:sz w:val="24"/>
          <w:szCs w:val="24"/>
        </w:rPr>
        <w:t>that he failed to explain in any way whatsoever the conte</w:t>
      </w:r>
      <w:r w:rsidR="00DE5C3B" w:rsidRPr="0008675D">
        <w:rPr>
          <w:rFonts w:ascii="Times New Roman" w:hAnsi="Times New Roman" w:cs="Times New Roman"/>
          <w:sz w:val="24"/>
          <w:szCs w:val="24"/>
        </w:rPr>
        <w:t>nts of his letter of 3 February</w:t>
      </w:r>
      <w:r w:rsidRPr="0008675D">
        <w:rPr>
          <w:rFonts w:ascii="Times New Roman" w:hAnsi="Times New Roman" w:cs="Times New Roman"/>
          <w:sz w:val="24"/>
          <w:szCs w:val="24"/>
        </w:rPr>
        <w:t xml:space="preserve"> 2009, which was addressed to Messrs </w:t>
      </w:r>
      <w:r w:rsidR="0089183B" w:rsidRPr="0008675D">
        <w:rPr>
          <w:rFonts w:ascii="Times New Roman" w:hAnsi="Times New Roman" w:cs="Times New Roman"/>
          <w:i/>
          <w:sz w:val="24"/>
          <w:szCs w:val="24"/>
        </w:rPr>
        <w:t>Danziger</w:t>
      </w:r>
      <w:r w:rsidR="00086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9183B" w:rsidRPr="0008675D">
        <w:rPr>
          <w:rFonts w:ascii="Times New Roman" w:hAnsi="Times New Roman" w:cs="Times New Roman"/>
          <w:i/>
          <w:sz w:val="24"/>
          <w:szCs w:val="24"/>
        </w:rPr>
        <w:t>&amp;</w:t>
      </w:r>
      <w:r w:rsidRPr="0008675D">
        <w:rPr>
          <w:rFonts w:ascii="Times New Roman" w:hAnsi="Times New Roman" w:cs="Times New Roman"/>
          <w:i/>
          <w:sz w:val="24"/>
          <w:szCs w:val="24"/>
        </w:rPr>
        <w:t xml:space="preserve"> Partners</w:t>
      </w:r>
      <w:r w:rsidR="00EE2825" w:rsidRPr="0008675D">
        <w:rPr>
          <w:rFonts w:ascii="Times New Roman" w:hAnsi="Times New Roman" w:cs="Times New Roman"/>
          <w:i/>
          <w:sz w:val="24"/>
          <w:szCs w:val="24"/>
        </w:rPr>
        <w:t>,</w:t>
      </w:r>
      <w:r w:rsidRPr="0008675D">
        <w:rPr>
          <w:rFonts w:ascii="Times New Roman" w:hAnsi="Times New Roman" w:cs="Times New Roman"/>
          <w:sz w:val="24"/>
          <w:szCs w:val="24"/>
        </w:rPr>
        <w:t xml:space="preserve">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first</w:t>
      </w:r>
      <w:r w:rsidRPr="0008675D">
        <w:rPr>
          <w:rFonts w:ascii="Times New Roman" w:hAnsi="Times New Roman" w:cs="Times New Roman"/>
          <w:sz w:val="24"/>
          <w:szCs w:val="24"/>
        </w:rPr>
        <w:t xml:space="preserve"> appellant’s legal practitioners.</w:t>
      </w:r>
      <w:r w:rsidR="0008675D">
        <w:rPr>
          <w:rFonts w:ascii="Times New Roman" w:hAnsi="Times New Roman" w:cs="Times New Roman"/>
          <w:sz w:val="24"/>
          <w:szCs w:val="24"/>
        </w:rPr>
        <w:t xml:space="preserve">  </w:t>
      </w:r>
      <w:r w:rsidRPr="0008675D">
        <w:rPr>
          <w:rFonts w:ascii="Times New Roman" w:hAnsi="Times New Roman" w:cs="Times New Roman"/>
          <w:sz w:val="24"/>
          <w:szCs w:val="24"/>
        </w:rPr>
        <w:t xml:space="preserve">Nor does </w:t>
      </w:r>
      <w:r w:rsidR="00E92E8E" w:rsidRPr="0008675D">
        <w:rPr>
          <w:rFonts w:ascii="Times New Roman" w:hAnsi="Times New Roman" w:cs="Times New Roman"/>
          <w:sz w:val="24"/>
          <w:szCs w:val="24"/>
        </w:rPr>
        <w:t>Mr Gunje’s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sz w:val="24"/>
          <w:szCs w:val="24"/>
        </w:rPr>
        <w:lastRenderedPageBreak/>
        <w:t>affidavit deal with the contradictions between his averments therein and the statements contained in the said letter.  The essence of that letter</w:t>
      </w:r>
      <w:r w:rsidR="00E92E8E" w:rsidRPr="0008675D">
        <w:rPr>
          <w:rFonts w:ascii="Times New Roman" w:hAnsi="Times New Roman" w:cs="Times New Roman"/>
          <w:sz w:val="24"/>
          <w:szCs w:val="24"/>
        </w:rPr>
        <w:t>,</w:t>
      </w:r>
      <w:r w:rsidRPr="0008675D">
        <w:rPr>
          <w:rFonts w:ascii="Times New Roman" w:hAnsi="Times New Roman" w:cs="Times New Roman"/>
          <w:sz w:val="24"/>
          <w:szCs w:val="24"/>
        </w:rPr>
        <w:t xml:space="preserve"> which was written on the very same day that the notice of withdrawal was filed, was that </w:t>
      </w:r>
      <w:r w:rsidR="00395BBB" w:rsidRPr="0008675D">
        <w:rPr>
          <w:rFonts w:ascii="Times New Roman" w:hAnsi="Times New Roman" w:cs="Times New Roman"/>
          <w:sz w:val="24"/>
          <w:szCs w:val="24"/>
        </w:rPr>
        <w:t>Mr Gunje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sz w:val="24"/>
          <w:szCs w:val="24"/>
        </w:rPr>
        <w:t>had taken detailed instructions</w:t>
      </w:r>
      <w:r w:rsidR="00395BBB" w:rsidRPr="0008675D">
        <w:rPr>
          <w:rFonts w:ascii="Times New Roman" w:hAnsi="Times New Roman" w:cs="Times New Roman"/>
          <w:sz w:val="24"/>
          <w:szCs w:val="24"/>
        </w:rPr>
        <w:t xml:space="preserve"> and then</w:t>
      </w:r>
      <w:r w:rsidRPr="0008675D">
        <w:rPr>
          <w:rFonts w:ascii="Times New Roman" w:hAnsi="Times New Roman" w:cs="Times New Roman"/>
          <w:sz w:val="24"/>
          <w:szCs w:val="24"/>
        </w:rPr>
        <w:t xml:space="preserve"> recommended to his client that he</w:t>
      </w:r>
      <w:r w:rsidR="0004783C" w:rsidRPr="0008675D">
        <w:rPr>
          <w:rFonts w:ascii="Times New Roman" w:hAnsi="Times New Roman" w:cs="Times New Roman"/>
          <w:sz w:val="24"/>
          <w:szCs w:val="24"/>
        </w:rPr>
        <w:t xml:space="preserve"> should</w:t>
      </w:r>
      <w:r w:rsidR="00DE5C3B" w:rsidRPr="0008675D">
        <w:rPr>
          <w:rFonts w:ascii="Times New Roman" w:hAnsi="Times New Roman" w:cs="Times New Roman"/>
          <w:sz w:val="24"/>
          <w:szCs w:val="24"/>
        </w:rPr>
        <w:t xml:space="preserve"> withdraw</w:t>
      </w:r>
      <w:r w:rsidRPr="0008675D">
        <w:rPr>
          <w:rFonts w:ascii="Times New Roman" w:hAnsi="Times New Roman" w:cs="Times New Roman"/>
          <w:sz w:val="24"/>
          <w:szCs w:val="24"/>
        </w:rPr>
        <w:t xml:space="preserve"> his claim in HC 2716/05.  Our reading of the letter makes it clear that the client referred to was the respondent.  The contemporaneity of the letter with the notice of withdrawal</w:t>
      </w:r>
      <w:r w:rsidR="00395BBB" w:rsidRPr="0008675D">
        <w:rPr>
          <w:rFonts w:ascii="Times New Roman" w:hAnsi="Times New Roman" w:cs="Times New Roman"/>
          <w:sz w:val="24"/>
          <w:szCs w:val="24"/>
        </w:rPr>
        <w:t>,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395BBB" w:rsidRPr="0008675D">
        <w:rPr>
          <w:rFonts w:ascii="Times New Roman" w:hAnsi="Times New Roman" w:cs="Times New Roman"/>
          <w:sz w:val="24"/>
          <w:szCs w:val="24"/>
        </w:rPr>
        <w:t xml:space="preserve">in our view, </w:t>
      </w:r>
      <w:r w:rsidRPr="0008675D">
        <w:rPr>
          <w:rFonts w:ascii="Times New Roman" w:hAnsi="Times New Roman" w:cs="Times New Roman"/>
          <w:sz w:val="24"/>
          <w:szCs w:val="24"/>
        </w:rPr>
        <w:t xml:space="preserve">leaves </w:t>
      </w:r>
      <w:r w:rsidR="00395BBB" w:rsidRPr="0008675D">
        <w:rPr>
          <w:rFonts w:ascii="Times New Roman" w:hAnsi="Times New Roman" w:cs="Times New Roman"/>
          <w:sz w:val="24"/>
          <w:szCs w:val="24"/>
        </w:rPr>
        <w:t xml:space="preserve">no </w:t>
      </w:r>
      <w:r w:rsidRPr="0008675D">
        <w:rPr>
          <w:rFonts w:ascii="Times New Roman" w:hAnsi="Times New Roman" w:cs="Times New Roman"/>
          <w:sz w:val="24"/>
          <w:szCs w:val="24"/>
        </w:rPr>
        <w:t xml:space="preserve">room for </w:t>
      </w:r>
      <w:r w:rsidR="00395BBB" w:rsidRPr="0008675D">
        <w:rPr>
          <w:rFonts w:ascii="Times New Roman" w:hAnsi="Times New Roman" w:cs="Times New Roman"/>
          <w:sz w:val="24"/>
          <w:szCs w:val="24"/>
        </w:rPr>
        <w:t xml:space="preserve">any </w:t>
      </w:r>
      <w:r w:rsidRPr="0008675D">
        <w:rPr>
          <w:rFonts w:ascii="Times New Roman" w:hAnsi="Times New Roman" w:cs="Times New Roman"/>
          <w:sz w:val="24"/>
          <w:szCs w:val="24"/>
        </w:rPr>
        <w:t>other conclusion</w:t>
      </w:r>
      <w:r w:rsidR="00395BBB" w:rsidRPr="0008675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4115" w:rsidRPr="0008675D" w:rsidRDefault="00490B33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</w:p>
    <w:p w:rsidR="00490B33" w:rsidRPr="0008675D" w:rsidRDefault="00EE2825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One of the points taken by the respondent was that the second appellant </w:t>
      </w:r>
      <w:r w:rsidR="00490B33" w:rsidRPr="0008675D">
        <w:rPr>
          <w:rFonts w:ascii="Times New Roman" w:hAnsi="Times New Roman" w:cs="Times New Roman"/>
          <w:sz w:val="24"/>
          <w:szCs w:val="24"/>
        </w:rPr>
        <w:t>had</w:t>
      </w:r>
      <w:r w:rsidRPr="0008675D">
        <w:rPr>
          <w:rFonts w:ascii="Times New Roman" w:hAnsi="Times New Roman" w:cs="Times New Roman"/>
          <w:sz w:val="24"/>
          <w:szCs w:val="24"/>
        </w:rPr>
        <w:t>,</w:t>
      </w:r>
      <w:r w:rsidR="00490B33" w:rsidRPr="0008675D">
        <w:rPr>
          <w:rFonts w:ascii="Times New Roman" w:hAnsi="Times New Roman" w:cs="Times New Roman"/>
          <w:sz w:val="24"/>
          <w:szCs w:val="24"/>
        </w:rPr>
        <w:t xml:space="preserve"> at </w:t>
      </w:r>
      <w:r w:rsidR="0004783C" w:rsidRPr="0008675D">
        <w:rPr>
          <w:rFonts w:ascii="Times New Roman" w:hAnsi="Times New Roman" w:cs="Times New Roman"/>
          <w:sz w:val="24"/>
          <w:szCs w:val="24"/>
        </w:rPr>
        <w:t xml:space="preserve">the </w:t>
      </w:r>
      <w:r w:rsidR="00490B33" w:rsidRPr="0008675D">
        <w:rPr>
          <w:rFonts w:ascii="Times New Roman" w:hAnsi="Times New Roman" w:cs="Times New Roman"/>
          <w:sz w:val="24"/>
          <w:szCs w:val="24"/>
        </w:rPr>
        <w:t>time</w:t>
      </w:r>
      <w:r w:rsidRPr="0008675D">
        <w:rPr>
          <w:rFonts w:ascii="Times New Roman" w:hAnsi="Times New Roman" w:cs="Times New Roman"/>
          <w:sz w:val="24"/>
          <w:szCs w:val="24"/>
        </w:rPr>
        <w:t xml:space="preserve"> he allegedly gave instructions for the notice of withdrawal to be filed,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="00490B33" w:rsidRPr="0008675D">
        <w:rPr>
          <w:rFonts w:ascii="Times New Roman" w:hAnsi="Times New Roman" w:cs="Times New Roman"/>
          <w:sz w:val="24"/>
          <w:szCs w:val="24"/>
        </w:rPr>
        <w:t>switched allegiance from the respondent’s faction to that of the first appellant.</w:t>
      </w:r>
      <w:r w:rsidR="00203762" w:rsidRPr="0008675D">
        <w:rPr>
          <w:rFonts w:ascii="Times New Roman" w:hAnsi="Times New Roman" w:cs="Times New Roman"/>
          <w:sz w:val="24"/>
          <w:szCs w:val="24"/>
        </w:rPr>
        <w:t xml:space="preserve"> H</w:t>
      </w:r>
      <w:r w:rsidR="00490B33" w:rsidRPr="0008675D">
        <w:rPr>
          <w:rFonts w:ascii="Times New Roman" w:hAnsi="Times New Roman" w:cs="Times New Roman"/>
          <w:sz w:val="24"/>
          <w:szCs w:val="24"/>
        </w:rPr>
        <w:t xml:space="preserve">owever, this </w:t>
      </w:r>
      <w:r w:rsidR="00203762" w:rsidRPr="0008675D">
        <w:rPr>
          <w:rFonts w:ascii="Times New Roman" w:hAnsi="Times New Roman" w:cs="Times New Roman"/>
          <w:sz w:val="24"/>
          <w:szCs w:val="24"/>
        </w:rPr>
        <w:t xml:space="preserve">assertion </w:t>
      </w:r>
      <w:r w:rsidR="00490B33" w:rsidRPr="0008675D">
        <w:rPr>
          <w:rFonts w:ascii="Times New Roman" w:hAnsi="Times New Roman" w:cs="Times New Roman"/>
          <w:sz w:val="24"/>
          <w:szCs w:val="24"/>
        </w:rPr>
        <w:t xml:space="preserve">is </w:t>
      </w:r>
      <w:r w:rsidR="00484115" w:rsidRPr="0008675D">
        <w:rPr>
          <w:rFonts w:ascii="Times New Roman" w:hAnsi="Times New Roman" w:cs="Times New Roman"/>
          <w:sz w:val="24"/>
          <w:szCs w:val="24"/>
        </w:rPr>
        <w:t xml:space="preserve">quite evidently </w:t>
      </w:r>
      <w:r w:rsidR="00AA73C4" w:rsidRPr="0008675D">
        <w:rPr>
          <w:rFonts w:ascii="Times New Roman" w:hAnsi="Times New Roman" w:cs="Times New Roman"/>
          <w:sz w:val="24"/>
          <w:szCs w:val="24"/>
        </w:rPr>
        <w:t>belied</w:t>
      </w:r>
      <w:r w:rsidR="00BE1E96" w:rsidRPr="0008675D">
        <w:rPr>
          <w:rFonts w:ascii="Times New Roman" w:hAnsi="Times New Roman" w:cs="Times New Roman"/>
          <w:sz w:val="24"/>
          <w:szCs w:val="24"/>
        </w:rPr>
        <w:t xml:space="preserve"> by the </w:t>
      </w:r>
      <w:r w:rsidR="0089183B" w:rsidRPr="0008675D">
        <w:rPr>
          <w:rFonts w:ascii="Times New Roman" w:hAnsi="Times New Roman" w:cs="Times New Roman"/>
          <w:sz w:val="24"/>
          <w:szCs w:val="24"/>
        </w:rPr>
        <w:t>second</w:t>
      </w:r>
      <w:r w:rsidR="00BE1E96" w:rsidRPr="0008675D">
        <w:rPr>
          <w:rFonts w:ascii="Times New Roman" w:hAnsi="Times New Roman" w:cs="Times New Roman"/>
          <w:sz w:val="24"/>
          <w:szCs w:val="24"/>
        </w:rPr>
        <w:t xml:space="preserve"> appellant’s letter dated 8 March 2009 which shows that</w:t>
      </w:r>
      <w:r w:rsidR="00DE5C3B" w:rsidRPr="0008675D">
        <w:rPr>
          <w:rFonts w:ascii="Times New Roman" w:hAnsi="Times New Roman" w:cs="Times New Roman"/>
          <w:sz w:val="24"/>
          <w:szCs w:val="24"/>
        </w:rPr>
        <w:t>,</w:t>
      </w:r>
      <w:r w:rsidR="00BE1E96" w:rsidRPr="0008675D">
        <w:rPr>
          <w:rFonts w:ascii="Times New Roman" w:hAnsi="Times New Roman" w:cs="Times New Roman"/>
          <w:sz w:val="24"/>
          <w:szCs w:val="24"/>
        </w:rPr>
        <w:t xml:space="preserve"> a month after the notice of withdrawal was filed, he was still acting for and on behalf of the respondent’s faction.</w:t>
      </w:r>
    </w:p>
    <w:p w:rsidR="00BE1E96" w:rsidRPr="0008675D" w:rsidRDefault="00BE1E96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83C" w:rsidRPr="0008675D" w:rsidRDefault="0004783C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>When all is considered, we find that</w:t>
      </w:r>
      <w:r w:rsidR="0008675D">
        <w:rPr>
          <w:rFonts w:ascii="Times New Roman" w:hAnsi="Times New Roman" w:cs="Times New Roman"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</w:rPr>
        <w:t>t</w:t>
      </w:r>
      <w:r w:rsidRPr="0008675D">
        <w:rPr>
          <w:rFonts w:ascii="Times New Roman" w:hAnsi="Times New Roman" w:cs="Times New Roman"/>
          <w:sz w:val="24"/>
          <w:szCs w:val="24"/>
        </w:rPr>
        <w:t>he probabilities</w:t>
      </w:r>
      <w:r w:rsidR="00484115" w:rsidRPr="0008675D">
        <w:rPr>
          <w:rFonts w:ascii="Times New Roman" w:hAnsi="Times New Roman" w:cs="Times New Roman"/>
          <w:sz w:val="24"/>
          <w:szCs w:val="24"/>
        </w:rPr>
        <w:t xml:space="preserve"> clearly</w:t>
      </w:r>
      <w:r w:rsidRPr="0008675D">
        <w:rPr>
          <w:rFonts w:ascii="Times New Roman" w:hAnsi="Times New Roman" w:cs="Times New Roman"/>
          <w:sz w:val="24"/>
          <w:szCs w:val="24"/>
        </w:rPr>
        <w:t xml:space="preserve"> favour a finding that it was the respondent himself who, acting on the advice of his lawyer, gave the instructions </w:t>
      </w:r>
      <w:r w:rsidR="00724763" w:rsidRPr="0008675D">
        <w:rPr>
          <w:rFonts w:ascii="Times New Roman" w:hAnsi="Times New Roman" w:cs="Times New Roman"/>
          <w:sz w:val="24"/>
          <w:szCs w:val="24"/>
        </w:rPr>
        <w:t xml:space="preserve">for the </w:t>
      </w:r>
      <w:r w:rsidRPr="0008675D">
        <w:rPr>
          <w:rFonts w:ascii="Times New Roman" w:hAnsi="Times New Roman" w:cs="Times New Roman"/>
          <w:sz w:val="24"/>
          <w:szCs w:val="24"/>
        </w:rPr>
        <w:t>notice of withdrawal</w:t>
      </w:r>
      <w:r w:rsidR="00724763" w:rsidRPr="0008675D">
        <w:rPr>
          <w:rFonts w:ascii="Times New Roman" w:hAnsi="Times New Roman" w:cs="Times New Roman"/>
          <w:sz w:val="24"/>
          <w:szCs w:val="24"/>
        </w:rPr>
        <w:t xml:space="preserve"> to be filed</w:t>
      </w:r>
      <w:r w:rsidRPr="0008675D">
        <w:rPr>
          <w:rFonts w:ascii="Times New Roman" w:hAnsi="Times New Roman" w:cs="Times New Roman"/>
          <w:sz w:val="24"/>
          <w:szCs w:val="24"/>
        </w:rPr>
        <w:t>.</w:t>
      </w:r>
    </w:p>
    <w:p w:rsidR="0004783C" w:rsidRPr="0008675D" w:rsidRDefault="00A44B24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ab/>
      </w:r>
    </w:p>
    <w:p w:rsidR="00A44B24" w:rsidRPr="0008675D" w:rsidRDefault="00A44B24" w:rsidP="00DE5C3B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In the result, this court is of the view that the judge </w:t>
      </w:r>
      <w:r w:rsidRPr="0008675D">
        <w:rPr>
          <w:rFonts w:ascii="Times New Roman" w:hAnsi="Times New Roman" w:cs="Times New Roman"/>
          <w:i/>
          <w:sz w:val="24"/>
          <w:szCs w:val="24"/>
        </w:rPr>
        <w:t>a quo</w:t>
      </w:r>
      <w:r w:rsidRPr="0008675D">
        <w:rPr>
          <w:rFonts w:ascii="Times New Roman" w:hAnsi="Times New Roman" w:cs="Times New Roman"/>
          <w:sz w:val="24"/>
          <w:szCs w:val="24"/>
        </w:rPr>
        <w:t xml:space="preserve"> erred in finding, on the papers, that the withdrawal was not properly made as it was not done either by the respondent or on his authority or instructions.</w:t>
      </w:r>
      <w:r w:rsidR="00C24140" w:rsidRPr="0008675D">
        <w:rPr>
          <w:rFonts w:ascii="Times New Roman" w:hAnsi="Times New Roman" w:cs="Times New Roman"/>
          <w:sz w:val="24"/>
          <w:szCs w:val="24"/>
        </w:rPr>
        <w:t xml:space="preserve"> We </w:t>
      </w:r>
      <w:r w:rsidR="00484115" w:rsidRPr="0008675D">
        <w:rPr>
          <w:rFonts w:ascii="Times New Roman" w:hAnsi="Times New Roman" w:cs="Times New Roman"/>
          <w:sz w:val="24"/>
          <w:szCs w:val="24"/>
        </w:rPr>
        <w:t xml:space="preserve">accordingly </w:t>
      </w:r>
      <w:r w:rsidRPr="0008675D">
        <w:rPr>
          <w:rFonts w:ascii="Times New Roman" w:hAnsi="Times New Roman" w:cs="Times New Roman"/>
          <w:sz w:val="24"/>
          <w:szCs w:val="24"/>
        </w:rPr>
        <w:t>find that the judge misdirected himself by ordering that the notice of withdrawal in case HC 2716/05 be set aside and that th</w:t>
      </w:r>
      <w:r w:rsidR="00484115" w:rsidRPr="0008675D">
        <w:rPr>
          <w:rFonts w:ascii="Times New Roman" w:hAnsi="Times New Roman" w:cs="Times New Roman"/>
          <w:sz w:val="24"/>
          <w:szCs w:val="24"/>
        </w:rPr>
        <w:t>e</w:t>
      </w:r>
      <w:r w:rsidRPr="0008675D">
        <w:rPr>
          <w:rFonts w:ascii="Times New Roman" w:hAnsi="Times New Roman" w:cs="Times New Roman"/>
          <w:sz w:val="24"/>
          <w:szCs w:val="24"/>
        </w:rPr>
        <w:t xml:space="preserve"> matter be reinstated.</w:t>
      </w:r>
    </w:p>
    <w:p w:rsidR="00A44B24" w:rsidRPr="0008675D" w:rsidRDefault="00A44B24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24" w:rsidRPr="0008675D" w:rsidRDefault="00A44B24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675D">
        <w:rPr>
          <w:rFonts w:ascii="Times New Roman" w:hAnsi="Times New Roman" w:cs="Times New Roman"/>
          <w:sz w:val="24"/>
          <w:szCs w:val="24"/>
        </w:rPr>
        <w:tab/>
      </w:r>
      <w:r w:rsidR="00484115" w:rsidRPr="0008675D">
        <w:rPr>
          <w:rFonts w:ascii="Times New Roman" w:hAnsi="Times New Roman" w:cs="Times New Roman"/>
          <w:sz w:val="24"/>
          <w:szCs w:val="24"/>
        </w:rPr>
        <w:t xml:space="preserve">In the event, it is </w:t>
      </w:r>
      <w:r w:rsidR="00C24140" w:rsidRPr="0008675D">
        <w:rPr>
          <w:rFonts w:ascii="Times New Roman" w:hAnsi="Times New Roman" w:cs="Times New Roman"/>
          <w:sz w:val="24"/>
          <w:szCs w:val="24"/>
        </w:rPr>
        <w:t>ordered as follows;</w:t>
      </w:r>
    </w:p>
    <w:p w:rsidR="00C24140" w:rsidRPr="0008675D" w:rsidRDefault="00C24140" w:rsidP="0044548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24" w:rsidRPr="0008675D" w:rsidRDefault="0044548F" w:rsidP="0044548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>(1)</w:t>
      </w:r>
      <w:r w:rsidRPr="0008675D">
        <w:rPr>
          <w:rFonts w:ascii="Times New Roman" w:hAnsi="Times New Roman" w:cs="Times New Roman"/>
          <w:sz w:val="24"/>
          <w:szCs w:val="24"/>
        </w:rPr>
        <w:tab/>
      </w:r>
      <w:r w:rsidR="00A44B24" w:rsidRPr="0008675D">
        <w:rPr>
          <w:rFonts w:ascii="Times New Roman" w:hAnsi="Times New Roman" w:cs="Times New Roman"/>
          <w:sz w:val="24"/>
          <w:szCs w:val="24"/>
        </w:rPr>
        <w:t>The appeal is allowed with costs.</w:t>
      </w:r>
    </w:p>
    <w:p w:rsidR="00A44B24" w:rsidRPr="0008675D" w:rsidRDefault="0044548F" w:rsidP="0044548F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>(2)</w:t>
      </w:r>
      <w:r w:rsidRPr="0008675D">
        <w:rPr>
          <w:rFonts w:ascii="Times New Roman" w:hAnsi="Times New Roman" w:cs="Times New Roman"/>
          <w:sz w:val="24"/>
          <w:szCs w:val="24"/>
        </w:rPr>
        <w:tab/>
      </w:r>
      <w:r w:rsidR="00A44B24" w:rsidRPr="0008675D">
        <w:rPr>
          <w:rFonts w:ascii="Times New Roman" w:hAnsi="Times New Roman" w:cs="Times New Roman"/>
          <w:sz w:val="24"/>
          <w:szCs w:val="24"/>
        </w:rPr>
        <w:t xml:space="preserve">The judgment and order of the High Court be and </w:t>
      </w:r>
      <w:r w:rsidR="00484115" w:rsidRPr="0008675D">
        <w:rPr>
          <w:rFonts w:ascii="Times New Roman" w:hAnsi="Times New Roman" w:cs="Times New Roman"/>
          <w:sz w:val="24"/>
          <w:szCs w:val="24"/>
        </w:rPr>
        <w:t xml:space="preserve">are </w:t>
      </w:r>
      <w:r w:rsidR="00A44B24" w:rsidRPr="0008675D">
        <w:rPr>
          <w:rFonts w:ascii="Times New Roman" w:hAnsi="Times New Roman" w:cs="Times New Roman"/>
          <w:sz w:val="24"/>
          <w:szCs w:val="24"/>
        </w:rPr>
        <w:t>hereby set aside and</w:t>
      </w:r>
      <w:r w:rsidR="00DE5C3B" w:rsidRPr="0008675D">
        <w:rPr>
          <w:rFonts w:ascii="Times New Roman" w:hAnsi="Times New Roman" w:cs="Times New Roman"/>
          <w:sz w:val="24"/>
          <w:szCs w:val="24"/>
        </w:rPr>
        <w:t xml:space="preserve"> substituted with the following:</w:t>
      </w:r>
    </w:p>
    <w:p w:rsidR="00C24140" w:rsidRPr="0008675D" w:rsidRDefault="00C24140" w:rsidP="0044548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4B24" w:rsidRPr="0008675D" w:rsidRDefault="00A44B24" w:rsidP="00C24140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 xml:space="preserve">“The application be and is hereby dismissed with costs.” </w:t>
      </w:r>
    </w:p>
    <w:p w:rsidR="00490B33" w:rsidRPr="0008675D" w:rsidRDefault="00490B33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ab/>
      </w:r>
    </w:p>
    <w:p w:rsidR="00850A48" w:rsidRPr="0008675D" w:rsidRDefault="00850A48" w:rsidP="00850A48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="0089183B" w:rsidRPr="0008675D">
        <w:rPr>
          <w:rFonts w:ascii="Times New Roman" w:hAnsi="Times New Roman" w:cs="Times New Roman"/>
          <w:b/>
          <w:sz w:val="24"/>
          <w:szCs w:val="24"/>
        </w:rPr>
        <w:t>GOWORA</w:t>
      </w:r>
      <w:r w:rsidRPr="0008675D">
        <w:rPr>
          <w:rFonts w:ascii="Times New Roman" w:hAnsi="Times New Roman" w:cs="Times New Roman"/>
          <w:b/>
          <w:sz w:val="24"/>
          <w:szCs w:val="24"/>
        </w:rPr>
        <w:t xml:space="preserve"> JA:</w:t>
      </w:r>
      <w:r w:rsidR="0044548F" w:rsidRPr="0008675D">
        <w:rPr>
          <w:rFonts w:ascii="Times New Roman" w:hAnsi="Times New Roman" w:cs="Times New Roman"/>
          <w:b/>
          <w:sz w:val="24"/>
          <w:szCs w:val="24"/>
        </w:rPr>
        <w:tab/>
      </w:r>
      <w:r w:rsidR="0044548F"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>I agree</w:t>
      </w: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0A48" w:rsidRPr="0008675D" w:rsidRDefault="00850A48" w:rsidP="00850A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6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="0089183B" w:rsidRPr="0008675D">
        <w:rPr>
          <w:rFonts w:ascii="Times New Roman" w:hAnsi="Times New Roman" w:cs="Times New Roman"/>
          <w:b/>
          <w:sz w:val="24"/>
          <w:szCs w:val="24"/>
        </w:rPr>
        <w:t xml:space="preserve">PATEL </w:t>
      </w:r>
      <w:r w:rsidRPr="0008675D">
        <w:rPr>
          <w:rFonts w:ascii="Times New Roman" w:hAnsi="Times New Roman" w:cs="Times New Roman"/>
          <w:b/>
          <w:sz w:val="24"/>
          <w:szCs w:val="24"/>
        </w:rPr>
        <w:t>JA:</w:t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b/>
          <w:sz w:val="24"/>
          <w:szCs w:val="24"/>
        </w:rPr>
        <w:tab/>
      </w:r>
      <w:r w:rsidR="0044548F" w:rsidRPr="0008675D">
        <w:rPr>
          <w:rFonts w:ascii="Times New Roman" w:hAnsi="Times New Roman" w:cs="Times New Roman"/>
          <w:b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>I agree</w:t>
      </w:r>
      <w:r w:rsidRPr="0008675D">
        <w:rPr>
          <w:rFonts w:ascii="Times New Roman" w:hAnsi="Times New Roman" w:cs="Times New Roman"/>
          <w:sz w:val="24"/>
          <w:szCs w:val="24"/>
        </w:rPr>
        <w:tab/>
      </w:r>
      <w:r w:rsidRPr="0008675D">
        <w:rPr>
          <w:rFonts w:ascii="Times New Roman" w:hAnsi="Times New Roman" w:cs="Times New Roman"/>
          <w:sz w:val="24"/>
          <w:szCs w:val="24"/>
        </w:rPr>
        <w:tab/>
      </w: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50A48" w:rsidRPr="0008675D" w:rsidRDefault="00850A48" w:rsidP="00850A4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574DE" w:rsidRPr="0008675D" w:rsidRDefault="00C574DE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i/>
          <w:sz w:val="24"/>
          <w:szCs w:val="24"/>
        </w:rPr>
        <w:t>Mu</w:t>
      </w:r>
      <w:r w:rsidR="00E82FC3">
        <w:rPr>
          <w:rFonts w:ascii="Times New Roman" w:hAnsi="Times New Roman" w:cs="Times New Roman"/>
          <w:i/>
          <w:sz w:val="24"/>
          <w:szCs w:val="24"/>
        </w:rPr>
        <w:t>na</w:t>
      </w:r>
      <w:r w:rsidRPr="0008675D">
        <w:rPr>
          <w:rFonts w:ascii="Times New Roman" w:hAnsi="Times New Roman" w:cs="Times New Roman"/>
          <w:i/>
          <w:sz w:val="24"/>
          <w:szCs w:val="24"/>
        </w:rPr>
        <w:t>ngati</w:t>
      </w:r>
      <w:r w:rsidR="00086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i/>
          <w:sz w:val="24"/>
          <w:szCs w:val="24"/>
        </w:rPr>
        <w:t xml:space="preserve">&amp; Associates, </w:t>
      </w:r>
      <w:r w:rsidRPr="0008675D">
        <w:rPr>
          <w:rFonts w:ascii="Times New Roman" w:hAnsi="Times New Roman" w:cs="Times New Roman"/>
          <w:sz w:val="24"/>
          <w:szCs w:val="24"/>
        </w:rPr>
        <w:t>appellant’s legal practitioner</w:t>
      </w:r>
    </w:p>
    <w:p w:rsidR="00C574DE" w:rsidRPr="0008675D" w:rsidRDefault="00C574DE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sz w:val="24"/>
          <w:szCs w:val="24"/>
        </w:rPr>
        <w:t>Self Actor, 1</w:t>
      </w:r>
      <w:r w:rsidRPr="0008675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08675D">
        <w:rPr>
          <w:rFonts w:ascii="Times New Roman" w:hAnsi="Times New Roman" w:cs="Times New Roman"/>
          <w:sz w:val="24"/>
          <w:szCs w:val="24"/>
        </w:rPr>
        <w:t xml:space="preserve"> respondent</w:t>
      </w:r>
    </w:p>
    <w:p w:rsidR="00C574DE" w:rsidRPr="0008675D" w:rsidRDefault="00C574DE" w:rsidP="00850A4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75D">
        <w:rPr>
          <w:rFonts w:ascii="Times New Roman" w:hAnsi="Times New Roman" w:cs="Times New Roman"/>
          <w:i/>
          <w:sz w:val="24"/>
          <w:szCs w:val="24"/>
        </w:rPr>
        <w:t>Danziger</w:t>
      </w:r>
      <w:r w:rsidR="000867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8675D">
        <w:rPr>
          <w:rFonts w:ascii="Times New Roman" w:hAnsi="Times New Roman" w:cs="Times New Roman"/>
          <w:i/>
          <w:sz w:val="24"/>
          <w:szCs w:val="24"/>
        </w:rPr>
        <w:t xml:space="preserve">&amp; Partners, </w:t>
      </w:r>
      <w:r w:rsidRPr="0008675D">
        <w:rPr>
          <w:rFonts w:ascii="Times New Roman" w:hAnsi="Times New Roman" w:cs="Times New Roman"/>
          <w:sz w:val="24"/>
          <w:szCs w:val="24"/>
        </w:rPr>
        <w:t>2</w:t>
      </w:r>
      <w:r w:rsidRPr="000867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08675D">
        <w:rPr>
          <w:rFonts w:ascii="Times New Roman" w:hAnsi="Times New Roman" w:cs="Times New Roman"/>
          <w:sz w:val="24"/>
          <w:szCs w:val="24"/>
        </w:rPr>
        <w:t xml:space="preserve"> respondent’s legal practitioner</w:t>
      </w:r>
    </w:p>
    <w:sectPr w:rsidR="00C574DE" w:rsidRPr="0008675D" w:rsidSect="0052443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9F9" w:rsidRDefault="004069F9" w:rsidP="00850A48">
      <w:pPr>
        <w:spacing w:after="0" w:line="240" w:lineRule="auto"/>
      </w:pPr>
      <w:r>
        <w:separator/>
      </w:r>
    </w:p>
  </w:endnote>
  <w:endnote w:type="continuationSeparator" w:id="1">
    <w:p w:rsidR="004069F9" w:rsidRDefault="004069F9" w:rsidP="0085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9F9" w:rsidRDefault="004069F9" w:rsidP="00850A48">
      <w:pPr>
        <w:spacing w:after="0" w:line="240" w:lineRule="auto"/>
      </w:pPr>
      <w:r>
        <w:separator/>
      </w:r>
    </w:p>
  </w:footnote>
  <w:footnote w:type="continuationSeparator" w:id="1">
    <w:p w:rsidR="004069F9" w:rsidRDefault="004069F9" w:rsidP="0085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9542C3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9542C3" w:rsidRDefault="00850A48">
              <w:pPr>
                <w:pStyle w:val="Header"/>
                <w:jc w:val="right"/>
              </w:pPr>
              <w:r>
                <w:t xml:space="preserve">Judgment No. </w:t>
              </w:r>
              <w:r w:rsidR="001E0A39">
                <w:t>9/</w:t>
              </w:r>
              <w:r>
                <w:t>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9542C3" w:rsidRDefault="00850A48" w:rsidP="00B04DD4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228/13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542C3" w:rsidRDefault="00BA2931">
          <w:pPr>
            <w:pStyle w:val="Header"/>
            <w:rPr>
              <w:b/>
            </w:rPr>
          </w:pPr>
          <w:r>
            <w:fldChar w:fldCharType="begin"/>
          </w:r>
          <w:r w:rsidR="007E7D38">
            <w:instrText xml:space="preserve"> PAGE   \* MERGEFORMAT </w:instrText>
          </w:r>
          <w:r>
            <w:fldChar w:fldCharType="separate"/>
          </w:r>
          <w:r w:rsidR="002855C0">
            <w:rPr>
              <w:noProof/>
            </w:rPr>
            <w:t>4</w:t>
          </w:r>
          <w:r>
            <w:fldChar w:fldCharType="end"/>
          </w:r>
        </w:p>
      </w:tc>
    </w:tr>
  </w:tbl>
  <w:p w:rsidR="00404243" w:rsidRDefault="004069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4C2F"/>
    <w:multiLevelType w:val="hybridMultilevel"/>
    <w:tmpl w:val="78BE7B32"/>
    <w:lvl w:ilvl="0" w:tplc="62E8C35E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D941DF"/>
    <w:multiLevelType w:val="hybridMultilevel"/>
    <w:tmpl w:val="75D83C9A"/>
    <w:lvl w:ilvl="0" w:tplc="CBC4B6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525F"/>
    <w:multiLevelType w:val="hybridMultilevel"/>
    <w:tmpl w:val="9D484A28"/>
    <w:lvl w:ilvl="0" w:tplc="13E0EC9C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8A705F"/>
    <w:multiLevelType w:val="hybridMultilevel"/>
    <w:tmpl w:val="AA04C91E"/>
    <w:lvl w:ilvl="0" w:tplc="10C00C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51101"/>
    <w:multiLevelType w:val="hybridMultilevel"/>
    <w:tmpl w:val="2B34D080"/>
    <w:lvl w:ilvl="0" w:tplc="20583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3FA"/>
    <w:multiLevelType w:val="hybridMultilevel"/>
    <w:tmpl w:val="4CF23BEE"/>
    <w:lvl w:ilvl="0" w:tplc="BEDC88A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C7D686E"/>
    <w:multiLevelType w:val="hybridMultilevel"/>
    <w:tmpl w:val="3F42498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2A5DB4"/>
    <w:multiLevelType w:val="hybridMultilevel"/>
    <w:tmpl w:val="0E38DCD4"/>
    <w:lvl w:ilvl="0" w:tplc="55341D30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BB25C4"/>
    <w:multiLevelType w:val="hybridMultilevel"/>
    <w:tmpl w:val="6E4602A2"/>
    <w:lvl w:ilvl="0" w:tplc="8F24DB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0A48"/>
    <w:rsid w:val="000102FC"/>
    <w:rsid w:val="000155FB"/>
    <w:rsid w:val="000311E3"/>
    <w:rsid w:val="0004783C"/>
    <w:rsid w:val="00081EDF"/>
    <w:rsid w:val="0008675D"/>
    <w:rsid w:val="00127341"/>
    <w:rsid w:val="0018416C"/>
    <w:rsid w:val="001A4B5E"/>
    <w:rsid w:val="001E0A39"/>
    <w:rsid w:val="001E0F22"/>
    <w:rsid w:val="00203762"/>
    <w:rsid w:val="00223410"/>
    <w:rsid w:val="002855C0"/>
    <w:rsid w:val="002A5FBD"/>
    <w:rsid w:val="00395BBB"/>
    <w:rsid w:val="003B6404"/>
    <w:rsid w:val="003C6E54"/>
    <w:rsid w:val="004069F9"/>
    <w:rsid w:val="00417E02"/>
    <w:rsid w:val="0044548F"/>
    <w:rsid w:val="00484115"/>
    <w:rsid w:val="00490B33"/>
    <w:rsid w:val="00574EBE"/>
    <w:rsid w:val="00577C6A"/>
    <w:rsid w:val="006F061E"/>
    <w:rsid w:val="00724763"/>
    <w:rsid w:val="007E7D38"/>
    <w:rsid w:val="00814C3D"/>
    <w:rsid w:val="00843A09"/>
    <w:rsid w:val="00850A48"/>
    <w:rsid w:val="0089183B"/>
    <w:rsid w:val="008A1413"/>
    <w:rsid w:val="008B7B63"/>
    <w:rsid w:val="008E024F"/>
    <w:rsid w:val="009E07D5"/>
    <w:rsid w:val="00A02658"/>
    <w:rsid w:val="00A04B12"/>
    <w:rsid w:val="00A264D1"/>
    <w:rsid w:val="00A44B24"/>
    <w:rsid w:val="00AA73C4"/>
    <w:rsid w:val="00AC3E75"/>
    <w:rsid w:val="00B42992"/>
    <w:rsid w:val="00B70D74"/>
    <w:rsid w:val="00BA2931"/>
    <w:rsid w:val="00BB3E65"/>
    <w:rsid w:val="00BE1E96"/>
    <w:rsid w:val="00C24140"/>
    <w:rsid w:val="00C574DE"/>
    <w:rsid w:val="00CD0FDD"/>
    <w:rsid w:val="00D05613"/>
    <w:rsid w:val="00D212E3"/>
    <w:rsid w:val="00DB4259"/>
    <w:rsid w:val="00DE5C3B"/>
    <w:rsid w:val="00E82FC3"/>
    <w:rsid w:val="00E92E8E"/>
    <w:rsid w:val="00EE2825"/>
    <w:rsid w:val="00F46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table" w:styleId="TableGrid">
    <w:name w:val="Table Grid"/>
    <w:basedOn w:val="TableNormal"/>
    <w:uiPriority w:val="1"/>
    <w:rsid w:val="00850A4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A48"/>
  </w:style>
  <w:style w:type="table" w:styleId="TableGrid">
    <w:name w:val="Table Grid"/>
    <w:basedOn w:val="TableNormal"/>
    <w:uiPriority w:val="1"/>
    <w:rsid w:val="00850A4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A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50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A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228/13</vt:lpstr>
    </vt:vector>
  </TitlesOfParts>
  <Company>Judgment No. 9/14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228/13</dc:title>
  <dc:creator>BANANGA</dc:creator>
  <cp:lastModifiedBy>LIBRARY</cp:lastModifiedBy>
  <cp:revision>5</cp:revision>
  <cp:lastPrinted>2014-02-14T13:05:00Z</cp:lastPrinted>
  <dcterms:created xsi:type="dcterms:W3CDTF">2014-02-14T13:06:00Z</dcterms:created>
  <dcterms:modified xsi:type="dcterms:W3CDTF">2014-02-21T10:14:00Z</dcterms:modified>
</cp:coreProperties>
</file>