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99" w:rsidRPr="00EB28BC" w:rsidRDefault="00EB28BC" w:rsidP="00380299">
      <w:pPr>
        <w:spacing w:after="0"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 xml:space="preserve">        (</w:t>
      </w:r>
      <w:r w:rsidR="00C91837">
        <w:rPr>
          <w:rFonts w:ascii="Times New Roman" w:hAnsi="Times New Roman" w:cs="Times New Roman"/>
          <w:b/>
          <w:sz w:val="24"/>
          <w:szCs w:val="24"/>
        </w:rPr>
        <w:t>96</w:t>
      </w:r>
      <w:r>
        <w:rPr>
          <w:rFonts w:ascii="Times New Roman" w:hAnsi="Times New Roman" w:cs="Times New Roman"/>
          <w:b/>
          <w:sz w:val="24"/>
          <w:szCs w:val="24"/>
        </w:rPr>
        <w:t>)</w:t>
      </w:r>
    </w:p>
    <w:p w:rsidR="00380299" w:rsidRPr="00900647" w:rsidRDefault="00380299" w:rsidP="00380299">
      <w:pPr>
        <w:spacing w:after="0" w:line="480" w:lineRule="auto"/>
        <w:rPr>
          <w:rFonts w:ascii="Times New Roman" w:hAnsi="Times New Roman" w:cs="Times New Roman"/>
          <w:sz w:val="24"/>
          <w:szCs w:val="24"/>
        </w:rPr>
      </w:pPr>
    </w:p>
    <w:p w:rsidR="00082334" w:rsidRPr="00900647" w:rsidRDefault="00AB11A7" w:rsidP="00380299">
      <w:pPr>
        <w:spacing w:after="0" w:line="240" w:lineRule="auto"/>
        <w:jc w:val="center"/>
        <w:rPr>
          <w:rFonts w:ascii="Times New Roman" w:hAnsi="Times New Roman" w:cs="Times New Roman"/>
          <w:b/>
          <w:sz w:val="24"/>
          <w:szCs w:val="24"/>
        </w:rPr>
      </w:pPr>
      <w:r w:rsidRPr="00900647">
        <w:rPr>
          <w:rFonts w:ascii="Times New Roman" w:hAnsi="Times New Roman" w:cs="Times New Roman"/>
          <w:b/>
          <w:sz w:val="24"/>
          <w:szCs w:val="24"/>
        </w:rPr>
        <w:t xml:space="preserve">CHRISTMAS </w:t>
      </w:r>
      <w:r w:rsidR="004621DB">
        <w:rPr>
          <w:rFonts w:ascii="Times New Roman" w:hAnsi="Times New Roman" w:cs="Times New Roman"/>
          <w:b/>
          <w:sz w:val="24"/>
          <w:szCs w:val="24"/>
        </w:rPr>
        <w:t xml:space="preserve">    </w:t>
      </w:r>
      <w:r w:rsidRPr="00900647">
        <w:rPr>
          <w:rFonts w:ascii="Times New Roman" w:hAnsi="Times New Roman" w:cs="Times New Roman"/>
          <w:b/>
          <w:sz w:val="24"/>
          <w:szCs w:val="24"/>
        </w:rPr>
        <w:t>MAZARIRE</w:t>
      </w:r>
    </w:p>
    <w:p w:rsidR="00AB11A7" w:rsidRPr="00900647" w:rsidRDefault="00380299" w:rsidP="00380299">
      <w:pPr>
        <w:spacing w:after="0" w:line="240" w:lineRule="auto"/>
        <w:jc w:val="center"/>
        <w:rPr>
          <w:rFonts w:ascii="Times New Roman" w:hAnsi="Times New Roman" w:cs="Times New Roman"/>
          <w:b/>
          <w:sz w:val="24"/>
          <w:szCs w:val="24"/>
        </w:rPr>
      </w:pPr>
      <w:r w:rsidRPr="00900647">
        <w:rPr>
          <w:rFonts w:ascii="Times New Roman" w:hAnsi="Times New Roman" w:cs="Times New Roman"/>
          <w:b/>
          <w:sz w:val="24"/>
          <w:szCs w:val="24"/>
        </w:rPr>
        <w:t>v</w:t>
      </w:r>
    </w:p>
    <w:p w:rsidR="00AB11A7" w:rsidRPr="004621DB" w:rsidRDefault="00380299" w:rsidP="00380299">
      <w:pPr>
        <w:pStyle w:val="ListParagraph"/>
        <w:numPr>
          <w:ilvl w:val="0"/>
          <w:numId w:val="5"/>
        </w:numPr>
        <w:spacing w:after="0" w:line="240" w:lineRule="auto"/>
        <w:jc w:val="center"/>
        <w:rPr>
          <w:rFonts w:ascii="Times New Roman" w:hAnsi="Times New Roman" w:cs="Times New Roman"/>
          <w:b/>
          <w:sz w:val="24"/>
          <w:szCs w:val="24"/>
        </w:rPr>
      </w:pPr>
      <w:r w:rsidRPr="004621DB">
        <w:rPr>
          <w:rFonts w:ascii="Times New Roman" w:hAnsi="Times New Roman" w:cs="Times New Roman"/>
          <w:b/>
          <w:sz w:val="24"/>
          <w:szCs w:val="24"/>
        </w:rPr>
        <w:t xml:space="preserve">    THE    </w:t>
      </w:r>
      <w:r w:rsidR="00C16DEC">
        <w:rPr>
          <w:rFonts w:ascii="Times New Roman" w:hAnsi="Times New Roman" w:cs="Times New Roman"/>
          <w:b/>
          <w:sz w:val="24"/>
          <w:szCs w:val="24"/>
        </w:rPr>
        <w:t xml:space="preserve"> </w:t>
      </w:r>
      <w:r w:rsidRPr="004621DB">
        <w:rPr>
          <w:rFonts w:ascii="Times New Roman" w:hAnsi="Times New Roman" w:cs="Times New Roman"/>
          <w:b/>
          <w:sz w:val="24"/>
          <w:szCs w:val="24"/>
        </w:rPr>
        <w:t>RETRENCHMENT     BOARD</w:t>
      </w:r>
      <w:r w:rsidR="004621DB" w:rsidRPr="004621DB">
        <w:rPr>
          <w:rFonts w:ascii="Times New Roman" w:hAnsi="Times New Roman" w:cs="Times New Roman"/>
          <w:b/>
          <w:sz w:val="24"/>
          <w:szCs w:val="24"/>
        </w:rPr>
        <w:t xml:space="preserve">     </w:t>
      </w:r>
      <w:r w:rsidR="004621DB">
        <w:rPr>
          <w:rFonts w:ascii="Times New Roman" w:hAnsi="Times New Roman" w:cs="Times New Roman"/>
          <w:b/>
          <w:sz w:val="24"/>
          <w:szCs w:val="24"/>
        </w:rPr>
        <w:t>(2)</w:t>
      </w:r>
      <w:r w:rsidRPr="004621DB">
        <w:rPr>
          <w:rFonts w:ascii="Times New Roman" w:hAnsi="Times New Roman" w:cs="Times New Roman"/>
          <w:b/>
          <w:sz w:val="24"/>
          <w:szCs w:val="24"/>
        </w:rPr>
        <w:t xml:space="preserve">    </w:t>
      </w:r>
      <w:r w:rsidR="004621DB">
        <w:rPr>
          <w:rFonts w:ascii="Times New Roman" w:hAnsi="Times New Roman" w:cs="Times New Roman"/>
          <w:b/>
          <w:sz w:val="24"/>
          <w:szCs w:val="24"/>
        </w:rPr>
        <w:t xml:space="preserve"> </w:t>
      </w:r>
      <w:r w:rsidRPr="004621DB">
        <w:rPr>
          <w:rFonts w:ascii="Times New Roman" w:hAnsi="Times New Roman" w:cs="Times New Roman"/>
          <w:b/>
          <w:sz w:val="24"/>
          <w:szCs w:val="24"/>
        </w:rPr>
        <w:t>OLD     MUTUAL     SHARED     SERVICES     (PRIVATE)     LIMITED</w:t>
      </w:r>
    </w:p>
    <w:p w:rsidR="00AB11A7" w:rsidRPr="00900647" w:rsidRDefault="00AB11A7" w:rsidP="00380299">
      <w:pPr>
        <w:spacing w:after="0" w:line="480" w:lineRule="auto"/>
        <w:rPr>
          <w:rFonts w:ascii="Times New Roman" w:hAnsi="Times New Roman" w:cs="Times New Roman"/>
          <w:sz w:val="24"/>
          <w:szCs w:val="24"/>
        </w:rPr>
      </w:pPr>
    </w:p>
    <w:p w:rsidR="00380299" w:rsidRPr="00900647" w:rsidRDefault="00380299" w:rsidP="00380299">
      <w:pPr>
        <w:spacing w:after="0" w:line="480" w:lineRule="auto"/>
        <w:rPr>
          <w:rFonts w:ascii="Times New Roman" w:hAnsi="Times New Roman" w:cs="Times New Roman"/>
          <w:sz w:val="24"/>
          <w:szCs w:val="24"/>
        </w:rPr>
      </w:pPr>
    </w:p>
    <w:p w:rsidR="00AB11A7" w:rsidRPr="00900647" w:rsidRDefault="00380299" w:rsidP="00380299">
      <w:pPr>
        <w:spacing w:after="0" w:line="240" w:lineRule="auto"/>
        <w:rPr>
          <w:rFonts w:ascii="Times New Roman" w:hAnsi="Times New Roman" w:cs="Times New Roman"/>
          <w:b/>
          <w:sz w:val="24"/>
          <w:szCs w:val="24"/>
        </w:rPr>
      </w:pPr>
      <w:r w:rsidRPr="00900647">
        <w:rPr>
          <w:rFonts w:ascii="Times New Roman" w:hAnsi="Times New Roman" w:cs="Times New Roman"/>
          <w:b/>
          <w:sz w:val="24"/>
          <w:szCs w:val="24"/>
        </w:rPr>
        <w:t>SUPREME COURT OF ZIMBABWE</w:t>
      </w:r>
    </w:p>
    <w:p w:rsidR="00AB11A7" w:rsidRPr="00900647" w:rsidRDefault="00380299" w:rsidP="00380299">
      <w:pPr>
        <w:spacing w:after="0" w:line="240" w:lineRule="auto"/>
        <w:rPr>
          <w:rFonts w:ascii="Times New Roman" w:hAnsi="Times New Roman" w:cs="Times New Roman"/>
          <w:b/>
          <w:sz w:val="24"/>
          <w:szCs w:val="24"/>
        </w:rPr>
      </w:pPr>
      <w:r w:rsidRPr="00900647">
        <w:rPr>
          <w:rFonts w:ascii="Times New Roman" w:hAnsi="Times New Roman" w:cs="Times New Roman"/>
          <w:b/>
          <w:sz w:val="24"/>
          <w:szCs w:val="24"/>
        </w:rPr>
        <w:t>MAKARAU JA, GOWORA JA &amp; HLATSHWAYO JA</w:t>
      </w:r>
    </w:p>
    <w:p w:rsidR="00380299" w:rsidRPr="00900647" w:rsidRDefault="007A7D7F" w:rsidP="00380299">
      <w:pPr>
        <w:spacing w:after="0" w:line="240" w:lineRule="auto"/>
        <w:rPr>
          <w:rFonts w:ascii="Times New Roman" w:hAnsi="Times New Roman" w:cs="Times New Roman"/>
          <w:b/>
          <w:sz w:val="24"/>
          <w:szCs w:val="24"/>
        </w:rPr>
      </w:pPr>
      <w:r w:rsidRPr="00900647">
        <w:rPr>
          <w:rFonts w:ascii="Times New Roman" w:hAnsi="Times New Roman" w:cs="Times New Roman"/>
          <w:b/>
          <w:sz w:val="24"/>
          <w:szCs w:val="24"/>
        </w:rPr>
        <w:t xml:space="preserve">HARARE: JUNE 10, 2019 &amp; </w:t>
      </w:r>
      <w:r w:rsidR="003E0F29" w:rsidRPr="00900647">
        <w:rPr>
          <w:rFonts w:ascii="Times New Roman" w:hAnsi="Times New Roman" w:cs="Times New Roman"/>
          <w:b/>
          <w:sz w:val="24"/>
          <w:szCs w:val="24"/>
        </w:rPr>
        <w:t>JULY</w:t>
      </w:r>
      <w:r w:rsidRPr="00900647">
        <w:rPr>
          <w:rFonts w:ascii="Times New Roman" w:hAnsi="Times New Roman" w:cs="Times New Roman"/>
          <w:b/>
          <w:sz w:val="24"/>
          <w:szCs w:val="24"/>
        </w:rPr>
        <w:t xml:space="preserve"> 17</w:t>
      </w:r>
      <w:r w:rsidR="00380299" w:rsidRPr="00900647">
        <w:rPr>
          <w:rFonts w:ascii="Times New Roman" w:hAnsi="Times New Roman" w:cs="Times New Roman"/>
          <w:b/>
          <w:sz w:val="24"/>
          <w:szCs w:val="24"/>
        </w:rPr>
        <w:t>, 2020</w:t>
      </w:r>
    </w:p>
    <w:p w:rsidR="00380299" w:rsidRPr="00900647" w:rsidRDefault="00380299" w:rsidP="00380299">
      <w:pPr>
        <w:spacing w:after="0" w:line="240" w:lineRule="auto"/>
        <w:rPr>
          <w:rFonts w:ascii="Times New Roman" w:hAnsi="Times New Roman" w:cs="Times New Roman"/>
          <w:b/>
          <w:sz w:val="24"/>
          <w:szCs w:val="24"/>
        </w:rPr>
      </w:pPr>
    </w:p>
    <w:p w:rsidR="00AB11A7" w:rsidRPr="00900647" w:rsidRDefault="00AB11A7" w:rsidP="00380299">
      <w:pPr>
        <w:spacing w:after="0" w:line="480" w:lineRule="auto"/>
        <w:rPr>
          <w:rFonts w:ascii="Times New Roman" w:hAnsi="Times New Roman" w:cs="Times New Roman"/>
          <w:sz w:val="24"/>
          <w:szCs w:val="24"/>
        </w:rPr>
      </w:pPr>
    </w:p>
    <w:p w:rsidR="00AB11A7" w:rsidRPr="00900647" w:rsidRDefault="00380299" w:rsidP="00380299">
      <w:pPr>
        <w:spacing w:after="0" w:line="480" w:lineRule="auto"/>
        <w:rPr>
          <w:rFonts w:ascii="Times New Roman" w:hAnsi="Times New Roman" w:cs="Times New Roman"/>
          <w:sz w:val="24"/>
          <w:szCs w:val="24"/>
        </w:rPr>
      </w:pPr>
      <w:r w:rsidRPr="00900647">
        <w:rPr>
          <w:rFonts w:ascii="Times New Roman" w:hAnsi="Times New Roman" w:cs="Times New Roman"/>
          <w:sz w:val="24"/>
          <w:szCs w:val="24"/>
        </w:rPr>
        <w:t>Appellant in person</w:t>
      </w:r>
    </w:p>
    <w:p w:rsidR="00AB11A7" w:rsidRPr="00900647" w:rsidRDefault="00AB11A7" w:rsidP="00380299">
      <w:pPr>
        <w:spacing w:after="0" w:line="480" w:lineRule="auto"/>
        <w:rPr>
          <w:rFonts w:ascii="Times New Roman" w:hAnsi="Times New Roman" w:cs="Times New Roman"/>
          <w:sz w:val="24"/>
          <w:szCs w:val="24"/>
        </w:rPr>
      </w:pPr>
      <w:r w:rsidRPr="00900647">
        <w:rPr>
          <w:rFonts w:ascii="Times New Roman" w:hAnsi="Times New Roman" w:cs="Times New Roman"/>
          <w:sz w:val="24"/>
          <w:szCs w:val="24"/>
        </w:rPr>
        <w:t xml:space="preserve">No appearance for </w:t>
      </w:r>
      <w:r w:rsidR="00380299" w:rsidRPr="00900647">
        <w:rPr>
          <w:rFonts w:ascii="Times New Roman" w:hAnsi="Times New Roman" w:cs="Times New Roman"/>
          <w:sz w:val="24"/>
          <w:szCs w:val="24"/>
        </w:rPr>
        <w:t>first</w:t>
      </w:r>
      <w:r w:rsidRPr="00900647">
        <w:rPr>
          <w:rFonts w:ascii="Times New Roman" w:hAnsi="Times New Roman" w:cs="Times New Roman"/>
          <w:sz w:val="24"/>
          <w:szCs w:val="24"/>
        </w:rPr>
        <w:t xml:space="preserve"> respondent </w:t>
      </w:r>
    </w:p>
    <w:p w:rsidR="00AB11A7" w:rsidRPr="00900647" w:rsidRDefault="00AB11A7" w:rsidP="00380299">
      <w:pPr>
        <w:spacing w:after="0" w:line="480" w:lineRule="auto"/>
        <w:rPr>
          <w:rFonts w:ascii="Times New Roman" w:hAnsi="Times New Roman" w:cs="Times New Roman"/>
          <w:sz w:val="24"/>
          <w:szCs w:val="24"/>
        </w:rPr>
      </w:pPr>
      <w:r w:rsidRPr="00900647">
        <w:rPr>
          <w:rFonts w:ascii="Times New Roman" w:hAnsi="Times New Roman" w:cs="Times New Roman"/>
          <w:i/>
          <w:sz w:val="24"/>
          <w:szCs w:val="24"/>
        </w:rPr>
        <w:t>T. Magwaliba</w:t>
      </w:r>
      <w:r w:rsidRPr="00900647">
        <w:rPr>
          <w:rFonts w:ascii="Times New Roman" w:hAnsi="Times New Roman" w:cs="Times New Roman"/>
          <w:sz w:val="24"/>
          <w:szCs w:val="24"/>
        </w:rPr>
        <w:t xml:space="preserve"> for </w:t>
      </w:r>
      <w:r w:rsidR="00380299" w:rsidRPr="00900647">
        <w:rPr>
          <w:rFonts w:ascii="Times New Roman" w:hAnsi="Times New Roman" w:cs="Times New Roman"/>
          <w:sz w:val="24"/>
          <w:szCs w:val="24"/>
        </w:rPr>
        <w:t>second Respondent</w:t>
      </w:r>
    </w:p>
    <w:p w:rsidR="00AB11A7" w:rsidRPr="00900647" w:rsidRDefault="00AB11A7" w:rsidP="00380299">
      <w:pPr>
        <w:spacing w:after="0" w:line="480" w:lineRule="auto"/>
        <w:jc w:val="both"/>
        <w:rPr>
          <w:rFonts w:ascii="Times New Roman" w:hAnsi="Times New Roman" w:cs="Times New Roman"/>
          <w:sz w:val="24"/>
          <w:szCs w:val="24"/>
        </w:rPr>
      </w:pPr>
    </w:p>
    <w:p w:rsidR="00AB11A7" w:rsidRPr="00900647" w:rsidRDefault="00181697" w:rsidP="00380299">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b/>
          <w:sz w:val="24"/>
          <w:szCs w:val="24"/>
        </w:rPr>
        <w:t>MAKARAU</w:t>
      </w:r>
      <w:r w:rsidR="00AB11A7" w:rsidRPr="00900647">
        <w:rPr>
          <w:rFonts w:ascii="Times New Roman" w:hAnsi="Times New Roman" w:cs="Times New Roman"/>
          <w:b/>
          <w:sz w:val="24"/>
          <w:szCs w:val="24"/>
        </w:rPr>
        <w:t xml:space="preserve"> JA</w:t>
      </w:r>
      <w:r w:rsidR="00380299" w:rsidRPr="00900647">
        <w:rPr>
          <w:rFonts w:ascii="Times New Roman" w:hAnsi="Times New Roman" w:cs="Times New Roman"/>
          <w:b/>
          <w:sz w:val="24"/>
          <w:szCs w:val="24"/>
        </w:rPr>
        <w:t>:</w:t>
      </w:r>
      <w:r w:rsidR="0039685E" w:rsidRPr="00900647">
        <w:rPr>
          <w:rFonts w:ascii="Times New Roman" w:hAnsi="Times New Roman" w:cs="Times New Roman"/>
          <w:sz w:val="24"/>
          <w:szCs w:val="24"/>
        </w:rPr>
        <w:t xml:space="preserve"> </w:t>
      </w:r>
      <w:r w:rsidR="00380299" w:rsidRPr="00900647">
        <w:rPr>
          <w:rFonts w:ascii="Times New Roman" w:hAnsi="Times New Roman" w:cs="Times New Roman"/>
          <w:sz w:val="24"/>
          <w:szCs w:val="24"/>
        </w:rPr>
        <w:t xml:space="preserve"> </w:t>
      </w:r>
      <w:r w:rsidR="00BD30CD" w:rsidRPr="00900647">
        <w:rPr>
          <w:rFonts w:ascii="Times New Roman" w:hAnsi="Times New Roman" w:cs="Times New Roman"/>
          <w:sz w:val="24"/>
          <w:szCs w:val="24"/>
        </w:rPr>
        <w:t>On 12 October 2015, the first respondent declined jurisdiction to quantify the appellant’s retrenchment package</w:t>
      </w:r>
      <w:r w:rsidR="007F2DE7" w:rsidRPr="00900647">
        <w:rPr>
          <w:rFonts w:ascii="Times New Roman" w:hAnsi="Times New Roman" w:cs="Times New Roman"/>
          <w:sz w:val="24"/>
          <w:szCs w:val="24"/>
        </w:rPr>
        <w:t xml:space="preserve"> upon the termination of his employment with the second respondent.</w:t>
      </w:r>
      <w:r w:rsidR="00BD30CD" w:rsidRPr="00900647">
        <w:rPr>
          <w:rFonts w:ascii="Times New Roman" w:hAnsi="Times New Roman" w:cs="Times New Roman"/>
          <w:sz w:val="24"/>
          <w:szCs w:val="24"/>
        </w:rPr>
        <w:t xml:space="preserve"> Aggrieved </w:t>
      </w:r>
      <w:r w:rsidR="000E7D92" w:rsidRPr="00900647">
        <w:rPr>
          <w:rFonts w:ascii="Times New Roman" w:hAnsi="Times New Roman" w:cs="Times New Roman"/>
          <w:sz w:val="24"/>
          <w:szCs w:val="24"/>
        </w:rPr>
        <w:t>b</w:t>
      </w:r>
      <w:r w:rsidR="006B7996" w:rsidRPr="00900647">
        <w:rPr>
          <w:rFonts w:ascii="Times New Roman" w:hAnsi="Times New Roman" w:cs="Times New Roman"/>
          <w:sz w:val="24"/>
          <w:szCs w:val="24"/>
        </w:rPr>
        <w:t>y the</w:t>
      </w:r>
      <w:r w:rsidR="00BD30CD" w:rsidRPr="00900647">
        <w:rPr>
          <w:rFonts w:ascii="Times New Roman" w:hAnsi="Times New Roman" w:cs="Times New Roman"/>
          <w:sz w:val="24"/>
          <w:szCs w:val="24"/>
        </w:rPr>
        <w:t xml:space="preserve"> decision, the appellant brought a review</w:t>
      </w:r>
      <w:r w:rsidR="006B7996" w:rsidRPr="00900647">
        <w:rPr>
          <w:rFonts w:ascii="Times New Roman" w:hAnsi="Times New Roman" w:cs="Times New Roman"/>
          <w:sz w:val="24"/>
          <w:szCs w:val="24"/>
        </w:rPr>
        <w:t xml:space="preserve"> application before the Labour C</w:t>
      </w:r>
      <w:r w:rsidR="00BD30CD" w:rsidRPr="00900647">
        <w:rPr>
          <w:rFonts w:ascii="Times New Roman" w:hAnsi="Times New Roman" w:cs="Times New Roman"/>
          <w:sz w:val="24"/>
          <w:szCs w:val="24"/>
        </w:rPr>
        <w:t xml:space="preserve">ourt, seeking </w:t>
      </w:r>
      <w:r w:rsidR="006B7996" w:rsidRPr="00900647">
        <w:rPr>
          <w:rFonts w:ascii="Times New Roman" w:hAnsi="Times New Roman" w:cs="Times New Roman"/>
          <w:sz w:val="24"/>
          <w:szCs w:val="24"/>
        </w:rPr>
        <w:t xml:space="preserve">among other relief, </w:t>
      </w:r>
      <w:r w:rsidR="00BD30CD" w:rsidRPr="00900647">
        <w:rPr>
          <w:rFonts w:ascii="Times New Roman" w:hAnsi="Times New Roman" w:cs="Times New Roman"/>
          <w:sz w:val="24"/>
          <w:szCs w:val="24"/>
        </w:rPr>
        <w:t>to have t</w:t>
      </w:r>
      <w:r w:rsidR="007F2DE7" w:rsidRPr="00900647">
        <w:rPr>
          <w:rFonts w:ascii="Times New Roman" w:hAnsi="Times New Roman" w:cs="Times New Roman"/>
          <w:sz w:val="24"/>
          <w:szCs w:val="24"/>
        </w:rPr>
        <w:t>he first respondent’s</w:t>
      </w:r>
      <w:r w:rsidR="00BD30CD" w:rsidRPr="00900647">
        <w:rPr>
          <w:rFonts w:ascii="Times New Roman" w:hAnsi="Times New Roman" w:cs="Times New Roman"/>
          <w:sz w:val="24"/>
          <w:szCs w:val="24"/>
        </w:rPr>
        <w:t xml:space="preserve"> decision </w:t>
      </w:r>
      <w:r w:rsidR="00B8217B" w:rsidRPr="00900647">
        <w:rPr>
          <w:rFonts w:ascii="Times New Roman" w:hAnsi="Times New Roman" w:cs="Times New Roman"/>
          <w:sz w:val="24"/>
          <w:szCs w:val="24"/>
        </w:rPr>
        <w:t>set aside</w:t>
      </w:r>
      <w:r w:rsidR="00BD30CD" w:rsidRPr="00900647">
        <w:rPr>
          <w:rFonts w:ascii="Times New Roman" w:hAnsi="Times New Roman" w:cs="Times New Roman"/>
          <w:sz w:val="24"/>
          <w:szCs w:val="24"/>
        </w:rPr>
        <w:t xml:space="preserve">. He was unsuccessful. </w:t>
      </w:r>
      <w:r w:rsidR="0039685E" w:rsidRPr="00900647">
        <w:rPr>
          <w:rFonts w:ascii="Times New Roman" w:hAnsi="Times New Roman" w:cs="Times New Roman"/>
          <w:sz w:val="24"/>
          <w:szCs w:val="24"/>
        </w:rPr>
        <w:t>T</w:t>
      </w:r>
      <w:r w:rsidR="00CF75AC" w:rsidRPr="00900647">
        <w:rPr>
          <w:rFonts w:ascii="Times New Roman" w:hAnsi="Times New Roman" w:cs="Times New Roman"/>
          <w:sz w:val="24"/>
          <w:szCs w:val="24"/>
        </w:rPr>
        <w:t>his</w:t>
      </w:r>
      <w:r w:rsidR="008D278E" w:rsidRPr="00900647">
        <w:rPr>
          <w:rFonts w:ascii="Times New Roman" w:hAnsi="Times New Roman" w:cs="Times New Roman"/>
          <w:sz w:val="24"/>
          <w:szCs w:val="24"/>
        </w:rPr>
        <w:t xml:space="preserve"> is an appeal against the</w:t>
      </w:r>
      <w:r w:rsidR="00AB11A7" w:rsidRPr="00900647">
        <w:rPr>
          <w:rFonts w:ascii="Times New Roman" w:hAnsi="Times New Roman" w:cs="Times New Roman"/>
          <w:sz w:val="24"/>
          <w:szCs w:val="24"/>
        </w:rPr>
        <w:t xml:space="preserve"> </w:t>
      </w:r>
      <w:r w:rsidR="005C7439" w:rsidRPr="00900647">
        <w:rPr>
          <w:rFonts w:ascii="Times New Roman" w:hAnsi="Times New Roman" w:cs="Times New Roman"/>
          <w:sz w:val="24"/>
          <w:szCs w:val="24"/>
        </w:rPr>
        <w:t xml:space="preserve">entire </w:t>
      </w:r>
      <w:r w:rsidR="00AB11A7" w:rsidRPr="00900647">
        <w:rPr>
          <w:rFonts w:ascii="Times New Roman" w:hAnsi="Times New Roman" w:cs="Times New Roman"/>
          <w:sz w:val="24"/>
          <w:szCs w:val="24"/>
        </w:rPr>
        <w:t>judgment of the Labour Court handed</w:t>
      </w:r>
      <w:r w:rsidR="00380299" w:rsidRPr="00900647">
        <w:rPr>
          <w:rFonts w:ascii="Times New Roman" w:hAnsi="Times New Roman" w:cs="Times New Roman"/>
          <w:sz w:val="24"/>
          <w:szCs w:val="24"/>
        </w:rPr>
        <w:t xml:space="preserve"> down on 4 </w:t>
      </w:r>
      <w:r w:rsidR="00CF75AC" w:rsidRPr="00900647">
        <w:rPr>
          <w:rFonts w:ascii="Times New Roman" w:hAnsi="Times New Roman" w:cs="Times New Roman"/>
          <w:sz w:val="24"/>
          <w:szCs w:val="24"/>
        </w:rPr>
        <w:t>November</w:t>
      </w:r>
      <w:r w:rsidR="00380299" w:rsidRPr="00900647">
        <w:rPr>
          <w:rFonts w:ascii="Times New Roman" w:hAnsi="Times New Roman" w:cs="Times New Roman"/>
          <w:sz w:val="24"/>
          <w:szCs w:val="24"/>
        </w:rPr>
        <w:t> </w:t>
      </w:r>
      <w:r w:rsidR="00AB11A7" w:rsidRPr="00900647">
        <w:rPr>
          <w:rFonts w:ascii="Times New Roman" w:hAnsi="Times New Roman" w:cs="Times New Roman"/>
          <w:sz w:val="24"/>
          <w:szCs w:val="24"/>
        </w:rPr>
        <w:t>2016</w:t>
      </w:r>
      <w:r w:rsidR="008D278E" w:rsidRPr="00900647">
        <w:rPr>
          <w:rFonts w:ascii="Times New Roman" w:hAnsi="Times New Roman" w:cs="Times New Roman"/>
          <w:sz w:val="24"/>
          <w:szCs w:val="24"/>
        </w:rPr>
        <w:t>, d</w:t>
      </w:r>
      <w:r w:rsidR="000332F6" w:rsidRPr="00900647">
        <w:rPr>
          <w:rFonts w:ascii="Times New Roman" w:hAnsi="Times New Roman" w:cs="Times New Roman"/>
          <w:sz w:val="24"/>
          <w:szCs w:val="24"/>
        </w:rPr>
        <w:t xml:space="preserve">ismissing </w:t>
      </w:r>
      <w:r w:rsidR="00CF75AC" w:rsidRPr="00900647">
        <w:rPr>
          <w:rFonts w:ascii="Times New Roman" w:hAnsi="Times New Roman" w:cs="Times New Roman"/>
          <w:sz w:val="24"/>
          <w:szCs w:val="24"/>
        </w:rPr>
        <w:t>with c</w:t>
      </w:r>
      <w:r w:rsidR="008D278E" w:rsidRPr="00900647">
        <w:rPr>
          <w:rFonts w:ascii="Times New Roman" w:hAnsi="Times New Roman" w:cs="Times New Roman"/>
          <w:sz w:val="24"/>
          <w:szCs w:val="24"/>
        </w:rPr>
        <w:t>osts, the application</w:t>
      </w:r>
      <w:r w:rsidR="00B768F1" w:rsidRPr="00900647">
        <w:rPr>
          <w:rFonts w:ascii="Times New Roman" w:hAnsi="Times New Roman" w:cs="Times New Roman"/>
          <w:sz w:val="24"/>
          <w:szCs w:val="24"/>
        </w:rPr>
        <w:t xml:space="preserve"> for review</w:t>
      </w:r>
      <w:r w:rsidR="008D278E" w:rsidRPr="00900647">
        <w:rPr>
          <w:rFonts w:ascii="Times New Roman" w:hAnsi="Times New Roman" w:cs="Times New Roman"/>
          <w:sz w:val="24"/>
          <w:szCs w:val="24"/>
        </w:rPr>
        <w:t>.</w:t>
      </w:r>
    </w:p>
    <w:p w:rsidR="00380299" w:rsidRPr="00900647" w:rsidRDefault="00380299" w:rsidP="00380299">
      <w:pPr>
        <w:spacing w:after="0" w:line="480" w:lineRule="auto"/>
        <w:ind w:firstLine="1134"/>
        <w:jc w:val="both"/>
        <w:rPr>
          <w:rFonts w:ascii="Times New Roman" w:hAnsi="Times New Roman" w:cs="Times New Roman"/>
          <w:i/>
          <w:sz w:val="24"/>
          <w:szCs w:val="24"/>
        </w:rPr>
      </w:pPr>
    </w:p>
    <w:p w:rsidR="0039685E" w:rsidRPr="00900647" w:rsidRDefault="00380299" w:rsidP="00380299">
      <w:pPr>
        <w:spacing w:after="0" w:line="480" w:lineRule="auto"/>
        <w:jc w:val="both"/>
        <w:rPr>
          <w:rFonts w:ascii="Times New Roman" w:hAnsi="Times New Roman" w:cs="Times New Roman"/>
          <w:b/>
          <w:sz w:val="24"/>
          <w:szCs w:val="24"/>
        </w:rPr>
      </w:pPr>
      <w:r w:rsidRPr="00900647">
        <w:rPr>
          <w:rFonts w:ascii="Times New Roman" w:hAnsi="Times New Roman" w:cs="Times New Roman"/>
          <w:b/>
          <w:sz w:val="24"/>
          <w:szCs w:val="24"/>
        </w:rPr>
        <w:t>Background facts</w:t>
      </w:r>
    </w:p>
    <w:p w:rsidR="003850C0" w:rsidRPr="00900647" w:rsidRDefault="0039685E" w:rsidP="00380299">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The appellant was employed by the second respondent </w:t>
      </w:r>
      <w:r w:rsidR="00B84EF9" w:rsidRPr="00900647">
        <w:rPr>
          <w:rFonts w:ascii="Times New Roman" w:hAnsi="Times New Roman" w:cs="Times New Roman"/>
          <w:sz w:val="24"/>
          <w:szCs w:val="24"/>
        </w:rPr>
        <w:t xml:space="preserve">as General Manager (Risk). </w:t>
      </w:r>
      <w:r w:rsidR="00380299" w:rsidRPr="00900647">
        <w:rPr>
          <w:rFonts w:ascii="Times New Roman" w:hAnsi="Times New Roman" w:cs="Times New Roman"/>
          <w:sz w:val="24"/>
          <w:szCs w:val="24"/>
        </w:rPr>
        <w:t xml:space="preserve">By letter dated 6 March 2014, </w:t>
      </w:r>
      <w:r w:rsidR="00D41B09" w:rsidRPr="00900647">
        <w:rPr>
          <w:rFonts w:ascii="Times New Roman" w:hAnsi="Times New Roman" w:cs="Times New Roman"/>
          <w:sz w:val="24"/>
          <w:szCs w:val="24"/>
        </w:rPr>
        <w:t>the second respondent advised</w:t>
      </w:r>
      <w:r w:rsidR="00AC0453" w:rsidRPr="00900647">
        <w:rPr>
          <w:rFonts w:ascii="Times New Roman" w:hAnsi="Times New Roman" w:cs="Times New Roman"/>
          <w:sz w:val="24"/>
          <w:szCs w:val="24"/>
        </w:rPr>
        <w:t xml:space="preserve"> </w:t>
      </w:r>
      <w:r w:rsidR="001C74C3" w:rsidRPr="00900647">
        <w:rPr>
          <w:rFonts w:ascii="Times New Roman" w:hAnsi="Times New Roman" w:cs="Times New Roman"/>
          <w:sz w:val="24"/>
          <w:szCs w:val="24"/>
        </w:rPr>
        <w:t>the appellant of its intention</w:t>
      </w:r>
      <w:r w:rsidR="00AC0453" w:rsidRPr="00900647">
        <w:rPr>
          <w:rFonts w:ascii="Times New Roman" w:hAnsi="Times New Roman" w:cs="Times New Roman"/>
          <w:sz w:val="24"/>
          <w:szCs w:val="24"/>
        </w:rPr>
        <w:t xml:space="preserve"> to terminate </w:t>
      </w:r>
      <w:r w:rsidR="005B0684" w:rsidRPr="00900647">
        <w:rPr>
          <w:rFonts w:ascii="Times New Roman" w:hAnsi="Times New Roman" w:cs="Times New Roman"/>
          <w:sz w:val="24"/>
          <w:szCs w:val="24"/>
        </w:rPr>
        <w:t>his services by</w:t>
      </w:r>
      <w:r w:rsidR="00AC0453" w:rsidRPr="00900647">
        <w:rPr>
          <w:rFonts w:ascii="Times New Roman" w:hAnsi="Times New Roman" w:cs="Times New Roman"/>
          <w:sz w:val="24"/>
          <w:szCs w:val="24"/>
        </w:rPr>
        <w:t xml:space="preserve"> way of retrenchment.</w:t>
      </w:r>
      <w:r w:rsidR="001F7776" w:rsidRPr="00900647">
        <w:rPr>
          <w:rFonts w:ascii="Times New Roman" w:hAnsi="Times New Roman" w:cs="Times New Roman"/>
          <w:sz w:val="24"/>
          <w:szCs w:val="24"/>
        </w:rPr>
        <w:t xml:space="preserve"> </w:t>
      </w:r>
      <w:r w:rsidR="005B0684" w:rsidRPr="00900647">
        <w:rPr>
          <w:rFonts w:ascii="Times New Roman" w:hAnsi="Times New Roman" w:cs="Times New Roman"/>
          <w:sz w:val="24"/>
          <w:szCs w:val="24"/>
        </w:rPr>
        <w:t>The termination of services was to be effective on 31 March 2014.</w:t>
      </w:r>
      <w:r w:rsidR="007E7E22" w:rsidRPr="00900647">
        <w:rPr>
          <w:rFonts w:ascii="Times New Roman" w:hAnsi="Times New Roman" w:cs="Times New Roman"/>
          <w:sz w:val="24"/>
          <w:szCs w:val="24"/>
        </w:rPr>
        <w:t xml:space="preserve"> </w:t>
      </w:r>
    </w:p>
    <w:p w:rsidR="0039685E" w:rsidRPr="00900647" w:rsidRDefault="007E7E22" w:rsidP="00380299">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lastRenderedPageBreak/>
        <w:t>A dispute aro</w:t>
      </w:r>
      <w:r w:rsidR="00ED212B" w:rsidRPr="00900647">
        <w:rPr>
          <w:rFonts w:ascii="Times New Roman" w:hAnsi="Times New Roman" w:cs="Times New Roman"/>
          <w:sz w:val="24"/>
          <w:szCs w:val="24"/>
        </w:rPr>
        <w:t xml:space="preserve">se between the parties as to </w:t>
      </w:r>
      <w:r w:rsidRPr="00900647">
        <w:rPr>
          <w:rFonts w:ascii="Times New Roman" w:hAnsi="Times New Roman" w:cs="Times New Roman"/>
          <w:sz w:val="24"/>
          <w:szCs w:val="24"/>
        </w:rPr>
        <w:t>the</w:t>
      </w:r>
      <w:r w:rsidR="001101C6" w:rsidRPr="00900647">
        <w:rPr>
          <w:rFonts w:ascii="Times New Roman" w:hAnsi="Times New Roman" w:cs="Times New Roman"/>
          <w:sz w:val="24"/>
          <w:szCs w:val="24"/>
        </w:rPr>
        <w:t xml:space="preserve"> </w:t>
      </w:r>
      <w:r w:rsidR="007B7CFC" w:rsidRPr="00900647">
        <w:rPr>
          <w:rFonts w:ascii="Times New Roman" w:hAnsi="Times New Roman" w:cs="Times New Roman"/>
          <w:sz w:val="24"/>
          <w:szCs w:val="24"/>
        </w:rPr>
        <w:t>package payable</w:t>
      </w:r>
      <w:r w:rsidRPr="00900647">
        <w:rPr>
          <w:rFonts w:ascii="Times New Roman" w:hAnsi="Times New Roman" w:cs="Times New Roman"/>
          <w:sz w:val="24"/>
          <w:szCs w:val="24"/>
        </w:rPr>
        <w:t xml:space="preserve"> to the appellant</w:t>
      </w:r>
      <w:r w:rsidR="00C16ABE" w:rsidRPr="00900647">
        <w:rPr>
          <w:rFonts w:ascii="Times New Roman" w:hAnsi="Times New Roman" w:cs="Times New Roman"/>
          <w:sz w:val="24"/>
          <w:szCs w:val="24"/>
        </w:rPr>
        <w:t xml:space="preserve"> upon</w:t>
      </w:r>
      <w:r w:rsidR="001101C6" w:rsidRPr="00900647">
        <w:rPr>
          <w:rFonts w:ascii="Times New Roman" w:hAnsi="Times New Roman" w:cs="Times New Roman"/>
          <w:sz w:val="24"/>
          <w:szCs w:val="24"/>
        </w:rPr>
        <w:t xml:space="preserve"> </w:t>
      </w:r>
      <w:r w:rsidR="007B7CFC" w:rsidRPr="00900647">
        <w:rPr>
          <w:rFonts w:ascii="Times New Roman" w:hAnsi="Times New Roman" w:cs="Times New Roman"/>
          <w:sz w:val="24"/>
          <w:szCs w:val="24"/>
        </w:rPr>
        <w:t>retrenchment</w:t>
      </w:r>
      <w:r w:rsidR="001655BE" w:rsidRPr="00900647">
        <w:rPr>
          <w:rFonts w:ascii="Times New Roman" w:hAnsi="Times New Roman" w:cs="Times New Roman"/>
          <w:sz w:val="24"/>
          <w:szCs w:val="24"/>
        </w:rPr>
        <w:t xml:space="preserve">. </w:t>
      </w:r>
      <w:r w:rsidR="001F7776" w:rsidRPr="00900647">
        <w:rPr>
          <w:rFonts w:ascii="Times New Roman" w:hAnsi="Times New Roman" w:cs="Times New Roman"/>
          <w:sz w:val="24"/>
          <w:szCs w:val="24"/>
        </w:rPr>
        <w:t xml:space="preserve">On 3 April 2014, the second respondent referred the dispute </w:t>
      </w:r>
      <w:r w:rsidR="00B1538C" w:rsidRPr="00900647">
        <w:rPr>
          <w:rFonts w:ascii="Times New Roman" w:hAnsi="Times New Roman" w:cs="Times New Roman"/>
          <w:sz w:val="24"/>
          <w:szCs w:val="24"/>
        </w:rPr>
        <w:t>to the</w:t>
      </w:r>
      <w:r w:rsidR="008B2B71" w:rsidRPr="00900647">
        <w:rPr>
          <w:rFonts w:ascii="Times New Roman" w:hAnsi="Times New Roman" w:cs="Times New Roman"/>
          <w:sz w:val="24"/>
          <w:szCs w:val="24"/>
        </w:rPr>
        <w:t xml:space="preserve"> first respondent</w:t>
      </w:r>
      <w:r w:rsidR="00C16ABE" w:rsidRPr="00900647">
        <w:rPr>
          <w:rFonts w:ascii="Times New Roman" w:hAnsi="Times New Roman" w:cs="Times New Roman"/>
          <w:sz w:val="24"/>
          <w:szCs w:val="24"/>
        </w:rPr>
        <w:t>.</w:t>
      </w:r>
      <w:r w:rsidR="00AA0DF8" w:rsidRPr="00900647">
        <w:rPr>
          <w:rFonts w:ascii="Times New Roman" w:hAnsi="Times New Roman" w:cs="Times New Roman"/>
          <w:sz w:val="24"/>
          <w:szCs w:val="24"/>
        </w:rPr>
        <w:t xml:space="preserve"> </w:t>
      </w:r>
    </w:p>
    <w:p w:rsidR="00380299" w:rsidRPr="00900647" w:rsidRDefault="00380299" w:rsidP="00380299">
      <w:pPr>
        <w:spacing w:after="0" w:line="480" w:lineRule="auto"/>
        <w:jc w:val="both"/>
        <w:rPr>
          <w:rFonts w:ascii="Times New Roman" w:hAnsi="Times New Roman" w:cs="Times New Roman"/>
          <w:sz w:val="24"/>
          <w:szCs w:val="24"/>
        </w:rPr>
      </w:pPr>
    </w:p>
    <w:p w:rsidR="00397E91" w:rsidRPr="00900647" w:rsidRDefault="00AA0DF8" w:rsidP="00380299">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The first responden</w:t>
      </w:r>
      <w:r w:rsidR="00380299" w:rsidRPr="00900647">
        <w:rPr>
          <w:rFonts w:ascii="Times New Roman" w:hAnsi="Times New Roman" w:cs="Times New Roman"/>
          <w:sz w:val="24"/>
          <w:szCs w:val="24"/>
        </w:rPr>
        <w:t>t heard the referral on 26 June </w:t>
      </w:r>
      <w:r w:rsidRPr="00900647">
        <w:rPr>
          <w:rFonts w:ascii="Times New Roman" w:hAnsi="Times New Roman" w:cs="Times New Roman"/>
          <w:sz w:val="24"/>
          <w:szCs w:val="24"/>
        </w:rPr>
        <w:t xml:space="preserve">2014. It </w:t>
      </w:r>
      <w:r w:rsidR="003A2E04" w:rsidRPr="00900647">
        <w:rPr>
          <w:rFonts w:ascii="Times New Roman" w:hAnsi="Times New Roman" w:cs="Times New Roman"/>
          <w:sz w:val="24"/>
          <w:szCs w:val="24"/>
        </w:rPr>
        <w:t xml:space="preserve">declined to determine </w:t>
      </w:r>
      <w:r w:rsidRPr="00900647">
        <w:rPr>
          <w:rFonts w:ascii="Times New Roman" w:hAnsi="Times New Roman" w:cs="Times New Roman"/>
          <w:sz w:val="24"/>
          <w:szCs w:val="24"/>
        </w:rPr>
        <w:t>the matter which it referred back to the employer</w:t>
      </w:r>
      <w:r w:rsidR="00CE294A" w:rsidRPr="00900647">
        <w:rPr>
          <w:rFonts w:ascii="Times New Roman" w:hAnsi="Times New Roman" w:cs="Times New Roman"/>
          <w:sz w:val="24"/>
          <w:szCs w:val="24"/>
        </w:rPr>
        <w:t>, the second respondent.</w:t>
      </w:r>
      <w:r w:rsidR="00AF70B8" w:rsidRPr="00900647">
        <w:rPr>
          <w:rFonts w:ascii="Times New Roman" w:hAnsi="Times New Roman" w:cs="Times New Roman"/>
          <w:sz w:val="24"/>
          <w:szCs w:val="24"/>
        </w:rPr>
        <w:t xml:space="preserve"> The first </w:t>
      </w:r>
      <w:r w:rsidR="00007D40" w:rsidRPr="00900647">
        <w:rPr>
          <w:rFonts w:ascii="Times New Roman" w:hAnsi="Times New Roman" w:cs="Times New Roman"/>
          <w:sz w:val="24"/>
          <w:szCs w:val="24"/>
        </w:rPr>
        <w:t>respondent’s reasons</w:t>
      </w:r>
      <w:r w:rsidR="00AF70B8" w:rsidRPr="00900647">
        <w:rPr>
          <w:rFonts w:ascii="Times New Roman" w:hAnsi="Times New Roman" w:cs="Times New Roman"/>
          <w:sz w:val="24"/>
          <w:szCs w:val="24"/>
        </w:rPr>
        <w:t xml:space="preserve"> for declining jurisdiction and referring the dispute </w:t>
      </w:r>
      <w:r w:rsidRPr="00900647">
        <w:rPr>
          <w:rFonts w:ascii="Times New Roman" w:hAnsi="Times New Roman" w:cs="Times New Roman"/>
          <w:sz w:val="24"/>
          <w:szCs w:val="24"/>
        </w:rPr>
        <w:t>back to the employer are not on reco</w:t>
      </w:r>
      <w:r w:rsidR="00397E91" w:rsidRPr="00900647">
        <w:rPr>
          <w:rFonts w:ascii="Times New Roman" w:hAnsi="Times New Roman" w:cs="Times New Roman"/>
          <w:sz w:val="24"/>
          <w:szCs w:val="24"/>
        </w:rPr>
        <w:t>rd</w:t>
      </w:r>
      <w:r w:rsidR="00D567B7" w:rsidRPr="00900647">
        <w:rPr>
          <w:rFonts w:ascii="Times New Roman" w:hAnsi="Times New Roman" w:cs="Times New Roman"/>
          <w:sz w:val="24"/>
          <w:szCs w:val="24"/>
        </w:rPr>
        <w:t xml:space="preserve">. They </w:t>
      </w:r>
      <w:r w:rsidR="00397E91" w:rsidRPr="00900647">
        <w:rPr>
          <w:rFonts w:ascii="Times New Roman" w:hAnsi="Times New Roman" w:cs="Times New Roman"/>
          <w:sz w:val="24"/>
          <w:szCs w:val="24"/>
        </w:rPr>
        <w:t xml:space="preserve">are not necessary for the determination of this appeal. </w:t>
      </w:r>
    </w:p>
    <w:p w:rsidR="00380299" w:rsidRPr="00900647" w:rsidRDefault="00380299" w:rsidP="00380299">
      <w:pPr>
        <w:spacing w:after="0" w:line="480" w:lineRule="auto"/>
        <w:ind w:firstLine="1134"/>
        <w:jc w:val="both"/>
        <w:rPr>
          <w:rFonts w:ascii="Times New Roman" w:hAnsi="Times New Roman" w:cs="Times New Roman"/>
          <w:sz w:val="24"/>
          <w:szCs w:val="24"/>
        </w:rPr>
      </w:pPr>
    </w:p>
    <w:p w:rsidR="009805E5" w:rsidRPr="00900647" w:rsidRDefault="009442A0" w:rsidP="00380299">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Subsequently, the</w:t>
      </w:r>
      <w:r w:rsidR="00AA0DF8" w:rsidRPr="00900647">
        <w:rPr>
          <w:rFonts w:ascii="Times New Roman" w:hAnsi="Times New Roman" w:cs="Times New Roman"/>
          <w:sz w:val="24"/>
          <w:szCs w:val="24"/>
        </w:rPr>
        <w:t xml:space="preserve"> second respondent issued </w:t>
      </w:r>
      <w:r w:rsidR="009F7793" w:rsidRPr="00900647">
        <w:rPr>
          <w:rFonts w:ascii="Times New Roman" w:hAnsi="Times New Roman" w:cs="Times New Roman"/>
          <w:sz w:val="24"/>
          <w:szCs w:val="24"/>
        </w:rPr>
        <w:t xml:space="preserve">the appellant with </w:t>
      </w:r>
      <w:r w:rsidR="00AA0DF8" w:rsidRPr="00900647">
        <w:rPr>
          <w:rFonts w:ascii="Times New Roman" w:hAnsi="Times New Roman" w:cs="Times New Roman"/>
          <w:sz w:val="24"/>
          <w:szCs w:val="24"/>
        </w:rPr>
        <w:t>a “notice t</w:t>
      </w:r>
      <w:r w:rsidR="007C6057" w:rsidRPr="00900647">
        <w:rPr>
          <w:rFonts w:ascii="Times New Roman" w:hAnsi="Times New Roman" w:cs="Times New Roman"/>
          <w:sz w:val="24"/>
          <w:szCs w:val="24"/>
        </w:rPr>
        <w:t xml:space="preserve">o retrench” after </w:t>
      </w:r>
      <w:r w:rsidR="00AA0DF8" w:rsidRPr="00900647">
        <w:rPr>
          <w:rFonts w:ascii="Times New Roman" w:hAnsi="Times New Roman" w:cs="Times New Roman"/>
          <w:sz w:val="24"/>
          <w:szCs w:val="24"/>
        </w:rPr>
        <w:t>reinstat</w:t>
      </w:r>
      <w:r w:rsidR="007C6057" w:rsidRPr="00900647">
        <w:rPr>
          <w:rFonts w:ascii="Times New Roman" w:hAnsi="Times New Roman" w:cs="Times New Roman"/>
          <w:sz w:val="24"/>
          <w:szCs w:val="24"/>
        </w:rPr>
        <w:t xml:space="preserve">ing </w:t>
      </w:r>
      <w:r w:rsidR="00AA0DF8" w:rsidRPr="00900647">
        <w:rPr>
          <w:rFonts w:ascii="Times New Roman" w:hAnsi="Times New Roman" w:cs="Times New Roman"/>
          <w:sz w:val="24"/>
          <w:szCs w:val="24"/>
        </w:rPr>
        <w:t>his salary in full. The dispute relating to th</w:t>
      </w:r>
      <w:r w:rsidR="000663D4" w:rsidRPr="00900647">
        <w:rPr>
          <w:rFonts w:ascii="Times New Roman" w:hAnsi="Times New Roman" w:cs="Times New Roman"/>
          <w:sz w:val="24"/>
          <w:szCs w:val="24"/>
        </w:rPr>
        <w:t>e package payable</w:t>
      </w:r>
      <w:r w:rsidR="00397E91" w:rsidRPr="00900647">
        <w:rPr>
          <w:rFonts w:ascii="Times New Roman" w:hAnsi="Times New Roman" w:cs="Times New Roman"/>
          <w:sz w:val="24"/>
          <w:szCs w:val="24"/>
        </w:rPr>
        <w:t xml:space="preserve"> to the appellant upon retrenchment remained un</w:t>
      </w:r>
      <w:r w:rsidR="000663D4" w:rsidRPr="00900647">
        <w:rPr>
          <w:rFonts w:ascii="Times New Roman" w:hAnsi="Times New Roman" w:cs="Times New Roman"/>
          <w:sz w:val="24"/>
          <w:szCs w:val="24"/>
        </w:rPr>
        <w:t xml:space="preserve">resolved and was </w:t>
      </w:r>
      <w:r w:rsidR="0009524A" w:rsidRPr="00900647">
        <w:rPr>
          <w:rFonts w:ascii="Times New Roman" w:hAnsi="Times New Roman" w:cs="Times New Roman"/>
          <w:sz w:val="24"/>
          <w:szCs w:val="24"/>
        </w:rPr>
        <w:t>referred back to the first respondent.</w:t>
      </w:r>
      <w:r w:rsidR="00397E91" w:rsidRPr="00900647">
        <w:rPr>
          <w:rFonts w:ascii="Times New Roman" w:hAnsi="Times New Roman" w:cs="Times New Roman"/>
          <w:sz w:val="24"/>
          <w:szCs w:val="24"/>
        </w:rPr>
        <w:t xml:space="preserve"> Through a process that has not </w:t>
      </w:r>
      <w:r w:rsidR="00D50E18" w:rsidRPr="00900647">
        <w:rPr>
          <w:rFonts w:ascii="Times New Roman" w:hAnsi="Times New Roman" w:cs="Times New Roman"/>
          <w:sz w:val="24"/>
          <w:szCs w:val="24"/>
        </w:rPr>
        <w:t xml:space="preserve">been </w:t>
      </w:r>
      <w:r w:rsidR="001756BC" w:rsidRPr="00900647">
        <w:rPr>
          <w:rFonts w:ascii="Times New Roman" w:hAnsi="Times New Roman" w:cs="Times New Roman"/>
          <w:sz w:val="24"/>
          <w:szCs w:val="24"/>
        </w:rPr>
        <w:t xml:space="preserve">fully </w:t>
      </w:r>
      <w:r w:rsidR="00D50E18" w:rsidRPr="00900647">
        <w:rPr>
          <w:rFonts w:ascii="Times New Roman" w:hAnsi="Times New Roman" w:cs="Times New Roman"/>
          <w:sz w:val="24"/>
          <w:szCs w:val="24"/>
        </w:rPr>
        <w:t>explained</w:t>
      </w:r>
      <w:r w:rsidR="00397E91" w:rsidRPr="00900647">
        <w:rPr>
          <w:rFonts w:ascii="Times New Roman" w:hAnsi="Times New Roman" w:cs="Times New Roman"/>
          <w:sz w:val="24"/>
          <w:szCs w:val="24"/>
        </w:rPr>
        <w:t xml:space="preserve"> in the papers filed of record, the matter </w:t>
      </w:r>
      <w:r w:rsidR="00823676" w:rsidRPr="00900647">
        <w:rPr>
          <w:rFonts w:ascii="Times New Roman" w:hAnsi="Times New Roman" w:cs="Times New Roman"/>
          <w:sz w:val="24"/>
          <w:szCs w:val="24"/>
        </w:rPr>
        <w:t xml:space="preserve">was escalated to and </w:t>
      </w:r>
      <w:r w:rsidR="00C95B0E" w:rsidRPr="00900647">
        <w:rPr>
          <w:rFonts w:ascii="Times New Roman" w:hAnsi="Times New Roman" w:cs="Times New Roman"/>
          <w:sz w:val="24"/>
          <w:szCs w:val="24"/>
        </w:rPr>
        <w:t xml:space="preserve">was </w:t>
      </w:r>
      <w:r w:rsidR="00397E91" w:rsidRPr="00900647">
        <w:rPr>
          <w:rFonts w:ascii="Times New Roman" w:hAnsi="Times New Roman" w:cs="Times New Roman"/>
          <w:sz w:val="24"/>
          <w:szCs w:val="24"/>
        </w:rPr>
        <w:t>resolved by the Minister</w:t>
      </w:r>
      <w:r w:rsidR="00C16B48" w:rsidRPr="00900647">
        <w:rPr>
          <w:rFonts w:ascii="Times New Roman" w:hAnsi="Times New Roman" w:cs="Times New Roman"/>
          <w:sz w:val="24"/>
          <w:szCs w:val="24"/>
        </w:rPr>
        <w:t xml:space="preserve"> of Public Service, Labour and Social Welfare</w:t>
      </w:r>
      <w:r w:rsidR="00EE523E" w:rsidRPr="00900647">
        <w:rPr>
          <w:rFonts w:ascii="Times New Roman" w:hAnsi="Times New Roman" w:cs="Times New Roman"/>
          <w:sz w:val="24"/>
          <w:szCs w:val="24"/>
        </w:rPr>
        <w:t xml:space="preserve"> </w:t>
      </w:r>
      <w:r w:rsidR="00397E91" w:rsidRPr="00900647">
        <w:rPr>
          <w:rFonts w:ascii="Times New Roman" w:hAnsi="Times New Roman" w:cs="Times New Roman"/>
          <w:sz w:val="24"/>
          <w:szCs w:val="24"/>
        </w:rPr>
        <w:t>who</w:t>
      </w:r>
      <w:r w:rsidR="00EE3FE3" w:rsidRPr="00900647">
        <w:rPr>
          <w:rFonts w:ascii="Times New Roman" w:hAnsi="Times New Roman" w:cs="Times New Roman"/>
          <w:sz w:val="24"/>
          <w:szCs w:val="24"/>
        </w:rPr>
        <w:t>,</w:t>
      </w:r>
      <w:r w:rsidR="00397E91" w:rsidRPr="00900647">
        <w:rPr>
          <w:rFonts w:ascii="Times New Roman" w:hAnsi="Times New Roman" w:cs="Times New Roman"/>
          <w:sz w:val="24"/>
          <w:szCs w:val="24"/>
        </w:rPr>
        <w:t xml:space="preserve"> on 2 March 2015, </w:t>
      </w:r>
      <w:r w:rsidR="00823676" w:rsidRPr="00900647">
        <w:rPr>
          <w:rFonts w:ascii="Times New Roman" w:hAnsi="Times New Roman" w:cs="Times New Roman"/>
          <w:sz w:val="24"/>
          <w:szCs w:val="24"/>
        </w:rPr>
        <w:t>authorised the second respondent to retrench the</w:t>
      </w:r>
      <w:r w:rsidR="00362C70" w:rsidRPr="00900647">
        <w:rPr>
          <w:rFonts w:ascii="Times New Roman" w:hAnsi="Times New Roman" w:cs="Times New Roman"/>
          <w:sz w:val="24"/>
          <w:szCs w:val="24"/>
        </w:rPr>
        <w:t xml:space="preserve"> appellant</w:t>
      </w:r>
      <w:r w:rsidR="00235645" w:rsidRPr="00900647">
        <w:rPr>
          <w:rFonts w:ascii="Times New Roman" w:hAnsi="Times New Roman" w:cs="Times New Roman"/>
          <w:sz w:val="24"/>
          <w:szCs w:val="24"/>
        </w:rPr>
        <w:t>.</w:t>
      </w:r>
      <w:r w:rsidR="00823676" w:rsidRPr="00900647">
        <w:rPr>
          <w:rFonts w:ascii="Times New Roman" w:hAnsi="Times New Roman" w:cs="Times New Roman"/>
          <w:sz w:val="24"/>
          <w:szCs w:val="24"/>
        </w:rPr>
        <w:t xml:space="preserve"> It is common cause that </w:t>
      </w:r>
      <w:r w:rsidR="004E3FF1" w:rsidRPr="00900647">
        <w:rPr>
          <w:rFonts w:ascii="Times New Roman" w:hAnsi="Times New Roman" w:cs="Times New Roman"/>
          <w:sz w:val="24"/>
          <w:szCs w:val="24"/>
        </w:rPr>
        <w:t xml:space="preserve">before approving the retrenchment of the appellant, </w:t>
      </w:r>
      <w:r w:rsidR="009805E5" w:rsidRPr="00900647">
        <w:rPr>
          <w:rFonts w:ascii="Times New Roman" w:hAnsi="Times New Roman" w:cs="Times New Roman"/>
          <w:sz w:val="24"/>
          <w:szCs w:val="24"/>
        </w:rPr>
        <w:t>the Minister received recommendations from the first respondent</w:t>
      </w:r>
      <w:r w:rsidR="00225B8B" w:rsidRPr="00900647">
        <w:rPr>
          <w:rFonts w:ascii="Times New Roman" w:hAnsi="Times New Roman" w:cs="Times New Roman"/>
          <w:sz w:val="24"/>
          <w:szCs w:val="24"/>
        </w:rPr>
        <w:t>.</w:t>
      </w:r>
    </w:p>
    <w:p w:rsidR="00380299" w:rsidRPr="00900647" w:rsidRDefault="00380299" w:rsidP="00380299">
      <w:pPr>
        <w:spacing w:after="0" w:line="480" w:lineRule="auto"/>
        <w:ind w:firstLine="1134"/>
        <w:jc w:val="both"/>
        <w:rPr>
          <w:rFonts w:ascii="Times New Roman" w:hAnsi="Times New Roman" w:cs="Times New Roman"/>
          <w:sz w:val="24"/>
          <w:szCs w:val="24"/>
        </w:rPr>
      </w:pPr>
    </w:p>
    <w:p w:rsidR="00717D04" w:rsidRDefault="00B87657" w:rsidP="00380299">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It is further common cause that the </w:t>
      </w:r>
      <w:r w:rsidR="00E23BB1" w:rsidRPr="00900647">
        <w:rPr>
          <w:rFonts w:ascii="Times New Roman" w:hAnsi="Times New Roman" w:cs="Times New Roman"/>
          <w:sz w:val="24"/>
          <w:szCs w:val="24"/>
        </w:rPr>
        <w:t xml:space="preserve">appellant’s </w:t>
      </w:r>
      <w:r w:rsidR="00B24173" w:rsidRPr="00900647">
        <w:rPr>
          <w:rFonts w:ascii="Times New Roman" w:hAnsi="Times New Roman" w:cs="Times New Roman"/>
          <w:sz w:val="24"/>
          <w:szCs w:val="24"/>
        </w:rPr>
        <w:t xml:space="preserve">retrenchment </w:t>
      </w:r>
      <w:r w:rsidR="00B54C19" w:rsidRPr="00900647">
        <w:rPr>
          <w:rFonts w:ascii="Times New Roman" w:hAnsi="Times New Roman" w:cs="Times New Roman"/>
          <w:sz w:val="24"/>
          <w:szCs w:val="24"/>
        </w:rPr>
        <w:t xml:space="preserve">was approved </w:t>
      </w:r>
      <w:r w:rsidR="00B24173" w:rsidRPr="00900647">
        <w:rPr>
          <w:rFonts w:ascii="Times New Roman" w:hAnsi="Times New Roman" w:cs="Times New Roman"/>
          <w:sz w:val="24"/>
          <w:szCs w:val="24"/>
        </w:rPr>
        <w:t xml:space="preserve">on condition the second respondent paid a gratuity </w:t>
      </w:r>
      <w:r w:rsidR="00235645" w:rsidRPr="00900647">
        <w:rPr>
          <w:rFonts w:ascii="Times New Roman" w:hAnsi="Times New Roman" w:cs="Times New Roman"/>
          <w:sz w:val="24"/>
          <w:szCs w:val="24"/>
        </w:rPr>
        <w:t>equi</w:t>
      </w:r>
      <w:r w:rsidR="00B24173" w:rsidRPr="00900647">
        <w:rPr>
          <w:rFonts w:ascii="Times New Roman" w:hAnsi="Times New Roman" w:cs="Times New Roman"/>
          <w:sz w:val="24"/>
          <w:szCs w:val="24"/>
        </w:rPr>
        <w:t>valent to one month’s salary for every year of service, a stabilisation allowance equivalent to</w:t>
      </w:r>
      <w:r w:rsidR="007431F4" w:rsidRPr="00900647">
        <w:rPr>
          <w:rFonts w:ascii="Times New Roman" w:hAnsi="Times New Roman" w:cs="Times New Roman"/>
          <w:sz w:val="24"/>
          <w:szCs w:val="24"/>
        </w:rPr>
        <w:t xml:space="preserve"> two month’s salary and a severance payment equivalent to</w:t>
      </w:r>
      <w:r w:rsidR="00B54C19" w:rsidRPr="00900647">
        <w:rPr>
          <w:rFonts w:ascii="Times New Roman" w:hAnsi="Times New Roman" w:cs="Times New Roman"/>
          <w:sz w:val="24"/>
          <w:szCs w:val="24"/>
        </w:rPr>
        <w:t xml:space="preserve"> 13</w:t>
      </w:r>
      <w:r w:rsidR="00444FE6" w:rsidRPr="00900647">
        <w:rPr>
          <w:rFonts w:ascii="Times New Roman" w:hAnsi="Times New Roman" w:cs="Times New Roman"/>
          <w:sz w:val="24"/>
          <w:szCs w:val="24"/>
        </w:rPr>
        <w:t>,</w:t>
      </w:r>
      <w:r w:rsidR="00731712" w:rsidRPr="00900647">
        <w:rPr>
          <w:rFonts w:ascii="Times New Roman" w:hAnsi="Times New Roman" w:cs="Times New Roman"/>
          <w:sz w:val="24"/>
          <w:szCs w:val="24"/>
        </w:rPr>
        <w:t>5</w:t>
      </w:r>
      <w:r w:rsidR="00B54C19" w:rsidRPr="00900647">
        <w:rPr>
          <w:rFonts w:ascii="Times New Roman" w:hAnsi="Times New Roman" w:cs="Times New Roman"/>
          <w:sz w:val="24"/>
          <w:szCs w:val="24"/>
        </w:rPr>
        <w:t xml:space="preserve"> month’s salary.</w:t>
      </w:r>
      <w:r w:rsidR="007431F4" w:rsidRPr="00900647">
        <w:rPr>
          <w:rFonts w:ascii="Times New Roman" w:hAnsi="Times New Roman" w:cs="Times New Roman"/>
          <w:sz w:val="24"/>
          <w:szCs w:val="24"/>
        </w:rPr>
        <w:t xml:space="preserve"> </w:t>
      </w:r>
      <w:r w:rsidR="00731712" w:rsidRPr="00900647">
        <w:rPr>
          <w:rFonts w:ascii="Times New Roman" w:hAnsi="Times New Roman" w:cs="Times New Roman"/>
          <w:sz w:val="24"/>
          <w:szCs w:val="24"/>
        </w:rPr>
        <w:t xml:space="preserve"> </w:t>
      </w:r>
    </w:p>
    <w:p w:rsidR="003B5B63" w:rsidRPr="00900647" w:rsidRDefault="003B5B63" w:rsidP="00380299">
      <w:pPr>
        <w:spacing w:after="0" w:line="480" w:lineRule="auto"/>
        <w:ind w:firstLine="1134"/>
        <w:jc w:val="both"/>
        <w:rPr>
          <w:rFonts w:ascii="Times New Roman" w:hAnsi="Times New Roman" w:cs="Times New Roman"/>
          <w:sz w:val="24"/>
          <w:szCs w:val="24"/>
        </w:rPr>
      </w:pPr>
    </w:p>
    <w:p w:rsidR="001427C2" w:rsidRPr="00900647" w:rsidRDefault="00731712" w:rsidP="00380299">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In implementing the retrenchment, the second respondent used the appellant’s pensionable salary t</w:t>
      </w:r>
      <w:r w:rsidR="00444FE6" w:rsidRPr="00900647">
        <w:rPr>
          <w:rFonts w:ascii="Times New Roman" w:hAnsi="Times New Roman" w:cs="Times New Roman"/>
          <w:sz w:val="24"/>
          <w:szCs w:val="24"/>
        </w:rPr>
        <w:t>o quantify the total</w:t>
      </w:r>
      <w:r w:rsidR="00293F76" w:rsidRPr="00900647">
        <w:rPr>
          <w:rFonts w:ascii="Times New Roman" w:hAnsi="Times New Roman" w:cs="Times New Roman"/>
          <w:sz w:val="24"/>
          <w:szCs w:val="24"/>
        </w:rPr>
        <w:t xml:space="preserve"> package payabl</w:t>
      </w:r>
      <w:r w:rsidR="00686E3B" w:rsidRPr="00900647">
        <w:rPr>
          <w:rFonts w:ascii="Times New Roman" w:hAnsi="Times New Roman" w:cs="Times New Roman"/>
          <w:sz w:val="24"/>
          <w:szCs w:val="24"/>
        </w:rPr>
        <w:t>e</w:t>
      </w:r>
      <w:r w:rsidRPr="00900647">
        <w:rPr>
          <w:rFonts w:ascii="Times New Roman" w:hAnsi="Times New Roman" w:cs="Times New Roman"/>
          <w:sz w:val="24"/>
          <w:szCs w:val="24"/>
        </w:rPr>
        <w:t>. Th</w:t>
      </w:r>
      <w:r w:rsidR="00781A69" w:rsidRPr="00900647">
        <w:rPr>
          <w:rFonts w:ascii="Times New Roman" w:hAnsi="Times New Roman" w:cs="Times New Roman"/>
          <w:sz w:val="24"/>
          <w:szCs w:val="24"/>
        </w:rPr>
        <w:t>is d</w:t>
      </w:r>
      <w:r w:rsidRPr="00900647">
        <w:rPr>
          <w:rFonts w:ascii="Times New Roman" w:hAnsi="Times New Roman" w:cs="Times New Roman"/>
          <w:sz w:val="24"/>
          <w:szCs w:val="24"/>
        </w:rPr>
        <w:t>issatisfied</w:t>
      </w:r>
      <w:r w:rsidR="00B2615B" w:rsidRPr="00900647">
        <w:rPr>
          <w:rFonts w:ascii="Times New Roman" w:hAnsi="Times New Roman" w:cs="Times New Roman"/>
          <w:sz w:val="24"/>
          <w:szCs w:val="24"/>
        </w:rPr>
        <w:t xml:space="preserve"> </w:t>
      </w:r>
      <w:r w:rsidR="00781A69" w:rsidRPr="00900647">
        <w:rPr>
          <w:rFonts w:ascii="Times New Roman" w:hAnsi="Times New Roman" w:cs="Times New Roman"/>
          <w:sz w:val="24"/>
          <w:szCs w:val="24"/>
        </w:rPr>
        <w:t>the appellant who,</w:t>
      </w:r>
      <w:r w:rsidR="000C2F70" w:rsidRPr="00900647">
        <w:rPr>
          <w:rFonts w:ascii="Times New Roman" w:hAnsi="Times New Roman" w:cs="Times New Roman"/>
          <w:sz w:val="24"/>
          <w:szCs w:val="24"/>
        </w:rPr>
        <w:t xml:space="preserve"> </w:t>
      </w:r>
      <w:r w:rsidR="000C2F70" w:rsidRPr="00900647">
        <w:rPr>
          <w:rFonts w:ascii="Times New Roman" w:hAnsi="Times New Roman" w:cs="Times New Roman"/>
          <w:sz w:val="24"/>
          <w:szCs w:val="24"/>
        </w:rPr>
        <w:lastRenderedPageBreak/>
        <w:t xml:space="preserve">contended </w:t>
      </w:r>
      <w:r w:rsidRPr="00900647">
        <w:rPr>
          <w:rFonts w:ascii="Times New Roman" w:hAnsi="Times New Roman" w:cs="Times New Roman"/>
          <w:sz w:val="24"/>
          <w:szCs w:val="24"/>
        </w:rPr>
        <w:t xml:space="preserve">that the second </w:t>
      </w:r>
      <w:r w:rsidR="00B2615B" w:rsidRPr="00900647">
        <w:rPr>
          <w:rFonts w:ascii="Times New Roman" w:hAnsi="Times New Roman" w:cs="Times New Roman"/>
          <w:sz w:val="24"/>
          <w:szCs w:val="24"/>
        </w:rPr>
        <w:t>respondent ought to have used his total guaranteed monthly salary</w:t>
      </w:r>
      <w:r w:rsidR="00EB3F3B" w:rsidRPr="00900647">
        <w:rPr>
          <w:rFonts w:ascii="Times New Roman" w:hAnsi="Times New Roman" w:cs="Times New Roman"/>
          <w:sz w:val="24"/>
          <w:szCs w:val="24"/>
        </w:rPr>
        <w:t xml:space="preserve"> as t</w:t>
      </w:r>
      <w:r w:rsidR="00B84EF9" w:rsidRPr="00900647">
        <w:rPr>
          <w:rFonts w:ascii="Times New Roman" w:hAnsi="Times New Roman" w:cs="Times New Roman"/>
          <w:sz w:val="24"/>
          <w:szCs w:val="24"/>
        </w:rPr>
        <w:t>he basis of the quantification.</w:t>
      </w:r>
      <w:r w:rsidR="009211B6" w:rsidRPr="00900647">
        <w:rPr>
          <w:rFonts w:ascii="Times New Roman" w:hAnsi="Times New Roman" w:cs="Times New Roman"/>
          <w:sz w:val="24"/>
          <w:szCs w:val="24"/>
        </w:rPr>
        <w:t xml:space="preserve"> </w:t>
      </w:r>
      <w:r w:rsidR="00654231" w:rsidRPr="00900647">
        <w:rPr>
          <w:rFonts w:ascii="Times New Roman" w:hAnsi="Times New Roman" w:cs="Times New Roman"/>
          <w:sz w:val="24"/>
          <w:szCs w:val="24"/>
        </w:rPr>
        <w:t>He referred the m</w:t>
      </w:r>
      <w:r w:rsidR="0092211B" w:rsidRPr="00900647">
        <w:rPr>
          <w:rFonts w:ascii="Times New Roman" w:hAnsi="Times New Roman" w:cs="Times New Roman"/>
          <w:sz w:val="24"/>
          <w:szCs w:val="24"/>
        </w:rPr>
        <w:t xml:space="preserve">atter back to the first </w:t>
      </w:r>
      <w:r w:rsidR="00686E3B" w:rsidRPr="00900647">
        <w:rPr>
          <w:rFonts w:ascii="Times New Roman" w:hAnsi="Times New Roman" w:cs="Times New Roman"/>
          <w:sz w:val="24"/>
          <w:szCs w:val="24"/>
        </w:rPr>
        <w:t xml:space="preserve">respondent, </w:t>
      </w:r>
      <w:r w:rsidR="001427C2" w:rsidRPr="00900647">
        <w:rPr>
          <w:rFonts w:ascii="Times New Roman" w:hAnsi="Times New Roman" w:cs="Times New Roman"/>
          <w:sz w:val="24"/>
          <w:szCs w:val="24"/>
        </w:rPr>
        <w:t>seeking determination of the dispute</w:t>
      </w:r>
      <w:r w:rsidR="000C2F70" w:rsidRPr="00900647">
        <w:rPr>
          <w:rFonts w:ascii="Times New Roman" w:hAnsi="Times New Roman" w:cs="Times New Roman"/>
          <w:sz w:val="24"/>
          <w:szCs w:val="24"/>
        </w:rPr>
        <w:t xml:space="preserve"> as to what would constitute an</w:t>
      </w:r>
      <w:r w:rsidR="001427C2" w:rsidRPr="00900647">
        <w:rPr>
          <w:rFonts w:ascii="Times New Roman" w:hAnsi="Times New Roman" w:cs="Times New Roman"/>
          <w:sz w:val="24"/>
          <w:szCs w:val="24"/>
        </w:rPr>
        <w:t xml:space="preserve"> accurate computation of his package.</w:t>
      </w:r>
      <w:r w:rsidR="000C2F70" w:rsidRPr="00900647">
        <w:rPr>
          <w:rFonts w:ascii="Times New Roman" w:hAnsi="Times New Roman" w:cs="Times New Roman"/>
          <w:sz w:val="24"/>
          <w:szCs w:val="24"/>
        </w:rPr>
        <w:t xml:space="preserve"> This referral would constitute the third referral of the dispute to the first respondent. </w:t>
      </w:r>
    </w:p>
    <w:p w:rsidR="00380299" w:rsidRPr="00900647" w:rsidRDefault="00380299" w:rsidP="00380299">
      <w:pPr>
        <w:spacing w:after="0" w:line="480" w:lineRule="auto"/>
        <w:ind w:firstLine="1134"/>
        <w:jc w:val="both"/>
        <w:rPr>
          <w:rFonts w:ascii="Times New Roman" w:hAnsi="Times New Roman" w:cs="Times New Roman"/>
          <w:sz w:val="24"/>
          <w:szCs w:val="24"/>
        </w:rPr>
      </w:pPr>
    </w:p>
    <w:p w:rsidR="00B62B02" w:rsidRPr="00900647" w:rsidRDefault="00B62B02" w:rsidP="00380299">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The first respondent did not set the matter down for hearing. In a letter addressed to the parties</w:t>
      </w:r>
      <w:r w:rsidR="009762F5" w:rsidRPr="00900647">
        <w:rPr>
          <w:rFonts w:ascii="Times New Roman" w:hAnsi="Times New Roman" w:cs="Times New Roman"/>
          <w:sz w:val="24"/>
          <w:szCs w:val="24"/>
        </w:rPr>
        <w:t xml:space="preserve"> and dated 12 </w:t>
      </w:r>
      <w:r w:rsidR="00594B5E" w:rsidRPr="00900647">
        <w:rPr>
          <w:rFonts w:ascii="Times New Roman" w:hAnsi="Times New Roman" w:cs="Times New Roman"/>
          <w:sz w:val="24"/>
          <w:szCs w:val="24"/>
        </w:rPr>
        <w:t>October 2015</w:t>
      </w:r>
      <w:r w:rsidRPr="00900647">
        <w:rPr>
          <w:rFonts w:ascii="Times New Roman" w:hAnsi="Times New Roman" w:cs="Times New Roman"/>
          <w:sz w:val="24"/>
          <w:szCs w:val="24"/>
        </w:rPr>
        <w:t xml:space="preserve">, it declined jurisdiction in the following terms: </w:t>
      </w:r>
    </w:p>
    <w:p w:rsidR="00B62B02" w:rsidRPr="00900647" w:rsidRDefault="00B62B02" w:rsidP="00E900EA">
      <w:pPr>
        <w:spacing w:after="0" w:line="240" w:lineRule="auto"/>
        <w:ind w:left="567"/>
        <w:jc w:val="both"/>
        <w:rPr>
          <w:rFonts w:ascii="Times New Roman" w:hAnsi="Times New Roman" w:cs="Times New Roman"/>
          <w:sz w:val="24"/>
          <w:szCs w:val="24"/>
        </w:rPr>
      </w:pPr>
      <w:r w:rsidRPr="00900647">
        <w:rPr>
          <w:rFonts w:ascii="Times New Roman" w:hAnsi="Times New Roman" w:cs="Times New Roman"/>
          <w:i/>
          <w:sz w:val="24"/>
          <w:szCs w:val="24"/>
        </w:rPr>
        <w:t>“</w:t>
      </w:r>
      <w:r w:rsidRPr="00900647">
        <w:rPr>
          <w:rFonts w:ascii="Times New Roman" w:hAnsi="Times New Roman" w:cs="Times New Roman"/>
          <w:sz w:val="24"/>
          <w:szCs w:val="24"/>
        </w:rPr>
        <w:t>Kindly be advised that the Retrenchment Board has no jurisdiction over disputes arising from terms and conditions of employment.</w:t>
      </w:r>
    </w:p>
    <w:p w:rsidR="00DA6863" w:rsidRPr="00900647" w:rsidRDefault="00B62B02" w:rsidP="00E900EA">
      <w:pPr>
        <w:spacing w:after="0" w:line="240" w:lineRule="auto"/>
        <w:ind w:left="567"/>
        <w:jc w:val="both"/>
        <w:rPr>
          <w:rFonts w:ascii="Times New Roman" w:hAnsi="Times New Roman" w:cs="Times New Roman"/>
          <w:i/>
          <w:sz w:val="24"/>
          <w:szCs w:val="24"/>
        </w:rPr>
      </w:pPr>
      <w:r w:rsidRPr="00900647">
        <w:rPr>
          <w:rFonts w:ascii="Times New Roman" w:hAnsi="Times New Roman" w:cs="Times New Roman"/>
          <w:sz w:val="24"/>
          <w:szCs w:val="24"/>
        </w:rPr>
        <w:t xml:space="preserve">Please refer the matter to a labour officer as per s 93 of the Labour Act </w:t>
      </w:r>
      <w:r w:rsidRPr="00900647">
        <w:rPr>
          <w:rFonts w:ascii="Times New Roman" w:hAnsi="Times New Roman" w:cs="Times New Roman"/>
          <w:i/>
          <w:sz w:val="24"/>
          <w:szCs w:val="24"/>
        </w:rPr>
        <w:t>Chapter 28.01”</w:t>
      </w:r>
    </w:p>
    <w:p w:rsidR="001C756F" w:rsidRPr="00900647" w:rsidRDefault="001C756F" w:rsidP="001C756F">
      <w:pPr>
        <w:spacing w:after="0" w:line="480" w:lineRule="auto"/>
        <w:ind w:firstLine="1134"/>
        <w:jc w:val="both"/>
        <w:rPr>
          <w:rFonts w:ascii="Times New Roman" w:hAnsi="Times New Roman" w:cs="Times New Roman"/>
          <w:i/>
          <w:sz w:val="24"/>
          <w:szCs w:val="24"/>
        </w:rPr>
      </w:pPr>
    </w:p>
    <w:p w:rsidR="00955C74" w:rsidRPr="00900647" w:rsidRDefault="00DA6863" w:rsidP="001C756F">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Contending that the first respondent had</w:t>
      </w:r>
      <w:r w:rsidR="005C6FB4" w:rsidRPr="00900647">
        <w:rPr>
          <w:rFonts w:ascii="Times New Roman" w:hAnsi="Times New Roman" w:cs="Times New Roman"/>
          <w:sz w:val="24"/>
          <w:szCs w:val="24"/>
        </w:rPr>
        <w:t xml:space="preserve"> acted irregularly</w:t>
      </w:r>
      <w:r w:rsidR="00A8524D" w:rsidRPr="00900647">
        <w:rPr>
          <w:rFonts w:ascii="Times New Roman" w:hAnsi="Times New Roman" w:cs="Times New Roman"/>
          <w:sz w:val="24"/>
          <w:szCs w:val="24"/>
        </w:rPr>
        <w:t xml:space="preserve"> in abd</w:t>
      </w:r>
      <w:r w:rsidR="005C6FB4" w:rsidRPr="00900647">
        <w:rPr>
          <w:rFonts w:ascii="Times New Roman" w:hAnsi="Times New Roman" w:cs="Times New Roman"/>
          <w:sz w:val="24"/>
          <w:szCs w:val="24"/>
        </w:rPr>
        <w:t>ication of its statutory duty by</w:t>
      </w:r>
      <w:r w:rsidR="00A8524D" w:rsidRPr="00900647">
        <w:rPr>
          <w:rFonts w:ascii="Times New Roman" w:hAnsi="Times New Roman" w:cs="Times New Roman"/>
          <w:sz w:val="24"/>
          <w:szCs w:val="24"/>
        </w:rPr>
        <w:t xml:space="preserve"> declining jurisdiction in the matter, </w:t>
      </w:r>
      <w:r w:rsidRPr="00900647">
        <w:rPr>
          <w:rFonts w:ascii="Times New Roman" w:hAnsi="Times New Roman" w:cs="Times New Roman"/>
          <w:sz w:val="24"/>
          <w:szCs w:val="24"/>
        </w:rPr>
        <w:t xml:space="preserve">the appellant filed an application for review in the court </w:t>
      </w:r>
      <w:r w:rsidR="00133283" w:rsidRPr="00900647">
        <w:rPr>
          <w:rFonts w:ascii="Times New Roman" w:hAnsi="Times New Roman" w:cs="Times New Roman"/>
          <w:i/>
          <w:sz w:val="24"/>
          <w:szCs w:val="24"/>
        </w:rPr>
        <w:t>a quo</w:t>
      </w:r>
      <w:r w:rsidRPr="00900647">
        <w:rPr>
          <w:rFonts w:ascii="Times New Roman" w:hAnsi="Times New Roman" w:cs="Times New Roman"/>
          <w:i/>
          <w:sz w:val="24"/>
          <w:szCs w:val="24"/>
        </w:rPr>
        <w:t>.</w:t>
      </w:r>
      <w:r w:rsidRPr="00900647">
        <w:rPr>
          <w:rFonts w:ascii="Times New Roman" w:hAnsi="Times New Roman" w:cs="Times New Roman"/>
          <w:sz w:val="24"/>
          <w:szCs w:val="24"/>
        </w:rPr>
        <w:t xml:space="preserve"> </w:t>
      </w:r>
      <w:r w:rsidR="00444FE6" w:rsidRPr="00900647">
        <w:rPr>
          <w:rFonts w:ascii="Times New Roman" w:hAnsi="Times New Roman" w:cs="Times New Roman"/>
          <w:sz w:val="24"/>
          <w:szCs w:val="24"/>
        </w:rPr>
        <w:t xml:space="preserve"> As indicated above, the court </w:t>
      </w:r>
      <w:r w:rsidR="00133283" w:rsidRPr="00900647">
        <w:rPr>
          <w:rFonts w:ascii="Times New Roman" w:hAnsi="Times New Roman" w:cs="Times New Roman"/>
          <w:i/>
          <w:sz w:val="24"/>
          <w:szCs w:val="24"/>
        </w:rPr>
        <w:t>a quo</w:t>
      </w:r>
      <w:r w:rsidR="00444FE6" w:rsidRPr="00900647">
        <w:rPr>
          <w:rFonts w:ascii="Times New Roman" w:hAnsi="Times New Roman" w:cs="Times New Roman"/>
          <w:sz w:val="24"/>
          <w:szCs w:val="24"/>
        </w:rPr>
        <w:t xml:space="preserve"> dismissed the application with an appropriate order of costs.</w:t>
      </w:r>
    </w:p>
    <w:p w:rsidR="009442A0" w:rsidRPr="00900647" w:rsidRDefault="009442A0" w:rsidP="00380299">
      <w:pPr>
        <w:spacing w:after="0" w:line="480" w:lineRule="auto"/>
        <w:jc w:val="both"/>
        <w:rPr>
          <w:rFonts w:ascii="Times New Roman" w:hAnsi="Times New Roman" w:cs="Times New Roman"/>
          <w:sz w:val="24"/>
          <w:szCs w:val="24"/>
        </w:rPr>
      </w:pPr>
    </w:p>
    <w:p w:rsidR="009442A0" w:rsidRPr="00900647" w:rsidRDefault="009442A0" w:rsidP="00380299">
      <w:pPr>
        <w:spacing w:after="0" w:line="480" w:lineRule="auto"/>
        <w:jc w:val="both"/>
        <w:rPr>
          <w:rFonts w:ascii="Times New Roman" w:hAnsi="Times New Roman" w:cs="Times New Roman"/>
          <w:b/>
          <w:sz w:val="24"/>
          <w:szCs w:val="24"/>
        </w:rPr>
      </w:pPr>
      <w:r w:rsidRPr="00900647">
        <w:rPr>
          <w:rFonts w:ascii="Times New Roman" w:hAnsi="Times New Roman" w:cs="Times New Roman"/>
          <w:b/>
          <w:sz w:val="24"/>
          <w:szCs w:val="24"/>
        </w:rPr>
        <w:t xml:space="preserve">The proceedings </w:t>
      </w:r>
      <w:r w:rsidR="00133283" w:rsidRPr="00900647">
        <w:rPr>
          <w:rFonts w:ascii="Times New Roman" w:hAnsi="Times New Roman" w:cs="Times New Roman"/>
          <w:b/>
          <w:i/>
          <w:sz w:val="24"/>
          <w:szCs w:val="24"/>
        </w:rPr>
        <w:t>a quo</w:t>
      </w:r>
    </w:p>
    <w:p w:rsidR="00312605" w:rsidRPr="00900647" w:rsidRDefault="00E00E2E"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In his application for review the appellant alleged that </w:t>
      </w:r>
      <w:r w:rsidR="00444FE6" w:rsidRPr="00900647">
        <w:rPr>
          <w:rFonts w:ascii="Times New Roman" w:hAnsi="Times New Roman" w:cs="Times New Roman"/>
          <w:sz w:val="24"/>
          <w:szCs w:val="24"/>
        </w:rPr>
        <w:t xml:space="preserve">the first respondent </w:t>
      </w:r>
      <w:r w:rsidR="00A8524D" w:rsidRPr="00900647">
        <w:rPr>
          <w:rFonts w:ascii="Times New Roman" w:hAnsi="Times New Roman" w:cs="Times New Roman"/>
          <w:sz w:val="24"/>
          <w:szCs w:val="24"/>
        </w:rPr>
        <w:t>had</w:t>
      </w:r>
      <w:r w:rsidR="00FF32D5" w:rsidRPr="00900647">
        <w:rPr>
          <w:rFonts w:ascii="Times New Roman" w:hAnsi="Times New Roman" w:cs="Times New Roman"/>
          <w:sz w:val="24"/>
          <w:szCs w:val="24"/>
        </w:rPr>
        <w:t xml:space="preserve"> acted irregularly </w:t>
      </w:r>
      <w:r w:rsidR="00A8524D" w:rsidRPr="00900647">
        <w:rPr>
          <w:rFonts w:ascii="Times New Roman" w:hAnsi="Times New Roman" w:cs="Times New Roman"/>
          <w:sz w:val="24"/>
          <w:szCs w:val="24"/>
        </w:rPr>
        <w:t>i</w:t>
      </w:r>
      <w:r w:rsidR="00444FE6" w:rsidRPr="00900647">
        <w:rPr>
          <w:rFonts w:ascii="Times New Roman" w:hAnsi="Times New Roman" w:cs="Times New Roman"/>
          <w:sz w:val="24"/>
          <w:szCs w:val="24"/>
        </w:rPr>
        <w:t xml:space="preserve">n </w:t>
      </w:r>
      <w:r w:rsidR="00FF32D5" w:rsidRPr="00900647">
        <w:rPr>
          <w:rFonts w:ascii="Times New Roman" w:hAnsi="Times New Roman" w:cs="Times New Roman"/>
          <w:i/>
          <w:sz w:val="24"/>
          <w:szCs w:val="24"/>
        </w:rPr>
        <w:t>inter alia</w:t>
      </w:r>
      <w:r w:rsidR="00FF32D5" w:rsidRPr="00900647">
        <w:rPr>
          <w:rFonts w:ascii="Times New Roman" w:hAnsi="Times New Roman" w:cs="Times New Roman"/>
          <w:sz w:val="24"/>
          <w:szCs w:val="24"/>
        </w:rPr>
        <w:t xml:space="preserve"> </w:t>
      </w:r>
      <w:r w:rsidR="00444FE6" w:rsidRPr="00900647">
        <w:rPr>
          <w:rFonts w:ascii="Times New Roman" w:hAnsi="Times New Roman" w:cs="Times New Roman"/>
          <w:sz w:val="24"/>
          <w:szCs w:val="24"/>
        </w:rPr>
        <w:t>declining jurisdiction in the matter</w:t>
      </w:r>
      <w:r w:rsidR="005141BB" w:rsidRPr="00900647">
        <w:rPr>
          <w:rFonts w:ascii="Times New Roman" w:hAnsi="Times New Roman" w:cs="Times New Roman"/>
          <w:sz w:val="24"/>
          <w:szCs w:val="24"/>
        </w:rPr>
        <w:t xml:space="preserve"> when the statute setting it up empowered it to act as requested</w:t>
      </w:r>
      <w:r w:rsidR="00444FE6" w:rsidRPr="00900647">
        <w:rPr>
          <w:rFonts w:ascii="Times New Roman" w:hAnsi="Times New Roman" w:cs="Times New Roman"/>
          <w:sz w:val="24"/>
          <w:szCs w:val="24"/>
        </w:rPr>
        <w:t>.</w:t>
      </w:r>
      <w:r w:rsidR="009211B6" w:rsidRPr="00900647">
        <w:rPr>
          <w:rFonts w:ascii="Times New Roman" w:hAnsi="Times New Roman" w:cs="Times New Roman"/>
          <w:sz w:val="24"/>
          <w:szCs w:val="24"/>
        </w:rPr>
        <w:t xml:space="preserve"> It was his argument that the issue of the correct formula to be used in computing his retrenchment pa</w:t>
      </w:r>
      <w:r w:rsidR="00A8524D" w:rsidRPr="00900647">
        <w:rPr>
          <w:rFonts w:ascii="Times New Roman" w:hAnsi="Times New Roman" w:cs="Times New Roman"/>
          <w:sz w:val="24"/>
          <w:szCs w:val="24"/>
        </w:rPr>
        <w:t>ckage had remained undetermined notwithstanding that it was one of the deadlocked po</w:t>
      </w:r>
      <w:r w:rsidR="00FF32D5" w:rsidRPr="00900647">
        <w:rPr>
          <w:rFonts w:ascii="Times New Roman" w:hAnsi="Times New Roman" w:cs="Times New Roman"/>
          <w:sz w:val="24"/>
          <w:szCs w:val="24"/>
        </w:rPr>
        <w:t>sitions that had been referred to the first respondent in March 2015 before the Minister approved the appellant’s retrenchment. It was his further contention that the first respondent had irregularly and incompetently directed that the dispute be referred to a labour officer, who in the circumstances of the matter, had no jurisdiction over the retrenchment of the appellant.</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F5287D" w:rsidRPr="00900647" w:rsidRDefault="00F5287D"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lastRenderedPageBreak/>
        <w:t xml:space="preserve">The first respondent did not oppose the application. </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F5287D" w:rsidRPr="00900647" w:rsidRDefault="00F5287D"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The second respondent </w:t>
      </w:r>
      <w:r w:rsidR="00223DD3" w:rsidRPr="00900647">
        <w:rPr>
          <w:rFonts w:ascii="Times New Roman" w:hAnsi="Times New Roman" w:cs="Times New Roman"/>
          <w:sz w:val="24"/>
          <w:szCs w:val="24"/>
        </w:rPr>
        <w:t>did. It</w:t>
      </w:r>
      <w:r w:rsidRPr="00900647">
        <w:rPr>
          <w:rFonts w:ascii="Times New Roman" w:hAnsi="Times New Roman" w:cs="Times New Roman"/>
          <w:sz w:val="24"/>
          <w:szCs w:val="24"/>
        </w:rPr>
        <w:t xml:space="preserve"> contend</w:t>
      </w:r>
      <w:r w:rsidR="00223DD3" w:rsidRPr="00900647">
        <w:rPr>
          <w:rFonts w:ascii="Times New Roman" w:hAnsi="Times New Roman" w:cs="Times New Roman"/>
          <w:sz w:val="24"/>
          <w:szCs w:val="24"/>
        </w:rPr>
        <w:t>ed</w:t>
      </w:r>
      <w:r w:rsidRPr="00900647">
        <w:rPr>
          <w:rFonts w:ascii="Times New Roman" w:hAnsi="Times New Roman" w:cs="Times New Roman"/>
          <w:sz w:val="24"/>
          <w:szCs w:val="24"/>
        </w:rPr>
        <w:t xml:space="preserve"> that the first respondent was correct in declining jurisdiction in the matter. </w:t>
      </w:r>
      <w:r w:rsidR="00096FEB" w:rsidRPr="00900647">
        <w:rPr>
          <w:rFonts w:ascii="Times New Roman" w:hAnsi="Times New Roman" w:cs="Times New Roman"/>
          <w:sz w:val="24"/>
          <w:szCs w:val="24"/>
        </w:rPr>
        <w:t xml:space="preserve">In the main and against the main thrust of the appellant’s contentions, it contended that once the first respondent had made its recommendations to the Minister on the retrenchment package, it became </w:t>
      </w:r>
      <w:r w:rsidR="00096FEB" w:rsidRPr="00900647">
        <w:rPr>
          <w:rFonts w:ascii="Times New Roman" w:hAnsi="Times New Roman" w:cs="Times New Roman"/>
          <w:i/>
          <w:sz w:val="24"/>
          <w:szCs w:val="24"/>
        </w:rPr>
        <w:t>functus</w:t>
      </w:r>
      <w:r w:rsidR="00096FEB" w:rsidRPr="00900647">
        <w:rPr>
          <w:rFonts w:ascii="Times New Roman" w:hAnsi="Times New Roman" w:cs="Times New Roman"/>
          <w:sz w:val="24"/>
          <w:szCs w:val="24"/>
        </w:rPr>
        <w:t xml:space="preserve">, having discharged its statutory duties. </w:t>
      </w:r>
      <w:r w:rsidR="005973CB" w:rsidRPr="00900647">
        <w:rPr>
          <w:rFonts w:ascii="Times New Roman" w:hAnsi="Times New Roman" w:cs="Times New Roman"/>
          <w:sz w:val="24"/>
          <w:szCs w:val="24"/>
        </w:rPr>
        <w:t xml:space="preserve">It further argued that the </w:t>
      </w:r>
      <w:r w:rsidR="00096FEB" w:rsidRPr="00900647">
        <w:rPr>
          <w:rFonts w:ascii="Times New Roman" w:hAnsi="Times New Roman" w:cs="Times New Roman"/>
          <w:sz w:val="24"/>
          <w:szCs w:val="24"/>
        </w:rPr>
        <w:t>decision to retre</w:t>
      </w:r>
      <w:r w:rsidR="00190A70">
        <w:rPr>
          <w:rFonts w:ascii="Times New Roman" w:hAnsi="Times New Roman" w:cs="Times New Roman"/>
          <w:sz w:val="24"/>
          <w:szCs w:val="24"/>
        </w:rPr>
        <w:t>nch was ultimately that of the M</w:t>
      </w:r>
      <w:r w:rsidR="00096FEB" w:rsidRPr="00900647">
        <w:rPr>
          <w:rFonts w:ascii="Times New Roman" w:hAnsi="Times New Roman" w:cs="Times New Roman"/>
          <w:sz w:val="24"/>
          <w:szCs w:val="24"/>
        </w:rPr>
        <w:t>inister and if the appellant was unhappy</w:t>
      </w:r>
      <w:r w:rsidR="00E607AE" w:rsidRPr="00900647">
        <w:rPr>
          <w:rFonts w:ascii="Times New Roman" w:hAnsi="Times New Roman" w:cs="Times New Roman"/>
          <w:sz w:val="24"/>
          <w:szCs w:val="24"/>
        </w:rPr>
        <w:t xml:space="preserve"> with the implementation of the Minister’s</w:t>
      </w:r>
      <w:r w:rsidR="00096FEB" w:rsidRPr="00900647">
        <w:rPr>
          <w:rFonts w:ascii="Times New Roman" w:hAnsi="Times New Roman" w:cs="Times New Roman"/>
          <w:sz w:val="24"/>
          <w:szCs w:val="24"/>
        </w:rPr>
        <w:t xml:space="preserve"> decision, his relief lay in appealing against or bringing</w:t>
      </w:r>
      <w:r w:rsidR="007876BE" w:rsidRPr="00900647">
        <w:rPr>
          <w:rFonts w:ascii="Times New Roman" w:hAnsi="Times New Roman" w:cs="Times New Roman"/>
          <w:sz w:val="24"/>
          <w:szCs w:val="24"/>
        </w:rPr>
        <w:t xml:space="preserve"> that decision on review.</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312605" w:rsidRPr="00900647" w:rsidRDefault="000B6C02"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After finding </w:t>
      </w:r>
      <w:r w:rsidR="00312605" w:rsidRPr="00900647">
        <w:rPr>
          <w:rFonts w:ascii="Times New Roman" w:hAnsi="Times New Roman" w:cs="Times New Roman"/>
          <w:sz w:val="24"/>
          <w:szCs w:val="24"/>
        </w:rPr>
        <w:t>that the grievance by</w:t>
      </w:r>
      <w:r w:rsidRPr="00900647">
        <w:rPr>
          <w:rFonts w:ascii="Times New Roman" w:hAnsi="Times New Roman" w:cs="Times New Roman"/>
          <w:sz w:val="24"/>
          <w:szCs w:val="24"/>
        </w:rPr>
        <w:t xml:space="preserve"> the appellant was against the M</w:t>
      </w:r>
      <w:r w:rsidR="00312605" w:rsidRPr="00900647">
        <w:rPr>
          <w:rFonts w:ascii="Times New Roman" w:hAnsi="Times New Roman" w:cs="Times New Roman"/>
          <w:sz w:val="24"/>
          <w:szCs w:val="24"/>
        </w:rPr>
        <w:t xml:space="preserve">inister who made the final computation of the </w:t>
      </w:r>
      <w:r w:rsidRPr="00900647">
        <w:rPr>
          <w:rFonts w:ascii="Times New Roman" w:hAnsi="Times New Roman" w:cs="Times New Roman"/>
          <w:sz w:val="24"/>
          <w:szCs w:val="24"/>
        </w:rPr>
        <w:t xml:space="preserve">retrenchment </w:t>
      </w:r>
      <w:r w:rsidR="00312605" w:rsidRPr="00900647">
        <w:rPr>
          <w:rFonts w:ascii="Times New Roman" w:hAnsi="Times New Roman" w:cs="Times New Roman"/>
          <w:sz w:val="24"/>
          <w:szCs w:val="24"/>
        </w:rPr>
        <w:t>package</w:t>
      </w:r>
      <w:r w:rsidR="00432205" w:rsidRPr="00900647">
        <w:rPr>
          <w:rFonts w:ascii="Times New Roman" w:hAnsi="Times New Roman" w:cs="Times New Roman"/>
          <w:sz w:val="24"/>
          <w:szCs w:val="24"/>
        </w:rPr>
        <w:t xml:space="preserve">, </w:t>
      </w:r>
      <w:r w:rsidR="00312605" w:rsidRPr="00900647">
        <w:rPr>
          <w:rFonts w:ascii="Times New Roman" w:hAnsi="Times New Roman" w:cs="Times New Roman"/>
          <w:sz w:val="24"/>
          <w:szCs w:val="24"/>
        </w:rPr>
        <w:t xml:space="preserve">the court </w:t>
      </w:r>
      <w:r w:rsidR="00893A5A" w:rsidRPr="00900647">
        <w:rPr>
          <w:rFonts w:ascii="Times New Roman" w:hAnsi="Times New Roman" w:cs="Times New Roman"/>
          <w:sz w:val="24"/>
          <w:szCs w:val="24"/>
        </w:rPr>
        <w:t>dismissed the application for review with an appropriate order of costs.</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893A5A" w:rsidRPr="00900647" w:rsidRDefault="00893A5A"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Aggrieved by that decision the appellant noted this appeal.</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0B7155" w:rsidRPr="00900647" w:rsidRDefault="00CC4763" w:rsidP="00380299">
      <w:pPr>
        <w:spacing w:after="0" w:line="480" w:lineRule="auto"/>
        <w:jc w:val="both"/>
        <w:rPr>
          <w:rFonts w:ascii="Times New Roman" w:hAnsi="Times New Roman" w:cs="Times New Roman"/>
          <w:b/>
          <w:sz w:val="24"/>
          <w:szCs w:val="24"/>
        </w:rPr>
      </w:pPr>
      <w:r w:rsidRPr="00900647">
        <w:rPr>
          <w:rFonts w:ascii="Times New Roman" w:hAnsi="Times New Roman" w:cs="Times New Roman"/>
          <w:b/>
          <w:sz w:val="24"/>
          <w:szCs w:val="24"/>
        </w:rPr>
        <w:t>The appeal</w:t>
      </w:r>
    </w:p>
    <w:p w:rsidR="000B7155" w:rsidRPr="00900647" w:rsidRDefault="000B7155"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The appellant raised two grounds of appeal as follows:</w:t>
      </w:r>
    </w:p>
    <w:p w:rsidR="000B7155" w:rsidRPr="00900647" w:rsidRDefault="000B7155" w:rsidP="00CC4763">
      <w:pPr>
        <w:pStyle w:val="ListParagraph"/>
        <w:numPr>
          <w:ilvl w:val="0"/>
          <w:numId w:val="2"/>
        </w:numPr>
        <w:spacing w:after="0" w:line="480" w:lineRule="auto"/>
        <w:ind w:left="993" w:hanging="426"/>
        <w:jc w:val="both"/>
        <w:rPr>
          <w:rFonts w:ascii="Times New Roman" w:hAnsi="Times New Roman" w:cs="Times New Roman"/>
          <w:sz w:val="24"/>
          <w:szCs w:val="24"/>
        </w:rPr>
      </w:pPr>
      <w:r w:rsidRPr="00900647">
        <w:rPr>
          <w:rFonts w:ascii="Times New Roman" w:hAnsi="Times New Roman" w:cs="Times New Roman"/>
          <w:sz w:val="24"/>
          <w:szCs w:val="24"/>
        </w:rPr>
        <w:t xml:space="preserve">The court </w:t>
      </w:r>
      <w:r w:rsidR="00133283" w:rsidRPr="00900647">
        <w:rPr>
          <w:rFonts w:ascii="Times New Roman" w:hAnsi="Times New Roman" w:cs="Times New Roman"/>
          <w:i/>
          <w:sz w:val="24"/>
          <w:szCs w:val="24"/>
        </w:rPr>
        <w:t>a quo</w:t>
      </w:r>
      <w:r w:rsidRPr="00900647">
        <w:rPr>
          <w:rFonts w:ascii="Times New Roman" w:hAnsi="Times New Roman" w:cs="Times New Roman"/>
          <w:sz w:val="24"/>
          <w:szCs w:val="24"/>
        </w:rPr>
        <w:t xml:space="preserve"> grossly erred and misdirected itself on the facts and the law by failing to determine whether or not the first </w:t>
      </w:r>
      <w:r w:rsidR="00DD5EC6" w:rsidRPr="00900647">
        <w:rPr>
          <w:rFonts w:ascii="Times New Roman" w:hAnsi="Times New Roman" w:cs="Times New Roman"/>
          <w:sz w:val="24"/>
          <w:szCs w:val="24"/>
        </w:rPr>
        <w:t>respondent‘s</w:t>
      </w:r>
      <w:r w:rsidRPr="00900647">
        <w:rPr>
          <w:rFonts w:ascii="Times New Roman" w:hAnsi="Times New Roman" w:cs="Times New Roman"/>
          <w:sz w:val="24"/>
          <w:szCs w:val="24"/>
        </w:rPr>
        <w:t xml:space="preserve"> decision to decline jurisdiction was proper.</w:t>
      </w:r>
    </w:p>
    <w:p w:rsidR="003D777F" w:rsidRDefault="000B7155" w:rsidP="003D777F">
      <w:pPr>
        <w:pStyle w:val="ListParagraph"/>
        <w:numPr>
          <w:ilvl w:val="0"/>
          <w:numId w:val="2"/>
        </w:numPr>
        <w:spacing w:after="0" w:line="480" w:lineRule="auto"/>
        <w:ind w:left="993" w:hanging="426"/>
        <w:jc w:val="both"/>
        <w:rPr>
          <w:rFonts w:ascii="Times New Roman" w:hAnsi="Times New Roman" w:cs="Times New Roman"/>
          <w:sz w:val="24"/>
          <w:szCs w:val="24"/>
        </w:rPr>
      </w:pPr>
      <w:r w:rsidRPr="00900647">
        <w:rPr>
          <w:rFonts w:ascii="Times New Roman" w:hAnsi="Times New Roman" w:cs="Times New Roman"/>
          <w:sz w:val="24"/>
          <w:szCs w:val="24"/>
        </w:rPr>
        <w:t xml:space="preserve">The court </w:t>
      </w:r>
      <w:r w:rsidR="00133283" w:rsidRPr="00900647">
        <w:rPr>
          <w:rFonts w:ascii="Times New Roman" w:hAnsi="Times New Roman" w:cs="Times New Roman"/>
          <w:i/>
          <w:sz w:val="24"/>
          <w:szCs w:val="24"/>
        </w:rPr>
        <w:t>a quo</w:t>
      </w:r>
      <w:r w:rsidRPr="00900647">
        <w:rPr>
          <w:rFonts w:ascii="Times New Roman" w:hAnsi="Times New Roman" w:cs="Times New Roman"/>
          <w:sz w:val="24"/>
          <w:szCs w:val="24"/>
        </w:rPr>
        <w:t xml:space="preserve"> erred on a point of law and further grossly erred and misdirected itself on the facts which error amounts to an error of law by dismissing the appellant’s application for review inter alia on the following grounds:</w:t>
      </w:r>
    </w:p>
    <w:p w:rsidR="000B7155" w:rsidRPr="003D777F" w:rsidRDefault="003D777F" w:rsidP="003D777F">
      <w:pPr>
        <w:spacing w:after="0" w:line="240" w:lineRule="auto"/>
        <w:ind w:left="1134" w:hanging="505"/>
        <w:jc w:val="both"/>
        <w:rPr>
          <w:rFonts w:ascii="Times New Roman" w:hAnsi="Times New Roman" w:cs="Times New Roman"/>
          <w:sz w:val="24"/>
          <w:szCs w:val="24"/>
        </w:rPr>
      </w:pPr>
      <w:r w:rsidRPr="003D777F">
        <w:rPr>
          <w:rFonts w:ascii="Times New Roman" w:hAnsi="Times New Roman" w:cs="Times New Roman"/>
          <w:sz w:val="24"/>
          <w:szCs w:val="24"/>
        </w:rPr>
        <w:lastRenderedPageBreak/>
        <w:t xml:space="preserve">“(a) </w:t>
      </w:r>
      <w:r w:rsidRPr="003D777F">
        <w:rPr>
          <w:rFonts w:ascii="Times New Roman" w:hAnsi="Times New Roman" w:cs="Times New Roman"/>
          <w:sz w:val="24"/>
          <w:szCs w:val="24"/>
        </w:rPr>
        <w:tab/>
      </w:r>
      <w:r w:rsidR="000B7155" w:rsidRPr="003D777F">
        <w:rPr>
          <w:rFonts w:ascii="Times New Roman" w:hAnsi="Times New Roman" w:cs="Times New Roman"/>
          <w:sz w:val="24"/>
          <w:szCs w:val="24"/>
        </w:rPr>
        <w:t xml:space="preserve">That the Minister had made </w:t>
      </w:r>
      <w:r w:rsidR="001D7F2C" w:rsidRPr="003D777F">
        <w:rPr>
          <w:rFonts w:ascii="Times New Roman" w:hAnsi="Times New Roman" w:cs="Times New Roman"/>
          <w:sz w:val="24"/>
          <w:szCs w:val="24"/>
        </w:rPr>
        <w:t>“… the final computation of the package…” on the recommendations of the first respondent, hence it was the Minister’s decision which should have been challenged;</w:t>
      </w:r>
    </w:p>
    <w:p w:rsidR="001D7F2C" w:rsidRPr="003D777F" w:rsidRDefault="001D7F2C" w:rsidP="003D777F">
      <w:pPr>
        <w:pStyle w:val="ListParagraph"/>
        <w:numPr>
          <w:ilvl w:val="0"/>
          <w:numId w:val="6"/>
        </w:numPr>
        <w:spacing w:after="0" w:line="240" w:lineRule="auto"/>
        <w:jc w:val="both"/>
        <w:rPr>
          <w:rFonts w:ascii="Times New Roman" w:hAnsi="Times New Roman" w:cs="Times New Roman"/>
          <w:sz w:val="24"/>
          <w:szCs w:val="24"/>
        </w:rPr>
      </w:pPr>
      <w:r w:rsidRPr="003D777F">
        <w:rPr>
          <w:rFonts w:ascii="Times New Roman" w:hAnsi="Times New Roman" w:cs="Times New Roman"/>
          <w:sz w:val="24"/>
          <w:szCs w:val="24"/>
        </w:rPr>
        <w:t>That the decision which the applicant is not happy with is that of the Minister when it is common cause that the appellant was not happy with the second respondent’s unilate</w:t>
      </w:r>
      <w:r w:rsidR="003D777F">
        <w:rPr>
          <w:rFonts w:ascii="Times New Roman" w:hAnsi="Times New Roman" w:cs="Times New Roman"/>
          <w:sz w:val="24"/>
          <w:szCs w:val="24"/>
        </w:rPr>
        <w:t>ral interpretation of the word “</w:t>
      </w:r>
      <w:r w:rsidRPr="003D777F">
        <w:rPr>
          <w:rFonts w:ascii="Times New Roman" w:hAnsi="Times New Roman" w:cs="Times New Roman"/>
          <w:sz w:val="24"/>
          <w:szCs w:val="24"/>
        </w:rPr>
        <w:t>salary” and upon representations thereto, the first respondent declined jurisdiction.”</w:t>
      </w:r>
    </w:p>
    <w:p w:rsidR="00CC4763" w:rsidRPr="00900647" w:rsidRDefault="00CC4763" w:rsidP="00380299">
      <w:pPr>
        <w:spacing w:after="0" w:line="480" w:lineRule="auto"/>
        <w:jc w:val="both"/>
        <w:rPr>
          <w:rFonts w:ascii="Times New Roman" w:hAnsi="Times New Roman" w:cs="Times New Roman"/>
          <w:sz w:val="24"/>
          <w:szCs w:val="24"/>
        </w:rPr>
      </w:pPr>
    </w:p>
    <w:p w:rsidR="00DE4720" w:rsidRPr="00900647" w:rsidRDefault="00791959"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The issue that arises in this appeal is </w:t>
      </w:r>
      <w:r w:rsidR="00063622" w:rsidRPr="00900647">
        <w:rPr>
          <w:rFonts w:ascii="Times New Roman" w:hAnsi="Times New Roman" w:cs="Times New Roman"/>
          <w:sz w:val="24"/>
          <w:szCs w:val="24"/>
        </w:rPr>
        <w:t xml:space="preserve">therefore </w:t>
      </w:r>
      <w:r w:rsidRPr="00900647">
        <w:rPr>
          <w:rFonts w:ascii="Times New Roman" w:hAnsi="Times New Roman" w:cs="Times New Roman"/>
          <w:sz w:val="24"/>
          <w:szCs w:val="24"/>
        </w:rPr>
        <w:t xml:space="preserve">whether the court </w:t>
      </w:r>
      <w:r w:rsidR="00133283" w:rsidRPr="00900647">
        <w:rPr>
          <w:rFonts w:ascii="Times New Roman" w:hAnsi="Times New Roman" w:cs="Times New Roman"/>
          <w:i/>
          <w:sz w:val="24"/>
          <w:szCs w:val="24"/>
        </w:rPr>
        <w:t>a quo</w:t>
      </w:r>
      <w:r w:rsidRPr="00900647">
        <w:rPr>
          <w:rFonts w:ascii="Times New Roman" w:hAnsi="Times New Roman" w:cs="Times New Roman"/>
          <w:sz w:val="24"/>
          <w:szCs w:val="24"/>
        </w:rPr>
        <w:t xml:space="preserve"> erred in failing to determi</w:t>
      </w:r>
      <w:r w:rsidR="00063622" w:rsidRPr="00900647">
        <w:rPr>
          <w:rFonts w:ascii="Times New Roman" w:hAnsi="Times New Roman" w:cs="Times New Roman"/>
          <w:sz w:val="24"/>
          <w:szCs w:val="24"/>
        </w:rPr>
        <w:t>ne the issue that was before it or alternatively, in determining</w:t>
      </w:r>
      <w:r w:rsidR="006721CA" w:rsidRPr="00900647">
        <w:rPr>
          <w:rFonts w:ascii="Times New Roman" w:hAnsi="Times New Roman" w:cs="Times New Roman"/>
          <w:sz w:val="24"/>
          <w:szCs w:val="24"/>
        </w:rPr>
        <w:t xml:space="preserve"> the issue after misdirecting itself on the facts.</w:t>
      </w:r>
    </w:p>
    <w:p w:rsidR="00791959" w:rsidRPr="00900647" w:rsidRDefault="00063622" w:rsidP="00380299">
      <w:pPr>
        <w:spacing w:after="0" w:line="480" w:lineRule="auto"/>
        <w:jc w:val="both"/>
        <w:rPr>
          <w:rFonts w:ascii="Times New Roman" w:hAnsi="Times New Roman" w:cs="Times New Roman"/>
          <w:sz w:val="24"/>
          <w:szCs w:val="24"/>
        </w:rPr>
      </w:pPr>
      <w:r w:rsidRPr="00900647">
        <w:rPr>
          <w:rFonts w:ascii="Times New Roman" w:hAnsi="Times New Roman" w:cs="Times New Roman"/>
          <w:sz w:val="24"/>
          <w:szCs w:val="24"/>
        </w:rPr>
        <w:t xml:space="preserve"> </w:t>
      </w:r>
    </w:p>
    <w:p w:rsidR="00791959" w:rsidRPr="00900647" w:rsidRDefault="00CC4763" w:rsidP="00380299">
      <w:pPr>
        <w:spacing w:after="0" w:line="480" w:lineRule="auto"/>
        <w:jc w:val="both"/>
        <w:rPr>
          <w:rFonts w:ascii="Times New Roman" w:hAnsi="Times New Roman" w:cs="Times New Roman"/>
          <w:b/>
          <w:sz w:val="24"/>
          <w:szCs w:val="24"/>
        </w:rPr>
      </w:pPr>
      <w:r w:rsidRPr="00900647">
        <w:rPr>
          <w:rFonts w:ascii="Times New Roman" w:hAnsi="Times New Roman" w:cs="Times New Roman"/>
          <w:b/>
          <w:sz w:val="24"/>
          <w:szCs w:val="24"/>
        </w:rPr>
        <w:t>The law</w:t>
      </w:r>
    </w:p>
    <w:p w:rsidR="00791959" w:rsidRPr="00900647" w:rsidRDefault="005965F6"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It is a settled </w:t>
      </w:r>
      <w:r w:rsidR="00791959" w:rsidRPr="00900647">
        <w:rPr>
          <w:rFonts w:ascii="Times New Roman" w:hAnsi="Times New Roman" w:cs="Times New Roman"/>
          <w:sz w:val="24"/>
          <w:szCs w:val="24"/>
        </w:rPr>
        <w:t>position at law that failure to determine a material issue that is before the court is a gross irregularity that vitiates the decision made.</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DC01DE" w:rsidRPr="00900647" w:rsidRDefault="00DC01DE"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The broad position of the law was recognised by </w:t>
      </w:r>
      <w:r w:rsidRPr="00900647">
        <w:rPr>
          <w:rFonts w:ascii="Times New Roman" w:hAnsi="Times New Roman" w:cs="Times New Roman"/>
          <w:b/>
          <w:sz w:val="24"/>
          <w:szCs w:val="24"/>
        </w:rPr>
        <w:t>UCHENA JA</w:t>
      </w:r>
      <w:r w:rsidRPr="00900647">
        <w:rPr>
          <w:rFonts w:ascii="Times New Roman" w:hAnsi="Times New Roman" w:cs="Times New Roman"/>
          <w:sz w:val="24"/>
          <w:szCs w:val="24"/>
        </w:rPr>
        <w:t xml:space="preserve"> </w:t>
      </w:r>
      <w:r w:rsidRPr="00900647">
        <w:rPr>
          <w:rFonts w:ascii="Times New Roman" w:hAnsi="Times New Roman" w:cs="Times New Roman"/>
          <w:i/>
          <w:sz w:val="24"/>
          <w:szCs w:val="24"/>
        </w:rPr>
        <w:t xml:space="preserve">in Nzara and Ors v Kashumba and Ors </w:t>
      </w:r>
      <w:r w:rsidRPr="00900647">
        <w:rPr>
          <w:rFonts w:ascii="Times New Roman" w:hAnsi="Times New Roman" w:cs="Times New Roman"/>
          <w:sz w:val="24"/>
          <w:szCs w:val="24"/>
        </w:rPr>
        <w:t>SC 18/18 where he had this to say:</w:t>
      </w:r>
    </w:p>
    <w:p w:rsidR="007C2433" w:rsidRPr="00900647" w:rsidRDefault="007C2433" w:rsidP="00CC4763">
      <w:pPr>
        <w:spacing w:after="0" w:line="240" w:lineRule="auto"/>
        <w:ind w:left="567"/>
        <w:jc w:val="both"/>
        <w:rPr>
          <w:rFonts w:ascii="Times New Roman" w:hAnsi="Times New Roman" w:cs="Times New Roman"/>
          <w:sz w:val="24"/>
          <w:szCs w:val="24"/>
        </w:rPr>
      </w:pPr>
      <w:r w:rsidRPr="00900647">
        <w:rPr>
          <w:rFonts w:ascii="Times New Roman" w:hAnsi="Times New Roman" w:cs="Times New Roman"/>
          <w:sz w:val="24"/>
          <w:szCs w:val="24"/>
        </w:rPr>
        <w:t>“</w:t>
      </w:r>
      <w:r w:rsidR="0023531C" w:rsidRPr="00900647">
        <w:rPr>
          <w:rFonts w:ascii="Times New Roman" w:hAnsi="Times New Roman" w:cs="Times New Roman"/>
          <w:sz w:val="24"/>
          <w:szCs w:val="24"/>
        </w:rPr>
        <w:t>A court is not entitled to determine a dispute placed before it, wholly based on its own discretion, which is not supported by the issues and facts of the case. It is required to apply the law to the facts and issues placed before it by the parties.</w:t>
      </w:r>
      <w:r w:rsidRPr="00900647">
        <w:rPr>
          <w:rFonts w:ascii="Times New Roman" w:hAnsi="Times New Roman" w:cs="Times New Roman"/>
          <w:sz w:val="24"/>
          <w:szCs w:val="24"/>
        </w:rPr>
        <w:t>”</w:t>
      </w:r>
      <w:r w:rsidR="0023531C" w:rsidRPr="00900647">
        <w:rPr>
          <w:rFonts w:ascii="Times New Roman" w:hAnsi="Times New Roman" w:cs="Times New Roman"/>
          <w:sz w:val="24"/>
          <w:szCs w:val="24"/>
        </w:rPr>
        <w:t xml:space="preserve"> </w:t>
      </w:r>
    </w:p>
    <w:p w:rsidR="00CC4763" w:rsidRPr="00900647" w:rsidRDefault="00CC4763" w:rsidP="00CC4763">
      <w:pPr>
        <w:spacing w:after="0" w:line="240" w:lineRule="auto"/>
        <w:ind w:firstLine="992"/>
        <w:jc w:val="both"/>
        <w:rPr>
          <w:rFonts w:ascii="Times New Roman" w:hAnsi="Times New Roman" w:cs="Times New Roman"/>
          <w:sz w:val="24"/>
          <w:szCs w:val="24"/>
        </w:rPr>
      </w:pPr>
    </w:p>
    <w:p w:rsidR="00CC4763" w:rsidRPr="00900647" w:rsidRDefault="00CC4763" w:rsidP="00CC4763">
      <w:pPr>
        <w:spacing w:after="0" w:line="240" w:lineRule="auto"/>
        <w:ind w:firstLine="992"/>
        <w:jc w:val="both"/>
        <w:rPr>
          <w:rFonts w:ascii="Times New Roman" w:hAnsi="Times New Roman" w:cs="Times New Roman"/>
          <w:sz w:val="24"/>
          <w:szCs w:val="24"/>
        </w:rPr>
      </w:pPr>
    </w:p>
    <w:p w:rsidR="0095127E" w:rsidRPr="00900647" w:rsidRDefault="0095127E"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Thus the general and trite position </w:t>
      </w:r>
      <w:r w:rsidR="00382490" w:rsidRPr="00900647">
        <w:rPr>
          <w:rFonts w:ascii="Times New Roman" w:hAnsi="Times New Roman" w:cs="Times New Roman"/>
          <w:sz w:val="24"/>
          <w:szCs w:val="24"/>
        </w:rPr>
        <w:t xml:space="preserve">of the law </w:t>
      </w:r>
      <w:r w:rsidR="000A456B" w:rsidRPr="00900647">
        <w:rPr>
          <w:rFonts w:ascii="Times New Roman" w:hAnsi="Times New Roman" w:cs="Times New Roman"/>
          <w:sz w:val="24"/>
          <w:szCs w:val="24"/>
        </w:rPr>
        <w:t xml:space="preserve">that requires </w:t>
      </w:r>
      <w:r w:rsidR="00726184" w:rsidRPr="00900647">
        <w:rPr>
          <w:rFonts w:ascii="Times New Roman" w:hAnsi="Times New Roman" w:cs="Times New Roman"/>
          <w:sz w:val="24"/>
          <w:szCs w:val="24"/>
        </w:rPr>
        <w:t xml:space="preserve">no further debate </w:t>
      </w:r>
      <w:r w:rsidRPr="00900647">
        <w:rPr>
          <w:rFonts w:ascii="Times New Roman" w:hAnsi="Times New Roman" w:cs="Times New Roman"/>
          <w:sz w:val="24"/>
          <w:szCs w:val="24"/>
        </w:rPr>
        <w:t xml:space="preserve">is that a court cannot go on a frolic </w:t>
      </w:r>
      <w:r w:rsidR="00C57A64" w:rsidRPr="00900647">
        <w:rPr>
          <w:rFonts w:ascii="Times New Roman" w:hAnsi="Times New Roman" w:cs="Times New Roman"/>
          <w:sz w:val="24"/>
          <w:szCs w:val="24"/>
        </w:rPr>
        <w:t xml:space="preserve">of its own </w:t>
      </w:r>
      <w:r w:rsidRPr="00900647">
        <w:rPr>
          <w:rFonts w:ascii="Times New Roman" w:hAnsi="Times New Roman" w:cs="Times New Roman"/>
          <w:sz w:val="24"/>
          <w:szCs w:val="24"/>
        </w:rPr>
        <w:t>and determine the dispute</w:t>
      </w:r>
      <w:r w:rsidR="000A456B" w:rsidRPr="00900647">
        <w:rPr>
          <w:rFonts w:ascii="Times New Roman" w:hAnsi="Times New Roman" w:cs="Times New Roman"/>
          <w:sz w:val="24"/>
          <w:szCs w:val="24"/>
        </w:rPr>
        <w:t xml:space="preserve"> before it </w:t>
      </w:r>
      <w:r w:rsidRPr="00900647">
        <w:rPr>
          <w:rFonts w:ascii="Times New Roman" w:hAnsi="Times New Roman" w:cs="Times New Roman"/>
          <w:sz w:val="24"/>
          <w:szCs w:val="24"/>
        </w:rPr>
        <w:t>by raising its own issues or facts</w:t>
      </w:r>
      <w:r w:rsidR="00E17C29" w:rsidRPr="00900647">
        <w:rPr>
          <w:rFonts w:ascii="Times New Roman" w:hAnsi="Times New Roman" w:cs="Times New Roman"/>
          <w:sz w:val="24"/>
          <w:szCs w:val="24"/>
        </w:rPr>
        <w:t xml:space="preserve"> and resolving the dispute on such</w:t>
      </w:r>
      <w:r w:rsidRPr="00900647">
        <w:rPr>
          <w:rFonts w:ascii="Times New Roman" w:hAnsi="Times New Roman" w:cs="Times New Roman"/>
          <w:sz w:val="24"/>
          <w:szCs w:val="24"/>
        </w:rPr>
        <w:t>.</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2214FC" w:rsidRPr="00900647" w:rsidRDefault="000A456B"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Looking at the basic role of the court from a slightly different angle, </w:t>
      </w:r>
      <w:r w:rsidR="00AC7046" w:rsidRPr="00900647">
        <w:rPr>
          <w:rFonts w:ascii="Times New Roman" w:hAnsi="Times New Roman" w:cs="Times New Roman"/>
          <w:b/>
          <w:sz w:val="24"/>
          <w:szCs w:val="24"/>
        </w:rPr>
        <w:t>GOWORA</w:t>
      </w:r>
      <w:r w:rsidR="007E68BD">
        <w:rPr>
          <w:rFonts w:ascii="Times New Roman" w:hAnsi="Times New Roman" w:cs="Times New Roman"/>
          <w:b/>
          <w:sz w:val="24"/>
          <w:szCs w:val="24"/>
        </w:rPr>
        <w:t> </w:t>
      </w:r>
      <w:r w:rsidR="00AA145E" w:rsidRPr="00900647">
        <w:rPr>
          <w:rFonts w:ascii="Times New Roman" w:hAnsi="Times New Roman" w:cs="Times New Roman"/>
          <w:b/>
          <w:sz w:val="24"/>
          <w:szCs w:val="24"/>
        </w:rPr>
        <w:t>JA</w:t>
      </w:r>
      <w:r w:rsidR="00AA145E" w:rsidRPr="00900647">
        <w:rPr>
          <w:rFonts w:ascii="Times New Roman" w:hAnsi="Times New Roman" w:cs="Times New Roman"/>
          <w:sz w:val="24"/>
          <w:szCs w:val="24"/>
        </w:rPr>
        <w:t xml:space="preserve"> in </w:t>
      </w:r>
      <w:r w:rsidR="00AA145E" w:rsidRPr="00900647">
        <w:rPr>
          <w:rFonts w:ascii="Times New Roman" w:hAnsi="Times New Roman" w:cs="Times New Roman"/>
          <w:i/>
          <w:sz w:val="24"/>
          <w:szCs w:val="24"/>
        </w:rPr>
        <w:t>PG Industries v Bvekerwa</w:t>
      </w:r>
      <w:r w:rsidR="00AA145E" w:rsidRPr="00900647">
        <w:rPr>
          <w:rFonts w:ascii="Times New Roman" w:hAnsi="Times New Roman" w:cs="Times New Roman"/>
          <w:sz w:val="24"/>
          <w:szCs w:val="24"/>
        </w:rPr>
        <w:t xml:space="preserve"> SC 53/16 </w:t>
      </w:r>
      <w:r w:rsidR="001F4278" w:rsidRPr="00900647">
        <w:rPr>
          <w:rFonts w:ascii="Times New Roman" w:hAnsi="Times New Roman" w:cs="Times New Roman"/>
          <w:sz w:val="24"/>
          <w:szCs w:val="24"/>
        </w:rPr>
        <w:t>observed</w:t>
      </w:r>
      <w:r w:rsidR="002E0932" w:rsidRPr="00900647">
        <w:rPr>
          <w:rFonts w:ascii="Times New Roman" w:hAnsi="Times New Roman" w:cs="Times New Roman"/>
          <w:sz w:val="24"/>
          <w:szCs w:val="24"/>
        </w:rPr>
        <w:t xml:space="preserve"> that</w:t>
      </w:r>
      <w:r w:rsidR="00AA145E" w:rsidRPr="00900647">
        <w:rPr>
          <w:rFonts w:ascii="Times New Roman" w:hAnsi="Times New Roman" w:cs="Times New Roman"/>
          <w:sz w:val="24"/>
          <w:szCs w:val="24"/>
        </w:rPr>
        <w:t>:</w:t>
      </w:r>
    </w:p>
    <w:p w:rsidR="00AA145E" w:rsidRPr="00900647" w:rsidRDefault="00AA145E" w:rsidP="00CC4763">
      <w:pPr>
        <w:spacing w:after="0" w:line="240" w:lineRule="auto"/>
        <w:ind w:left="567"/>
        <w:jc w:val="both"/>
        <w:rPr>
          <w:rFonts w:ascii="Times New Roman" w:hAnsi="Times New Roman" w:cs="Times New Roman"/>
          <w:sz w:val="24"/>
          <w:szCs w:val="24"/>
        </w:rPr>
      </w:pPr>
      <w:r w:rsidRPr="00900647">
        <w:rPr>
          <w:rFonts w:ascii="Times New Roman" w:hAnsi="Times New Roman" w:cs="Times New Roman"/>
          <w:sz w:val="24"/>
          <w:szCs w:val="24"/>
        </w:rPr>
        <w:t>“The position is settled that where there is a dispute on a question, be it a question of fact or point of law, there must be a judicial decision on the issue in dispute. The failure to resolve the dispute vitiates the order given at the end of the proceedings.”</w:t>
      </w:r>
    </w:p>
    <w:p w:rsidR="00CC4763" w:rsidRPr="00900647" w:rsidRDefault="00CC4763" w:rsidP="00CC4763">
      <w:pPr>
        <w:spacing w:after="0" w:line="240" w:lineRule="auto"/>
        <w:ind w:left="567"/>
        <w:jc w:val="both"/>
        <w:rPr>
          <w:rFonts w:ascii="Times New Roman" w:hAnsi="Times New Roman" w:cs="Times New Roman"/>
          <w:sz w:val="24"/>
          <w:szCs w:val="24"/>
        </w:rPr>
      </w:pPr>
    </w:p>
    <w:p w:rsidR="00E7707C" w:rsidRPr="00900647" w:rsidRDefault="00E7707C"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lastRenderedPageBreak/>
        <w:t xml:space="preserve">Whilst </w:t>
      </w:r>
      <w:r w:rsidR="00AC7046" w:rsidRPr="00900647">
        <w:rPr>
          <w:rFonts w:ascii="Times New Roman" w:hAnsi="Times New Roman" w:cs="Times New Roman"/>
          <w:b/>
          <w:sz w:val="24"/>
          <w:szCs w:val="24"/>
        </w:rPr>
        <w:t>GOWORA</w:t>
      </w:r>
      <w:r w:rsidRPr="00900647">
        <w:rPr>
          <w:rFonts w:ascii="Times New Roman" w:hAnsi="Times New Roman" w:cs="Times New Roman"/>
          <w:b/>
          <w:sz w:val="24"/>
          <w:szCs w:val="24"/>
        </w:rPr>
        <w:t xml:space="preserve"> </w:t>
      </w:r>
      <w:r w:rsidR="00612B29" w:rsidRPr="00900647">
        <w:rPr>
          <w:rFonts w:ascii="Times New Roman" w:hAnsi="Times New Roman" w:cs="Times New Roman"/>
          <w:b/>
          <w:sz w:val="24"/>
          <w:szCs w:val="24"/>
        </w:rPr>
        <w:t>JA</w:t>
      </w:r>
      <w:r w:rsidR="00612B29" w:rsidRPr="00900647">
        <w:rPr>
          <w:rFonts w:ascii="Times New Roman" w:hAnsi="Times New Roman" w:cs="Times New Roman"/>
          <w:sz w:val="24"/>
          <w:szCs w:val="24"/>
        </w:rPr>
        <w:t xml:space="preserve"> </w:t>
      </w:r>
      <w:r w:rsidR="00612B29" w:rsidRPr="00B42F03">
        <w:rPr>
          <w:rFonts w:ascii="Times New Roman" w:hAnsi="Times New Roman" w:cs="Times New Roman"/>
          <w:sz w:val="24"/>
          <w:szCs w:val="24"/>
        </w:rPr>
        <w:t>in</w:t>
      </w:r>
      <w:r w:rsidRPr="00900647">
        <w:rPr>
          <w:rFonts w:ascii="Times New Roman" w:hAnsi="Times New Roman" w:cs="Times New Roman"/>
          <w:i/>
          <w:sz w:val="24"/>
          <w:szCs w:val="24"/>
        </w:rPr>
        <w:t xml:space="preserve"> PG Industries</w:t>
      </w:r>
      <w:r w:rsidR="00F04A82" w:rsidRPr="00900647">
        <w:rPr>
          <w:rFonts w:ascii="Times New Roman" w:hAnsi="Times New Roman" w:cs="Times New Roman"/>
          <w:i/>
          <w:sz w:val="24"/>
          <w:szCs w:val="24"/>
        </w:rPr>
        <w:t xml:space="preserve"> v Bvekerwa</w:t>
      </w:r>
      <w:r w:rsidR="00F04A82" w:rsidRPr="00900647">
        <w:rPr>
          <w:rFonts w:ascii="Times New Roman" w:hAnsi="Times New Roman" w:cs="Times New Roman"/>
          <w:sz w:val="24"/>
          <w:szCs w:val="24"/>
        </w:rPr>
        <w:t xml:space="preserve"> (</w:t>
      </w:r>
      <w:r w:rsidR="00F04A82" w:rsidRPr="00B42F03">
        <w:rPr>
          <w:rFonts w:ascii="Times New Roman" w:hAnsi="Times New Roman" w:cs="Times New Roman"/>
          <w:i/>
          <w:sz w:val="24"/>
          <w:szCs w:val="24"/>
        </w:rPr>
        <w:t>supra</w:t>
      </w:r>
      <w:r w:rsidR="00F04A82" w:rsidRPr="00900647">
        <w:rPr>
          <w:rFonts w:ascii="Times New Roman" w:hAnsi="Times New Roman" w:cs="Times New Roman"/>
          <w:sz w:val="24"/>
          <w:szCs w:val="24"/>
        </w:rPr>
        <w:t>)</w:t>
      </w:r>
      <w:r w:rsidRPr="00900647">
        <w:rPr>
          <w:rFonts w:ascii="Times New Roman" w:hAnsi="Times New Roman" w:cs="Times New Roman"/>
          <w:sz w:val="24"/>
          <w:szCs w:val="24"/>
        </w:rPr>
        <w:t xml:space="preserve"> </w:t>
      </w:r>
      <w:r w:rsidR="00550415" w:rsidRPr="00900647">
        <w:rPr>
          <w:rFonts w:ascii="Times New Roman" w:hAnsi="Times New Roman" w:cs="Times New Roman"/>
          <w:sz w:val="24"/>
          <w:szCs w:val="24"/>
        </w:rPr>
        <w:t>was dealing with a case</w:t>
      </w:r>
      <w:r w:rsidRPr="00900647">
        <w:rPr>
          <w:rFonts w:ascii="Times New Roman" w:hAnsi="Times New Roman" w:cs="Times New Roman"/>
          <w:sz w:val="24"/>
          <w:szCs w:val="24"/>
        </w:rPr>
        <w:t xml:space="preserve"> where the lower court had failed to deal with </w:t>
      </w:r>
      <w:r w:rsidR="00AC7046" w:rsidRPr="00900647">
        <w:rPr>
          <w:rFonts w:ascii="Times New Roman" w:hAnsi="Times New Roman" w:cs="Times New Roman"/>
          <w:sz w:val="24"/>
          <w:szCs w:val="24"/>
        </w:rPr>
        <w:t xml:space="preserve">a preliminary </w:t>
      </w:r>
      <w:r w:rsidR="00AA6C10" w:rsidRPr="00900647">
        <w:rPr>
          <w:rFonts w:ascii="Times New Roman" w:hAnsi="Times New Roman" w:cs="Times New Roman"/>
          <w:sz w:val="24"/>
          <w:szCs w:val="24"/>
        </w:rPr>
        <w:t>issue</w:t>
      </w:r>
      <w:r w:rsidRPr="00900647">
        <w:rPr>
          <w:rFonts w:ascii="Times New Roman" w:hAnsi="Times New Roman" w:cs="Times New Roman"/>
          <w:sz w:val="24"/>
          <w:szCs w:val="24"/>
        </w:rPr>
        <w:t xml:space="preserve"> that arose in the matter before it, the position still holds that even where there is a sole issue </w:t>
      </w:r>
      <w:r w:rsidR="00550415" w:rsidRPr="00900647">
        <w:rPr>
          <w:rFonts w:ascii="Times New Roman" w:hAnsi="Times New Roman" w:cs="Times New Roman"/>
          <w:sz w:val="24"/>
          <w:szCs w:val="24"/>
        </w:rPr>
        <w:t xml:space="preserve">to be determined </w:t>
      </w:r>
      <w:r w:rsidRPr="00900647">
        <w:rPr>
          <w:rFonts w:ascii="Times New Roman" w:hAnsi="Times New Roman" w:cs="Times New Roman"/>
          <w:sz w:val="24"/>
          <w:szCs w:val="24"/>
        </w:rPr>
        <w:t xml:space="preserve">and the court does not determine </w:t>
      </w:r>
      <w:r w:rsidR="006F4401" w:rsidRPr="00900647">
        <w:rPr>
          <w:rFonts w:ascii="Times New Roman" w:hAnsi="Times New Roman" w:cs="Times New Roman"/>
          <w:sz w:val="24"/>
          <w:szCs w:val="24"/>
        </w:rPr>
        <w:t>that issue</w:t>
      </w:r>
      <w:r w:rsidR="00550415" w:rsidRPr="00900647">
        <w:rPr>
          <w:rFonts w:ascii="Times New Roman" w:hAnsi="Times New Roman" w:cs="Times New Roman"/>
          <w:sz w:val="24"/>
          <w:szCs w:val="24"/>
        </w:rPr>
        <w:t xml:space="preserve"> but focuses on </w:t>
      </w:r>
      <w:r w:rsidRPr="00900647">
        <w:rPr>
          <w:rFonts w:ascii="Times New Roman" w:hAnsi="Times New Roman" w:cs="Times New Roman"/>
          <w:sz w:val="24"/>
          <w:szCs w:val="24"/>
        </w:rPr>
        <w:t>irrelevant or incorrect issues, the failure to deal with the correct issue is fatal to the proceedings.</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893A5A" w:rsidRPr="00900647" w:rsidRDefault="0079787B"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There are a number of other legal principles that converge to discourage a court from going on a frolic </w:t>
      </w:r>
      <w:r w:rsidR="002B49D0" w:rsidRPr="00900647">
        <w:rPr>
          <w:rFonts w:ascii="Times New Roman" w:hAnsi="Times New Roman" w:cs="Times New Roman"/>
          <w:sz w:val="24"/>
          <w:szCs w:val="24"/>
        </w:rPr>
        <w:t xml:space="preserve">of its own </w:t>
      </w:r>
      <w:r w:rsidRPr="00900647">
        <w:rPr>
          <w:rFonts w:ascii="Times New Roman" w:hAnsi="Times New Roman" w:cs="Times New Roman"/>
          <w:sz w:val="24"/>
          <w:szCs w:val="24"/>
        </w:rPr>
        <w:t>and</w:t>
      </w:r>
      <w:r w:rsidR="00E7707C" w:rsidRPr="00900647">
        <w:rPr>
          <w:rFonts w:ascii="Times New Roman" w:hAnsi="Times New Roman" w:cs="Times New Roman"/>
          <w:sz w:val="24"/>
          <w:szCs w:val="24"/>
        </w:rPr>
        <w:t xml:space="preserve"> determining a matter on an issue that is not raised by the parties in </w:t>
      </w:r>
      <w:r w:rsidR="000B6C02" w:rsidRPr="00900647">
        <w:rPr>
          <w:rFonts w:ascii="Times New Roman" w:hAnsi="Times New Roman" w:cs="Times New Roman"/>
          <w:sz w:val="24"/>
          <w:szCs w:val="24"/>
        </w:rPr>
        <w:t>their papers and arguments.</w:t>
      </w:r>
      <w:r w:rsidR="00FD4232" w:rsidRPr="00900647">
        <w:rPr>
          <w:rFonts w:ascii="Times New Roman" w:hAnsi="Times New Roman" w:cs="Times New Roman"/>
          <w:sz w:val="24"/>
          <w:szCs w:val="24"/>
        </w:rPr>
        <w:t xml:space="preserve"> These include the duty of the court, where it is of the view that a certain factual or legal position is dispositive of the matter before it, to invite the parties to address it on the point before resolving the dispute wholly </w:t>
      </w:r>
      <w:r w:rsidR="00F24BCB" w:rsidRPr="00900647">
        <w:rPr>
          <w:rFonts w:ascii="Times New Roman" w:hAnsi="Times New Roman" w:cs="Times New Roman"/>
          <w:sz w:val="24"/>
          <w:szCs w:val="24"/>
        </w:rPr>
        <w:t xml:space="preserve">or partly </w:t>
      </w:r>
      <w:r w:rsidR="00FD4232" w:rsidRPr="00900647">
        <w:rPr>
          <w:rFonts w:ascii="Times New Roman" w:hAnsi="Times New Roman" w:cs="Times New Roman"/>
          <w:sz w:val="24"/>
          <w:szCs w:val="24"/>
        </w:rPr>
        <w:t xml:space="preserve">on the point. </w:t>
      </w:r>
      <w:r w:rsidR="007E68BD">
        <w:rPr>
          <w:rFonts w:ascii="Times New Roman" w:hAnsi="Times New Roman" w:cs="Times New Roman"/>
          <w:sz w:val="24"/>
          <w:szCs w:val="24"/>
        </w:rPr>
        <w:t xml:space="preserve"> </w:t>
      </w:r>
      <w:r w:rsidR="00FD4232" w:rsidRPr="00900647">
        <w:rPr>
          <w:rFonts w:ascii="Times New Roman" w:hAnsi="Times New Roman" w:cs="Times New Roman"/>
          <w:sz w:val="24"/>
          <w:szCs w:val="24"/>
        </w:rPr>
        <w:t xml:space="preserve">A detailed discussion </w:t>
      </w:r>
      <w:r w:rsidR="000B6C02" w:rsidRPr="00900647">
        <w:rPr>
          <w:rFonts w:ascii="Times New Roman" w:hAnsi="Times New Roman" w:cs="Times New Roman"/>
          <w:sz w:val="24"/>
          <w:szCs w:val="24"/>
        </w:rPr>
        <w:t>of this and other principles is</w:t>
      </w:r>
      <w:r w:rsidR="00FD4232" w:rsidRPr="00900647">
        <w:rPr>
          <w:rFonts w:ascii="Times New Roman" w:hAnsi="Times New Roman" w:cs="Times New Roman"/>
          <w:sz w:val="24"/>
          <w:szCs w:val="24"/>
        </w:rPr>
        <w:t xml:space="preserve"> not necessary in this appeal as there </w:t>
      </w:r>
      <w:r w:rsidR="00B40053" w:rsidRPr="00900647">
        <w:rPr>
          <w:rFonts w:ascii="Times New Roman" w:hAnsi="Times New Roman" w:cs="Times New Roman"/>
          <w:sz w:val="24"/>
          <w:szCs w:val="24"/>
        </w:rPr>
        <w:t>was</w:t>
      </w:r>
      <w:r w:rsidR="00C0606E" w:rsidRPr="00900647">
        <w:rPr>
          <w:rFonts w:ascii="Times New Roman" w:hAnsi="Times New Roman" w:cs="Times New Roman"/>
          <w:sz w:val="24"/>
          <w:szCs w:val="24"/>
        </w:rPr>
        <w:t xml:space="preserve"> no dispute as to t</w:t>
      </w:r>
      <w:r w:rsidR="00FD4232" w:rsidRPr="00900647">
        <w:rPr>
          <w:rFonts w:ascii="Times New Roman" w:hAnsi="Times New Roman" w:cs="Times New Roman"/>
          <w:sz w:val="24"/>
          <w:szCs w:val="24"/>
        </w:rPr>
        <w:t>he applicable law.</w:t>
      </w:r>
    </w:p>
    <w:p w:rsidR="00C0606E" w:rsidRPr="00900647" w:rsidRDefault="00C0606E" w:rsidP="00380299">
      <w:pPr>
        <w:spacing w:after="0" w:line="480" w:lineRule="auto"/>
        <w:jc w:val="both"/>
        <w:rPr>
          <w:rFonts w:ascii="Times New Roman" w:hAnsi="Times New Roman" w:cs="Times New Roman"/>
          <w:sz w:val="24"/>
          <w:szCs w:val="24"/>
        </w:rPr>
      </w:pPr>
    </w:p>
    <w:p w:rsidR="00C461EB" w:rsidRPr="00900647" w:rsidRDefault="00C0606E" w:rsidP="00380299">
      <w:pPr>
        <w:spacing w:after="0" w:line="480" w:lineRule="auto"/>
        <w:jc w:val="both"/>
        <w:rPr>
          <w:rFonts w:ascii="Times New Roman" w:hAnsi="Times New Roman" w:cs="Times New Roman"/>
          <w:b/>
          <w:sz w:val="24"/>
          <w:szCs w:val="24"/>
        </w:rPr>
      </w:pPr>
      <w:r w:rsidRPr="00900647">
        <w:rPr>
          <w:rFonts w:ascii="Times New Roman" w:hAnsi="Times New Roman" w:cs="Times New Roman"/>
          <w:b/>
          <w:sz w:val="24"/>
          <w:szCs w:val="24"/>
        </w:rPr>
        <w:t>Analysis</w:t>
      </w:r>
    </w:p>
    <w:p w:rsidR="00BD7E7E" w:rsidRPr="00900647" w:rsidRDefault="00C0606E"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As stated above, the issue bef</w:t>
      </w:r>
      <w:r w:rsidR="00ED7BAA" w:rsidRPr="00900647">
        <w:rPr>
          <w:rFonts w:ascii="Times New Roman" w:hAnsi="Times New Roman" w:cs="Times New Roman"/>
          <w:sz w:val="24"/>
          <w:szCs w:val="24"/>
        </w:rPr>
        <w:t>ore the court was whether</w:t>
      </w:r>
      <w:r w:rsidRPr="00900647">
        <w:rPr>
          <w:rFonts w:ascii="Times New Roman" w:hAnsi="Times New Roman" w:cs="Times New Roman"/>
          <w:sz w:val="24"/>
          <w:szCs w:val="24"/>
        </w:rPr>
        <w:t xml:space="preserve"> the </w:t>
      </w:r>
      <w:r w:rsidR="00BD7E7E" w:rsidRPr="00900647">
        <w:rPr>
          <w:rFonts w:ascii="Times New Roman" w:hAnsi="Times New Roman" w:cs="Times New Roman"/>
          <w:sz w:val="24"/>
          <w:szCs w:val="24"/>
        </w:rPr>
        <w:t xml:space="preserve">refusal by the </w:t>
      </w:r>
      <w:r w:rsidRPr="00900647">
        <w:rPr>
          <w:rFonts w:ascii="Times New Roman" w:hAnsi="Times New Roman" w:cs="Times New Roman"/>
          <w:sz w:val="24"/>
          <w:szCs w:val="24"/>
        </w:rPr>
        <w:t xml:space="preserve">first respondent </w:t>
      </w:r>
      <w:r w:rsidR="00BD7E7E" w:rsidRPr="00900647">
        <w:rPr>
          <w:rFonts w:ascii="Times New Roman" w:hAnsi="Times New Roman" w:cs="Times New Roman"/>
          <w:sz w:val="24"/>
          <w:szCs w:val="24"/>
        </w:rPr>
        <w:t>to exe</w:t>
      </w:r>
      <w:r w:rsidR="00094559" w:rsidRPr="00900647">
        <w:rPr>
          <w:rFonts w:ascii="Times New Roman" w:hAnsi="Times New Roman" w:cs="Times New Roman"/>
          <w:sz w:val="24"/>
          <w:szCs w:val="24"/>
        </w:rPr>
        <w:t>rcise jurisdiction in the third</w:t>
      </w:r>
      <w:r w:rsidR="00BD7E7E" w:rsidRPr="00900647">
        <w:rPr>
          <w:rFonts w:ascii="Times New Roman" w:hAnsi="Times New Roman" w:cs="Times New Roman"/>
          <w:sz w:val="24"/>
          <w:szCs w:val="24"/>
        </w:rPr>
        <w:t xml:space="preserve"> referral of the dispute to it by the appellant was irregularly made.</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4378BC" w:rsidRPr="00900647" w:rsidRDefault="004378BC"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A reading of the judgment </w:t>
      </w:r>
      <w:r w:rsidR="00133283" w:rsidRPr="00900647">
        <w:rPr>
          <w:rFonts w:ascii="Times New Roman" w:hAnsi="Times New Roman" w:cs="Times New Roman"/>
          <w:i/>
          <w:sz w:val="24"/>
          <w:szCs w:val="24"/>
        </w:rPr>
        <w:t>a quo</w:t>
      </w:r>
      <w:r w:rsidRPr="00900647">
        <w:rPr>
          <w:rFonts w:ascii="Times New Roman" w:hAnsi="Times New Roman" w:cs="Times New Roman"/>
          <w:sz w:val="24"/>
          <w:szCs w:val="24"/>
        </w:rPr>
        <w:t xml:space="preserve"> indicates that the court </w:t>
      </w:r>
      <w:r w:rsidR="00094559" w:rsidRPr="00900647">
        <w:rPr>
          <w:rFonts w:ascii="Times New Roman" w:hAnsi="Times New Roman" w:cs="Times New Roman"/>
          <w:sz w:val="24"/>
          <w:szCs w:val="24"/>
        </w:rPr>
        <w:t xml:space="preserve">appears to have </w:t>
      </w:r>
      <w:r w:rsidRPr="00900647">
        <w:rPr>
          <w:rFonts w:ascii="Times New Roman" w:hAnsi="Times New Roman" w:cs="Times New Roman"/>
          <w:sz w:val="24"/>
          <w:szCs w:val="24"/>
        </w:rPr>
        <w:t xml:space="preserve">laboured under the erroneous </w:t>
      </w:r>
      <w:r w:rsidR="00094559" w:rsidRPr="00900647">
        <w:rPr>
          <w:rFonts w:ascii="Times New Roman" w:hAnsi="Times New Roman" w:cs="Times New Roman"/>
          <w:sz w:val="24"/>
          <w:szCs w:val="24"/>
        </w:rPr>
        <w:t>understanding</w:t>
      </w:r>
      <w:r w:rsidRPr="00900647">
        <w:rPr>
          <w:rFonts w:ascii="Times New Roman" w:hAnsi="Times New Roman" w:cs="Times New Roman"/>
          <w:sz w:val="24"/>
          <w:szCs w:val="24"/>
        </w:rPr>
        <w:t xml:space="preserve"> that the review before it related to the </w:t>
      </w:r>
      <w:r w:rsidR="00094559" w:rsidRPr="00900647">
        <w:rPr>
          <w:rFonts w:ascii="Times New Roman" w:hAnsi="Times New Roman" w:cs="Times New Roman"/>
          <w:sz w:val="24"/>
          <w:szCs w:val="24"/>
        </w:rPr>
        <w:t xml:space="preserve">second referral of the matter to the </w:t>
      </w:r>
      <w:r w:rsidRPr="00900647">
        <w:rPr>
          <w:rFonts w:ascii="Times New Roman" w:hAnsi="Times New Roman" w:cs="Times New Roman"/>
          <w:sz w:val="24"/>
          <w:szCs w:val="24"/>
        </w:rPr>
        <w:t xml:space="preserve">first respondent, which led to the Minister of Public Service, Labour and Social Welfare Minister stepping in and approving the retrenchment of the appellant on 2 March 2015. This </w:t>
      </w:r>
      <w:r w:rsidR="00273E53" w:rsidRPr="00900647">
        <w:rPr>
          <w:rFonts w:ascii="Times New Roman" w:hAnsi="Times New Roman" w:cs="Times New Roman"/>
          <w:sz w:val="24"/>
          <w:szCs w:val="24"/>
        </w:rPr>
        <w:t>appears from the</w:t>
      </w:r>
      <w:r w:rsidRPr="00900647">
        <w:rPr>
          <w:rFonts w:ascii="Times New Roman" w:hAnsi="Times New Roman" w:cs="Times New Roman"/>
          <w:sz w:val="24"/>
          <w:szCs w:val="24"/>
        </w:rPr>
        <w:t xml:space="preserve"> passage in the judgment </w:t>
      </w:r>
      <w:r w:rsidR="00133283" w:rsidRPr="00900647">
        <w:rPr>
          <w:rFonts w:ascii="Times New Roman" w:hAnsi="Times New Roman" w:cs="Times New Roman"/>
          <w:i/>
          <w:sz w:val="24"/>
          <w:szCs w:val="24"/>
        </w:rPr>
        <w:t>a quo</w:t>
      </w:r>
      <w:r w:rsidRPr="00900647">
        <w:rPr>
          <w:rFonts w:ascii="Times New Roman" w:hAnsi="Times New Roman" w:cs="Times New Roman"/>
          <w:sz w:val="24"/>
          <w:szCs w:val="24"/>
        </w:rPr>
        <w:t xml:space="preserve"> containing the ratio of the decision</w:t>
      </w:r>
      <w:r w:rsidR="00894FA3" w:rsidRPr="00900647">
        <w:rPr>
          <w:rFonts w:ascii="Times New Roman" w:hAnsi="Times New Roman" w:cs="Times New Roman"/>
          <w:sz w:val="24"/>
          <w:szCs w:val="24"/>
        </w:rPr>
        <w:t xml:space="preserve">, which </w:t>
      </w:r>
      <w:r w:rsidRPr="00900647">
        <w:rPr>
          <w:rFonts w:ascii="Times New Roman" w:hAnsi="Times New Roman" w:cs="Times New Roman"/>
          <w:sz w:val="24"/>
          <w:szCs w:val="24"/>
        </w:rPr>
        <w:t>reads:</w:t>
      </w:r>
    </w:p>
    <w:p w:rsidR="004378BC" w:rsidRPr="00900647" w:rsidRDefault="004378BC" w:rsidP="00CC4763">
      <w:pPr>
        <w:spacing w:after="0" w:line="240" w:lineRule="auto"/>
        <w:ind w:left="567"/>
        <w:jc w:val="both"/>
        <w:rPr>
          <w:rFonts w:ascii="Times New Roman" w:hAnsi="Times New Roman" w:cs="Times New Roman"/>
          <w:sz w:val="24"/>
          <w:szCs w:val="24"/>
        </w:rPr>
      </w:pPr>
      <w:r w:rsidRPr="00900647">
        <w:rPr>
          <w:rFonts w:ascii="Times New Roman" w:hAnsi="Times New Roman" w:cs="Times New Roman"/>
          <w:sz w:val="24"/>
          <w:szCs w:val="24"/>
        </w:rPr>
        <w:lastRenderedPageBreak/>
        <w:t>“Page 154-155 of the record shows that the Minister eventually made a decision after the Retrenchment Board’ recommendation. Section 12 (8)  of the Labour A</w:t>
      </w:r>
      <w:r w:rsidR="00DB259F">
        <w:rPr>
          <w:rFonts w:ascii="Times New Roman" w:hAnsi="Times New Roman" w:cs="Times New Roman"/>
          <w:sz w:val="24"/>
          <w:szCs w:val="24"/>
        </w:rPr>
        <w:t>c</w:t>
      </w:r>
      <w:r w:rsidRPr="00900647">
        <w:rPr>
          <w:rFonts w:ascii="Times New Roman" w:hAnsi="Times New Roman" w:cs="Times New Roman"/>
          <w:sz w:val="24"/>
          <w:szCs w:val="24"/>
        </w:rPr>
        <w:t xml:space="preserve">t states that even where the Board fails to make a recommendation, the Minister can still get relevant documentation and still make a decision. In this case it is the Minister who made the decision after recommendations from the Board. It is this court’s view that the grievance in this case is against the Minister who made the final computation of the package…. </w:t>
      </w:r>
      <w:r w:rsidRPr="00900647">
        <w:rPr>
          <w:rFonts w:ascii="Times New Roman" w:hAnsi="Times New Roman" w:cs="Times New Roman"/>
          <w:sz w:val="24"/>
          <w:szCs w:val="24"/>
          <w:u w:val="single"/>
        </w:rPr>
        <w:t>The Minister made the decision and thus the complaint should be raised against the Minister and not the Board which merely made recommendations.” (</w:t>
      </w:r>
      <w:r w:rsidRPr="00900647">
        <w:rPr>
          <w:rFonts w:ascii="Times New Roman" w:hAnsi="Times New Roman" w:cs="Times New Roman"/>
          <w:sz w:val="24"/>
          <w:szCs w:val="24"/>
        </w:rPr>
        <w:t>The underlining is mine).</w:t>
      </w:r>
    </w:p>
    <w:p w:rsidR="00CC4763" w:rsidRPr="00900647" w:rsidRDefault="00CC4763" w:rsidP="00380299">
      <w:pPr>
        <w:spacing w:after="0" w:line="480" w:lineRule="auto"/>
        <w:ind w:firstLine="720"/>
        <w:jc w:val="both"/>
        <w:rPr>
          <w:rFonts w:ascii="Times New Roman" w:hAnsi="Times New Roman" w:cs="Times New Roman"/>
          <w:sz w:val="24"/>
          <w:szCs w:val="24"/>
        </w:rPr>
      </w:pPr>
    </w:p>
    <w:p w:rsidR="004C4F61" w:rsidRPr="00900647" w:rsidRDefault="004378BC"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With respect, the decision of the first respondent that was under the spotlight was not </w:t>
      </w:r>
      <w:r w:rsidR="002916F8" w:rsidRPr="00900647">
        <w:rPr>
          <w:rFonts w:ascii="Times New Roman" w:hAnsi="Times New Roman" w:cs="Times New Roman"/>
          <w:sz w:val="24"/>
          <w:szCs w:val="24"/>
        </w:rPr>
        <w:t xml:space="preserve">on </w:t>
      </w:r>
      <w:r w:rsidRPr="00900647">
        <w:rPr>
          <w:rFonts w:ascii="Times New Roman" w:hAnsi="Times New Roman" w:cs="Times New Roman"/>
          <w:sz w:val="24"/>
          <w:szCs w:val="24"/>
        </w:rPr>
        <w:t xml:space="preserve">the </w:t>
      </w:r>
      <w:r w:rsidR="002916F8" w:rsidRPr="00900647">
        <w:rPr>
          <w:rFonts w:ascii="Times New Roman" w:hAnsi="Times New Roman" w:cs="Times New Roman"/>
          <w:sz w:val="24"/>
          <w:szCs w:val="24"/>
        </w:rPr>
        <w:t xml:space="preserve">second referral of the matter </w:t>
      </w:r>
      <w:r w:rsidR="00612B29" w:rsidRPr="00900647">
        <w:rPr>
          <w:rFonts w:ascii="Times New Roman" w:hAnsi="Times New Roman" w:cs="Times New Roman"/>
          <w:sz w:val="24"/>
          <w:szCs w:val="24"/>
        </w:rPr>
        <w:t xml:space="preserve">in March 2014 </w:t>
      </w:r>
      <w:r w:rsidRPr="00900647">
        <w:rPr>
          <w:rFonts w:ascii="Times New Roman" w:hAnsi="Times New Roman" w:cs="Times New Roman"/>
          <w:sz w:val="24"/>
          <w:szCs w:val="24"/>
        </w:rPr>
        <w:t xml:space="preserve">but </w:t>
      </w:r>
      <w:r w:rsidR="002916F8" w:rsidRPr="00900647">
        <w:rPr>
          <w:rFonts w:ascii="Times New Roman" w:hAnsi="Times New Roman" w:cs="Times New Roman"/>
          <w:sz w:val="24"/>
          <w:szCs w:val="24"/>
        </w:rPr>
        <w:t xml:space="preserve">on </w:t>
      </w:r>
      <w:r w:rsidR="008E5D52">
        <w:rPr>
          <w:rFonts w:ascii="Times New Roman" w:hAnsi="Times New Roman" w:cs="Times New Roman"/>
          <w:sz w:val="24"/>
          <w:szCs w:val="24"/>
        </w:rPr>
        <w:t>the third</w:t>
      </w:r>
      <w:r w:rsidR="002916F8" w:rsidRPr="00900647">
        <w:rPr>
          <w:rFonts w:ascii="Times New Roman" w:hAnsi="Times New Roman" w:cs="Times New Roman"/>
          <w:sz w:val="24"/>
          <w:szCs w:val="24"/>
        </w:rPr>
        <w:t xml:space="preserve"> referral</w:t>
      </w:r>
      <w:r w:rsidRPr="00900647">
        <w:rPr>
          <w:rFonts w:ascii="Times New Roman" w:hAnsi="Times New Roman" w:cs="Times New Roman"/>
          <w:sz w:val="24"/>
          <w:szCs w:val="24"/>
        </w:rPr>
        <w:t xml:space="preserve">, </w:t>
      </w:r>
      <w:r w:rsidR="002916F8" w:rsidRPr="00900647">
        <w:rPr>
          <w:rFonts w:ascii="Times New Roman" w:hAnsi="Times New Roman" w:cs="Times New Roman"/>
          <w:sz w:val="24"/>
          <w:szCs w:val="24"/>
        </w:rPr>
        <w:t xml:space="preserve">which decision was </w:t>
      </w:r>
      <w:r w:rsidR="00612B29" w:rsidRPr="00900647">
        <w:rPr>
          <w:rFonts w:ascii="Times New Roman" w:hAnsi="Times New Roman" w:cs="Times New Roman"/>
          <w:sz w:val="24"/>
          <w:szCs w:val="24"/>
        </w:rPr>
        <w:t>co</w:t>
      </w:r>
      <w:r w:rsidR="00CC4763" w:rsidRPr="00900647">
        <w:rPr>
          <w:rFonts w:ascii="Times New Roman" w:hAnsi="Times New Roman" w:cs="Times New Roman"/>
          <w:sz w:val="24"/>
          <w:szCs w:val="24"/>
        </w:rPr>
        <w:t>mmunicated to the parties on 12 </w:t>
      </w:r>
      <w:r w:rsidR="00612B29" w:rsidRPr="00900647">
        <w:rPr>
          <w:rFonts w:ascii="Times New Roman" w:hAnsi="Times New Roman" w:cs="Times New Roman"/>
          <w:sz w:val="24"/>
          <w:szCs w:val="24"/>
        </w:rPr>
        <w:t>October 2015.</w:t>
      </w:r>
    </w:p>
    <w:p w:rsidR="00CC4763" w:rsidRPr="00900647" w:rsidRDefault="00612B29"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 </w:t>
      </w:r>
    </w:p>
    <w:p w:rsidR="004378BC" w:rsidRPr="00900647" w:rsidRDefault="00612B29"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I note that the court </w:t>
      </w:r>
      <w:r w:rsidR="00133283" w:rsidRPr="00900647">
        <w:rPr>
          <w:rFonts w:ascii="Times New Roman" w:hAnsi="Times New Roman" w:cs="Times New Roman"/>
          <w:i/>
          <w:sz w:val="24"/>
          <w:szCs w:val="24"/>
        </w:rPr>
        <w:t>a quo</w:t>
      </w:r>
      <w:r w:rsidRPr="00900647">
        <w:rPr>
          <w:rFonts w:ascii="Times New Roman" w:hAnsi="Times New Roman" w:cs="Times New Roman"/>
          <w:sz w:val="24"/>
          <w:szCs w:val="24"/>
        </w:rPr>
        <w:t xml:space="preserve"> </w:t>
      </w:r>
      <w:r w:rsidR="004378BC" w:rsidRPr="00900647">
        <w:rPr>
          <w:rFonts w:ascii="Times New Roman" w:hAnsi="Times New Roman" w:cs="Times New Roman"/>
          <w:sz w:val="24"/>
          <w:szCs w:val="24"/>
        </w:rPr>
        <w:t>does not at any stage advert to</w:t>
      </w:r>
      <w:r w:rsidRPr="00900647">
        <w:rPr>
          <w:rFonts w:ascii="Times New Roman" w:hAnsi="Times New Roman" w:cs="Times New Roman"/>
          <w:sz w:val="24"/>
          <w:szCs w:val="24"/>
        </w:rPr>
        <w:t xml:space="preserve"> this decision </w:t>
      </w:r>
      <w:r w:rsidR="004378BC" w:rsidRPr="00900647">
        <w:rPr>
          <w:rFonts w:ascii="Times New Roman" w:hAnsi="Times New Roman" w:cs="Times New Roman"/>
          <w:sz w:val="24"/>
          <w:szCs w:val="24"/>
        </w:rPr>
        <w:t>in its judgment.</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EF6459" w:rsidRPr="00900647" w:rsidRDefault="00A14E05"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Having made this first error, the court </w:t>
      </w:r>
      <w:r w:rsidR="00133283" w:rsidRPr="00900647">
        <w:rPr>
          <w:rFonts w:ascii="Times New Roman" w:hAnsi="Times New Roman" w:cs="Times New Roman"/>
          <w:i/>
          <w:sz w:val="24"/>
          <w:szCs w:val="24"/>
        </w:rPr>
        <w:t>a quo</w:t>
      </w:r>
      <w:r w:rsidRPr="00900647">
        <w:rPr>
          <w:rFonts w:ascii="Times New Roman" w:hAnsi="Times New Roman" w:cs="Times New Roman"/>
          <w:sz w:val="24"/>
          <w:szCs w:val="24"/>
        </w:rPr>
        <w:t xml:space="preserve"> fell into the second </w:t>
      </w:r>
      <w:r w:rsidR="00BB7062" w:rsidRPr="00900647">
        <w:rPr>
          <w:rFonts w:ascii="Times New Roman" w:hAnsi="Times New Roman" w:cs="Times New Roman"/>
          <w:sz w:val="24"/>
          <w:szCs w:val="24"/>
        </w:rPr>
        <w:t xml:space="preserve">and </w:t>
      </w:r>
      <w:r w:rsidR="001F482C" w:rsidRPr="00900647">
        <w:rPr>
          <w:rFonts w:ascii="Times New Roman" w:hAnsi="Times New Roman" w:cs="Times New Roman"/>
          <w:sz w:val="24"/>
          <w:szCs w:val="24"/>
        </w:rPr>
        <w:t xml:space="preserve">more serious </w:t>
      </w:r>
      <w:r w:rsidRPr="00900647">
        <w:rPr>
          <w:rFonts w:ascii="Times New Roman" w:hAnsi="Times New Roman" w:cs="Times New Roman"/>
          <w:sz w:val="24"/>
          <w:szCs w:val="24"/>
        </w:rPr>
        <w:t>error which vitiates its decis</w:t>
      </w:r>
      <w:r w:rsidR="00022C74" w:rsidRPr="00900647">
        <w:rPr>
          <w:rFonts w:ascii="Times New Roman" w:hAnsi="Times New Roman" w:cs="Times New Roman"/>
          <w:sz w:val="24"/>
          <w:szCs w:val="24"/>
        </w:rPr>
        <w:t>ion. I</w:t>
      </w:r>
      <w:r w:rsidRPr="00900647">
        <w:rPr>
          <w:rFonts w:ascii="Times New Roman" w:hAnsi="Times New Roman" w:cs="Times New Roman"/>
          <w:sz w:val="24"/>
          <w:szCs w:val="24"/>
        </w:rPr>
        <w:t xml:space="preserve">t formulated its own issues for determination. </w:t>
      </w:r>
      <w:r w:rsidR="00022C74" w:rsidRPr="00900647">
        <w:rPr>
          <w:rFonts w:ascii="Times New Roman" w:hAnsi="Times New Roman" w:cs="Times New Roman"/>
          <w:sz w:val="24"/>
          <w:szCs w:val="24"/>
        </w:rPr>
        <w:t xml:space="preserve">Firstly, </w:t>
      </w:r>
      <w:r w:rsidR="00BB7062" w:rsidRPr="00900647">
        <w:rPr>
          <w:rFonts w:ascii="Times New Roman" w:hAnsi="Times New Roman" w:cs="Times New Roman"/>
          <w:sz w:val="24"/>
          <w:szCs w:val="24"/>
        </w:rPr>
        <w:t xml:space="preserve">it </w:t>
      </w:r>
      <w:r w:rsidR="00022C74" w:rsidRPr="00900647">
        <w:rPr>
          <w:rFonts w:ascii="Times New Roman" w:hAnsi="Times New Roman" w:cs="Times New Roman"/>
          <w:sz w:val="24"/>
          <w:szCs w:val="24"/>
        </w:rPr>
        <w:t xml:space="preserve">formed the view that the issue before it was “the computation of the retrenchment package” due to the appellant.   Whilst the computation of the package was at the centre of the dispute between the parties, it was not the immediate issue that fell to be determined in the review application </w:t>
      </w:r>
      <w:r w:rsidR="00133283" w:rsidRPr="00900647">
        <w:rPr>
          <w:rFonts w:ascii="Times New Roman" w:hAnsi="Times New Roman" w:cs="Times New Roman"/>
          <w:i/>
          <w:sz w:val="24"/>
          <w:szCs w:val="24"/>
        </w:rPr>
        <w:t>a quo</w:t>
      </w:r>
      <w:r w:rsidR="00022C74" w:rsidRPr="00900647">
        <w:rPr>
          <w:rFonts w:ascii="Times New Roman" w:hAnsi="Times New Roman" w:cs="Times New Roman"/>
          <w:sz w:val="24"/>
          <w:szCs w:val="24"/>
        </w:rPr>
        <w:t xml:space="preserve">.  As indicated above, the immediate issue to be determined was whether the </w:t>
      </w:r>
      <w:r w:rsidR="00B36725" w:rsidRPr="00900647">
        <w:rPr>
          <w:rFonts w:ascii="Times New Roman" w:hAnsi="Times New Roman" w:cs="Times New Roman"/>
          <w:sz w:val="24"/>
          <w:szCs w:val="24"/>
        </w:rPr>
        <w:t xml:space="preserve">second </w:t>
      </w:r>
      <w:r w:rsidR="00022C74" w:rsidRPr="00900647">
        <w:rPr>
          <w:rFonts w:ascii="Times New Roman" w:hAnsi="Times New Roman" w:cs="Times New Roman"/>
          <w:sz w:val="24"/>
          <w:szCs w:val="24"/>
        </w:rPr>
        <w:t>denial of jurisdiction by the first respondent over the matter was properly arrived at.</w:t>
      </w:r>
      <w:r w:rsidR="009A4F30" w:rsidRPr="00900647">
        <w:rPr>
          <w:rFonts w:ascii="Times New Roman" w:hAnsi="Times New Roman" w:cs="Times New Roman"/>
          <w:sz w:val="24"/>
          <w:szCs w:val="24"/>
        </w:rPr>
        <w:t xml:space="preserve"> </w:t>
      </w:r>
      <w:r w:rsidR="00B36725" w:rsidRPr="00900647">
        <w:rPr>
          <w:rFonts w:ascii="Times New Roman" w:hAnsi="Times New Roman" w:cs="Times New Roman"/>
          <w:sz w:val="24"/>
          <w:szCs w:val="24"/>
        </w:rPr>
        <w:t>Secondly</w:t>
      </w:r>
      <w:r w:rsidR="009A4F30" w:rsidRPr="00900647">
        <w:rPr>
          <w:rFonts w:ascii="Times New Roman" w:hAnsi="Times New Roman" w:cs="Times New Roman"/>
          <w:sz w:val="24"/>
          <w:szCs w:val="24"/>
        </w:rPr>
        <w:t>,</w:t>
      </w:r>
      <w:r w:rsidR="00B36725" w:rsidRPr="00900647">
        <w:rPr>
          <w:rFonts w:ascii="Times New Roman" w:hAnsi="Times New Roman" w:cs="Times New Roman"/>
          <w:sz w:val="24"/>
          <w:szCs w:val="24"/>
        </w:rPr>
        <w:t xml:space="preserve"> </w:t>
      </w:r>
      <w:r w:rsidR="00BB7062" w:rsidRPr="00900647">
        <w:rPr>
          <w:rFonts w:ascii="Times New Roman" w:hAnsi="Times New Roman" w:cs="Times New Roman"/>
          <w:sz w:val="24"/>
          <w:szCs w:val="24"/>
        </w:rPr>
        <w:t xml:space="preserve">and </w:t>
      </w:r>
      <w:r w:rsidR="00B36725" w:rsidRPr="00900647">
        <w:rPr>
          <w:rFonts w:ascii="Times New Roman" w:hAnsi="Times New Roman" w:cs="Times New Roman"/>
          <w:sz w:val="24"/>
          <w:szCs w:val="24"/>
        </w:rPr>
        <w:t xml:space="preserve">as </w:t>
      </w:r>
      <w:r w:rsidR="00BB7062" w:rsidRPr="00900647">
        <w:rPr>
          <w:rFonts w:ascii="Times New Roman" w:hAnsi="Times New Roman" w:cs="Times New Roman"/>
          <w:sz w:val="24"/>
          <w:szCs w:val="24"/>
        </w:rPr>
        <w:t xml:space="preserve">building up to its </w:t>
      </w:r>
      <w:r w:rsidR="00B36725" w:rsidRPr="00900647">
        <w:rPr>
          <w:rFonts w:ascii="Times New Roman" w:hAnsi="Times New Roman" w:cs="Times New Roman"/>
          <w:i/>
          <w:sz w:val="24"/>
          <w:szCs w:val="24"/>
        </w:rPr>
        <w:t>ratio</w:t>
      </w:r>
      <w:r w:rsidR="00B36725" w:rsidRPr="00900647">
        <w:rPr>
          <w:rFonts w:ascii="Times New Roman" w:hAnsi="Times New Roman" w:cs="Times New Roman"/>
          <w:sz w:val="24"/>
          <w:szCs w:val="24"/>
        </w:rPr>
        <w:t>,</w:t>
      </w:r>
      <w:r w:rsidR="009A4F30" w:rsidRPr="00900647">
        <w:rPr>
          <w:rFonts w:ascii="Times New Roman" w:hAnsi="Times New Roman" w:cs="Times New Roman"/>
          <w:sz w:val="24"/>
          <w:szCs w:val="24"/>
        </w:rPr>
        <w:t xml:space="preserve"> the court </w:t>
      </w:r>
      <w:r w:rsidR="00133283" w:rsidRPr="00900647">
        <w:rPr>
          <w:rFonts w:ascii="Times New Roman" w:hAnsi="Times New Roman" w:cs="Times New Roman"/>
          <w:i/>
          <w:sz w:val="24"/>
          <w:szCs w:val="24"/>
        </w:rPr>
        <w:t>a quo</w:t>
      </w:r>
      <w:r w:rsidR="009A4F30" w:rsidRPr="00900647">
        <w:rPr>
          <w:rFonts w:ascii="Times New Roman" w:hAnsi="Times New Roman" w:cs="Times New Roman"/>
          <w:sz w:val="24"/>
          <w:szCs w:val="24"/>
        </w:rPr>
        <w:t xml:space="preserve"> </w:t>
      </w:r>
      <w:r w:rsidR="00B36725" w:rsidRPr="00900647">
        <w:rPr>
          <w:rFonts w:ascii="Times New Roman" w:hAnsi="Times New Roman" w:cs="Times New Roman"/>
          <w:sz w:val="24"/>
          <w:szCs w:val="24"/>
        </w:rPr>
        <w:t>raised and determined an issue that was not an issue for the parties. It made a finding that the final package had been computed by the Minister. This finding was against the common position of both parties.</w:t>
      </w:r>
      <w:r w:rsidR="00EF6459" w:rsidRPr="00900647">
        <w:rPr>
          <w:rFonts w:ascii="Times New Roman" w:hAnsi="Times New Roman" w:cs="Times New Roman"/>
          <w:sz w:val="24"/>
          <w:szCs w:val="24"/>
        </w:rPr>
        <w:t xml:space="preserve"> It was common cause that the computation of the package had been done by the second respondent and not by the Minister. Therefore the identity of who made the final computation of the appellant’s </w:t>
      </w:r>
      <w:r w:rsidR="00EF6459" w:rsidRPr="00900647">
        <w:rPr>
          <w:rFonts w:ascii="Times New Roman" w:hAnsi="Times New Roman" w:cs="Times New Roman"/>
          <w:sz w:val="24"/>
          <w:szCs w:val="24"/>
        </w:rPr>
        <w:lastRenderedPageBreak/>
        <w:t>retirement package was not in issue and was therefore not a point on which a finding by the court was necessary.</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6F0403" w:rsidRPr="00900647" w:rsidRDefault="006B64F8"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I </w:t>
      </w:r>
      <w:r w:rsidR="004A584B" w:rsidRPr="00900647">
        <w:rPr>
          <w:rFonts w:ascii="Times New Roman" w:hAnsi="Times New Roman" w:cs="Times New Roman"/>
          <w:sz w:val="24"/>
          <w:szCs w:val="24"/>
        </w:rPr>
        <w:t xml:space="preserve">further </w:t>
      </w:r>
      <w:r w:rsidRPr="00900647">
        <w:rPr>
          <w:rFonts w:ascii="Times New Roman" w:hAnsi="Times New Roman" w:cs="Times New Roman"/>
          <w:sz w:val="24"/>
          <w:szCs w:val="24"/>
        </w:rPr>
        <w:t xml:space="preserve">note in passing that had </w:t>
      </w:r>
      <w:r w:rsidR="00715D12" w:rsidRPr="00900647">
        <w:rPr>
          <w:rFonts w:ascii="Times New Roman" w:hAnsi="Times New Roman" w:cs="Times New Roman"/>
          <w:sz w:val="24"/>
          <w:szCs w:val="24"/>
        </w:rPr>
        <w:t xml:space="preserve">the court </w:t>
      </w:r>
      <w:r w:rsidR="00133283" w:rsidRPr="00900647">
        <w:rPr>
          <w:rFonts w:ascii="Times New Roman" w:hAnsi="Times New Roman" w:cs="Times New Roman"/>
          <w:i/>
          <w:sz w:val="24"/>
          <w:szCs w:val="24"/>
        </w:rPr>
        <w:t>a quo</w:t>
      </w:r>
      <w:r w:rsidR="00715D12" w:rsidRPr="00900647">
        <w:rPr>
          <w:rFonts w:ascii="Times New Roman" w:hAnsi="Times New Roman" w:cs="Times New Roman"/>
          <w:sz w:val="24"/>
          <w:szCs w:val="24"/>
        </w:rPr>
        <w:t xml:space="preserve"> canvassed </w:t>
      </w:r>
      <w:r w:rsidR="00400954" w:rsidRPr="00900647">
        <w:rPr>
          <w:rFonts w:ascii="Times New Roman" w:hAnsi="Times New Roman" w:cs="Times New Roman"/>
          <w:sz w:val="24"/>
          <w:szCs w:val="24"/>
        </w:rPr>
        <w:t xml:space="preserve">with counsel </w:t>
      </w:r>
      <w:r w:rsidR="00715D12" w:rsidRPr="00900647">
        <w:rPr>
          <w:rFonts w:ascii="Times New Roman" w:hAnsi="Times New Roman" w:cs="Times New Roman"/>
          <w:sz w:val="24"/>
          <w:szCs w:val="24"/>
        </w:rPr>
        <w:t>its view of the turning point in the application for review and the facts which it thought were in dispute between the parties</w:t>
      </w:r>
      <w:r w:rsidR="00400954" w:rsidRPr="00900647">
        <w:rPr>
          <w:rFonts w:ascii="Times New Roman" w:hAnsi="Times New Roman" w:cs="Times New Roman"/>
          <w:sz w:val="24"/>
          <w:szCs w:val="24"/>
        </w:rPr>
        <w:t>, an eminently prudent practice for any court</w:t>
      </w:r>
      <w:r w:rsidR="00715D12" w:rsidRPr="00900647">
        <w:rPr>
          <w:rFonts w:ascii="Times New Roman" w:hAnsi="Times New Roman" w:cs="Times New Roman"/>
          <w:sz w:val="24"/>
          <w:szCs w:val="24"/>
        </w:rPr>
        <w:t>, this appeal may have been obviated.</w:t>
      </w:r>
      <w:r w:rsidR="003C7BA3" w:rsidRPr="00900647">
        <w:rPr>
          <w:rFonts w:ascii="Times New Roman" w:hAnsi="Times New Roman" w:cs="Times New Roman"/>
          <w:sz w:val="24"/>
          <w:szCs w:val="24"/>
        </w:rPr>
        <w:t xml:space="preserve"> However, this was not so.</w:t>
      </w:r>
    </w:p>
    <w:p w:rsidR="00841F08" w:rsidRPr="00900647" w:rsidRDefault="00841F08" w:rsidP="00CC4763">
      <w:pPr>
        <w:spacing w:after="0" w:line="480" w:lineRule="auto"/>
        <w:ind w:firstLine="1134"/>
        <w:jc w:val="both"/>
        <w:rPr>
          <w:rFonts w:ascii="Times New Roman" w:hAnsi="Times New Roman" w:cs="Times New Roman"/>
          <w:sz w:val="24"/>
          <w:szCs w:val="24"/>
        </w:rPr>
      </w:pPr>
    </w:p>
    <w:p w:rsidR="00841F08" w:rsidRPr="00900647" w:rsidRDefault="00841F08"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I find merit in the appellant’s grounds of appeal. The court </w:t>
      </w:r>
      <w:r w:rsidRPr="00B42F03">
        <w:rPr>
          <w:rFonts w:ascii="Times New Roman" w:hAnsi="Times New Roman" w:cs="Times New Roman"/>
          <w:i/>
          <w:sz w:val="24"/>
          <w:szCs w:val="24"/>
        </w:rPr>
        <w:t>a quo</w:t>
      </w:r>
      <w:r w:rsidRPr="00900647">
        <w:rPr>
          <w:rFonts w:ascii="Times New Roman" w:hAnsi="Times New Roman" w:cs="Times New Roman"/>
          <w:sz w:val="24"/>
          <w:szCs w:val="24"/>
        </w:rPr>
        <w:t xml:space="preserve"> failed to determine the issue that was before it. </w:t>
      </w:r>
      <w:r w:rsidR="00BA5CCF" w:rsidRPr="00900647">
        <w:rPr>
          <w:rFonts w:ascii="Times New Roman" w:hAnsi="Times New Roman" w:cs="Times New Roman"/>
          <w:sz w:val="24"/>
          <w:szCs w:val="24"/>
        </w:rPr>
        <w:t>It</w:t>
      </w:r>
      <w:r w:rsidRPr="00900647">
        <w:rPr>
          <w:rFonts w:ascii="Times New Roman" w:hAnsi="Times New Roman" w:cs="Times New Roman"/>
          <w:sz w:val="24"/>
          <w:szCs w:val="24"/>
        </w:rPr>
        <w:t xml:space="preserve"> raised its own and gravely misconstrued the facts giving rise to the dispute in resolving the issue it had raised for itself.</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111E15" w:rsidRPr="00900647" w:rsidRDefault="00CC4763" w:rsidP="00380299">
      <w:pPr>
        <w:spacing w:after="0" w:line="480" w:lineRule="auto"/>
        <w:jc w:val="both"/>
        <w:rPr>
          <w:rFonts w:ascii="Times New Roman" w:hAnsi="Times New Roman" w:cs="Times New Roman"/>
          <w:b/>
          <w:sz w:val="24"/>
          <w:szCs w:val="24"/>
        </w:rPr>
      </w:pPr>
      <w:r w:rsidRPr="00900647">
        <w:rPr>
          <w:rFonts w:ascii="Times New Roman" w:hAnsi="Times New Roman" w:cs="Times New Roman"/>
          <w:b/>
          <w:sz w:val="24"/>
          <w:szCs w:val="24"/>
        </w:rPr>
        <w:t>Disposition</w:t>
      </w:r>
    </w:p>
    <w:p w:rsidR="00B36039" w:rsidRPr="00900647" w:rsidRDefault="00715D12"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 xml:space="preserve">Having fallen into </w:t>
      </w:r>
      <w:r w:rsidR="00F50055" w:rsidRPr="00900647">
        <w:rPr>
          <w:rFonts w:ascii="Times New Roman" w:hAnsi="Times New Roman" w:cs="Times New Roman"/>
          <w:sz w:val="24"/>
          <w:szCs w:val="24"/>
        </w:rPr>
        <w:t>error</w:t>
      </w:r>
      <w:r w:rsidRPr="00900647">
        <w:rPr>
          <w:rFonts w:ascii="Times New Roman" w:hAnsi="Times New Roman" w:cs="Times New Roman"/>
          <w:sz w:val="24"/>
          <w:szCs w:val="24"/>
        </w:rPr>
        <w:t xml:space="preserve"> in not only formulating the incorrect issue </w:t>
      </w:r>
      <w:r w:rsidR="008D69B3" w:rsidRPr="00900647">
        <w:rPr>
          <w:rFonts w:ascii="Times New Roman" w:hAnsi="Times New Roman" w:cs="Times New Roman"/>
          <w:sz w:val="24"/>
          <w:szCs w:val="24"/>
        </w:rPr>
        <w:t xml:space="preserve">for its determination </w:t>
      </w:r>
      <w:r w:rsidRPr="00900647">
        <w:rPr>
          <w:rFonts w:ascii="Times New Roman" w:hAnsi="Times New Roman" w:cs="Times New Roman"/>
          <w:sz w:val="24"/>
          <w:szCs w:val="24"/>
        </w:rPr>
        <w:t>but in basing its deci</w:t>
      </w:r>
      <w:r w:rsidR="00766CF4" w:rsidRPr="00900647">
        <w:rPr>
          <w:rFonts w:ascii="Times New Roman" w:hAnsi="Times New Roman" w:cs="Times New Roman"/>
          <w:sz w:val="24"/>
          <w:szCs w:val="24"/>
        </w:rPr>
        <w:t>sion on</w:t>
      </w:r>
      <w:r w:rsidR="00426567" w:rsidRPr="00900647">
        <w:rPr>
          <w:rFonts w:ascii="Times New Roman" w:hAnsi="Times New Roman" w:cs="Times New Roman"/>
          <w:sz w:val="24"/>
          <w:szCs w:val="24"/>
        </w:rPr>
        <w:t xml:space="preserve"> </w:t>
      </w:r>
      <w:r w:rsidRPr="00900647">
        <w:rPr>
          <w:rFonts w:ascii="Times New Roman" w:hAnsi="Times New Roman" w:cs="Times New Roman"/>
          <w:sz w:val="24"/>
          <w:szCs w:val="24"/>
        </w:rPr>
        <w:t>incorrect fact</w:t>
      </w:r>
      <w:r w:rsidR="00FB393B" w:rsidRPr="00900647">
        <w:rPr>
          <w:rFonts w:ascii="Times New Roman" w:hAnsi="Times New Roman" w:cs="Times New Roman"/>
          <w:sz w:val="24"/>
          <w:szCs w:val="24"/>
        </w:rPr>
        <w:t>s</w:t>
      </w:r>
      <w:r w:rsidRPr="00900647">
        <w:rPr>
          <w:rFonts w:ascii="Times New Roman" w:hAnsi="Times New Roman" w:cs="Times New Roman"/>
          <w:sz w:val="24"/>
          <w:szCs w:val="24"/>
        </w:rPr>
        <w:t xml:space="preserve">, </w:t>
      </w:r>
      <w:r w:rsidR="00F50055" w:rsidRPr="00900647">
        <w:rPr>
          <w:rFonts w:ascii="Times New Roman" w:hAnsi="Times New Roman" w:cs="Times New Roman"/>
          <w:sz w:val="24"/>
          <w:szCs w:val="24"/>
        </w:rPr>
        <w:t xml:space="preserve">the </w:t>
      </w:r>
      <w:r w:rsidR="00BA5CCF" w:rsidRPr="00900647">
        <w:rPr>
          <w:rFonts w:ascii="Times New Roman" w:hAnsi="Times New Roman" w:cs="Times New Roman"/>
          <w:sz w:val="24"/>
          <w:szCs w:val="24"/>
        </w:rPr>
        <w:t>d</w:t>
      </w:r>
      <w:r w:rsidR="000F0903" w:rsidRPr="00900647">
        <w:rPr>
          <w:rFonts w:ascii="Times New Roman" w:hAnsi="Times New Roman" w:cs="Times New Roman"/>
          <w:sz w:val="24"/>
          <w:szCs w:val="24"/>
        </w:rPr>
        <w:t xml:space="preserve">ecision </w:t>
      </w:r>
      <w:r w:rsidR="008D69B3" w:rsidRPr="00900647">
        <w:rPr>
          <w:rFonts w:ascii="Times New Roman" w:hAnsi="Times New Roman" w:cs="Times New Roman"/>
          <w:sz w:val="24"/>
          <w:szCs w:val="24"/>
        </w:rPr>
        <w:t xml:space="preserve">of the court </w:t>
      </w:r>
      <w:r w:rsidR="00BA5CCF" w:rsidRPr="00900647">
        <w:rPr>
          <w:rFonts w:ascii="Times New Roman" w:hAnsi="Times New Roman" w:cs="Times New Roman"/>
          <w:i/>
          <w:sz w:val="24"/>
          <w:szCs w:val="24"/>
        </w:rPr>
        <w:t>a quo</w:t>
      </w:r>
      <w:r w:rsidR="00BA5CCF" w:rsidRPr="00900647">
        <w:rPr>
          <w:rFonts w:ascii="Times New Roman" w:hAnsi="Times New Roman" w:cs="Times New Roman"/>
          <w:sz w:val="24"/>
          <w:szCs w:val="24"/>
        </w:rPr>
        <w:t xml:space="preserve"> </w:t>
      </w:r>
      <w:r w:rsidR="000F0903" w:rsidRPr="00900647">
        <w:rPr>
          <w:rFonts w:ascii="Times New Roman" w:hAnsi="Times New Roman" w:cs="Times New Roman"/>
          <w:sz w:val="24"/>
          <w:szCs w:val="24"/>
        </w:rPr>
        <w:t>cannot stand</w:t>
      </w:r>
      <w:r w:rsidR="00426567" w:rsidRPr="00900647">
        <w:rPr>
          <w:rFonts w:ascii="Times New Roman" w:hAnsi="Times New Roman" w:cs="Times New Roman"/>
          <w:sz w:val="24"/>
          <w:szCs w:val="24"/>
        </w:rPr>
        <w:t xml:space="preserve">. </w:t>
      </w:r>
      <w:r w:rsidR="00B36039" w:rsidRPr="00900647">
        <w:rPr>
          <w:rFonts w:ascii="Times New Roman" w:hAnsi="Times New Roman" w:cs="Times New Roman"/>
          <w:sz w:val="24"/>
          <w:szCs w:val="24"/>
        </w:rPr>
        <w:t>It must be set aside and the matter remitted for</w:t>
      </w:r>
      <w:r w:rsidR="00641493" w:rsidRPr="00900647">
        <w:rPr>
          <w:rFonts w:ascii="Times New Roman" w:hAnsi="Times New Roman" w:cs="Times New Roman"/>
          <w:sz w:val="24"/>
          <w:szCs w:val="24"/>
        </w:rPr>
        <w:t xml:space="preserve"> fresh </w:t>
      </w:r>
      <w:r w:rsidR="00B36039" w:rsidRPr="00900647">
        <w:rPr>
          <w:rFonts w:ascii="Times New Roman" w:hAnsi="Times New Roman" w:cs="Times New Roman"/>
          <w:sz w:val="24"/>
          <w:szCs w:val="24"/>
        </w:rPr>
        <w:t>det</w:t>
      </w:r>
      <w:r w:rsidR="00404E3A" w:rsidRPr="00900647">
        <w:rPr>
          <w:rFonts w:ascii="Times New Roman" w:hAnsi="Times New Roman" w:cs="Times New Roman"/>
          <w:sz w:val="24"/>
          <w:szCs w:val="24"/>
        </w:rPr>
        <w:t>e</w:t>
      </w:r>
      <w:r w:rsidR="00B36039" w:rsidRPr="00900647">
        <w:rPr>
          <w:rFonts w:ascii="Times New Roman" w:hAnsi="Times New Roman" w:cs="Times New Roman"/>
          <w:sz w:val="24"/>
          <w:szCs w:val="24"/>
        </w:rPr>
        <w:t>rminat</w:t>
      </w:r>
      <w:r w:rsidR="00404E3A" w:rsidRPr="00900647">
        <w:rPr>
          <w:rFonts w:ascii="Times New Roman" w:hAnsi="Times New Roman" w:cs="Times New Roman"/>
          <w:sz w:val="24"/>
          <w:szCs w:val="24"/>
        </w:rPr>
        <w:t>io</w:t>
      </w:r>
      <w:r w:rsidR="00641493" w:rsidRPr="00900647">
        <w:rPr>
          <w:rFonts w:ascii="Times New Roman" w:hAnsi="Times New Roman" w:cs="Times New Roman"/>
          <w:sz w:val="24"/>
          <w:szCs w:val="24"/>
        </w:rPr>
        <w:t>n</w:t>
      </w:r>
      <w:r w:rsidR="00404E3A" w:rsidRPr="00900647">
        <w:rPr>
          <w:rFonts w:ascii="Times New Roman" w:hAnsi="Times New Roman" w:cs="Times New Roman"/>
          <w:sz w:val="24"/>
          <w:szCs w:val="24"/>
        </w:rPr>
        <w:t>.</w:t>
      </w:r>
    </w:p>
    <w:p w:rsidR="00CC4763" w:rsidRPr="00900647" w:rsidRDefault="00CC4763" w:rsidP="00CC4763">
      <w:pPr>
        <w:spacing w:after="0" w:line="480" w:lineRule="auto"/>
        <w:ind w:firstLine="1134"/>
        <w:jc w:val="both"/>
        <w:rPr>
          <w:rFonts w:ascii="Times New Roman" w:hAnsi="Times New Roman" w:cs="Times New Roman"/>
          <w:sz w:val="24"/>
          <w:szCs w:val="24"/>
        </w:rPr>
      </w:pPr>
    </w:p>
    <w:p w:rsidR="004F479A" w:rsidRPr="00900647" w:rsidRDefault="004F479A"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Costs of this appeal will follow the cause.</w:t>
      </w:r>
      <w:r w:rsidR="00421982" w:rsidRPr="00900647">
        <w:rPr>
          <w:rFonts w:ascii="Times New Roman" w:hAnsi="Times New Roman" w:cs="Times New Roman"/>
          <w:sz w:val="24"/>
          <w:szCs w:val="24"/>
        </w:rPr>
        <w:t xml:space="preserve"> I see no reason for departing from this general position</w:t>
      </w:r>
      <w:r w:rsidR="009B30A4" w:rsidRPr="00900647">
        <w:rPr>
          <w:rFonts w:ascii="Times New Roman" w:hAnsi="Times New Roman" w:cs="Times New Roman"/>
          <w:sz w:val="24"/>
          <w:szCs w:val="24"/>
        </w:rPr>
        <w:t xml:space="preserve"> in this appeal</w:t>
      </w:r>
      <w:r w:rsidR="00421982" w:rsidRPr="00900647">
        <w:rPr>
          <w:rFonts w:ascii="Times New Roman" w:hAnsi="Times New Roman" w:cs="Times New Roman"/>
          <w:sz w:val="24"/>
          <w:szCs w:val="24"/>
        </w:rPr>
        <w:t>.</w:t>
      </w:r>
    </w:p>
    <w:p w:rsidR="00CC4763" w:rsidRPr="00900647" w:rsidRDefault="00CC4763" w:rsidP="00CC4763">
      <w:pPr>
        <w:spacing w:after="0" w:line="480" w:lineRule="auto"/>
        <w:jc w:val="both"/>
        <w:rPr>
          <w:rFonts w:ascii="Times New Roman" w:hAnsi="Times New Roman" w:cs="Times New Roman"/>
          <w:sz w:val="24"/>
          <w:szCs w:val="24"/>
        </w:rPr>
      </w:pPr>
    </w:p>
    <w:p w:rsidR="004F479A" w:rsidRPr="00900647" w:rsidRDefault="004F479A" w:rsidP="00CC4763">
      <w:pPr>
        <w:spacing w:after="0" w:line="480" w:lineRule="auto"/>
        <w:ind w:firstLine="1134"/>
        <w:jc w:val="both"/>
        <w:rPr>
          <w:rFonts w:ascii="Times New Roman" w:hAnsi="Times New Roman" w:cs="Times New Roman"/>
          <w:sz w:val="24"/>
          <w:szCs w:val="24"/>
        </w:rPr>
      </w:pPr>
      <w:r w:rsidRPr="00900647">
        <w:rPr>
          <w:rFonts w:ascii="Times New Roman" w:hAnsi="Times New Roman" w:cs="Times New Roman"/>
          <w:sz w:val="24"/>
          <w:szCs w:val="24"/>
        </w:rPr>
        <w:t>In the result I make the following order:</w:t>
      </w:r>
    </w:p>
    <w:p w:rsidR="004F479A" w:rsidRPr="00900647" w:rsidRDefault="004F479A" w:rsidP="00CC4763">
      <w:pPr>
        <w:pStyle w:val="ListParagraph"/>
        <w:numPr>
          <w:ilvl w:val="0"/>
          <w:numId w:val="4"/>
        </w:numPr>
        <w:spacing w:after="0" w:line="480" w:lineRule="auto"/>
        <w:jc w:val="both"/>
        <w:rPr>
          <w:rFonts w:ascii="Times New Roman" w:hAnsi="Times New Roman" w:cs="Times New Roman"/>
          <w:sz w:val="24"/>
          <w:szCs w:val="24"/>
        </w:rPr>
      </w:pPr>
      <w:r w:rsidRPr="00900647">
        <w:rPr>
          <w:rFonts w:ascii="Times New Roman" w:hAnsi="Times New Roman" w:cs="Times New Roman"/>
          <w:sz w:val="24"/>
          <w:szCs w:val="24"/>
        </w:rPr>
        <w:t>The appeal is allowed with costs.</w:t>
      </w:r>
    </w:p>
    <w:p w:rsidR="004F479A" w:rsidRPr="00900647" w:rsidRDefault="004F479A" w:rsidP="00380299">
      <w:pPr>
        <w:pStyle w:val="ListParagraph"/>
        <w:numPr>
          <w:ilvl w:val="0"/>
          <w:numId w:val="4"/>
        </w:numPr>
        <w:spacing w:after="0" w:line="480" w:lineRule="auto"/>
        <w:jc w:val="both"/>
        <w:rPr>
          <w:rFonts w:ascii="Times New Roman" w:hAnsi="Times New Roman" w:cs="Times New Roman"/>
          <w:sz w:val="24"/>
          <w:szCs w:val="24"/>
        </w:rPr>
      </w:pPr>
      <w:r w:rsidRPr="00900647">
        <w:rPr>
          <w:rFonts w:ascii="Times New Roman" w:hAnsi="Times New Roman" w:cs="Times New Roman"/>
          <w:sz w:val="24"/>
          <w:szCs w:val="24"/>
        </w:rPr>
        <w:t xml:space="preserve">The decision of the court </w:t>
      </w:r>
      <w:r w:rsidR="00133283" w:rsidRPr="00900647">
        <w:rPr>
          <w:rFonts w:ascii="Times New Roman" w:hAnsi="Times New Roman" w:cs="Times New Roman"/>
          <w:i/>
          <w:sz w:val="24"/>
          <w:szCs w:val="24"/>
        </w:rPr>
        <w:t>a quo</w:t>
      </w:r>
      <w:r w:rsidRPr="00900647">
        <w:rPr>
          <w:rFonts w:ascii="Times New Roman" w:hAnsi="Times New Roman" w:cs="Times New Roman"/>
          <w:sz w:val="24"/>
          <w:szCs w:val="24"/>
        </w:rPr>
        <w:t xml:space="preserve"> is set aside.</w:t>
      </w:r>
    </w:p>
    <w:p w:rsidR="004F479A" w:rsidRPr="00900647" w:rsidRDefault="004F479A" w:rsidP="00380299">
      <w:pPr>
        <w:pStyle w:val="ListParagraph"/>
        <w:numPr>
          <w:ilvl w:val="0"/>
          <w:numId w:val="4"/>
        </w:numPr>
        <w:spacing w:after="0" w:line="480" w:lineRule="auto"/>
        <w:jc w:val="both"/>
        <w:rPr>
          <w:rFonts w:ascii="Times New Roman" w:hAnsi="Times New Roman" w:cs="Times New Roman"/>
          <w:sz w:val="24"/>
          <w:szCs w:val="24"/>
        </w:rPr>
      </w:pPr>
      <w:r w:rsidRPr="00900647">
        <w:rPr>
          <w:rFonts w:ascii="Times New Roman" w:hAnsi="Times New Roman" w:cs="Times New Roman"/>
          <w:sz w:val="24"/>
          <w:szCs w:val="24"/>
        </w:rPr>
        <w:t xml:space="preserve">The matter is remitted to the court </w:t>
      </w:r>
      <w:r w:rsidR="00133283" w:rsidRPr="00900647">
        <w:rPr>
          <w:rFonts w:ascii="Times New Roman" w:hAnsi="Times New Roman" w:cs="Times New Roman"/>
          <w:i/>
          <w:sz w:val="24"/>
          <w:szCs w:val="24"/>
        </w:rPr>
        <w:t>a quo</w:t>
      </w:r>
      <w:r w:rsidR="00641493" w:rsidRPr="00900647">
        <w:rPr>
          <w:rFonts w:ascii="Times New Roman" w:hAnsi="Times New Roman" w:cs="Times New Roman"/>
          <w:sz w:val="24"/>
          <w:szCs w:val="24"/>
        </w:rPr>
        <w:t xml:space="preserve"> for determination</w:t>
      </w:r>
      <w:r w:rsidRPr="00900647">
        <w:rPr>
          <w:rFonts w:ascii="Times New Roman" w:hAnsi="Times New Roman" w:cs="Times New Roman"/>
          <w:sz w:val="24"/>
          <w:szCs w:val="24"/>
        </w:rPr>
        <w:t xml:space="preserve"> </w:t>
      </w:r>
      <w:r w:rsidRPr="00900647">
        <w:rPr>
          <w:rFonts w:ascii="Times New Roman" w:hAnsi="Times New Roman" w:cs="Times New Roman"/>
          <w:i/>
          <w:sz w:val="24"/>
          <w:szCs w:val="24"/>
        </w:rPr>
        <w:t>de novo.</w:t>
      </w:r>
    </w:p>
    <w:p w:rsidR="00FD38E9" w:rsidRPr="00900647" w:rsidRDefault="00FD38E9" w:rsidP="00380299">
      <w:pPr>
        <w:spacing w:after="0" w:line="480" w:lineRule="auto"/>
        <w:jc w:val="both"/>
        <w:rPr>
          <w:rFonts w:ascii="Times New Roman" w:hAnsi="Times New Roman" w:cs="Times New Roman"/>
          <w:sz w:val="24"/>
          <w:szCs w:val="24"/>
        </w:rPr>
      </w:pPr>
    </w:p>
    <w:p w:rsidR="00FD38E9" w:rsidRPr="00900647" w:rsidRDefault="00FD38E9" w:rsidP="00380299">
      <w:pPr>
        <w:spacing w:after="0" w:line="480" w:lineRule="auto"/>
        <w:rPr>
          <w:rFonts w:ascii="Times New Roman" w:hAnsi="Times New Roman" w:cs="Times New Roman"/>
          <w:sz w:val="24"/>
          <w:szCs w:val="24"/>
        </w:rPr>
      </w:pPr>
    </w:p>
    <w:p w:rsidR="00FD38E9" w:rsidRPr="00900647" w:rsidRDefault="00FD38E9" w:rsidP="00CC4763">
      <w:pPr>
        <w:spacing w:after="0" w:line="480" w:lineRule="auto"/>
        <w:ind w:left="720" w:firstLine="720"/>
        <w:rPr>
          <w:rFonts w:ascii="Times New Roman" w:hAnsi="Times New Roman" w:cs="Times New Roman"/>
          <w:sz w:val="24"/>
          <w:szCs w:val="24"/>
        </w:rPr>
      </w:pPr>
      <w:r w:rsidRPr="00900647">
        <w:rPr>
          <w:rFonts w:ascii="Times New Roman" w:hAnsi="Times New Roman" w:cs="Times New Roman"/>
          <w:b/>
          <w:sz w:val="24"/>
          <w:szCs w:val="24"/>
        </w:rPr>
        <w:t>GOWORA JA</w:t>
      </w:r>
      <w:r w:rsidR="00CC4763" w:rsidRPr="00900647">
        <w:rPr>
          <w:rFonts w:ascii="Times New Roman" w:hAnsi="Times New Roman" w:cs="Times New Roman"/>
          <w:b/>
          <w:sz w:val="24"/>
          <w:szCs w:val="24"/>
        </w:rPr>
        <w:t>:</w:t>
      </w:r>
      <w:r w:rsidRPr="00900647">
        <w:rPr>
          <w:rFonts w:ascii="Times New Roman" w:hAnsi="Times New Roman" w:cs="Times New Roman"/>
          <w:sz w:val="24"/>
          <w:szCs w:val="24"/>
        </w:rPr>
        <w:tab/>
      </w:r>
      <w:r w:rsidRPr="00900647">
        <w:rPr>
          <w:rFonts w:ascii="Times New Roman" w:hAnsi="Times New Roman" w:cs="Times New Roman"/>
          <w:sz w:val="24"/>
          <w:szCs w:val="24"/>
        </w:rPr>
        <w:tab/>
      </w:r>
      <w:r w:rsidR="00CC4763" w:rsidRPr="00900647">
        <w:rPr>
          <w:rFonts w:ascii="Times New Roman" w:hAnsi="Times New Roman" w:cs="Times New Roman"/>
          <w:sz w:val="24"/>
          <w:szCs w:val="24"/>
        </w:rPr>
        <w:tab/>
      </w:r>
      <w:r w:rsidRPr="00900647">
        <w:rPr>
          <w:rFonts w:ascii="Times New Roman" w:hAnsi="Times New Roman" w:cs="Times New Roman"/>
          <w:sz w:val="24"/>
          <w:szCs w:val="24"/>
        </w:rPr>
        <w:t>I agree</w:t>
      </w:r>
    </w:p>
    <w:p w:rsidR="0089386C" w:rsidRPr="00900647" w:rsidRDefault="0089386C" w:rsidP="00380299">
      <w:pPr>
        <w:spacing w:after="0" w:line="480" w:lineRule="auto"/>
        <w:rPr>
          <w:rFonts w:ascii="Times New Roman" w:hAnsi="Times New Roman" w:cs="Times New Roman"/>
          <w:sz w:val="24"/>
          <w:szCs w:val="24"/>
        </w:rPr>
      </w:pPr>
    </w:p>
    <w:p w:rsidR="0089386C" w:rsidRPr="00900647" w:rsidRDefault="0089386C" w:rsidP="00380299">
      <w:pPr>
        <w:spacing w:after="0" w:line="480" w:lineRule="auto"/>
        <w:rPr>
          <w:rFonts w:ascii="Times New Roman" w:hAnsi="Times New Roman" w:cs="Times New Roman"/>
          <w:sz w:val="24"/>
          <w:szCs w:val="24"/>
        </w:rPr>
      </w:pPr>
    </w:p>
    <w:p w:rsidR="00FD38E9" w:rsidRPr="00900647" w:rsidRDefault="00FD38E9" w:rsidP="00CC4763">
      <w:pPr>
        <w:spacing w:after="0" w:line="480" w:lineRule="auto"/>
        <w:ind w:left="720" w:firstLine="720"/>
        <w:rPr>
          <w:rFonts w:ascii="Times New Roman" w:hAnsi="Times New Roman" w:cs="Times New Roman"/>
          <w:sz w:val="24"/>
          <w:szCs w:val="24"/>
        </w:rPr>
      </w:pPr>
      <w:r w:rsidRPr="00900647">
        <w:rPr>
          <w:rFonts w:ascii="Times New Roman" w:hAnsi="Times New Roman" w:cs="Times New Roman"/>
          <w:b/>
          <w:sz w:val="24"/>
          <w:szCs w:val="24"/>
        </w:rPr>
        <w:t>HLATSHWAYO JA</w:t>
      </w:r>
      <w:r w:rsidR="00CC4763" w:rsidRPr="00900647">
        <w:rPr>
          <w:rFonts w:ascii="Times New Roman" w:hAnsi="Times New Roman" w:cs="Times New Roman"/>
          <w:b/>
          <w:sz w:val="24"/>
          <w:szCs w:val="24"/>
        </w:rPr>
        <w:t>:</w:t>
      </w:r>
      <w:r w:rsidR="00CC4763" w:rsidRPr="00900647">
        <w:rPr>
          <w:rFonts w:ascii="Times New Roman" w:hAnsi="Times New Roman" w:cs="Times New Roman"/>
          <w:sz w:val="24"/>
          <w:szCs w:val="24"/>
        </w:rPr>
        <w:t xml:space="preserve"> </w:t>
      </w:r>
      <w:r w:rsidR="00CC4763" w:rsidRPr="00900647">
        <w:rPr>
          <w:rFonts w:ascii="Times New Roman" w:hAnsi="Times New Roman" w:cs="Times New Roman"/>
          <w:sz w:val="24"/>
          <w:szCs w:val="24"/>
        </w:rPr>
        <w:tab/>
      </w:r>
      <w:r w:rsidR="00CC4763" w:rsidRPr="00900647">
        <w:rPr>
          <w:rFonts w:ascii="Times New Roman" w:hAnsi="Times New Roman" w:cs="Times New Roman"/>
          <w:sz w:val="24"/>
          <w:szCs w:val="24"/>
        </w:rPr>
        <w:tab/>
        <w:t>I agree</w:t>
      </w:r>
    </w:p>
    <w:p w:rsidR="008F6F80" w:rsidRPr="00900647" w:rsidRDefault="008F6F80" w:rsidP="00380299">
      <w:pPr>
        <w:spacing w:after="0" w:line="480" w:lineRule="auto"/>
        <w:rPr>
          <w:rFonts w:ascii="Times New Roman" w:hAnsi="Times New Roman" w:cs="Times New Roman"/>
          <w:sz w:val="24"/>
          <w:szCs w:val="24"/>
        </w:rPr>
      </w:pPr>
    </w:p>
    <w:p w:rsidR="008F6F80" w:rsidRPr="00900647" w:rsidRDefault="008F6F80" w:rsidP="00380299">
      <w:pPr>
        <w:spacing w:after="0" w:line="480" w:lineRule="auto"/>
        <w:rPr>
          <w:rFonts w:ascii="Times New Roman" w:hAnsi="Times New Roman" w:cs="Times New Roman"/>
          <w:sz w:val="24"/>
          <w:szCs w:val="24"/>
        </w:rPr>
      </w:pPr>
    </w:p>
    <w:p w:rsidR="00B764D5" w:rsidRPr="00900647" w:rsidRDefault="00B764D5" w:rsidP="00380299">
      <w:pPr>
        <w:spacing w:after="0" w:line="480" w:lineRule="auto"/>
        <w:jc w:val="both"/>
        <w:rPr>
          <w:rFonts w:ascii="Times New Roman" w:hAnsi="Times New Roman" w:cs="Times New Roman"/>
          <w:sz w:val="24"/>
          <w:szCs w:val="24"/>
        </w:rPr>
      </w:pPr>
      <w:r w:rsidRPr="00900647">
        <w:rPr>
          <w:rFonts w:ascii="Times New Roman" w:hAnsi="Times New Roman" w:cs="Times New Roman"/>
          <w:i/>
          <w:sz w:val="24"/>
          <w:szCs w:val="24"/>
        </w:rPr>
        <w:t>Wintertons</w:t>
      </w:r>
      <w:r w:rsidRPr="00900647">
        <w:rPr>
          <w:rFonts w:ascii="Times New Roman" w:hAnsi="Times New Roman" w:cs="Times New Roman"/>
          <w:sz w:val="24"/>
          <w:szCs w:val="24"/>
        </w:rPr>
        <w:t>, 2</w:t>
      </w:r>
      <w:r w:rsidRPr="00900647">
        <w:rPr>
          <w:rFonts w:ascii="Times New Roman" w:hAnsi="Times New Roman" w:cs="Times New Roman"/>
          <w:sz w:val="24"/>
          <w:szCs w:val="24"/>
          <w:vertAlign w:val="superscript"/>
        </w:rPr>
        <w:t>nd</w:t>
      </w:r>
      <w:r w:rsidRPr="00900647">
        <w:rPr>
          <w:rFonts w:ascii="Times New Roman" w:hAnsi="Times New Roman" w:cs="Times New Roman"/>
          <w:sz w:val="24"/>
          <w:szCs w:val="24"/>
        </w:rPr>
        <w:t xml:space="preserve"> respondent’s legal practitioners.</w:t>
      </w:r>
    </w:p>
    <w:p w:rsidR="008F6F80" w:rsidRPr="00900647" w:rsidRDefault="008F6F80" w:rsidP="00380299">
      <w:pPr>
        <w:spacing w:after="0" w:line="480" w:lineRule="auto"/>
        <w:rPr>
          <w:rFonts w:ascii="Times New Roman" w:hAnsi="Times New Roman" w:cs="Times New Roman"/>
          <w:sz w:val="24"/>
          <w:szCs w:val="24"/>
        </w:rPr>
      </w:pPr>
    </w:p>
    <w:sectPr w:rsidR="008F6F80" w:rsidRPr="0090064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42F" w:rsidRDefault="006B242F" w:rsidP="00596F01">
      <w:pPr>
        <w:spacing w:after="0" w:line="240" w:lineRule="auto"/>
      </w:pPr>
      <w:r>
        <w:separator/>
      </w:r>
    </w:p>
  </w:endnote>
  <w:endnote w:type="continuationSeparator" w:id="0">
    <w:p w:rsidR="006B242F" w:rsidRDefault="006B242F" w:rsidP="0059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altName w:val="Times New Roman"/>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42F" w:rsidRDefault="006B242F" w:rsidP="00596F01">
      <w:pPr>
        <w:spacing w:after="0" w:line="240" w:lineRule="auto"/>
      </w:pPr>
      <w:r>
        <w:separator/>
      </w:r>
    </w:p>
  </w:footnote>
  <w:footnote w:type="continuationSeparator" w:id="0">
    <w:p w:rsidR="006B242F" w:rsidRDefault="006B242F" w:rsidP="00596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299" w:rsidRDefault="00380299">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0299" w:rsidRPr="00900647" w:rsidRDefault="00380299">
                          <w:pPr>
                            <w:spacing w:after="0" w:line="240" w:lineRule="auto"/>
                            <w:jc w:val="right"/>
                            <w:rPr>
                              <w:rFonts w:ascii="Times New Roman" w:hAnsi="Times New Roman" w:cs="Times New Roman"/>
                              <w:b/>
                              <w:noProof/>
                              <w:sz w:val="24"/>
                              <w:szCs w:val="24"/>
                            </w:rPr>
                          </w:pPr>
                          <w:r w:rsidRPr="00900647">
                            <w:rPr>
                              <w:rFonts w:ascii="Times New Roman" w:hAnsi="Times New Roman" w:cs="Times New Roman"/>
                              <w:b/>
                              <w:noProof/>
                              <w:sz w:val="24"/>
                              <w:szCs w:val="24"/>
                            </w:rPr>
                            <w:t xml:space="preserve">Judgment No. SC </w:t>
                          </w:r>
                          <w:r w:rsidR="00C91837">
                            <w:rPr>
                              <w:rFonts w:ascii="Times New Roman" w:hAnsi="Times New Roman" w:cs="Times New Roman"/>
                              <w:b/>
                              <w:noProof/>
                              <w:sz w:val="24"/>
                              <w:szCs w:val="24"/>
                            </w:rPr>
                            <w:t>105</w:t>
                          </w:r>
                          <w:r w:rsidRPr="00900647">
                            <w:rPr>
                              <w:rFonts w:ascii="Times New Roman" w:hAnsi="Times New Roman" w:cs="Times New Roman"/>
                              <w:b/>
                              <w:noProof/>
                              <w:sz w:val="24"/>
                              <w:szCs w:val="24"/>
                            </w:rPr>
                            <w:t>/20</w:t>
                          </w:r>
                        </w:p>
                        <w:p w:rsidR="00380299" w:rsidRPr="00900647" w:rsidRDefault="00380299">
                          <w:pPr>
                            <w:spacing w:after="0" w:line="240" w:lineRule="auto"/>
                            <w:jc w:val="right"/>
                            <w:rPr>
                              <w:rFonts w:ascii="Times New Roman" w:hAnsi="Times New Roman" w:cs="Times New Roman"/>
                              <w:b/>
                              <w:noProof/>
                              <w:sz w:val="24"/>
                              <w:szCs w:val="24"/>
                            </w:rPr>
                          </w:pPr>
                          <w:r w:rsidRPr="00900647">
                            <w:rPr>
                              <w:rFonts w:ascii="Times New Roman" w:hAnsi="Times New Roman" w:cs="Times New Roman"/>
                              <w:b/>
                              <w:noProof/>
                              <w:sz w:val="24"/>
                              <w:szCs w:val="24"/>
                            </w:rPr>
                            <w:t>Civil Appeal No. SC 1019/17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80299" w:rsidRPr="00900647" w:rsidRDefault="00380299">
                    <w:pPr>
                      <w:spacing w:after="0" w:line="240" w:lineRule="auto"/>
                      <w:jc w:val="right"/>
                      <w:rPr>
                        <w:rFonts w:ascii="Times New Roman" w:hAnsi="Times New Roman" w:cs="Times New Roman"/>
                        <w:b/>
                        <w:noProof/>
                        <w:sz w:val="24"/>
                        <w:szCs w:val="24"/>
                      </w:rPr>
                    </w:pPr>
                    <w:r w:rsidRPr="00900647">
                      <w:rPr>
                        <w:rFonts w:ascii="Times New Roman" w:hAnsi="Times New Roman" w:cs="Times New Roman"/>
                        <w:b/>
                        <w:noProof/>
                        <w:sz w:val="24"/>
                        <w:szCs w:val="24"/>
                      </w:rPr>
                      <w:t xml:space="preserve">Judgment No. SC </w:t>
                    </w:r>
                    <w:r w:rsidR="00C91837">
                      <w:rPr>
                        <w:rFonts w:ascii="Times New Roman" w:hAnsi="Times New Roman" w:cs="Times New Roman"/>
                        <w:b/>
                        <w:noProof/>
                        <w:sz w:val="24"/>
                        <w:szCs w:val="24"/>
                      </w:rPr>
                      <w:t>105</w:t>
                    </w:r>
                    <w:r w:rsidRPr="00900647">
                      <w:rPr>
                        <w:rFonts w:ascii="Times New Roman" w:hAnsi="Times New Roman" w:cs="Times New Roman"/>
                        <w:b/>
                        <w:noProof/>
                        <w:sz w:val="24"/>
                        <w:szCs w:val="24"/>
                      </w:rPr>
                      <w:t>/20</w:t>
                    </w:r>
                  </w:p>
                  <w:p w:rsidR="00380299" w:rsidRPr="00900647" w:rsidRDefault="00380299">
                    <w:pPr>
                      <w:spacing w:after="0" w:line="240" w:lineRule="auto"/>
                      <w:jc w:val="right"/>
                      <w:rPr>
                        <w:rFonts w:ascii="Times New Roman" w:hAnsi="Times New Roman" w:cs="Times New Roman"/>
                        <w:b/>
                        <w:noProof/>
                        <w:sz w:val="24"/>
                        <w:szCs w:val="24"/>
                      </w:rPr>
                    </w:pPr>
                    <w:r w:rsidRPr="00900647">
                      <w:rPr>
                        <w:rFonts w:ascii="Times New Roman" w:hAnsi="Times New Roman" w:cs="Times New Roman"/>
                        <w:b/>
                        <w:noProof/>
                        <w:sz w:val="24"/>
                        <w:szCs w:val="24"/>
                      </w:rPr>
                      <w:t>Civil Appeal No. SC 1019/17</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80299" w:rsidRDefault="00380299">
                          <w:pPr>
                            <w:spacing w:after="0" w:line="240" w:lineRule="auto"/>
                            <w:rPr>
                              <w:color w:val="FFFFFF" w:themeColor="background1"/>
                            </w:rPr>
                          </w:pPr>
                          <w:r>
                            <w:fldChar w:fldCharType="begin"/>
                          </w:r>
                          <w:r>
                            <w:instrText xml:space="preserve"> PAGE   \* MERGEFORMAT </w:instrText>
                          </w:r>
                          <w:r>
                            <w:fldChar w:fldCharType="separate"/>
                          </w:r>
                          <w:r w:rsidR="0006319F" w:rsidRPr="0006319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380299" w:rsidRDefault="00380299">
                    <w:pPr>
                      <w:spacing w:after="0" w:line="240" w:lineRule="auto"/>
                      <w:rPr>
                        <w:color w:val="FFFFFF" w:themeColor="background1"/>
                      </w:rPr>
                    </w:pPr>
                    <w:r>
                      <w:fldChar w:fldCharType="begin"/>
                    </w:r>
                    <w:r>
                      <w:instrText xml:space="preserve"> PAGE   \* MERGEFORMAT </w:instrText>
                    </w:r>
                    <w:r>
                      <w:fldChar w:fldCharType="separate"/>
                    </w:r>
                    <w:r w:rsidR="0006319F" w:rsidRPr="0006319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2D"/>
    <w:multiLevelType w:val="hybridMultilevel"/>
    <w:tmpl w:val="11CE7BC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89700AD"/>
    <w:multiLevelType w:val="hybridMultilevel"/>
    <w:tmpl w:val="AF48E970"/>
    <w:lvl w:ilvl="0" w:tplc="DA2C6DAA">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20935FC3"/>
    <w:multiLevelType w:val="hybridMultilevel"/>
    <w:tmpl w:val="1144E336"/>
    <w:lvl w:ilvl="0" w:tplc="16120E42">
      <w:start w:val="1"/>
      <w:numFmt w:val="decimal"/>
      <w:lvlText w:val="%1."/>
      <w:lvlJc w:val="left"/>
      <w:pPr>
        <w:ind w:left="720" w:hanging="360"/>
      </w:pPr>
      <w:rPr>
        <w:rFonts w:ascii="Courier New" w:eastAsiaTheme="minorHAnsi" w:hAnsi="Courier New" w:cs="Courier New"/>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512703A9"/>
    <w:multiLevelType w:val="hybridMultilevel"/>
    <w:tmpl w:val="13AAAEAA"/>
    <w:lvl w:ilvl="0" w:tplc="22E07376">
      <w:start w:val="1"/>
      <w:numFmt w:val="decimal"/>
      <w:lvlText w:val="(%1)"/>
      <w:lvlJc w:val="left"/>
      <w:pPr>
        <w:ind w:left="870" w:hanging="720"/>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4" w15:restartNumberingAfterBreak="0">
    <w:nsid w:val="59100EC1"/>
    <w:multiLevelType w:val="hybridMultilevel"/>
    <w:tmpl w:val="8EFE2FA8"/>
    <w:lvl w:ilvl="0" w:tplc="92CE8068">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CD617DC"/>
    <w:multiLevelType w:val="hybridMultilevel"/>
    <w:tmpl w:val="0F8E132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A7"/>
    <w:rsid w:val="00007D40"/>
    <w:rsid w:val="00022C74"/>
    <w:rsid w:val="000332F6"/>
    <w:rsid w:val="000610D5"/>
    <w:rsid w:val="0006319F"/>
    <w:rsid w:val="00063622"/>
    <w:rsid w:val="000663D4"/>
    <w:rsid w:val="00070F2F"/>
    <w:rsid w:val="00082334"/>
    <w:rsid w:val="00083D50"/>
    <w:rsid w:val="00091210"/>
    <w:rsid w:val="000913D2"/>
    <w:rsid w:val="00094559"/>
    <w:rsid w:val="0009524A"/>
    <w:rsid w:val="00096FEB"/>
    <w:rsid w:val="000A1E78"/>
    <w:rsid w:val="000A456B"/>
    <w:rsid w:val="000B6C02"/>
    <w:rsid w:val="000B7155"/>
    <w:rsid w:val="000C2F70"/>
    <w:rsid w:val="000E4DF2"/>
    <w:rsid w:val="000E7D92"/>
    <w:rsid w:val="000F0903"/>
    <w:rsid w:val="000F615F"/>
    <w:rsid w:val="001101C6"/>
    <w:rsid w:val="00111E15"/>
    <w:rsid w:val="00120ACC"/>
    <w:rsid w:val="00123EA4"/>
    <w:rsid w:val="00133283"/>
    <w:rsid w:val="001427C2"/>
    <w:rsid w:val="00160C98"/>
    <w:rsid w:val="00165560"/>
    <w:rsid w:val="001655BE"/>
    <w:rsid w:val="00167867"/>
    <w:rsid w:val="0017420C"/>
    <w:rsid w:val="001756BC"/>
    <w:rsid w:val="00181697"/>
    <w:rsid w:val="00190A70"/>
    <w:rsid w:val="001C47BF"/>
    <w:rsid w:val="001C74C3"/>
    <w:rsid w:val="001C756F"/>
    <w:rsid w:val="001C7BBB"/>
    <w:rsid w:val="001D7F2C"/>
    <w:rsid w:val="001E1AC3"/>
    <w:rsid w:val="001E4DC8"/>
    <w:rsid w:val="001F2CEC"/>
    <w:rsid w:val="001F4278"/>
    <w:rsid w:val="001F482C"/>
    <w:rsid w:val="001F6D04"/>
    <w:rsid w:val="001F7776"/>
    <w:rsid w:val="002150A8"/>
    <w:rsid w:val="002214FC"/>
    <w:rsid w:val="00223DD3"/>
    <w:rsid w:val="00225B8B"/>
    <w:rsid w:val="0023531C"/>
    <w:rsid w:val="00235645"/>
    <w:rsid w:val="002359BF"/>
    <w:rsid w:val="00273E53"/>
    <w:rsid w:val="002822AE"/>
    <w:rsid w:val="00282C58"/>
    <w:rsid w:val="002916F8"/>
    <w:rsid w:val="00293F76"/>
    <w:rsid w:val="002A510C"/>
    <w:rsid w:val="002B49D0"/>
    <w:rsid w:val="002B588B"/>
    <w:rsid w:val="002E0932"/>
    <w:rsid w:val="002F6A4B"/>
    <w:rsid w:val="00310322"/>
    <w:rsid w:val="00312605"/>
    <w:rsid w:val="0036168A"/>
    <w:rsid w:val="00362C70"/>
    <w:rsid w:val="003665D1"/>
    <w:rsid w:val="00371419"/>
    <w:rsid w:val="00380299"/>
    <w:rsid w:val="00382490"/>
    <w:rsid w:val="003850C0"/>
    <w:rsid w:val="0039685E"/>
    <w:rsid w:val="00397E91"/>
    <w:rsid w:val="003A2E04"/>
    <w:rsid w:val="003B5B63"/>
    <w:rsid w:val="003C7BA3"/>
    <w:rsid w:val="003D27BB"/>
    <w:rsid w:val="003D523B"/>
    <w:rsid w:val="003D777F"/>
    <w:rsid w:val="003E0F29"/>
    <w:rsid w:val="003E6469"/>
    <w:rsid w:val="003F4F2A"/>
    <w:rsid w:val="00400954"/>
    <w:rsid w:val="00404E3A"/>
    <w:rsid w:val="00421982"/>
    <w:rsid w:val="00426567"/>
    <w:rsid w:val="004305B2"/>
    <w:rsid w:val="00432205"/>
    <w:rsid w:val="00436FA9"/>
    <w:rsid w:val="004378BC"/>
    <w:rsid w:val="004443E0"/>
    <w:rsid w:val="00444FE6"/>
    <w:rsid w:val="004621DB"/>
    <w:rsid w:val="00466A9B"/>
    <w:rsid w:val="00471C61"/>
    <w:rsid w:val="0048256B"/>
    <w:rsid w:val="004A2CA6"/>
    <w:rsid w:val="004A584B"/>
    <w:rsid w:val="004A6BCE"/>
    <w:rsid w:val="004C4F61"/>
    <w:rsid w:val="004D41F8"/>
    <w:rsid w:val="004E3FF1"/>
    <w:rsid w:val="004F479A"/>
    <w:rsid w:val="005141BB"/>
    <w:rsid w:val="00516213"/>
    <w:rsid w:val="00550415"/>
    <w:rsid w:val="00562D70"/>
    <w:rsid w:val="00594B5E"/>
    <w:rsid w:val="005965F6"/>
    <w:rsid w:val="00596F01"/>
    <w:rsid w:val="005973CB"/>
    <w:rsid w:val="00597D3A"/>
    <w:rsid w:val="005B0684"/>
    <w:rsid w:val="005C6FB4"/>
    <w:rsid w:val="005C7439"/>
    <w:rsid w:val="00605D53"/>
    <w:rsid w:val="00612B29"/>
    <w:rsid w:val="00641493"/>
    <w:rsid w:val="00651A8B"/>
    <w:rsid w:val="00652FA1"/>
    <w:rsid w:val="00654231"/>
    <w:rsid w:val="006721CA"/>
    <w:rsid w:val="00683992"/>
    <w:rsid w:val="00686E3B"/>
    <w:rsid w:val="006A00D8"/>
    <w:rsid w:val="006B242F"/>
    <w:rsid w:val="006B64F8"/>
    <w:rsid w:val="006B7258"/>
    <w:rsid w:val="006B7996"/>
    <w:rsid w:val="006D65A9"/>
    <w:rsid w:val="006F0403"/>
    <w:rsid w:val="006F4401"/>
    <w:rsid w:val="00714F31"/>
    <w:rsid w:val="00715D12"/>
    <w:rsid w:val="0071601E"/>
    <w:rsid w:val="00717D04"/>
    <w:rsid w:val="00726184"/>
    <w:rsid w:val="00731712"/>
    <w:rsid w:val="007431F4"/>
    <w:rsid w:val="0075421D"/>
    <w:rsid w:val="00755ECB"/>
    <w:rsid w:val="00756075"/>
    <w:rsid w:val="00766CF4"/>
    <w:rsid w:val="00775A35"/>
    <w:rsid w:val="00781A69"/>
    <w:rsid w:val="007876BE"/>
    <w:rsid w:val="00791959"/>
    <w:rsid w:val="0079787B"/>
    <w:rsid w:val="007A7D7F"/>
    <w:rsid w:val="007B7CFC"/>
    <w:rsid w:val="007C2433"/>
    <w:rsid w:val="007C6057"/>
    <w:rsid w:val="007E68BD"/>
    <w:rsid w:val="007E7E22"/>
    <w:rsid w:val="007F2DE7"/>
    <w:rsid w:val="00813F73"/>
    <w:rsid w:val="00823676"/>
    <w:rsid w:val="00841F08"/>
    <w:rsid w:val="008530F0"/>
    <w:rsid w:val="0088601A"/>
    <w:rsid w:val="0089386C"/>
    <w:rsid w:val="00893A5A"/>
    <w:rsid w:val="00894FA3"/>
    <w:rsid w:val="008953A6"/>
    <w:rsid w:val="008A1F27"/>
    <w:rsid w:val="008B2B71"/>
    <w:rsid w:val="008C658A"/>
    <w:rsid w:val="008D278E"/>
    <w:rsid w:val="008D69B3"/>
    <w:rsid w:val="008E5D52"/>
    <w:rsid w:val="008E716E"/>
    <w:rsid w:val="008F2E43"/>
    <w:rsid w:val="008F6F80"/>
    <w:rsid w:val="00900647"/>
    <w:rsid w:val="009074D5"/>
    <w:rsid w:val="009211B6"/>
    <w:rsid w:val="0092211B"/>
    <w:rsid w:val="00941045"/>
    <w:rsid w:val="009442A0"/>
    <w:rsid w:val="009448C3"/>
    <w:rsid w:val="009462C1"/>
    <w:rsid w:val="0095127E"/>
    <w:rsid w:val="00955C74"/>
    <w:rsid w:val="009732F7"/>
    <w:rsid w:val="009762F5"/>
    <w:rsid w:val="009805E5"/>
    <w:rsid w:val="009843BE"/>
    <w:rsid w:val="0099493A"/>
    <w:rsid w:val="009A4F30"/>
    <w:rsid w:val="009B0FFB"/>
    <w:rsid w:val="009B30A4"/>
    <w:rsid w:val="009F7793"/>
    <w:rsid w:val="00A14E05"/>
    <w:rsid w:val="00A2666F"/>
    <w:rsid w:val="00A2770C"/>
    <w:rsid w:val="00A73B48"/>
    <w:rsid w:val="00A8524D"/>
    <w:rsid w:val="00AA0DF8"/>
    <w:rsid w:val="00AA145E"/>
    <w:rsid w:val="00AA6C10"/>
    <w:rsid w:val="00AB11A7"/>
    <w:rsid w:val="00AC0453"/>
    <w:rsid w:val="00AC2AA0"/>
    <w:rsid w:val="00AC5D5F"/>
    <w:rsid w:val="00AC7046"/>
    <w:rsid w:val="00AE4266"/>
    <w:rsid w:val="00AF357F"/>
    <w:rsid w:val="00AF70B8"/>
    <w:rsid w:val="00B03EF3"/>
    <w:rsid w:val="00B07D7D"/>
    <w:rsid w:val="00B1538C"/>
    <w:rsid w:val="00B24173"/>
    <w:rsid w:val="00B2615B"/>
    <w:rsid w:val="00B36039"/>
    <w:rsid w:val="00B36725"/>
    <w:rsid w:val="00B37511"/>
    <w:rsid w:val="00B40053"/>
    <w:rsid w:val="00B42F03"/>
    <w:rsid w:val="00B50F33"/>
    <w:rsid w:val="00B52B74"/>
    <w:rsid w:val="00B54C19"/>
    <w:rsid w:val="00B54CBD"/>
    <w:rsid w:val="00B62B02"/>
    <w:rsid w:val="00B764D5"/>
    <w:rsid w:val="00B768F1"/>
    <w:rsid w:val="00B8217B"/>
    <w:rsid w:val="00B84EF9"/>
    <w:rsid w:val="00B87657"/>
    <w:rsid w:val="00BA0D23"/>
    <w:rsid w:val="00BA5CCF"/>
    <w:rsid w:val="00BB7062"/>
    <w:rsid w:val="00BC6AC6"/>
    <w:rsid w:val="00BD30CD"/>
    <w:rsid w:val="00BD7E7E"/>
    <w:rsid w:val="00C0606E"/>
    <w:rsid w:val="00C12280"/>
    <w:rsid w:val="00C16ABE"/>
    <w:rsid w:val="00C16B48"/>
    <w:rsid w:val="00C16DEC"/>
    <w:rsid w:val="00C22006"/>
    <w:rsid w:val="00C25F55"/>
    <w:rsid w:val="00C273DB"/>
    <w:rsid w:val="00C32113"/>
    <w:rsid w:val="00C461EB"/>
    <w:rsid w:val="00C57A64"/>
    <w:rsid w:val="00C91837"/>
    <w:rsid w:val="00C95B0E"/>
    <w:rsid w:val="00CA32A5"/>
    <w:rsid w:val="00CC4763"/>
    <w:rsid w:val="00CC7BFB"/>
    <w:rsid w:val="00CD12F2"/>
    <w:rsid w:val="00CE294A"/>
    <w:rsid w:val="00CF5CC9"/>
    <w:rsid w:val="00CF75AC"/>
    <w:rsid w:val="00D10D70"/>
    <w:rsid w:val="00D41B09"/>
    <w:rsid w:val="00D50E18"/>
    <w:rsid w:val="00D567B7"/>
    <w:rsid w:val="00D76C7E"/>
    <w:rsid w:val="00D86045"/>
    <w:rsid w:val="00DA5E8B"/>
    <w:rsid w:val="00DA6863"/>
    <w:rsid w:val="00DB0E06"/>
    <w:rsid w:val="00DB259F"/>
    <w:rsid w:val="00DC01DE"/>
    <w:rsid w:val="00DC7CB9"/>
    <w:rsid w:val="00DD5EC6"/>
    <w:rsid w:val="00DE4720"/>
    <w:rsid w:val="00E00E2E"/>
    <w:rsid w:val="00E052EB"/>
    <w:rsid w:val="00E11CDD"/>
    <w:rsid w:val="00E127E0"/>
    <w:rsid w:val="00E152E7"/>
    <w:rsid w:val="00E17C29"/>
    <w:rsid w:val="00E21997"/>
    <w:rsid w:val="00E23BB1"/>
    <w:rsid w:val="00E607AE"/>
    <w:rsid w:val="00E7707C"/>
    <w:rsid w:val="00E900EA"/>
    <w:rsid w:val="00E95871"/>
    <w:rsid w:val="00EB28BC"/>
    <w:rsid w:val="00EB3F3B"/>
    <w:rsid w:val="00ED212B"/>
    <w:rsid w:val="00ED3FCA"/>
    <w:rsid w:val="00ED7BAA"/>
    <w:rsid w:val="00EE3FE3"/>
    <w:rsid w:val="00EE523E"/>
    <w:rsid w:val="00EF6459"/>
    <w:rsid w:val="00F04A82"/>
    <w:rsid w:val="00F14ED7"/>
    <w:rsid w:val="00F24BCB"/>
    <w:rsid w:val="00F318F2"/>
    <w:rsid w:val="00F50055"/>
    <w:rsid w:val="00F5287D"/>
    <w:rsid w:val="00F9654F"/>
    <w:rsid w:val="00FB393B"/>
    <w:rsid w:val="00FD38E9"/>
    <w:rsid w:val="00FD4232"/>
    <w:rsid w:val="00FF32D5"/>
    <w:rsid w:val="00FF35AD"/>
    <w:rsid w:val="00FF35A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FA5CFD-8273-425A-AF06-47522339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173"/>
    <w:pPr>
      <w:ind w:left="720"/>
      <w:contextualSpacing/>
    </w:pPr>
  </w:style>
  <w:style w:type="paragraph" w:styleId="Header">
    <w:name w:val="header"/>
    <w:basedOn w:val="Normal"/>
    <w:link w:val="HeaderChar"/>
    <w:uiPriority w:val="99"/>
    <w:unhideWhenUsed/>
    <w:rsid w:val="0059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F01"/>
  </w:style>
  <w:style w:type="paragraph" w:styleId="Footer">
    <w:name w:val="footer"/>
    <w:basedOn w:val="Normal"/>
    <w:link w:val="FooterChar"/>
    <w:uiPriority w:val="99"/>
    <w:unhideWhenUsed/>
    <w:rsid w:val="0059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F01"/>
  </w:style>
  <w:style w:type="paragraph" w:styleId="BalloonText">
    <w:name w:val="Balloon Text"/>
    <w:basedOn w:val="Normal"/>
    <w:link w:val="BalloonTextChar"/>
    <w:uiPriority w:val="99"/>
    <w:semiHidden/>
    <w:unhideWhenUsed/>
    <w:rsid w:val="00462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1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A1E19-2535-4B20-96E5-BCD4BBA2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JSC7</dc:creator>
  <cp:lastModifiedBy>Sandra</cp:lastModifiedBy>
  <cp:revision>2</cp:revision>
  <cp:lastPrinted>2020-07-16T06:30:00Z</cp:lastPrinted>
  <dcterms:created xsi:type="dcterms:W3CDTF">2020-08-19T13:35:00Z</dcterms:created>
  <dcterms:modified xsi:type="dcterms:W3CDTF">2020-08-19T13:35:00Z</dcterms:modified>
</cp:coreProperties>
</file>