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CC" w:rsidRDefault="002D56CC">
      <w:pPr>
        <w:rPr>
          <w:rFonts w:ascii="Arial" w:hAnsi="Arial" w:cs="Arial"/>
          <w:sz w:val="24"/>
          <w:szCs w:val="24"/>
        </w:rPr>
      </w:pPr>
    </w:p>
    <w:p w:rsidR="00796558" w:rsidRPr="00796558" w:rsidRDefault="00796558">
      <w:pPr>
        <w:rPr>
          <w:rFonts w:ascii="Times New Roman" w:hAnsi="Times New Roman" w:cs="Times New Roman"/>
          <w:b/>
          <w:sz w:val="24"/>
          <w:szCs w:val="24"/>
          <w:u w:val="single"/>
        </w:rPr>
      </w:pPr>
      <w:bookmarkStart w:id="0" w:name="_GoBack"/>
      <w:bookmarkEnd w:id="0"/>
      <w:r w:rsidRPr="00796558">
        <w:rPr>
          <w:rFonts w:ascii="Times New Roman" w:hAnsi="Times New Roman" w:cs="Times New Roman"/>
          <w:b/>
          <w:sz w:val="24"/>
          <w:szCs w:val="24"/>
          <w:u w:val="single"/>
        </w:rPr>
        <w:t>DISTRIBUTABLE (22)</w:t>
      </w:r>
    </w:p>
    <w:p w:rsidR="002D56CC" w:rsidRDefault="002D56CC">
      <w:pPr>
        <w:rPr>
          <w:rFonts w:ascii="Arial" w:hAnsi="Arial" w:cs="Arial"/>
          <w:sz w:val="24"/>
          <w:szCs w:val="24"/>
        </w:rPr>
      </w:pPr>
    </w:p>
    <w:p w:rsidR="00C5730B" w:rsidRPr="00F079A2" w:rsidRDefault="002D56CC" w:rsidP="002D56CC">
      <w:pPr>
        <w:spacing w:after="0" w:line="240" w:lineRule="auto"/>
        <w:jc w:val="center"/>
        <w:rPr>
          <w:rFonts w:ascii="Times New Roman" w:hAnsi="Times New Roman" w:cs="Times New Roman"/>
          <w:b/>
          <w:sz w:val="24"/>
          <w:szCs w:val="24"/>
        </w:rPr>
      </w:pPr>
      <w:r w:rsidRPr="00F079A2">
        <w:rPr>
          <w:rFonts w:ascii="Times New Roman" w:hAnsi="Times New Roman" w:cs="Times New Roman"/>
          <w:b/>
          <w:sz w:val="24"/>
          <w:szCs w:val="24"/>
        </w:rPr>
        <w:t xml:space="preserve">METALLON     GOLD     </w:t>
      </w:r>
      <w:r w:rsidR="008507A3" w:rsidRPr="00F079A2">
        <w:rPr>
          <w:rFonts w:ascii="Times New Roman" w:hAnsi="Times New Roman" w:cs="Times New Roman"/>
          <w:b/>
          <w:sz w:val="24"/>
          <w:szCs w:val="24"/>
        </w:rPr>
        <w:t>ZIMBABWE</w:t>
      </w:r>
    </w:p>
    <w:p w:rsidR="008507A3" w:rsidRPr="00F079A2" w:rsidRDefault="002D56CC" w:rsidP="002D56CC">
      <w:pPr>
        <w:spacing w:after="0" w:line="240" w:lineRule="auto"/>
        <w:jc w:val="center"/>
        <w:rPr>
          <w:rFonts w:ascii="Times New Roman" w:hAnsi="Times New Roman" w:cs="Times New Roman"/>
          <w:sz w:val="24"/>
          <w:szCs w:val="24"/>
        </w:rPr>
      </w:pPr>
      <w:proofErr w:type="gramStart"/>
      <w:r w:rsidRPr="00F079A2">
        <w:rPr>
          <w:rFonts w:ascii="Times New Roman" w:hAnsi="Times New Roman" w:cs="Times New Roman"/>
          <w:sz w:val="24"/>
          <w:szCs w:val="24"/>
        </w:rPr>
        <w:t>v</w:t>
      </w:r>
      <w:proofErr w:type="gramEnd"/>
    </w:p>
    <w:p w:rsidR="008507A3" w:rsidRPr="00F079A2" w:rsidRDefault="002D56CC" w:rsidP="002D56CC">
      <w:pPr>
        <w:spacing w:after="0" w:line="240" w:lineRule="auto"/>
        <w:jc w:val="center"/>
        <w:rPr>
          <w:rFonts w:ascii="Times New Roman" w:hAnsi="Times New Roman" w:cs="Times New Roman"/>
          <w:b/>
          <w:sz w:val="24"/>
          <w:szCs w:val="24"/>
        </w:rPr>
      </w:pPr>
      <w:r w:rsidRPr="00F079A2">
        <w:rPr>
          <w:rFonts w:ascii="Times New Roman" w:hAnsi="Times New Roman" w:cs="Times New Roman"/>
          <w:b/>
          <w:sz w:val="24"/>
          <w:szCs w:val="24"/>
        </w:rPr>
        <w:t xml:space="preserve">GOLDEN     MILLION     (PRIVATE)     </w:t>
      </w:r>
      <w:r w:rsidR="008507A3" w:rsidRPr="00F079A2">
        <w:rPr>
          <w:rFonts w:ascii="Times New Roman" w:hAnsi="Times New Roman" w:cs="Times New Roman"/>
          <w:b/>
          <w:sz w:val="24"/>
          <w:szCs w:val="24"/>
        </w:rPr>
        <w:t>LIMITED</w:t>
      </w:r>
    </w:p>
    <w:p w:rsidR="008507A3" w:rsidRPr="00F079A2" w:rsidRDefault="008507A3" w:rsidP="002D56CC">
      <w:pPr>
        <w:spacing w:after="0" w:line="240" w:lineRule="auto"/>
        <w:jc w:val="center"/>
        <w:rPr>
          <w:rFonts w:ascii="Times New Roman" w:hAnsi="Times New Roman" w:cs="Times New Roman"/>
          <w:b/>
          <w:sz w:val="24"/>
          <w:szCs w:val="24"/>
        </w:rPr>
      </w:pPr>
    </w:p>
    <w:p w:rsidR="008507A3" w:rsidRPr="00F079A2" w:rsidRDefault="008507A3">
      <w:pPr>
        <w:rPr>
          <w:rFonts w:ascii="Times New Roman" w:hAnsi="Times New Roman" w:cs="Times New Roman"/>
          <w:sz w:val="24"/>
          <w:szCs w:val="24"/>
        </w:rPr>
      </w:pPr>
    </w:p>
    <w:p w:rsidR="00096C9D" w:rsidRPr="00F079A2" w:rsidRDefault="00096C9D" w:rsidP="00096C9D">
      <w:pPr>
        <w:spacing w:after="0" w:line="240" w:lineRule="auto"/>
        <w:rPr>
          <w:rFonts w:ascii="Times New Roman" w:hAnsi="Times New Roman" w:cs="Times New Roman"/>
          <w:b/>
          <w:sz w:val="24"/>
          <w:szCs w:val="24"/>
        </w:rPr>
      </w:pPr>
    </w:p>
    <w:p w:rsidR="008507A3" w:rsidRPr="00F079A2" w:rsidRDefault="00096C9D" w:rsidP="00096C9D">
      <w:pPr>
        <w:spacing w:after="0" w:line="240" w:lineRule="auto"/>
        <w:rPr>
          <w:rFonts w:ascii="Times New Roman" w:hAnsi="Times New Roman" w:cs="Times New Roman"/>
          <w:b/>
          <w:sz w:val="24"/>
          <w:szCs w:val="24"/>
        </w:rPr>
      </w:pPr>
      <w:r w:rsidRPr="00F079A2">
        <w:rPr>
          <w:rFonts w:ascii="Times New Roman" w:hAnsi="Times New Roman" w:cs="Times New Roman"/>
          <w:b/>
          <w:sz w:val="24"/>
          <w:szCs w:val="24"/>
        </w:rPr>
        <w:t>SUPREME COURT OF ZIMBABWE</w:t>
      </w:r>
    </w:p>
    <w:p w:rsidR="00096C9D" w:rsidRPr="00F079A2" w:rsidRDefault="00096C9D" w:rsidP="00096C9D">
      <w:pPr>
        <w:spacing w:after="0" w:line="240" w:lineRule="auto"/>
        <w:rPr>
          <w:rFonts w:ascii="Times New Roman" w:hAnsi="Times New Roman" w:cs="Times New Roman"/>
          <w:b/>
          <w:sz w:val="24"/>
          <w:szCs w:val="24"/>
        </w:rPr>
      </w:pPr>
      <w:r w:rsidRPr="00F079A2">
        <w:rPr>
          <w:rFonts w:ascii="Times New Roman" w:hAnsi="Times New Roman" w:cs="Times New Roman"/>
          <w:b/>
          <w:sz w:val="24"/>
          <w:szCs w:val="24"/>
        </w:rPr>
        <w:t>ZIYAMBI JA,</w:t>
      </w:r>
      <w:r w:rsidR="008721E8" w:rsidRPr="00F079A2">
        <w:rPr>
          <w:rFonts w:ascii="Times New Roman" w:hAnsi="Times New Roman" w:cs="Times New Roman"/>
          <w:b/>
          <w:sz w:val="24"/>
          <w:szCs w:val="24"/>
        </w:rPr>
        <w:t xml:space="preserve"> GARWE</w:t>
      </w:r>
      <w:r w:rsidRPr="00F079A2">
        <w:rPr>
          <w:rFonts w:ascii="Times New Roman" w:hAnsi="Times New Roman" w:cs="Times New Roman"/>
          <w:b/>
          <w:sz w:val="24"/>
          <w:szCs w:val="24"/>
        </w:rPr>
        <w:t xml:space="preserve"> JA &amp;</w:t>
      </w:r>
      <w:r w:rsidR="00C83A31" w:rsidRPr="00F079A2">
        <w:rPr>
          <w:rFonts w:ascii="Times New Roman" w:hAnsi="Times New Roman" w:cs="Times New Roman"/>
          <w:b/>
          <w:sz w:val="24"/>
          <w:szCs w:val="24"/>
        </w:rPr>
        <w:t xml:space="preserve"> </w:t>
      </w:r>
      <w:r w:rsidR="008721E8" w:rsidRPr="00F079A2">
        <w:rPr>
          <w:rFonts w:ascii="Times New Roman" w:hAnsi="Times New Roman" w:cs="Times New Roman"/>
          <w:b/>
          <w:sz w:val="24"/>
          <w:szCs w:val="24"/>
        </w:rPr>
        <w:t>PATEL</w:t>
      </w:r>
      <w:r w:rsidRPr="00F079A2">
        <w:rPr>
          <w:rFonts w:ascii="Times New Roman" w:hAnsi="Times New Roman" w:cs="Times New Roman"/>
          <w:b/>
          <w:sz w:val="24"/>
          <w:szCs w:val="24"/>
        </w:rPr>
        <w:t xml:space="preserve"> JA</w:t>
      </w:r>
    </w:p>
    <w:p w:rsidR="00096C9D" w:rsidRPr="00F079A2" w:rsidRDefault="00096C9D" w:rsidP="00096C9D">
      <w:pPr>
        <w:spacing w:after="0" w:line="240" w:lineRule="auto"/>
        <w:rPr>
          <w:rFonts w:ascii="Times New Roman" w:hAnsi="Times New Roman" w:cs="Times New Roman"/>
          <w:b/>
          <w:sz w:val="24"/>
          <w:szCs w:val="24"/>
        </w:rPr>
      </w:pPr>
      <w:r w:rsidRPr="00F079A2">
        <w:rPr>
          <w:rFonts w:ascii="Times New Roman" w:hAnsi="Times New Roman" w:cs="Times New Roman"/>
          <w:b/>
          <w:sz w:val="24"/>
          <w:szCs w:val="24"/>
        </w:rPr>
        <w:t>HARARE, FEBRUARY</w:t>
      </w:r>
      <w:r w:rsidR="002762E1" w:rsidRPr="00F079A2">
        <w:rPr>
          <w:rFonts w:ascii="Times New Roman" w:hAnsi="Times New Roman" w:cs="Times New Roman"/>
          <w:b/>
          <w:sz w:val="24"/>
          <w:szCs w:val="24"/>
        </w:rPr>
        <w:t xml:space="preserve"> 13,</w:t>
      </w:r>
      <w:r w:rsidRPr="00F079A2">
        <w:rPr>
          <w:rFonts w:ascii="Times New Roman" w:hAnsi="Times New Roman" w:cs="Times New Roman"/>
          <w:b/>
          <w:sz w:val="24"/>
          <w:szCs w:val="24"/>
        </w:rPr>
        <w:t xml:space="preserve"> 2014 &amp; </w:t>
      </w:r>
      <w:r w:rsidR="003C19AC" w:rsidRPr="00F079A2">
        <w:rPr>
          <w:rFonts w:ascii="Times New Roman" w:hAnsi="Times New Roman" w:cs="Times New Roman"/>
          <w:b/>
          <w:sz w:val="24"/>
          <w:szCs w:val="24"/>
        </w:rPr>
        <w:t xml:space="preserve">MARCH </w:t>
      </w:r>
      <w:r w:rsidR="003C19AC">
        <w:rPr>
          <w:rFonts w:ascii="Times New Roman" w:hAnsi="Times New Roman" w:cs="Times New Roman"/>
          <w:b/>
          <w:sz w:val="24"/>
          <w:szCs w:val="24"/>
        </w:rPr>
        <w:t>31</w:t>
      </w:r>
      <w:r w:rsidRPr="00F079A2">
        <w:rPr>
          <w:rFonts w:ascii="Times New Roman" w:hAnsi="Times New Roman" w:cs="Times New Roman"/>
          <w:b/>
          <w:sz w:val="24"/>
          <w:szCs w:val="24"/>
        </w:rPr>
        <w:t>, 2015</w:t>
      </w:r>
    </w:p>
    <w:p w:rsidR="008507A3" w:rsidRPr="00F079A2" w:rsidRDefault="008507A3" w:rsidP="00437263">
      <w:pPr>
        <w:rPr>
          <w:rFonts w:ascii="Times New Roman" w:hAnsi="Times New Roman" w:cs="Times New Roman"/>
          <w:sz w:val="24"/>
          <w:szCs w:val="24"/>
        </w:rPr>
      </w:pPr>
    </w:p>
    <w:p w:rsidR="00096C9D" w:rsidRPr="00F079A2" w:rsidRDefault="00096C9D" w:rsidP="00437263">
      <w:pPr>
        <w:rPr>
          <w:rFonts w:ascii="Times New Roman" w:hAnsi="Times New Roman" w:cs="Times New Roman"/>
          <w:sz w:val="24"/>
          <w:szCs w:val="24"/>
        </w:rPr>
      </w:pPr>
    </w:p>
    <w:p w:rsidR="00096C9D" w:rsidRPr="00F079A2" w:rsidRDefault="00C27177" w:rsidP="00437263">
      <w:pPr>
        <w:rPr>
          <w:rFonts w:ascii="Times New Roman" w:hAnsi="Times New Roman" w:cs="Times New Roman"/>
          <w:sz w:val="24"/>
          <w:szCs w:val="24"/>
        </w:rPr>
      </w:pPr>
      <w:r w:rsidRPr="00F079A2">
        <w:rPr>
          <w:rFonts w:ascii="Times New Roman" w:hAnsi="Times New Roman" w:cs="Times New Roman"/>
          <w:i/>
          <w:sz w:val="24"/>
          <w:szCs w:val="24"/>
        </w:rPr>
        <w:t xml:space="preserve">T </w:t>
      </w:r>
      <w:proofErr w:type="spellStart"/>
      <w:r w:rsidRPr="00F079A2">
        <w:rPr>
          <w:rFonts w:ascii="Times New Roman" w:hAnsi="Times New Roman" w:cs="Times New Roman"/>
          <w:i/>
          <w:sz w:val="24"/>
          <w:szCs w:val="24"/>
        </w:rPr>
        <w:t>Tandi</w:t>
      </w:r>
      <w:proofErr w:type="spellEnd"/>
      <w:r w:rsidR="003B0BDE" w:rsidRPr="00F079A2">
        <w:rPr>
          <w:rFonts w:ascii="Times New Roman" w:hAnsi="Times New Roman" w:cs="Times New Roman"/>
          <w:sz w:val="24"/>
          <w:szCs w:val="24"/>
        </w:rPr>
        <w:t>, for the appellant</w:t>
      </w:r>
    </w:p>
    <w:p w:rsidR="003B0BDE" w:rsidRPr="00F079A2" w:rsidRDefault="00C27177" w:rsidP="00437263">
      <w:pPr>
        <w:tabs>
          <w:tab w:val="right" w:pos="9360"/>
        </w:tabs>
        <w:rPr>
          <w:rFonts w:ascii="Times New Roman" w:hAnsi="Times New Roman" w:cs="Times New Roman"/>
          <w:sz w:val="24"/>
          <w:szCs w:val="24"/>
        </w:rPr>
      </w:pPr>
      <w:r w:rsidRPr="00F079A2">
        <w:rPr>
          <w:rFonts w:ascii="Times New Roman" w:hAnsi="Times New Roman" w:cs="Times New Roman"/>
          <w:sz w:val="24"/>
          <w:szCs w:val="24"/>
        </w:rPr>
        <w:t xml:space="preserve">Advocate </w:t>
      </w:r>
      <w:r w:rsidRPr="00F079A2">
        <w:rPr>
          <w:rFonts w:ascii="Times New Roman" w:hAnsi="Times New Roman" w:cs="Times New Roman"/>
          <w:i/>
          <w:sz w:val="24"/>
          <w:szCs w:val="24"/>
        </w:rPr>
        <w:t xml:space="preserve">T </w:t>
      </w:r>
      <w:proofErr w:type="spellStart"/>
      <w:r w:rsidRPr="00F079A2">
        <w:rPr>
          <w:rFonts w:ascii="Times New Roman" w:hAnsi="Times New Roman" w:cs="Times New Roman"/>
          <w:i/>
          <w:sz w:val="24"/>
          <w:szCs w:val="24"/>
        </w:rPr>
        <w:t>Mpofu</w:t>
      </w:r>
      <w:proofErr w:type="spellEnd"/>
      <w:r w:rsidR="003B0BDE" w:rsidRPr="00F079A2">
        <w:rPr>
          <w:rFonts w:ascii="Times New Roman" w:hAnsi="Times New Roman" w:cs="Times New Roman"/>
          <w:sz w:val="24"/>
          <w:szCs w:val="24"/>
        </w:rPr>
        <w:t>, for the respondent</w:t>
      </w:r>
      <w:r w:rsidR="00437263" w:rsidRPr="00F079A2">
        <w:rPr>
          <w:rFonts w:ascii="Times New Roman" w:hAnsi="Times New Roman" w:cs="Times New Roman"/>
          <w:sz w:val="24"/>
          <w:szCs w:val="24"/>
        </w:rPr>
        <w:tab/>
      </w:r>
    </w:p>
    <w:p w:rsidR="008507A3" w:rsidRPr="00F079A2" w:rsidRDefault="008507A3">
      <w:pPr>
        <w:rPr>
          <w:rFonts w:ascii="Times New Roman" w:hAnsi="Times New Roman" w:cs="Times New Roman"/>
          <w:sz w:val="24"/>
          <w:szCs w:val="24"/>
        </w:rPr>
      </w:pPr>
    </w:p>
    <w:p w:rsidR="008507A3" w:rsidRPr="00F079A2" w:rsidRDefault="008507A3" w:rsidP="000A3E5C">
      <w:pPr>
        <w:spacing w:line="480" w:lineRule="auto"/>
        <w:ind w:left="90" w:firstLine="1350"/>
        <w:jc w:val="both"/>
        <w:rPr>
          <w:rFonts w:ascii="Times New Roman" w:hAnsi="Times New Roman" w:cs="Times New Roman"/>
          <w:sz w:val="24"/>
          <w:szCs w:val="24"/>
        </w:rPr>
      </w:pPr>
      <w:r w:rsidRPr="00F079A2">
        <w:rPr>
          <w:rFonts w:ascii="Times New Roman" w:hAnsi="Times New Roman" w:cs="Times New Roman"/>
          <w:b/>
          <w:sz w:val="24"/>
          <w:szCs w:val="24"/>
        </w:rPr>
        <w:t>ZIYAMBI JA</w:t>
      </w:r>
      <w:r w:rsidR="0039700B" w:rsidRPr="00F079A2">
        <w:rPr>
          <w:rFonts w:ascii="Times New Roman" w:hAnsi="Times New Roman" w:cs="Times New Roman"/>
          <w:sz w:val="24"/>
          <w:szCs w:val="24"/>
        </w:rPr>
        <w:t xml:space="preserve">: </w:t>
      </w:r>
      <w:r w:rsidR="0039700B" w:rsidRPr="00F079A2">
        <w:rPr>
          <w:rFonts w:ascii="Times New Roman" w:hAnsi="Times New Roman" w:cs="Times New Roman"/>
          <w:sz w:val="24"/>
          <w:szCs w:val="24"/>
        </w:rPr>
        <w:tab/>
      </w:r>
      <w:r w:rsidRPr="00F079A2">
        <w:rPr>
          <w:rFonts w:ascii="Times New Roman" w:hAnsi="Times New Roman" w:cs="Times New Roman"/>
          <w:sz w:val="24"/>
          <w:szCs w:val="24"/>
        </w:rPr>
        <w:t>This is an appeal against a judgment of the High Court  which ordered the appellant to pay to the respondent the s</w:t>
      </w:r>
      <w:r w:rsidR="00356F90" w:rsidRPr="00F079A2">
        <w:rPr>
          <w:rFonts w:ascii="Times New Roman" w:hAnsi="Times New Roman" w:cs="Times New Roman"/>
          <w:sz w:val="24"/>
          <w:szCs w:val="24"/>
        </w:rPr>
        <w:t xml:space="preserve">um of USD 301 000 for goods sold and  delivered </w:t>
      </w:r>
      <w:r w:rsidRPr="00F079A2">
        <w:rPr>
          <w:rFonts w:ascii="Times New Roman" w:hAnsi="Times New Roman" w:cs="Times New Roman"/>
          <w:sz w:val="24"/>
          <w:szCs w:val="24"/>
        </w:rPr>
        <w:t xml:space="preserve"> as well as interest thereon at the prescribed rate and costs.</w:t>
      </w:r>
    </w:p>
    <w:p w:rsidR="000A3E5C" w:rsidRPr="00F079A2" w:rsidRDefault="000A3E5C" w:rsidP="00B176B3">
      <w:pPr>
        <w:spacing w:after="0" w:line="240" w:lineRule="auto"/>
        <w:ind w:left="90" w:firstLine="1350"/>
        <w:jc w:val="both"/>
        <w:rPr>
          <w:rFonts w:ascii="Times New Roman" w:hAnsi="Times New Roman" w:cs="Times New Roman"/>
          <w:sz w:val="24"/>
          <w:szCs w:val="24"/>
        </w:rPr>
      </w:pPr>
    </w:p>
    <w:p w:rsidR="00E216FB" w:rsidRPr="00F079A2" w:rsidRDefault="008507A3" w:rsidP="00EF4BD8">
      <w:pPr>
        <w:spacing w:after="0" w:line="480" w:lineRule="auto"/>
        <w:ind w:left="90" w:firstLine="1350"/>
        <w:jc w:val="both"/>
        <w:rPr>
          <w:rFonts w:ascii="Times New Roman" w:hAnsi="Times New Roman" w:cs="Times New Roman"/>
          <w:sz w:val="24"/>
          <w:szCs w:val="24"/>
        </w:rPr>
      </w:pPr>
      <w:r w:rsidRPr="00F079A2">
        <w:rPr>
          <w:rFonts w:ascii="Times New Roman" w:hAnsi="Times New Roman" w:cs="Times New Roman"/>
          <w:sz w:val="24"/>
          <w:szCs w:val="24"/>
        </w:rPr>
        <w:t xml:space="preserve">The background </w:t>
      </w:r>
      <w:r w:rsidR="00C83A31" w:rsidRPr="00F079A2">
        <w:rPr>
          <w:rFonts w:ascii="Times New Roman" w:hAnsi="Times New Roman" w:cs="Times New Roman"/>
          <w:sz w:val="24"/>
          <w:szCs w:val="24"/>
        </w:rPr>
        <w:t>facts are</w:t>
      </w:r>
      <w:r w:rsidRPr="00F079A2">
        <w:rPr>
          <w:rFonts w:ascii="Times New Roman" w:hAnsi="Times New Roman" w:cs="Times New Roman"/>
          <w:sz w:val="24"/>
          <w:szCs w:val="24"/>
        </w:rPr>
        <w:t xml:space="preserve"> </w:t>
      </w:r>
      <w:r w:rsidR="005E2C1A" w:rsidRPr="00F079A2">
        <w:rPr>
          <w:rFonts w:ascii="Times New Roman" w:hAnsi="Times New Roman" w:cs="Times New Roman"/>
          <w:sz w:val="24"/>
          <w:szCs w:val="24"/>
        </w:rPr>
        <w:t>set out in the judgmen</w:t>
      </w:r>
      <w:r w:rsidR="00FF727F" w:rsidRPr="00F079A2">
        <w:rPr>
          <w:rFonts w:ascii="Times New Roman" w:hAnsi="Times New Roman" w:cs="Times New Roman"/>
          <w:sz w:val="24"/>
          <w:szCs w:val="24"/>
        </w:rPr>
        <w:t xml:space="preserve">t of the court </w:t>
      </w:r>
      <w:r w:rsidR="00FF727F" w:rsidRPr="00F079A2">
        <w:rPr>
          <w:rFonts w:ascii="Times New Roman" w:hAnsi="Times New Roman" w:cs="Times New Roman"/>
          <w:i/>
          <w:sz w:val="24"/>
          <w:szCs w:val="24"/>
        </w:rPr>
        <w:t>a quo</w:t>
      </w:r>
      <w:r w:rsidR="00FF727F" w:rsidRPr="00F079A2">
        <w:rPr>
          <w:rFonts w:ascii="Times New Roman" w:hAnsi="Times New Roman" w:cs="Times New Roman"/>
          <w:sz w:val="24"/>
          <w:szCs w:val="24"/>
        </w:rPr>
        <w:t xml:space="preserve">. </w:t>
      </w:r>
      <w:r w:rsidR="005E2C1A" w:rsidRPr="00F079A2">
        <w:rPr>
          <w:rFonts w:ascii="Times New Roman" w:hAnsi="Times New Roman" w:cs="Times New Roman"/>
          <w:sz w:val="24"/>
          <w:szCs w:val="24"/>
        </w:rPr>
        <w:t xml:space="preserve">  The appellant, a company with limited liability incorporated in terms </w:t>
      </w:r>
      <w:r w:rsidR="00D309E5" w:rsidRPr="00F079A2">
        <w:rPr>
          <w:rFonts w:ascii="Times New Roman" w:hAnsi="Times New Roman" w:cs="Times New Roman"/>
          <w:sz w:val="24"/>
          <w:szCs w:val="24"/>
        </w:rPr>
        <w:t>of the</w:t>
      </w:r>
      <w:r w:rsidR="00356F90" w:rsidRPr="00F079A2">
        <w:rPr>
          <w:rFonts w:ascii="Times New Roman" w:hAnsi="Times New Roman" w:cs="Times New Roman"/>
          <w:sz w:val="24"/>
          <w:szCs w:val="24"/>
        </w:rPr>
        <w:t xml:space="preserve"> Companies Act</w:t>
      </w:r>
      <w:r w:rsidR="001171A1" w:rsidRPr="00F079A2">
        <w:rPr>
          <w:rFonts w:ascii="Times New Roman" w:hAnsi="Times New Roman" w:cs="Times New Roman"/>
          <w:sz w:val="24"/>
          <w:szCs w:val="24"/>
        </w:rPr>
        <w:t xml:space="preserve"> [</w:t>
      </w:r>
      <w:r w:rsidR="001171A1" w:rsidRPr="00F079A2">
        <w:rPr>
          <w:rFonts w:ascii="Times New Roman" w:hAnsi="Times New Roman" w:cs="Times New Roman"/>
          <w:i/>
          <w:sz w:val="24"/>
          <w:szCs w:val="24"/>
        </w:rPr>
        <w:t>Chapter 24:03</w:t>
      </w:r>
      <w:r w:rsidR="001171A1" w:rsidRPr="00F079A2">
        <w:rPr>
          <w:rFonts w:ascii="Times New Roman" w:hAnsi="Times New Roman" w:cs="Times New Roman"/>
          <w:sz w:val="24"/>
          <w:szCs w:val="24"/>
        </w:rPr>
        <w:t>]</w:t>
      </w:r>
      <w:r w:rsidR="00356F90" w:rsidRPr="00F079A2">
        <w:rPr>
          <w:rFonts w:ascii="Times New Roman" w:hAnsi="Times New Roman" w:cs="Times New Roman"/>
          <w:sz w:val="24"/>
          <w:szCs w:val="24"/>
        </w:rPr>
        <w:t xml:space="preserve">, </w:t>
      </w:r>
      <w:r w:rsidR="005E2C1A" w:rsidRPr="00F079A2">
        <w:rPr>
          <w:rFonts w:ascii="Times New Roman" w:hAnsi="Times New Roman" w:cs="Times New Roman"/>
          <w:sz w:val="24"/>
          <w:szCs w:val="24"/>
        </w:rPr>
        <w:t>is a mi</w:t>
      </w:r>
      <w:r w:rsidR="00D309E5" w:rsidRPr="00F079A2">
        <w:rPr>
          <w:rFonts w:ascii="Times New Roman" w:hAnsi="Times New Roman" w:cs="Times New Roman"/>
          <w:sz w:val="24"/>
          <w:szCs w:val="24"/>
        </w:rPr>
        <w:t xml:space="preserve">ning conglomerate in Zimbabwe.  </w:t>
      </w:r>
      <w:r w:rsidR="005E2C1A" w:rsidRPr="00F079A2">
        <w:rPr>
          <w:rFonts w:ascii="Times New Roman" w:hAnsi="Times New Roman" w:cs="Times New Roman"/>
          <w:sz w:val="24"/>
          <w:szCs w:val="24"/>
        </w:rPr>
        <w:t>It owns</w:t>
      </w:r>
      <w:r w:rsidR="00FF727F" w:rsidRPr="00F079A2">
        <w:rPr>
          <w:rFonts w:ascii="Times New Roman" w:hAnsi="Times New Roman" w:cs="Times New Roman"/>
          <w:sz w:val="24"/>
          <w:szCs w:val="24"/>
        </w:rPr>
        <w:t>,</w:t>
      </w:r>
      <w:r w:rsidR="00356F90" w:rsidRPr="00F079A2">
        <w:rPr>
          <w:rFonts w:ascii="Times New Roman" w:hAnsi="Times New Roman" w:cs="Times New Roman"/>
          <w:sz w:val="24"/>
          <w:szCs w:val="24"/>
        </w:rPr>
        <w:t xml:space="preserve"> among others</w:t>
      </w:r>
      <w:r w:rsidR="00FF727F" w:rsidRPr="00F079A2">
        <w:rPr>
          <w:rFonts w:ascii="Times New Roman" w:hAnsi="Times New Roman" w:cs="Times New Roman"/>
          <w:sz w:val="24"/>
          <w:szCs w:val="24"/>
        </w:rPr>
        <w:t>,</w:t>
      </w:r>
      <w:r w:rsidR="0065767B" w:rsidRPr="00F079A2">
        <w:rPr>
          <w:rFonts w:ascii="Times New Roman" w:hAnsi="Times New Roman" w:cs="Times New Roman"/>
          <w:sz w:val="24"/>
          <w:szCs w:val="24"/>
        </w:rPr>
        <w:t xml:space="preserve"> the four</w:t>
      </w:r>
      <w:r w:rsidR="005E2C1A" w:rsidRPr="00F079A2">
        <w:rPr>
          <w:rFonts w:ascii="Times New Roman" w:hAnsi="Times New Roman" w:cs="Times New Roman"/>
          <w:sz w:val="24"/>
          <w:szCs w:val="24"/>
        </w:rPr>
        <w:t xml:space="preserve"> mines which are the sub</w:t>
      </w:r>
      <w:r w:rsidR="006D3E12" w:rsidRPr="00F079A2">
        <w:rPr>
          <w:rFonts w:ascii="Times New Roman" w:hAnsi="Times New Roman" w:cs="Times New Roman"/>
          <w:sz w:val="24"/>
          <w:szCs w:val="24"/>
        </w:rPr>
        <w:t xml:space="preserve">ject matter of this litigation which commenced with the </w:t>
      </w:r>
      <w:r w:rsidR="00E216FB" w:rsidRPr="00F079A2">
        <w:rPr>
          <w:rFonts w:ascii="Times New Roman" w:hAnsi="Times New Roman" w:cs="Times New Roman"/>
          <w:sz w:val="24"/>
          <w:szCs w:val="24"/>
        </w:rPr>
        <w:t xml:space="preserve">issue of summons by the respondent as </w:t>
      </w:r>
      <w:r w:rsidR="00F1260D" w:rsidRPr="00F079A2">
        <w:rPr>
          <w:rFonts w:ascii="Times New Roman" w:hAnsi="Times New Roman" w:cs="Times New Roman"/>
          <w:sz w:val="24"/>
          <w:szCs w:val="24"/>
        </w:rPr>
        <w:t>p</w:t>
      </w:r>
      <w:r w:rsidR="00D309E5" w:rsidRPr="00F079A2">
        <w:rPr>
          <w:rFonts w:ascii="Times New Roman" w:hAnsi="Times New Roman" w:cs="Times New Roman"/>
          <w:sz w:val="24"/>
          <w:szCs w:val="24"/>
        </w:rPr>
        <w:t>laintiff in</w:t>
      </w:r>
      <w:r w:rsidR="00E216FB" w:rsidRPr="00F079A2">
        <w:rPr>
          <w:rFonts w:ascii="Times New Roman" w:hAnsi="Times New Roman" w:cs="Times New Roman"/>
          <w:sz w:val="24"/>
          <w:szCs w:val="24"/>
        </w:rPr>
        <w:t xml:space="preserve"> the </w:t>
      </w:r>
      <w:r w:rsidR="00D309E5" w:rsidRPr="00F079A2">
        <w:rPr>
          <w:rFonts w:ascii="Times New Roman" w:hAnsi="Times New Roman" w:cs="Times New Roman"/>
          <w:sz w:val="24"/>
          <w:szCs w:val="24"/>
        </w:rPr>
        <w:t xml:space="preserve">High Court on 13 December 2013.  </w:t>
      </w:r>
      <w:r w:rsidR="00E216FB" w:rsidRPr="00F079A2">
        <w:rPr>
          <w:rFonts w:ascii="Times New Roman" w:hAnsi="Times New Roman" w:cs="Times New Roman"/>
          <w:sz w:val="24"/>
          <w:szCs w:val="24"/>
        </w:rPr>
        <w:t xml:space="preserve">The claim </w:t>
      </w:r>
      <w:r w:rsidR="00685713" w:rsidRPr="00F079A2">
        <w:rPr>
          <w:rFonts w:ascii="Times New Roman" w:hAnsi="Times New Roman" w:cs="Times New Roman"/>
          <w:sz w:val="24"/>
          <w:szCs w:val="24"/>
        </w:rPr>
        <w:t xml:space="preserve">as initially set out </w:t>
      </w:r>
      <w:r w:rsidR="00E216FB" w:rsidRPr="00F079A2">
        <w:rPr>
          <w:rFonts w:ascii="Times New Roman" w:hAnsi="Times New Roman" w:cs="Times New Roman"/>
          <w:sz w:val="24"/>
          <w:szCs w:val="24"/>
        </w:rPr>
        <w:t>was made up of goods to the</w:t>
      </w:r>
      <w:r w:rsidR="007C712A" w:rsidRPr="00F079A2">
        <w:rPr>
          <w:rFonts w:ascii="Times New Roman" w:hAnsi="Times New Roman" w:cs="Times New Roman"/>
          <w:sz w:val="24"/>
          <w:szCs w:val="24"/>
        </w:rPr>
        <w:t xml:space="preserve"> total value of </w:t>
      </w:r>
      <w:r w:rsidR="005A1D83" w:rsidRPr="00F079A2">
        <w:rPr>
          <w:rFonts w:ascii="Times New Roman" w:hAnsi="Times New Roman" w:cs="Times New Roman"/>
          <w:sz w:val="24"/>
          <w:szCs w:val="24"/>
        </w:rPr>
        <w:t>US$</w:t>
      </w:r>
      <w:r w:rsidR="00024556" w:rsidRPr="00F079A2">
        <w:rPr>
          <w:rFonts w:ascii="Times New Roman" w:hAnsi="Times New Roman" w:cs="Times New Roman"/>
          <w:sz w:val="24"/>
          <w:szCs w:val="24"/>
        </w:rPr>
        <w:t>360 764.41 as follows</w:t>
      </w:r>
      <w:r w:rsidR="00E216FB" w:rsidRPr="00F079A2">
        <w:rPr>
          <w:rFonts w:ascii="Times New Roman" w:hAnsi="Times New Roman" w:cs="Times New Roman"/>
          <w:sz w:val="24"/>
          <w:szCs w:val="24"/>
        </w:rPr>
        <w:t>:</w:t>
      </w:r>
      <w:r w:rsidR="005A1D83" w:rsidRPr="00F079A2">
        <w:rPr>
          <w:rFonts w:ascii="Times New Roman" w:hAnsi="Times New Roman" w:cs="Times New Roman"/>
          <w:sz w:val="24"/>
          <w:szCs w:val="24"/>
        </w:rPr>
        <w:t>-</w:t>
      </w:r>
    </w:p>
    <w:p w:rsidR="00E216FB" w:rsidRPr="00F079A2" w:rsidRDefault="005A1D83" w:rsidP="00B8477A">
      <w:pPr>
        <w:spacing w:after="0" w:line="480" w:lineRule="auto"/>
        <w:jc w:val="both"/>
        <w:rPr>
          <w:rFonts w:ascii="Times New Roman" w:hAnsi="Times New Roman" w:cs="Times New Roman"/>
          <w:sz w:val="24"/>
          <w:szCs w:val="24"/>
        </w:rPr>
      </w:pPr>
      <w:r w:rsidRPr="00F079A2">
        <w:rPr>
          <w:rFonts w:ascii="Times New Roman" w:hAnsi="Times New Roman" w:cs="Times New Roman"/>
          <w:sz w:val="24"/>
          <w:szCs w:val="24"/>
        </w:rPr>
        <w:tab/>
      </w:r>
      <w:r w:rsidR="00E216FB" w:rsidRPr="00F079A2">
        <w:rPr>
          <w:rFonts w:ascii="Times New Roman" w:hAnsi="Times New Roman" w:cs="Times New Roman"/>
          <w:sz w:val="24"/>
          <w:szCs w:val="24"/>
        </w:rPr>
        <w:t xml:space="preserve">US$78 485-61 delivered to </w:t>
      </w:r>
      <w:proofErr w:type="spellStart"/>
      <w:r w:rsidR="00E216FB" w:rsidRPr="00F079A2">
        <w:rPr>
          <w:rFonts w:ascii="Times New Roman" w:hAnsi="Times New Roman" w:cs="Times New Roman"/>
          <w:sz w:val="24"/>
          <w:szCs w:val="24"/>
        </w:rPr>
        <w:t>Shamva</w:t>
      </w:r>
      <w:proofErr w:type="spellEnd"/>
      <w:r w:rsidR="00E216FB" w:rsidRPr="00F079A2">
        <w:rPr>
          <w:rFonts w:ascii="Times New Roman" w:hAnsi="Times New Roman" w:cs="Times New Roman"/>
          <w:sz w:val="24"/>
          <w:szCs w:val="24"/>
        </w:rPr>
        <w:t xml:space="preserve"> Gold Mine;</w:t>
      </w:r>
    </w:p>
    <w:p w:rsidR="00E216FB" w:rsidRPr="00F079A2" w:rsidRDefault="00E216FB" w:rsidP="00B8477A">
      <w:pPr>
        <w:ind w:firstLine="720"/>
        <w:jc w:val="both"/>
        <w:rPr>
          <w:rFonts w:ascii="Times New Roman" w:hAnsi="Times New Roman" w:cs="Times New Roman"/>
          <w:sz w:val="24"/>
          <w:szCs w:val="24"/>
        </w:rPr>
      </w:pPr>
      <w:r w:rsidRPr="00F079A2">
        <w:rPr>
          <w:rFonts w:ascii="Times New Roman" w:hAnsi="Times New Roman" w:cs="Times New Roman"/>
          <w:sz w:val="24"/>
          <w:szCs w:val="24"/>
        </w:rPr>
        <w:lastRenderedPageBreak/>
        <w:t xml:space="preserve">US$ 245 467-82 </w:t>
      </w:r>
      <w:r w:rsidR="0065767B" w:rsidRPr="00F079A2">
        <w:rPr>
          <w:rFonts w:ascii="Times New Roman" w:hAnsi="Times New Roman" w:cs="Times New Roman"/>
          <w:sz w:val="24"/>
          <w:szCs w:val="24"/>
        </w:rPr>
        <w:t>delivered to How Gold Mine;</w:t>
      </w:r>
    </w:p>
    <w:p w:rsidR="0065767B" w:rsidRPr="00F079A2" w:rsidRDefault="00B8477A" w:rsidP="00B8477A">
      <w:pPr>
        <w:ind w:firstLine="720"/>
        <w:jc w:val="both"/>
        <w:rPr>
          <w:rFonts w:ascii="Times New Roman" w:hAnsi="Times New Roman" w:cs="Times New Roman"/>
          <w:sz w:val="24"/>
          <w:szCs w:val="24"/>
        </w:rPr>
      </w:pPr>
      <w:r w:rsidRPr="00F079A2">
        <w:rPr>
          <w:rFonts w:ascii="Times New Roman" w:hAnsi="Times New Roman" w:cs="Times New Roman"/>
          <w:sz w:val="24"/>
          <w:szCs w:val="24"/>
        </w:rPr>
        <w:t>U</w:t>
      </w:r>
      <w:r w:rsidR="0065767B" w:rsidRPr="00F079A2">
        <w:rPr>
          <w:rFonts w:ascii="Times New Roman" w:hAnsi="Times New Roman" w:cs="Times New Roman"/>
          <w:sz w:val="24"/>
          <w:szCs w:val="24"/>
        </w:rPr>
        <w:t>S$ 626-96 delivered to Redwing Gold Mine; and</w:t>
      </w:r>
    </w:p>
    <w:p w:rsidR="0065767B" w:rsidRPr="00F079A2" w:rsidRDefault="0065767B" w:rsidP="00B8477A">
      <w:pPr>
        <w:spacing w:line="240" w:lineRule="auto"/>
        <w:ind w:firstLine="720"/>
        <w:jc w:val="both"/>
        <w:rPr>
          <w:rFonts w:ascii="Times New Roman" w:hAnsi="Times New Roman" w:cs="Times New Roman"/>
          <w:sz w:val="24"/>
          <w:szCs w:val="24"/>
        </w:rPr>
      </w:pPr>
      <w:r w:rsidRPr="00F079A2">
        <w:rPr>
          <w:rFonts w:ascii="Times New Roman" w:hAnsi="Times New Roman" w:cs="Times New Roman"/>
          <w:sz w:val="24"/>
          <w:szCs w:val="24"/>
        </w:rPr>
        <w:t xml:space="preserve">US$ 36 184-02 delivered to </w:t>
      </w:r>
      <w:proofErr w:type="spellStart"/>
      <w:r w:rsidRPr="00F079A2">
        <w:rPr>
          <w:rFonts w:ascii="Times New Roman" w:hAnsi="Times New Roman" w:cs="Times New Roman"/>
          <w:sz w:val="24"/>
          <w:szCs w:val="24"/>
        </w:rPr>
        <w:t>Mazoe</w:t>
      </w:r>
      <w:proofErr w:type="spellEnd"/>
      <w:r w:rsidRPr="00F079A2">
        <w:rPr>
          <w:rFonts w:ascii="Times New Roman" w:hAnsi="Times New Roman" w:cs="Times New Roman"/>
          <w:sz w:val="24"/>
          <w:szCs w:val="24"/>
        </w:rPr>
        <w:t xml:space="preserve"> Gold Mine.</w:t>
      </w:r>
    </w:p>
    <w:p w:rsidR="00EF4BD8" w:rsidRPr="00F079A2" w:rsidRDefault="00EF4BD8" w:rsidP="00D22B2D">
      <w:pPr>
        <w:ind w:left="720" w:firstLine="720"/>
        <w:jc w:val="both"/>
        <w:rPr>
          <w:rFonts w:ascii="Times New Roman" w:hAnsi="Times New Roman" w:cs="Times New Roman"/>
          <w:sz w:val="24"/>
          <w:szCs w:val="24"/>
        </w:rPr>
      </w:pPr>
    </w:p>
    <w:p w:rsidR="00024556" w:rsidRPr="00F079A2" w:rsidRDefault="0065767B" w:rsidP="00EF4BD8">
      <w:pPr>
        <w:spacing w:after="0" w:line="480" w:lineRule="auto"/>
        <w:ind w:left="180" w:firstLine="1260"/>
        <w:jc w:val="both"/>
        <w:rPr>
          <w:rFonts w:ascii="Times New Roman" w:hAnsi="Times New Roman" w:cs="Times New Roman"/>
          <w:sz w:val="24"/>
          <w:szCs w:val="24"/>
        </w:rPr>
      </w:pPr>
      <w:r w:rsidRPr="00F079A2">
        <w:rPr>
          <w:rFonts w:ascii="Times New Roman" w:hAnsi="Times New Roman" w:cs="Times New Roman"/>
          <w:sz w:val="24"/>
          <w:szCs w:val="24"/>
        </w:rPr>
        <w:t>The clai</w:t>
      </w:r>
      <w:r w:rsidR="00D22B2D" w:rsidRPr="00F079A2">
        <w:rPr>
          <w:rFonts w:ascii="Times New Roman" w:hAnsi="Times New Roman" w:cs="Times New Roman"/>
          <w:sz w:val="24"/>
          <w:szCs w:val="24"/>
        </w:rPr>
        <w:t xml:space="preserve">m was denied by the appellant.   </w:t>
      </w:r>
      <w:r w:rsidRPr="00F079A2">
        <w:rPr>
          <w:rFonts w:ascii="Times New Roman" w:hAnsi="Times New Roman" w:cs="Times New Roman"/>
          <w:sz w:val="24"/>
          <w:szCs w:val="24"/>
        </w:rPr>
        <w:t>In</w:t>
      </w:r>
      <w:r w:rsidR="0091167C" w:rsidRPr="00F079A2">
        <w:rPr>
          <w:rFonts w:ascii="Times New Roman" w:hAnsi="Times New Roman" w:cs="Times New Roman"/>
          <w:sz w:val="24"/>
          <w:szCs w:val="24"/>
        </w:rPr>
        <w:t xml:space="preserve"> </w:t>
      </w:r>
      <w:proofErr w:type="spellStart"/>
      <w:r w:rsidR="00024556" w:rsidRPr="00F079A2">
        <w:rPr>
          <w:rFonts w:ascii="Times New Roman" w:hAnsi="Times New Roman" w:cs="Times New Roman"/>
          <w:sz w:val="24"/>
          <w:szCs w:val="24"/>
        </w:rPr>
        <w:t>para</w:t>
      </w:r>
      <w:proofErr w:type="spellEnd"/>
      <w:r w:rsidR="00024556" w:rsidRPr="00F079A2">
        <w:rPr>
          <w:rFonts w:ascii="Times New Roman" w:hAnsi="Times New Roman" w:cs="Times New Roman"/>
          <w:sz w:val="24"/>
          <w:szCs w:val="24"/>
        </w:rPr>
        <w:t xml:space="preserve"> 4 of </w:t>
      </w:r>
      <w:r w:rsidR="00D22B2D" w:rsidRPr="00F079A2">
        <w:rPr>
          <w:rFonts w:ascii="Times New Roman" w:hAnsi="Times New Roman" w:cs="Times New Roman"/>
          <w:sz w:val="24"/>
          <w:szCs w:val="24"/>
        </w:rPr>
        <w:t>its plea</w:t>
      </w:r>
      <w:r w:rsidR="0091167C" w:rsidRPr="00F079A2">
        <w:rPr>
          <w:rFonts w:ascii="Times New Roman" w:hAnsi="Times New Roman" w:cs="Times New Roman"/>
          <w:sz w:val="24"/>
          <w:szCs w:val="24"/>
        </w:rPr>
        <w:t xml:space="preserve"> </w:t>
      </w:r>
      <w:r w:rsidR="00D22B2D" w:rsidRPr="00F079A2">
        <w:rPr>
          <w:rFonts w:ascii="Times New Roman" w:hAnsi="Times New Roman" w:cs="Times New Roman"/>
          <w:sz w:val="24"/>
          <w:szCs w:val="24"/>
        </w:rPr>
        <w:t>it averred</w:t>
      </w:r>
      <w:r w:rsidR="00024556" w:rsidRPr="00F079A2">
        <w:rPr>
          <w:rFonts w:ascii="Times New Roman" w:hAnsi="Times New Roman" w:cs="Times New Roman"/>
          <w:sz w:val="24"/>
          <w:szCs w:val="24"/>
        </w:rPr>
        <w:t>:</w:t>
      </w:r>
    </w:p>
    <w:p w:rsidR="00481256" w:rsidRPr="00F079A2" w:rsidRDefault="00024556" w:rsidP="00EF4BD8">
      <w:pPr>
        <w:spacing w:after="0"/>
        <w:ind w:left="720"/>
        <w:jc w:val="both"/>
        <w:rPr>
          <w:rFonts w:ascii="Times New Roman" w:hAnsi="Times New Roman" w:cs="Times New Roman"/>
          <w:sz w:val="24"/>
          <w:szCs w:val="24"/>
        </w:rPr>
      </w:pPr>
      <w:r w:rsidRPr="00F079A2">
        <w:rPr>
          <w:rFonts w:ascii="Times New Roman" w:hAnsi="Times New Roman" w:cs="Times New Roman"/>
          <w:sz w:val="24"/>
          <w:szCs w:val="24"/>
        </w:rPr>
        <w:t>“</w:t>
      </w:r>
      <w:r w:rsidR="00EF4BD8" w:rsidRPr="00F079A2">
        <w:rPr>
          <w:rFonts w:ascii="Times New Roman" w:hAnsi="Times New Roman" w:cs="Times New Roman"/>
          <w:sz w:val="24"/>
          <w:szCs w:val="24"/>
        </w:rPr>
        <w:t>While</w:t>
      </w:r>
      <w:r w:rsidRPr="00F079A2">
        <w:rPr>
          <w:rFonts w:ascii="Times New Roman" w:hAnsi="Times New Roman" w:cs="Times New Roman"/>
          <w:sz w:val="24"/>
          <w:szCs w:val="24"/>
        </w:rPr>
        <w:t xml:space="preserve"> the defendant accepts that certain electrical goods were purchased by it from the </w:t>
      </w:r>
      <w:r w:rsidR="00F1260D" w:rsidRPr="00F079A2">
        <w:rPr>
          <w:rFonts w:ascii="Times New Roman" w:hAnsi="Times New Roman" w:cs="Times New Roman"/>
          <w:sz w:val="24"/>
          <w:szCs w:val="24"/>
        </w:rPr>
        <w:t>p</w:t>
      </w:r>
      <w:r w:rsidRPr="00F079A2">
        <w:rPr>
          <w:rFonts w:ascii="Times New Roman" w:hAnsi="Times New Roman" w:cs="Times New Roman"/>
          <w:sz w:val="24"/>
          <w:szCs w:val="24"/>
        </w:rPr>
        <w:t xml:space="preserve">laintiff, defendant denies  </w:t>
      </w:r>
      <w:r w:rsidR="00F1260D" w:rsidRPr="00F079A2">
        <w:rPr>
          <w:rFonts w:ascii="Times New Roman" w:hAnsi="Times New Roman" w:cs="Times New Roman"/>
          <w:sz w:val="24"/>
          <w:szCs w:val="24"/>
        </w:rPr>
        <w:t xml:space="preserve"> receipt of </w:t>
      </w:r>
      <w:r w:rsidR="0065767B" w:rsidRPr="00F079A2">
        <w:rPr>
          <w:rFonts w:ascii="Times New Roman" w:hAnsi="Times New Roman" w:cs="Times New Roman"/>
          <w:sz w:val="24"/>
          <w:szCs w:val="24"/>
        </w:rPr>
        <w:t>most of the goods to which the claim relates</w:t>
      </w:r>
      <w:r w:rsidRPr="00F079A2">
        <w:rPr>
          <w:rFonts w:ascii="Times New Roman" w:hAnsi="Times New Roman" w:cs="Times New Roman"/>
          <w:sz w:val="24"/>
          <w:szCs w:val="24"/>
        </w:rPr>
        <w:t xml:space="preserve"> and puts plaintiff to the proof thereof.  The defendant further avers that plaintiff has been requested to provide a proper and correct summary of goods delivered in order for payment to be made but plaintiff is still to do so.  The defendant further </w:t>
      </w:r>
      <w:r w:rsidR="009C13A5" w:rsidRPr="00F079A2">
        <w:rPr>
          <w:rFonts w:ascii="Times New Roman" w:hAnsi="Times New Roman" w:cs="Times New Roman"/>
          <w:sz w:val="24"/>
          <w:szCs w:val="24"/>
        </w:rPr>
        <w:t>denies that</w:t>
      </w:r>
      <w:r w:rsidR="0065767B" w:rsidRPr="00F079A2">
        <w:rPr>
          <w:rFonts w:ascii="Times New Roman" w:hAnsi="Times New Roman" w:cs="Times New Roman"/>
          <w:sz w:val="24"/>
          <w:szCs w:val="24"/>
        </w:rPr>
        <w:t xml:space="preserve"> any proper demand</w:t>
      </w:r>
      <w:r w:rsidR="00453177" w:rsidRPr="00F079A2">
        <w:rPr>
          <w:rFonts w:ascii="Times New Roman" w:hAnsi="Times New Roman" w:cs="Times New Roman"/>
          <w:sz w:val="24"/>
          <w:szCs w:val="24"/>
        </w:rPr>
        <w:t xml:space="preserve"> for </w:t>
      </w:r>
      <w:r w:rsidR="009C13A5" w:rsidRPr="00F079A2">
        <w:rPr>
          <w:rFonts w:ascii="Times New Roman" w:hAnsi="Times New Roman" w:cs="Times New Roman"/>
          <w:sz w:val="24"/>
          <w:szCs w:val="24"/>
        </w:rPr>
        <w:t>payment had</w:t>
      </w:r>
      <w:r w:rsidR="0065767B" w:rsidRPr="00F079A2">
        <w:rPr>
          <w:rFonts w:ascii="Times New Roman" w:hAnsi="Times New Roman" w:cs="Times New Roman"/>
          <w:sz w:val="24"/>
          <w:szCs w:val="24"/>
        </w:rPr>
        <w:t xml:space="preserve"> been made </w:t>
      </w:r>
      <w:r w:rsidR="00453177" w:rsidRPr="00F079A2">
        <w:rPr>
          <w:rFonts w:ascii="Times New Roman" w:hAnsi="Times New Roman" w:cs="Times New Roman"/>
          <w:sz w:val="24"/>
          <w:szCs w:val="24"/>
        </w:rPr>
        <w:t xml:space="preserve">by the plaintiff as </w:t>
      </w:r>
      <w:r w:rsidR="0065767B" w:rsidRPr="00F079A2">
        <w:rPr>
          <w:rFonts w:ascii="Times New Roman" w:hAnsi="Times New Roman" w:cs="Times New Roman"/>
          <w:sz w:val="24"/>
          <w:szCs w:val="24"/>
        </w:rPr>
        <w:t>alleged</w:t>
      </w:r>
      <w:r w:rsidR="00453177" w:rsidRPr="00F079A2">
        <w:rPr>
          <w:rFonts w:ascii="Times New Roman" w:hAnsi="Times New Roman" w:cs="Times New Roman"/>
          <w:sz w:val="24"/>
          <w:szCs w:val="24"/>
        </w:rPr>
        <w:t>.”</w:t>
      </w:r>
    </w:p>
    <w:p w:rsidR="00481256" w:rsidRPr="00F079A2" w:rsidRDefault="00481256" w:rsidP="00EF4BD8">
      <w:pPr>
        <w:spacing w:after="0"/>
        <w:ind w:left="720"/>
        <w:jc w:val="both"/>
        <w:rPr>
          <w:rFonts w:ascii="Times New Roman" w:hAnsi="Times New Roman" w:cs="Times New Roman"/>
          <w:sz w:val="24"/>
          <w:szCs w:val="24"/>
        </w:rPr>
      </w:pPr>
    </w:p>
    <w:p w:rsidR="00481256" w:rsidRPr="00F079A2" w:rsidRDefault="00481256" w:rsidP="00EF4BD8">
      <w:pPr>
        <w:spacing w:after="0"/>
        <w:ind w:left="720"/>
        <w:jc w:val="both"/>
        <w:rPr>
          <w:rFonts w:ascii="Times New Roman" w:hAnsi="Times New Roman" w:cs="Times New Roman"/>
          <w:sz w:val="24"/>
          <w:szCs w:val="24"/>
        </w:rPr>
      </w:pPr>
    </w:p>
    <w:p w:rsidR="00FF727F" w:rsidRPr="00F079A2" w:rsidRDefault="00453177" w:rsidP="000F420B">
      <w:pPr>
        <w:spacing w:after="0"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Duri</w:t>
      </w:r>
      <w:r w:rsidR="00C74D89" w:rsidRPr="00F079A2">
        <w:rPr>
          <w:rFonts w:ascii="Times New Roman" w:hAnsi="Times New Roman" w:cs="Times New Roman"/>
          <w:sz w:val="24"/>
          <w:szCs w:val="24"/>
        </w:rPr>
        <w:t>ng April 2012, three pre</w:t>
      </w:r>
      <w:r w:rsidR="000F03E5" w:rsidRPr="00F079A2">
        <w:rPr>
          <w:rFonts w:ascii="Times New Roman" w:hAnsi="Times New Roman" w:cs="Times New Roman"/>
          <w:sz w:val="24"/>
          <w:szCs w:val="24"/>
        </w:rPr>
        <w:t>-</w:t>
      </w:r>
      <w:r w:rsidR="00FF727F" w:rsidRPr="00F079A2">
        <w:rPr>
          <w:rFonts w:ascii="Times New Roman" w:hAnsi="Times New Roman" w:cs="Times New Roman"/>
          <w:sz w:val="24"/>
          <w:szCs w:val="24"/>
        </w:rPr>
        <w:t>trial conference</w:t>
      </w:r>
      <w:r w:rsidR="00EF0724" w:rsidRPr="00F079A2">
        <w:rPr>
          <w:rFonts w:ascii="Times New Roman" w:hAnsi="Times New Roman" w:cs="Times New Roman"/>
          <w:sz w:val="24"/>
          <w:szCs w:val="24"/>
        </w:rPr>
        <w:t xml:space="preserve">s were held at </w:t>
      </w:r>
      <w:r w:rsidR="000F03E5" w:rsidRPr="00F079A2">
        <w:rPr>
          <w:rFonts w:ascii="Times New Roman" w:hAnsi="Times New Roman" w:cs="Times New Roman"/>
          <w:sz w:val="24"/>
          <w:szCs w:val="24"/>
        </w:rPr>
        <w:t>which the</w:t>
      </w:r>
      <w:r w:rsidR="00EF0724" w:rsidRPr="00F079A2">
        <w:rPr>
          <w:rFonts w:ascii="Times New Roman" w:hAnsi="Times New Roman" w:cs="Times New Roman"/>
          <w:sz w:val="24"/>
          <w:szCs w:val="24"/>
        </w:rPr>
        <w:t xml:space="preserve"> parties attempted</w:t>
      </w:r>
      <w:r w:rsidR="00FF727F" w:rsidRPr="00F079A2">
        <w:rPr>
          <w:rFonts w:ascii="Times New Roman" w:hAnsi="Times New Roman" w:cs="Times New Roman"/>
          <w:sz w:val="24"/>
          <w:szCs w:val="24"/>
        </w:rPr>
        <w:t xml:space="preserve"> to reconcile the figures in order to arrive at some consensus as to the amount owing</w:t>
      </w:r>
      <w:r w:rsidR="00EF0724" w:rsidRPr="00F079A2">
        <w:rPr>
          <w:rFonts w:ascii="Times New Roman" w:hAnsi="Times New Roman" w:cs="Times New Roman"/>
          <w:sz w:val="24"/>
          <w:szCs w:val="24"/>
        </w:rPr>
        <w:t xml:space="preserve"> and a possible settlement. </w:t>
      </w:r>
      <w:r w:rsidR="002B0494" w:rsidRPr="00F079A2">
        <w:rPr>
          <w:rFonts w:ascii="Times New Roman" w:hAnsi="Times New Roman" w:cs="Times New Roman"/>
          <w:sz w:val="24"/>
          <w:szCs w:val="24"/>
        </w:rPr>
        <w:t>The figures having been so reconciled, the amount claim</w:t>
      </w:r>
      <w:r w:rsidR="0008596D" w:rsidRPr="00F079A2">
        <w:rPr>
          <w:rFonts w:ascii="Times New Roman" w:hAnsi="Times New Roman" w:cs="Times New Roman"/>
          <w:sz w:val="24"/>
          <w:szCs w:val="24"/>
        </w:rPr>
        <w:t xml:space="preserve">ed was reduced to $301 342.73.  </w:t>
      </w:r>
      <w:r w:rsidR="002B0494" w:rsidRPr="00F079A2">
        <w:rPr>
          <w:rFonts w:ascii="Times New Roman" w:hAnsi="Times New Roman" w:cs="Times New Roman"/>
          <w:sz w:val="24"/>
          <w:szCs w:val="24"/>
        </w:rPr>
        <w:t xml:space="preserve">However, the parties were unable to agree on the outstanding </w:t>
      </w:r>
      <w:r w:rsidR="0008596D" w:rsidRPr="00F079A2">
        <w:rPr>
          <w:rFonts w:ascii="Times New Roman" w:hAnsi="Times New Roman" w:cs="Times New Roman"/>
          <w:sz w:val="24"/>
          <w:szCs w:val="24"/>
        </w:rPr>
        <w:t>issues and</w:t>
      </w:r>
      <w:r w:rsidR="002B0494" w:rsidRPr="00F079A2">
        <w:rPr>
          <w:rFonts w:ascii="Times New Roman" w:hAnsi="Times New Roman" w:cs="Times New Roman"/>
          <w:sz w:val="24"/>
          <w:szCs w:val="24"/>
        </w:rPr>
        <w:t>,</w:t>
      </w:r>
      <w:r w:rsidR="00EF0724" w:rsidRPr="00F079A2">
        <w:rPr>
          <w:rFonts w:ascii="Times New Roman" w:hAnsi="Times New Roman" w:cs="Times New Roman"/>
          <w:sz w:val="24"/>
          <w:szCs w:val="24"/>
        </w:rPr>
        <w:t xml:space="preserve"> on </w:t>
      </w:r>
      <w:r w:rsidR="000F03E5" w:rsidRPr="00F079A2">
        <w:rPr>
          <w:rFonts w:ascii="Times New Roman" w:hAnsi="Times New Roman" w:cs="Times New Roman"/>
          <w:sz w:val="24"/>
          <w:szCs w:val="24"/>
        </w:rPr>
        <w:t>30</w:t>
      </w:r>
      <w:r w:rsidR="00C74D89" w:rsidRPr="00F079A2">
        <w:rPr>
          <w:rFonts w:ascii="Times New Roman" w:hAnsi="Times New Roman" w:cs="Times New Roman"/>
          <w:sz w:val="24"/>
          <w:szCs w:val="24"/>
        </w:rPr>
        <w:t xml:space="preserve"> April 2012,</w:t>
      </w:r>
      <w:r w:rsidR="00EF0724" w:rsidRPr="00F079A2">
        <w:rPr>
          <w:rFonts w:ascii="Times New Roman" w:hAnsi="Times New Roman" w:cs="Times New Roman"/>
          <w:sz w:val="24"/>
          <w:szCs w:val="24"/>
        </w:rPr>
        <w:t xml:space="preserve"> the matter was referred to trial</w:t>
      </w:r>
      <w:r w:rsidR="000F03E5" w:rsidRPr="00F079A2">
        <w:rPr>
          <w:rFonts w:ascii="Times New Roman" w:hAnsi="Times New Roman" w:cs="Times New Roman"/>
          <w:sz w:val="24"/>
          <w:szCs w:val="24"/>
        </w:rPr>
        <w:t xml:space="preserve"> on three issues, namely:-</w:t>
      </w:r>
    </w:p>
    <w:p w:rsidR="00C74D89" w:rsidRPr="00F079A2" w:rsidRDefault="00C74D89" w:rsidP="000F420B">
      <w:pPr>
        <w:pStyle w:val="ListParagraph"/>
        <w:numPr>
          <w:ilvl w:val="0"/>
          <w:numId w:val="1"/>
        </w:numPr>
        <w:spacing w:after="0"/>
        <w:ind w:left="1170" w:hanging="450"/>
        <w:jc w:val="both"/>
        <w:rPr>
          <w:rFonts w:ascii="Times New Roman" w:hAnsi="Times New Roman" w:cs="Times New Roman"/>
          <w:sz w:val="24"/>
          <w:szCs w:val="24"/>
        </w:rPr>
      </w:pPr>
      <w:r w:rsidRPr="00F079A2">
        <w:rPr>
          <w:rFonts w:ascii="Times New Roman" w:hAnsi="Times New Roman" w:cs="Times New Roman"/>
          <w:sz w:val="24"/>
          <w:szCs w:val="24"/>
        </w:rPr>
        <w:t>Whether the defendant is indebted to the Plaintiff in the sum claimed or any other sum at all;</w:t>
      </w:r>
    </w:p>
    <w:p w:rsidR="00B25D14" w:rsidRPr="00F079A2" w:rsidRDefault="00B25D14" w:rsidP="00B25D14">
      <w:pPr>
        <w:pStyle w:val="ListParagraph"/>
        <w:spacing w:after="0"/>
        <w:ind w:left="1170"/>
        <w:jc w:val="both"/>
        <w:rPr>
          <w:rFonts w:ascii="Times New Roman" w:hAnsi="Times New Roman" w:cs="Times New Roman"/>
          <w:sz w:val="24"/>
          <w:szCs w:val="24"/>
        </w:rPr>
      </w:pPr>
    </w:p>
    <w:p w:rsidR="00C74D89" w:rsidRPr="00F079A2" w:rsidRDefault="00C74D89" w:rsidP="00755099">
      <w:pPr>
        <w:pStyle w:val="ListParagraph"/>
        <w:numPr>
          <w:ilvl w:val="0"/>
          <w:numId w:val="1"/>
        </w:numPr>
        <w:ind w:left="1440"/>
        <w:jc w:val="both"/>
        <w:rPr>
          <w:rFonts w:ascii="Times New Roman" w:hAnsi="Times New Roman" w:cs="Times New Roman"/>
          <w:sz w:val="24"/>
          <w:szCs w:val="24"/>
        </w:rPr>
      </w:pPr>
      <w:r w:rsidRPr="00F079A2">
        <w:rPr>
          <w:rFonts w:ascii="Times New Roman" w:hAnsi="Times New Roman" w:cs="Times New Roman"/>
          <w:sz w:val="24"/>
          <w:szCs w:val="24"/>
        </w:rPr>
        <w:t>Whether the defendant received all the goods forming the subject of the plaintiffs claim; and</w:t>
      </w:r>
    </w:p>
    <w:p w:rsidR="00B25D14" w:rsidRPr="00F079A2" w:rsidRDefault="00B25D14" w:rsidP="00B25D14">
      <w:pPr>
        <w:pStyle w:val="ListParagraph"/>
        <w:rPr>
          <w:rFonts w:ascii="Times New Roman" w:hAnsi="Times New Roman" w:cs="Times New Roman"/>
          <w:sz w:val="24"/>
          <w:szCs w:val="24"/>
        </w:rPr>
      </w:pPr>
    </w:p>
    <w:p w:rsidR="00C74D89" w:rsidRPr="00F079A2" w:rsidRDefault="00C74D89" w:rsidP="00755099">
      <w:pPr>
        <w:pStyle w:val="ListParagraph"/>
        <w:numPr>
          <w:ilvl w:val="0"/>
          <w:numId w:val="1"/>
        </w:numPr>
        <w:ind w:left="1440" w:hanging="810"/>
        <w:jc w:val="both"/>
        <w:rPr>
          <w:rFonts w:ascii="Times New Roman" w:hAnsi="Times New Roman" w:cs="Times New Roman"/>
          <w:sz w:val="24"/>
          <w:szCs w:val="24"/>
        </w:rPr>
      </w:pPr>
      <w:r w:rsidRPr="00F079A2">
        <w:rPr>
          <w:rFonts w:ascii="Times New Roman" w:hAnsi="Times New Roman" w:cs="Times New Roman"/>
          <w:sz w:val="24"/>
          <w:szCs w:val="24"/>
        </w:rPr>
        <w:t>Whether due and proper demand for payment was made to the defendant prior to the issue of summons.</w:t>
      </w:r>
    </w:p>
    <w:p w:rsidR="000F420B" w:rsidRPr="00F079A2" w:rsidRDefault="000F420B" w:rsidP="000F420B">
      <w:pPr>
        <w:pStyle w:val="ListParagraph"/>
        <w:ind w:left="1170"/>
        <w:jc w:val="both"/>
        <w:rPr>
          <w:rFonts w:ascii="Times New Roman" w:hAnsi="Times New Roman" w:cs="Times New Roman"/>
          <w:sz w:val="24"/>
          <w:szCs w:val="24"/>
        </w:rPr>
      </w:pPr>
    </w:p>
    <w:p w:rsidR="000F420B" w:rsidRPr="00F079A2" w:rsidRDefault="000F420B" w:rsidP="00F079A2">
      <w:pPr>
        <w:pStyle w:val="ListParagraph"/>
        <w:spacing w:after="0"/>
        <w:ind w:left="1170"/>
        <w:jc w:val="both"/>
        <w:rPr>
          <w:rFonts w:ascii="Times New Roman" w:hAnsi="Times New Roman" w:cs="Times New Roman"/>
          <w:sz w:val="24"/>
          <w:szCs w:val="24"/>
        </w:rPr>
      </w:pPr>
    </w:p>
    <w:p w:rsidR="00623AB3" w:rsidRPr="00F079A2" w:rsidRDefault="00C74D89" w:rsidP="0091167C">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After a full trial </w:t>
      </w:r>
      <w:r w:rsidR="006C179B" w:rsidRPr="00F079A2">
        <w:rPr>
          <w:rFonts w:ascii="Times New Roman" w:hAnsi="Times New Roman" w:cs="Times New Roman"/>
          <w:sz w:val="24"/>
          <w:szCs w:val="24"/>
        </w:rPr>
        <w:t>in which</w:t>
      </w:r>
      <w:r w:rsidR="00CF04ED" w:rsidRPr="00F079A2">
        <w:rPr>
          <w:rFonts w:ascii="Times New Roman" w:hAnsi="Times New Roman" w:cs="Times New Roman"/>
          <w:sz w:val="24"/>
          <w:szCs w:val="24"/>
        </w:rPr>
        <w:t xml:space="preserve"> evidence, including expert</w:t>
      </w:r>
      <w:r w:rsidR="00453177" w:rsidRPr="00F079A2">
        <w:rPr>
          <w:rFonts w:ascii="Times New Roman" w:hAnsi="Times New Roman" w:cs="Times New Roman"/>
          <w:sz w:val="24"/>
          <w:szCs w:val="24"/>
        </w:rPr>
        <w:t xml:space="preserve"> evidence from engineers, </w:t>
      </w:r>
      <w:r w:rsidR="006C179B" w:rsidRPr="00F079A2">
        <w:rPr>
          <w:rFonts w:ascii="Times New Roman" w:hAnsi="Times New Roman" w:cs="Times New Roman"/>
          <w:sz w:val="24"/>
          <w:szCs w:val="24"/>
        </w:rPr>
        <w:t>was</w:t>
      </w:r>
      <w:r w:rsidRPr="00F079A2">
        <w:rPr>
          <w:rFonts w:ascii="Times New Roman" w:hAnsi="Times New Roman" w:cs="Times New Roman"/>
          <w:sz w:val="24"/>
          <w:szCs w:val="24"/>
        </w:rPr>
        <w:t xml:space="preserve"> led by both </w:t>
      </w:r>
      <w:r w:rsidR="006C179B" w:rsidRPr="00F079A2">
        <w:rPr>
          <w:rFonts w:ascii="Times New Roman" w:hAnsi="Times New Roman" w:cs="Times New Roman"/>
          <w:sz w:val="24"/>
          <w:szCs w:val="24"/>
        </w:rPr>
        <w:t xml:space="preserve">parties, the learned </w:t>
      </w:r>
      <w:r w:rsidR="00CF04ED" w:rsidRPr="00F079A2">
        <w:rPr>
          <w:rFonts w:ascii="Times New Roman" w:hAnsi="Times New Roman" w:cs="Times New Roman"/>
          <w:sz w:val="24"/>
          <w:szCs w:val="24"/>
        </w:rPr>
        <w:t>Judge made</w:t>
      </w:r>
      <w:r w:rsidR="00691D59" w:rsidRPr="00F079A2">
        <w:rPr>
          <w:rFonts w:ascii="Times New Roman" w:hAnsi="Times New Roman" w:cs="Times New Roman"/>
          <w:sz w:val="24"/>
          <w:szCs w:val="24"/>
        </w:rPr>
        <w:t xml:space="preserve"> factual </w:t>
      </w:r>
      <w:r w:rsidR="00CF04ED" w:rsidRPr="00F079A2">
        <w:rPr>
          <w:rFonts w:ascii="Times New Roman" w:hAnsi="Times New Roman" w:cs="Times New Roman"/>
          <w:sz w:val="24"/>
          <w:szCs w:val="24"/>
        </w:rPr>
        <w:t>findings in</w:t>
      </w:r>
      <w:r w:rsidR="0091167C" w:rsidRPr="00F079A2">
        <w:rPr>
          <w:rFonts w:ascii="Times New Roman" w:hAnsi="Times New Roman" w:cs="Times New Roman"/>
          <w:sz w:val="24"/>
          <w:szCs w:val="24"/>
        </w:rPr>
        <w:t xml:space="preserve"> </w:t>
      </w:r>
      <w:proofErr w:type="spellStart"/>
      <w:r w:rsidR="006C179B" w:rsidRPr="00F079A2">
        <w:rPr>
          <w:rFonts w:ascii="Times New Roman" w:hAnsi="Times New Roman" w:cs="Times New Roman"/>
          <w:sz w:val="24"/>
          <w:szCs w:val="24"/>
        </w:rPr>
        <w:t>favour</w:t>
      </w:r>
      <w:proofErr w:type="spellEnd"/>
      <w:r w:rsidR="006C179B" w:rsidRPr="00F079A2">
        <w:rPr>
          <w:rFonts w:ascii="Times New Roman" w:hAnsi="Times New Roman" w:cs="Times New Roman"/>
          <w:sz w:val="24"/>
          <w:szCs w:val="24"/>
        </w:rPr>
        <w:t xml:space="preserve"> of the </w:t>
      </w:r>
      <w:r w:rsidR="00DA72BC" w:rsidRPr="00F079A2">
        <w:rPr>
          <w:rFonts w:ascii="Times New Roman" w:hAnsi="Times New Roman" w:cs="Times New Roman"/>
          <w:sz w:val="24"/>
          <w:szCs w:val="24"/>
        </w:rPr>
        <w:t>respondent</w:t>
      </w:r>
      <w:r w:rsidR="006C179B" w:rsidRPr="00F079A2">
        <w:rPr>
          <w:rFonts w:ascii="Times New Roman" w:hAnsi="Times New Roman" w:cs="Times New Roman"/>
          <w:sz w:val="24"/>
          <w:szCs w:val="24"/>
        </w:rPr>
        <w:t xml:space="preserve"> on </w:t>
      </w:r>
      <w:r w:rsidR="003247C0" w:rsidRPr="00F079A2">
        <w:rPr>
          <w:rFonts w:ascii="Times New Roman" w:hAnsi="Times New Roman" w:cs="Times New Roman"/>
          <w:sz w:val="24"/>
          <w:szCs w:val="24"/>
        </w:rPr>
        <w:t xml:space="preserve">the </w:t>
      </w:r>
      <w:r w:rsidR="003247C0" w:rsidRPr="00F079A2">
        <w:rPr>
          <w:rFonts w:ascii="Times New Roman" w:hAnsi="Times New Roman" w:cs="Times New Roman"/>
          <w:sz w:val="24"/>
          <w:szCs w:val="24"/>
        </w:rPr>
        <w:lastRenderedPageBreak/>
        <w:t xml:space="preserve">first two </w:t>
      </w:r>
      <w:r w:rsidR="006C179B" w:rsidRPr="00F079A2">
        <w:rPr>
          <w:rFonts w:ascii="Times New Roman" w:hAnsi="Times New Roman" w:cs="Times New Roman"/>
          <w:sz w:val="24"/>
          <w:szCs w:val="24"/>
        </w:rPr>
        <w:t>issues.</w:t>
      </w:r>
      <w:r w:rsidR="00381BA6" w:rsidRPr="00F079A2">
        <w:rPr>
          <w:rFonts w:ascii="Times New Roman" w:hAnsi="Times New Roman" w:cs="Times New Roman"/>
          <w:sz w:val="24"/>
          <w:szCs w:val="24"/>
        </w:rPr>
        <w:t xml:space="preserve">  </w:t>
      </w:r>
      <w:r w:rsidR="003247C0" w:rsidRPr="00F079A2">
        <w:rPr>
          <w:rFonts w:ascii="Times New Roman" w:hAnsi="Times New Roman" w:cs="Times New Roman"/>
          <w:sz w:val="24"/>
          <w:szCs w:val="24"/>
        </w:rPr>
        <w:t>With regard to the third issue, he found that proper demand had not been made and that therefore interest should run from the date of summons.</w:t>
      </w:r>
    </w:p>
    <w:p w:rsidR="000F420B" w:rsidRPr="00F079A2" w:rsidRDefault="003247C0" w:rsidP="00623AB3">
      <w:pPr>
        <w:spacing w:after="0" w:line="24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 </w:t>
      </w:r>
    </w:p>
    <w:p w:rsidR="00C74D89" w:rsidRPr="00F079A2" w:rsidRDefault="00CF04ED" w:rsidP="000F420B">
      <w:pPr>
        <w:spacing w:line="480" w:lineRule="auto"/>
        <w:jc w:val="both"/>
        <w:rPr>
          <w:rFonts w:ascii="Times New Roman" w:hAnsi="Times New Roman" w:cs="Times New Roman"/>
          <w:sz w:val="24"/>
          <w:szCs w:val="24"/>
        </w:rPr>
      </w:pPr>
      <w:r w:rsidRPr="00F079A2">
        <w:rPr>
          <w:rFonts w:ascii="Times New Roman" w:hAnsi="Times New Roman" w:cs="Times New Roman"/>
          <w:sz w:val="24"/>
          <w:szCs w:val="24"/>
        </w:rPr>
        <w:tab/>
      </w:r>
      <w:r w:rsidRPr="00F079A2">
        <w:rPr>
          <w:rFonts w:ascii="Times New Roman" w:hAnsi="Times New Roman" w:cs="Times New Roman"/>
          <w:sz w:val="24"/>
          <w:szCs w:val="24"/>
        </w:rPr>
        <w:tab/>
      </w:r>
      <w:r w:rsidR="006C179B" w:rsidRPr="00F079A2">
        <w:rPr>
          <w:rFonts w:ascii="Times New Roman" w:hAnsi="Times New Roman" w:cs="Times New Roman"/>
          <w:sz w:val="24"/>
          <w:szCs w:val="24"/>
        </w:rPr>
        <w:t xml:space="preserve">In addition, the court considered, and dismissed, a belated attempt by the </w:t>
      </w:r>
      <w:r w:rsidR="00381BA6" w:rsidRPr="00F079A2">
        <w:rPr>
          <w:rFonts w:ascii="Times New Roman" w:hAnsi="Times New Roman" w:cs="Times New Roman"/>
          <w:sz w:val="24"/>
          <w:szCs w:val="24"/>
        </w:rPr>
        <w:t>appellant</w:t>
      </w:r>
      <w:r w:rsidR="006C179B" w:rsidRPr="00F079A2">
        <w:rPr>
          <w:rFonts w:ascii="Times New Roman" w:hAnsi="Times New Roman" w:cs="Times New Roman"/>
          <w:sz w:val="24"/>
          <w:szCs w:val="24"/>
        </w:rPr>
        <w:t xml:space="preserve"> to set off the amount claimed by the respondent against amounts allegedly owing to it in respect of some of the goods which it was claimed were returned for being substandard and unfit for the purpose for which they were purchased.  </w:t>
      </w:r>
      <w:r w:rsidR="00F3574B" w:rsidRPr="00F079A2">
        <w:rPr>
          <w:rFonts w:ascii="Times New Roman" w:hAnsi="Times New Roman" w:cs="Times New Roman"/>
          <w:sz w:val="24"/>
          <w:szCs w:val="24"/>
        </w:rPr>
        <w:t>Set off was at no stage of the proceedings pleaded although it wa</w:t>
      </w:r>
      <w:r w:rsidR="00AB5537" w:rsidRPr="00F079A2">
        <w:rPr>
          <w:rFonts w:ascii="Times New Roman" w:hAnsi="Times New Roman" w:cs="Times New Roman"/>
          <w:sz w:val="24"/>
          <w:szCs w:val="24"/>
        </w:rPr>
        <w:t>s canvassed in the proceedings.</w:t>
      </w:r>
    </w:p>
    <w:p w:rsidR="000C59E1" w:rsidRPr="00F079A2" w:rsidRDefault="000C59E1" w:rsidP="000C59E1">
      <w:pPr>
        <w:spacing w:after="0" w:line="240" w:lineRule="auto"/>
        <w:jc w:val="both"/>
        <w:rPr>
          <w:rFonts w:ascii="Times New Roman" w:hAnsi="Times New Roman" w:cs="Times New Roman"/>
          <w:b/>
          <w:sz w:val="24"/>
          <w:szCs w:val="24"/>
          <w:u w:val="single"/>
        </w:rPr>
      </w:pPr>
    </w:p>
    <w:p w:rsidR="00F3574B" w:rsidRPr="00F079A2" w:rsidRDefault="00AF7CEE" w:rsidP="00096C9D">
      <w:pPr>
        <w:jc w:val="both"/>
        <w:rPr>
          <w:rFonts w:ascii="Times New Roman" w:hAnsi="Times New Roman" w:cs="Times New Roman"/>
          <w:b/>
          <w:sz w:val="24"/>
          <w:szCs w:val="24"/>
          <w:u w:val="single"/>
        </w:rPr>
      </w:pPr>
      <w:r w:rsidRPr="00F079A2">
        <w:rPr>
          <w:rFonts w:ascii="Times New Roman" w:hAnsi="Times New Roman" w:cs="Times New Roman"/>
          <w:b/>
          <w:sz w:val="24"/>
          <w:szCs w:val="24"/>
          <w:u w:val="single"/>
        </w:rPr>
        <w:t>THE GROUNDS OF APPEAL</w:t>
      </w:r>
    </w:p>
    <w:p w:rsidR="000F420B" w:rsidRPr="00F079A2" w:rsidRDefault="00691D59" w:rsidP="0091167C">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The grounds of appeal </w:t>
      </w:r>
      <w:r w:rsidR="000C23D7" w:rsidRPr="00F079A2">
        <w:rPr>
          <w:rFonts w:ascii="Times New Roman" w:hAnsi="Times New Roman" w:cs="Times New Roman"/>
          <w:sz w:val="24"/>
          <w:szCs w:val="24"/>
        </w:rPr>
        <w:t xml:space="preserve">essentially </w:t>
      </w:r>
      <w:r w:rsidRPr="00F079A2">
        <w:rPr>
          <w:rFonts w:ascii="Times New Roman" w:hAnsi="Times New Roman" w:cs="Times New Roman"/>
          <w:sz w:val="24"/>
          <w:szCs w:val="24"/>
        </w:rPr>
        <w:t xml:space="preserve">attack the various findings of fact made by the trial Judge. </w:t>
      </w:r>
    </w:p>
    <w:p w:rsidR="000F420B" w:rsidRPr="00F079A2" w:rsidRDefault="000C23D7" w:rsidP="0091167C">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Ground 1</w:t>
      </w:r>
      <w:r w:rsidR="00AF7CEE" w:rsidRPr="00F079A2">
        <w:rPr>
          <w:rFonts w:ascii="Times New Roman" w:hAnsi="Times New Roman" w:cs="Times New Roman"/>
          <w:sz w:val="24"/>
          <w:szCs w:val="24"/>
        </w:rPr>
        <w:t>, makes</w:t>
      </w:r>
      <w:r w:rsidRPr="00F079A2">
        <w:rPr>
          <w:rFonts w:ascii="Times New Roman" w:hAnsi="Times New Roman" w:cs="Times New Roman"/>
          <w:sz w:val="24"/>
          <w:szCs w:val="24"/>
        </w:rPr>
        <w:t xml:space="preserve"> the vague allegation that the trial court misdirected itself in granting judgment in </w:t>
      </w:r>
      <w:proofErr w:type="spellStart"/>
      <w:r w:rsidRPr="00F079A2">
        <w:rPr>
          <w:rFonts w:ascii="Times New Roman" w:hAnsi="Times New Roman" w:cs="Times New Roman"/>
          <w:sz w:val="24"/>
          <w:szCs w:val="24"/>
        </w:rPr>
        <w:t>favour</w:t>
      </w:r>
      <w:proofErr w:type="spellEnd"/>
      <w:r w:rsidRPr="00F079A2">
        <w:rPr>
          <w:rFonts w:ascii="Times New Roman" w:hAnsi="Times New Roman" w:cs="Times New Roman"/>
          <w:sz w:val="24"/>
          <w:szCs w:val="24"/>
        </w:rPr>
        <w:t xml:space="preserve"> of the </w:t>
      </w:r>
      <w:r w:rsidR="00AF7CEE" w:rsidRPr="00F079A2">
        <w:rPr>
          <w:rFonts w:ascii="Times New Roman" w:hAnsi="Times New Roman" w:cs="Times New Roman"/>
          <w:sz w:val="24"/>
          <w:szCs w:val="24"/>
        </w:rPr>
        <w:t>respondent when</w:t>
      </w:r>
      <w:r w:rsidRPr="00F079A2">
        <w:rPr>
          <w:rFonts w:ascii="Times New Roman" w:hAnsi="Times New Roman" w:cs="Times New Roman"/>
          <w:sz w:val="24"/>
          <w:szCs w:val="24"/>
        </w:rPr>
        <w:t xml:space="preserve"> it was common cause that th</w:t>
      </w:r>
      <w:r w:rsidR="00AF7CEE" w:rsidRPr="00F079A2">
        <w:rPr>
          <w:rFonts w:ascii="Times New Roman" w:hAnsi="Times New Roman" w:cs="Times New Roman"/>
          <w:sz w:val="24"/>
          <w:szCs w:val="24"/>
        </w:rPr>
        <w:t>e</w:t>
      </w:r>
      <w:r w:rsidRPr="00F079A2">
        <w:rPr>
          <w:rFonts w:ascii="Times New Roman" w:hAnsi="Times New Roman" w:cs="Times New Roman"/>
          <w:sz w:val="24"/>
          <w:szCs w:val="24"/>
        </w:rPr>
        <w:t xml:space="preserve"> respondent had failed to deliver some equipment to the appellant</w:t>
      </w:r>
      <w:r w:rsidR="00693EAE" w:rsidRPr="00F079A2">
        <w:rPr>
          <w:rFonts w:ascii="Times New Roman" w:hAnsi="Times New Roman" w:cs="Times New Roman"/>
          <w:sz w:val="24"/>
          <w:szCs w:val="24"/>
        </w:rPr>
        <w:t xml:space="preserve">’s </w:t>
      </w:r>
      <w:proofErr w:type="spellStart"/>
      <w:r w:rsidR="00693EAE" w:rsidRPr="00F079A2">
        <w:rPr>
          <w:rFonts w:ascii="Times New Roman" w:hAnsi="Times New Roman" w:cs="Times New Roman"/>
          <w:sz w:val="24"/>
          <w:szCs w:val="24"/>
        </w:rPr>
        <w:t>S</w:t>
      </w:r>
      <w:r w:rsidRPr="00F079A2">
        <w:rPr>
          <w:rFonts w:ascii="Times New Roman" w:hAnsi="Times New Roman" w:cs="Times New Roman"/>
          <w:sz w:val="24"/>
          <w:szCs w:val="24"/>
        </w:rPr>
        <w:t>hamva</w:t>
      </w:r>
      <w:proofErr w:type="spellEnd"/>
      <w:r w:rsidRPr="00F079A2">
        <w:rPr>
          <w:rFonts w:ascii="Times New Roman" w:hAnsi="Times New Roman" w:cs="Times New Roman"/>
          <w:sz w:val="24"/>
          <w:szCs w:val="24"/>
        </w:rPr>
        <w:t xml:space="preserve"> mine.</w:t>
      </w:r>
    </w:p>
    <w:p w:rsidR="0091167C" w:rsidRPr="00F079A2" w:rsidRDefault="000C23D7" w:rsidP="0091167C">
      <w:pPr>
        <w:spacing w:line="480" w:lineRule="auto"/>
        <w:ind w:left="90"/>
        <w:jc w:val="both"/>
        <w:rPr>
          <w:rFonts w:ascii="Times New Roman" w:hAnsi="Times New Roman" w:cs="Times New Roman"/>
          <w:sz w:val="24"/>
          <w:szCs w:val="24"/>
        </w:rPr>
      </w:pPr>
      <w:r w:rsidRPr="00F079A2">
        <w:rPr>
          <w:rFonts w:ascii="Times New Roman" w:hAnsi="Times New Roman" w:cs="Times New Roman"/>
          <w:sz w:val="24"/>
          <w:szCs w:val="24"/>
        </w:rPr>
        <w:t xml:space="preserve">Ground 2 attacks the court </w:t>
      </w:r>
      <w:r w:rsidR="00D06D4D" w:rsidRPr="00F079A2">
        <w:rPr>
          <w:rFonts w:ascii="Times New Roman" w:hAnsi="Times New Roman" w:cs="Times New Roman"/>
          <w:i/>
          <w:sz w:val="24"/>
          <w:szCs w:val="24"/>
        </w:rPr>
        <w:t>a quo</w:t>
      </w:r>
      <w:r w:rsidR="00D06D4D" w:rsidRPr="00F079A2">
        <w:rPr>
          <w:rFonts w:ascii="Times New Roman" w:hAnsi="Times New Roman" w:cs="Times New Roman"/>
          <w:sz w:val="24"/>
          <w:szCs w:val="24"/>
        </w:rPr>
        <w:t xml:space="preserve"> for not finding </w:t>
      </w:r>
      <w:r w:rsidR="00AF7CEE" w:rsidRPr="00F079A2">
        <w:rPr>
          <w:rFonts w:ascii="Times New Roman" w:hAnsi="Times New Roman" w:cs="Times New Roman"/>
          <w:sz w:val="24"/>
          <w:szCs w:val="24"/>
        </w:rPr>
        <w:t>that all</w:t>
      </w:r>
      <w:r w:rsidRPr="00F079A2">
        <w:rPr>
          <w:rFonts w:ascii="Times New Roman" w:hAnsi="Times New Roman" w:cs="Times New Roman"/>
          <w:sz w:val="24"/>
          <w:szCs w:val="24"/>
        </w:rPr>
        <w:t xml:space="preserve"> the contracts of sale had been rescinded</w:t>
      </w:r>
      <w:r w:rsidR="0091167C" w:rsidRPr="00F079A2">
        <w:rPr>
          <w:rFonts w:ascii="Times New Roman" w:hAnsi="Times New Roman" w:cs="Times New Roman"/>
          <w:sz w:val="24"/>
          <w:szCs w:val="24"/>
        </w:rPr>
        <w:t>.</w:t>
      </w:r>
    </w:p>
    <w:p w:rsidR="000F420B" w:rsidRPr="00F079A2" w:rsidRDefault="000C23D7" w:rsidP="0091167C">
      <w:pPr>
        <w:spacing w:line="480" w:lineRule="auto"/>
        <w:ind w:left="90"/>
        <w:jc w:val="both"/>
        <w:rPr>
          <w:rFonts w:ascii="Times New Roman" w:hAnsi="Times New Roman" w:cs="Times New Roman"/>
          <w:sz w:val="24"/>
          <w:szCs w:val="24"/>
        </w:rPr>
      </w:pPr>
      <w:r w:rsidRPr="00F079A2">
        <w:rPr>
          <w:rFonts w:ascii="Times New Roman" w:hAnsi="Times New Roman" w:cs="Times New Roman"/>
          <w:sz w:val="24"/>
          <w:szCs w:val="24"/>
        </w:rPr>
        <w:t>Ground 3 attack</w:t>
      </w:r>
      <w:r w:rsidR="00015D4F" w:rsidRPr="00F079A2">
        <w:rPr>
          <w:rFonts w:ascii="Times New Roman" w:hAnsi="Times New Roman" w:cs="Times New Roman"/>
          <w:sz w:val="24"/>
          <w:szCs w:val="24"/>
        </w:rPr>
        <w:t>s</w:t>
      </w:r>
      <w:r w:rsidRPr="00F079A2">
        <w:rPr>
          <w:rFonts w:ascii="Times New Roman" w:hAnsi="Times New Roman" w:cs="Times New Roman"/>
          <w:sz w:val="24"/>
          <w:szCs w:val="24"/>
        </w:rPr>
        <w:t xml:space="preserve"> the court</w:t>
      </w:r>
      <w:r w:rsidR="00787BE8" w:rsidRPr="00F079A2">
        <w:rPr>
          <w:rFonts w:ascii="Times New Roman" w:hAnsi="Times New Roman" w:cs="Times New Roman"/>
          <w:sz w:val="24"/>
          <w:szCs w:val="24"/>
        </w:rPr>
        <w:t>’</w:t>
      </w:r>
      <w:r w:rsidRPr="00F079A2">
        <w:rPr>
          <w:rFonts w:ascii="Times New Roman" w:hAnsi="Times New Roman" w:cs="Times New Roman"/>
          <w:sz w:val="24"/>
          <w:szCs w:val="24"/>
        </w:rPr>
        <w:t>s finding that set off had not been established.</w:t>
      </w:r>
    </w:p>
    <w:p w:rsidR="000C23D7" w:rsidRPr="00F079A2" w:rsidRDefault="000C23D7" w:rsidP="0091167C">
      <w:pPr>
        <w:spacing w:line="480" w:lineRule="auto"/>
        <w:ind w:left="90"/>
        <w:jc w:val="both"/>
        <w:rPr>
          <w:rFonts w:ascii="Times New Roman" w:hAnsi="Times New Roman" w:cs="Times New Roman"/>
          <w:sz w:val="24"/>
          <w:szCs w:val="24"/>
        </w:rPr>
      </w:pPr>
      <w:r w:rsidRPr="00F079A2">
        <w:rPr>
          <w:rFonts w:ascii="Times New Roman" w:hAnsi="Times New Roman" w:cs="Times New Roman"/>
          <w:sz w:val="24"/>
          <w:szCs w:val="24"/>
        </w:rPr>
        <w:t xml:space="preserve">Ground 4 takes issue with specific </w:t>
      </w:r>
      <w:r w:rsidR="004D099A" w:rsidRPr="00F079A2">
        <w:rPr>
          <w:rFonts w:ascii="Times New Roman" w:hAnsi="Times New Roman" w:cs="Times New Roman"/>
          <w:sz w:val="24"/>
          <w:szCs w:val="24"/>
        </w:rPr>
        <w:t xml:space="preserve">findings of fact made by </w:t>
      </w:r>
      <w:r w:rsidR="00503AE0" w:rsidRPr="00F079A2">
        <w:rPr>
          <w:rFonts w:ascii="Times New Roman" w:hAnsi="Times New Roman" w:cs="Times New Roman"/>
          <w:sz w:val="24"/>
          <w:szCs w:val="24"/>
        </w:rPr>
        <w:t>the trial</w:t>
      </w:r>
      <w:r w:rsidRPr="00F079A2">
        <w:rPr>
          <w:rFonts w:ascii="Times New Roman" w:hAnsi="Times New Roman" w:cs="Times New Roman"/>
          <w:sz w:val="24"/>
          <w:szCs w:val="24"/>
        </w:rPr>
        <w:t xml:space="preserve"> Judge.</w:t>
      </w:r>
    </w:p>
    <w:p w:rsidR="00A73BAC" w:rsidRPr="00F079A2" w:rsidRDefault="00A73BAC" w:rsidP="00A73BAC">
      <w:pPr>
        <w:spacing w:after="0" w:line="240" w:lineRule="auto"/>
        <w:ind w:left="90"/>
        <w:jc w:val="both"/>
        <w:rPr>
          <w:rFonts w:ascii="Times New Roman" w:hAnsi="Times New Roman" w:cs="Times New Roman"/>
          <w:sz w:val="24"/>
          <w:szCs w:val="24"/>
        </w:rPr>
      </w:pPr>
    </w:p>
    <w:p w:rsidR="00453177" w:rsidRPr="00F079A2" w:rsidRDefault="00BD2DDD" w:rsidP="00283AE1">
      <w:pPr>
        <w:spacing w:line="480" w:lineRule="auto"/>
        <w:ind w:left="90" w:firstLine="1350"/>
        <w:jc w:val="both"/>
        <w:rPr>
          <w:rFonts w:ascii="Times New Roman" w:hAnsi="Times New Roman" w:cs="Times New Roman"/>
          <w:sz w:val="24"/>
          <w:szCs w:val="24"/>
        </w:rPr>
      </w:pPr>
      <w:r w:rsidRPr="00F079A2">
        <w:rPr>
          <w:rFonts w:ascii="Times New Roman" w:hAnsi="Times New Roman" w:cs="Times New Roman"/>
          <w:sz w:val="24"/>
          <w:szCs w:val="24"/>
        </w:rPr>
        <w:lastRenderedPageBreak/>
        <w:t xml:space="preserve">There was a concession </w:t>
      </w:r>
      <w:r w:rsidR="00453177" w:rsidRPr="00F079A2">
        <w:rPr>
          <w:rFonts w:ascii="Times New Roman" w:hAnsi="Times New Roman" w:cs="Times New Roman"/>
          <w:sz w:val="24"/>
          <w:szCs w:val="24"/>
        </w:rPr>
        <w:t xml:space="preserve">by </w:t>
      </w:r>
      <w:proofErr w:type="spellStart"/>
      <w:r w:rsidR="00453177" w:rsidRPr="00F079A2">
        <w:rPr>
          <w:rFonts w:ascii="Times New Roman" w:hAnsi="Times New Roman" w:cs="Times New Roman"/>
          <w:sz w:val="24"/>
          <w:szCs w:val="24"/>
        </w:rPr>
        <w:t>Mr</w:t>
      </w:r>
      <w:r w:rsidR="00055195" w:rsidRPr="00F079A2">
        <w:rPr>
          <w:rFonts w:ascii="Times New Roman" w:hAnsi="Times New Roman" w:cs="Times New Roman"/>
          <w:i/>
          <w:sz w:val="24"/>
          <w:szCs w:val="24"/>
        </w:rPr>
        <w:t>Tandi</w:t>
      </w:r>
      <w:proofErr w:type="spellEnd"/>
      <w:r w:rsidR="00055195" w:rsidRPr="00F079A2">
        <w:rPr>
          <w:rFonts w:ascii="Times New Roman" w:hAnsi="Times New Roman" w:cs="Times New Roman"/>
          <w:i/>
          <w:sz w:val="24"/>
          <w:szCs w:val="24"/>
        </w:rPr>
        <w:t>,</w:t>
      </w:r>
      <w:r w:rsidR="00685713" w:rsidRPr="00F079A2">
        <w:rPr>
          <w:rFonts w:ascii="Times New Roman" w:hAnsi="Times New Roman" w:cs="Times New Roman"/>
          <w:i/>
          <w:sz w:val="24"/>
          <w:szCs w:val="24"/>
        </w:rPr>
        <w:t xml:space="preserve"> </w:t>
      </w:r>
      <w:r w:rsidR="00453177" w:rsidRPr="00F079A2">
        <w:rPr>
          <w:rFonts w:ascii="Times New Roman" w:hAnsi="Times New Roman" w:cs="Times New Roman"/>
          <w:sz w:val="24"/>
          <w:szCs w:val="24"/>
        </w:rPr>
        <w:t>for the appellant</w:t>
      </w:r>
      <w:r w:rsidR="002B0494" w:rsidRPr="00F079A2">
        <w:rPr>
          <w:rFonts w:ascii="Times New Roman" w:hAnsi="Times New Roman" w:cs="Times New Roman"/>
          <w:sz w:val="24"/>
          <w:szCs w:val="24"/>
        </w:rPr>
        <w:t>,</w:t>
      </w:r>
      <w:r w:rsidR="00453177" w:rsidRPr="00F079A2">
        <w:rPr>
          <w:rFonts w:ascii="Times New Roman" w:hAnsi="Times New Roman" w:cs="Times New Roman"/>
          <w:sz w:val="24"/>
          <w:szCs w:val="24"/>
        </w:rPr>
        <w:t xml:space="preserve"> that the contracts o</w:t>
      </w:r>
      <w:r w:rsidR="004766CC" w:rsidRPr="00F079A2">
        <w:rPr>
          <w:rFonts w:ascii="Times New Roman" w:hAnsi="Times New Roman" w:cs="Times New Roman"/>
          <w:sz w:val="24"/>
          <w:szCs w:val="24"/>
        </w:rPr>
        <w:t xml:space="preserve">f sale had not been rescinded.   </w:t>
      </w:r>
      <w:r w:rsidR="003A04B5" w:rsidRPr="00F079A2">
        <w:rPr>
          <w:rFonts w:ascii="Times New Roman" w:hAnsi="Times New Roman" w:cs="Times New Roman"/>
          <w:sz w:val="24"/>
          <w:szCs w:val="24"/>
        </w:rPr>
        <w:t>A</w:t>
      </w:r>
      <w:r w:rsidR="00453177" w:rsidRPr="00F079A2">
        <w:rPr>
          <w:rFonts w:ascii="Times New Roman" w:hAnsi="Times New Roman" w:cs="Times New Roman"/>
          <w:sz w:val="24"/>
          <w:szCs w:val="24"/>
        </w:rPr>
        <w:t>ccordingly</w:t>
      </w:r>
      <w:r w:rsidR="003A04B5" w:rsidRPr="00F079A2">
        <w:rPr>
          <w:rFonts w:ascii="Times New Roman" w:hAnsi="Times New Roman" w:cs="Times New Roman"/>
          <w:sz w:val="24"/>
          <w:szCs w:val="24"/>
        </w:rPr>
        <w:t xml:space="preserve"> ground </w:t>
      </w:r>
      <w:r w:rsidR="004766CC" w:rsidRPr="00F079A2">
        <w:rPr>
          <w:rFonts w:ascii="Times New Roman" w:hAnsi="Times New Roman" w:cs="Times New Roman"/>
          <w:sz w:val="24"/>
          <w:szCs w:val="24"/>
        </w:rPr>
        <w:t>2 need</w:t>
      </w:r>
      <w:r w:rsidR="00796C70" w:rsidRPr="00F079A2">
        <w:rPr>
          <w:rFonts w:ascii="Times New Roman" w:hAnsi="Times New Roman" w:cs="Times New Roman"/>
          <w:sz w:val="24"/>
          <w:szCs w:val="24"/>
        </w:rPr>
        <w:t xml:space="preserve"> not detain us any further.</w:t>
      </w:r>
      <w:r w:rsidR="00F40EB1" w:rsidRPr="00F079A2">
        <w:rPr>
          <w:rStyle w:val="FootnoteReference"/>
          <w:rFonts w:ascii="Times New Roman" w:hAnsi="Times New Roman" w:cs="Times New Roman"/>
          <w:sz w:val="24"/>
          <w:szCs w:val="24"/>
        </w:rPr>
        <w:footnoteReference w:id="1"/>
      </w:r>
    </w:p>
    <w:p w:rsidR="00661464" w:rsidRPr="00F079A2" w:rsidRDefault="00661464" w:rsidP="00661464">
      <w:pPr>
        <w:spacing w:after="0" w:line="240" w:lineRule="auto"/>
        <w:ind w:left="90" w:firstLine="1350"/>
        <w:jc w:val="both"/>
        <w:rPr>
          <w:rFonts w:ascii="Times New Roman" w:hAnsi="Times New Roman" w:cs="Times New Roman"/>
          <w:sz w:val="24"/>
          <w:szCs w:val="24"/>
        </w:rPr>
      </w:pPr>
    </w:p>
    <w:p w:rsidR="00FA03D2" w:rsidRPr="00F079A2" w:rsidRDefault="004766CC" w:rsidP="00096C9D">
      <w:pPr>
        <w:jc w:val="both"/>
        <w:rPr>
          <w:rFonts w:ascii="Times New Roman" w:hAnsi="Times New Roman" w:cs="Times New Roman"/>
          <w:sz w:val="24"/>
          <w:szCs w:val="24"/>
          <w:u w:val="single"/>
        </w:rPr>
      </w:pPr>
      <w:r w:rsidRPr="00F079A2">
        <w:rPr>
          <w:rFonts w:ascii="Times New Roman" w:hAnsi="Times New Roman" w:cs="Times New Roman"/>
          <w:b/>
          <w:sz w:val="24"/>
          <w:szCs w:val="24"/>
          <w:u w:val="single"/>
        </w:rPr>
        <w:t>GROUND 1:</w:t>
      </w:r>
      <w:r w:rsidRPr="00F079A2">
        <w:rPr>
          <w:rFonts w:ascii="Times New Roman" w:hAnsi="Times New Roman" w:cs="Times New Roman"/>
          <w:b/>
          <w:sz w:val="24"/>
          <w:szCs w:val="24"/>
          <w:u w:val="single"/>
        </w:rPr>
        <w:tab/>
        <w:t>THE DELIVERY OF GOODS TO SHAMVA MINE.</w:t>
      </w:r>
    </w:p>
    <w:p w:rsidR="00FA03D2" w:rsidRPr="00F079A2" w:rsidRDefault="006B324C" w:rsidP="00A303A1">
      <w:pPr>
        <w:spacing w:line="480" w:lineRule="auto"/>
        <w:jc w:val="both"/>
        <w:rPr>
          <w:rFonts w:ascii="Times New Roman" w:hAnsi="Times New Roman" w:cs="Times New Roman"/>
          <w:sz w:val="24"/>
          <w:szCs w:val="24"/>
        </w:rPr>
      </w:pPr>
      <w:r w:rsidRPr="00F079A2">
        <w:rPr>
          <w:rFonts w:ascii="Times New Roman" w:hAnsi="Times New Roman" w:cs="Times New Roman"/>
          <w:sz w:val="24"/>
          <w:szCs w:val="24"/>
        </w:rPr>
        <w:tab/>
      </w:r>
      <w:r w:rsidR="00A303A1" w:rsidRPr="00F079A2">
        <w:rPr>
          <w:rFonts w:ascii="Times New Roman" w:hAnsi="Times New Roman" w:cs="Times New Roman"/>
          <w:sz w:val="24"/>
          <w:szCs w:val="24"/>
        </w:rPr>
        <w:tab/>
      </w:r>
      <w:r w:rsidR="00FA03D2" w:rsidRPr="00F079A2">
        <w:rPr>
          <w:rFonts w:ascii="Times New Roman" w:hAnsi="Times New Roman" w:cs="Times New Roman"/>
          <w:sz w:val="24"/>
          <w:szCs w:val="24"/>
        </w:rPr>
        <w:t xml:space="preserve">The learned Judge made a thorough analysis of the evidence obtained from the ledgers and purchase orders in respect of the </w:t>
      </w:r>
      <w:proofErr w:type="spellStart"/>
      <w:r w:rsidR="00FA03D2" w:rsidRPr="00F079A2">
        <w:rPr>
          <w:rFonts w:ascii="Times New Roman" w:hAnsi="Times New Roman" w:cs="Times New Roman"/>
          <w:sz w:val="24"/>
          <w:szCs w:val="24"/>
        </w:rPr>
        <w:t>Shamva</w:t>
      </w:r>
      <w:proofErr w:type="spellEnd"/>
      <w:r w:rsidR="0091167C" w:rsidRPr="00F079A2">
        <w:rPr>
          <w:rFonts w:ascii="Times New Roman" w:hAnsi="Times New Roman" w:cs="Times New Roman"/>
          <w:sz w:val="24"/>
          <w:szCs w:val="24"/>
        </w:rPr>
        <w:t xml:space="preserve"> </w:t>
      </w:r>
      <w:r w:rsidRPr="00F079A2">
        <w:rPr>
          <w:rFonts w:ascii="Times New Roman" w:hAnsi="Times New Roman" w:cs="Times New Roman"/>
          <w:sz w:val="24"/>
          <w:szCs w:val="24"/>
        </w:rPr>
        <w:t>M</w:t>
      </w:r>
      <w:r w:rsidR="005C4C4E" w:rsidRPr="00F079A2">
        <w:rPr>
          <w:rFonts w:ascii="Times New Roman" w:hAnsi="Times New Roman" w:cs="Times New Roman"/>
          <w:sz w:val="24"/>
          <w:szCs w:val="24"/>
        </w:rPr>
        <w:t xml:space="preserve">ine account.  </w:t>
      </w:r>
      <w:r w:rsidR="00FA03D2" w:rsidRPr="00F079A2">
        <w:rPr>
          <w:rFonts w:ascii="Times New Roman" w:hAnsi="Times New Roman" w:cs="Times New Roman"/>
          <w:sz w:val="24"/>
          <w:szCs w:val="24"/>
        </w:rPr>
        <w:t>It is unnecessary t</w:t>
      </w:r>
      <w:r w:rsidR="005C4C4E" w:rsidRPr="00F079A2">
        <w:rPr>
          <w:rFonts w:ascii="Times New Roman" w:hAnsi="Times New Roman" w:cs="Times New Roman"/>
          <w:sz w:val="24"/>
          <w:szCs w:val="24"/>
        </w:rPr>
        <w:t xml:space="preserve">o repeat the detailed evidence.  </w:t>
      </w:r>
      <w:r w:rsidR="00FA03D2" w:rsidRPr="00F079A2">
        <w:rPr>
          <w:rFonts w:ascii="Times New Roman" w:hAnsi="Times New Roman" w:cs="Times New Roman"/>
          <w:sz w:val="24"/>
          <w:szCs w:val="24"/>
        </w:rPr>
        <w:t>Suffice it to say that a reading of the record reveals no misdirect</w:t>
      </w:r>
      <w:r w:rsidR="005C4C4E" w:rsidRPr="00F079A2">
        <w:rPr>
          <w:rFonts w:ascii="Times New Roman" w:hAnsi="Times New Roman" w:cs="Times New Roman"/>
          <w:sz w:val="24"/>
          <w:szCs w:val="24"/>
        </w:rPr>
        <w:t xml:space="preserve">ion on his part in this regard.  </w:t>
      </w:r>
      <w:r w:rsidR="00FA03D2" w:rsidRPr="00F079A2">
        <w:rPr>
          <w:rFonts w:ascii="Times New Roman" w:hAnsi="Times New Roman" w:cs="Times New Roman"/>
          <w:sz w:val="24"/>
          <w:szCs w:val="24"/>
        </w:rPr>
        <w:t xml:space="preserve">In addition, as the learned Judge observed, </w:t>
      </w:r>
      <w:proofErr w:type="gramStart"/>
      <w:r w:rsidR="0091167C" w:rsidRPr="00F079A2">
        <w:rPr>
          <w:rFonts w:ascii="Times New Roman" w:hAnsi="Times New Roman" w:cs="Times New Roman"/>
          <w:sz w:val="24"/>
          <w:szCs w:val="24"/>
        </w:rPr>
        <w:t>F</w:t>
      </w:r>
      <w:r w:rsidRPr="00F079A2">
        <w:rPr>
          <w:rFonts w:ascii="Times New Roman" w:hAnsi="Times New Roman" w:cs="Times New Roman"/>
          <w:sz w:val="24"/>
          <w:szCs w:val="24"/>
        </w:rPr>
        <w:t>ore</w:t>
      </w:r>
      <w:proofErr w:type="gramEnd"/>
      <w:r w:rsidR="0091167C" w:rsidRPr="00F079A2">
        <w:rPr>
          <w:rFonts w:ascii="Times New Roman" w:hAnsi="Times New Roman" w:cs="Times New Roman"/>
          <w:sz w:val="24"/>
          <w:szCs w:val="24"/>
        </w:rPr>
        <w:t>,</w:t>
      </w:r>
      <w:r w:rsidR="00FA03D2" w:rsidRPr="00F079A2">
        <w:rPr>
          <w:rFonts w:ascii="Times New Roman" w:hAnsi="Times New Roman" w:cs="Times New Roman"/>
          <w:sz w:val="24"/>
          <w:szCs w:val="24"/>
        </w:rPr>
        <w:t xml:space="preserve"> the appellant</w:t>
      </w:r>
      <w:r w:rsidR="0010508D" w:rsidRPr="00F079A2">
        <w:rPr>
          <w:rFonts w:ascii="Times New Roman" w:hAnsi="Times New Roman" w:cs="Times New Roman"/>
          <w:sz w:val="24"/>
          <w:szCs w:val="24"/>
        </w:rPr>
        <w:t>’</w:t>
      </w:r>
      <w:r w:rsidR="00FA03D2" w:rsidRPr="00F079A2">
        <w:rPr>
          <w:rFonts w:ascii="Times New Roman" w:hAnsi="Times New Roman" w:cs="Times New Roman"/>
          <w:sz w:val="24"/>
          <w:szCs w:val="24"/>
        </w:rPr>
        <w:t>s witness</w:t>
      </w:r>
      <w:r w:rsidR="0091167C" w:rsidRPr="00F079A2">
        <w:rPr>
          <w:rFonts w:ascii="Times New Roman" w:hAnsi="Times New Roman" w:cs="Times New Roman"/>
          <w:sz w:val="24"/>
          <w:szCs w:val="24"/>
        </w:rPr>
        <w:t>,</w:t>
      </w:r>
      <w:r w:rsidR="0010508D" w:rsidRPr="00F079A2">
        <w:rPr>
          <w:rStyle w:val="FootnoteReference"/>
          <w:rFonts w:ascii="Times New Roman" w:hAnsi="Times New Roman" w:cs="Times New Roman"/>
          <w:sz w:val="24"/>
          <w:szCs w:val="24"/>
        </w:rPr>
        <w:footnoteReference w:id="2"/>
      </w:r>
      <w:r w:rsidR="00FA03D2" w:rsidRPr="00F079A2">
        <w:rPr>
          <w:rFonts w:ascii="Times New Roman" w:hAnsi="Times New Roman" w:cs="Times New Roman"/>
          <w:sz w:val="24"/>
          <w:szCs w:val="24"/>
        </w:rPr>
        <w:t xml:space="preserve"> admitted that all the goods in respect of the claim in the summons for </w:t>
      </w:r>
      <w:proofErr w:type="spellStart"/>
      <w:r w:rsidR="00FA03D2" w:rsidRPr="00F079A2">
        <w:rPr>
          <w:rFonts w:ascii="Times New Roman" w:hAnsi="Times New Roman" w:cs="Times New Roman"/>
          <w:sz w:val="24"/>
          <w:szCs w:val="24"/>
        </w:rPr>
        <w:t>Shamva</w:t>
      </w:r>
      <w:proofErr w:type="spellEnd"/>
      <w:r w:rsidR="0091167C" w:rsidRPr="00F079A2">
        <w:rPr>
          <w:rFonts w:ascii="Times New Roman" w:hAnsi="Times New Roman" w:cs="Times New Roman"/>
          <w:sz w:val="24"/>
          <w:szCs w:val="24"/>
        </w:rPr>
        <w:t xml:space="preserve"> </w:t>
      </w:r>
      <w:r w:rsidRPr="00F079A2">
        <w:rPr>
          <w:rFonts w:ascii="Times New Roman" w:hAnsi="Times New Roman" w:cs="Times New Roman"/>
          <w:sz w:val="24"/>
          <w:szCs w:val="24"/>
        </w:rPr>
        <w:t xml:space="preserve">Mine were delivered.  </w:t>
      </w:r>
      <w:r w:rsidR="00FA03D2" w:rsidRPr="00F079A2">
        <w:rPr>
          <w:rFonts w:ascii="Times New Roman" w:hAnsi="Times New Roman" w:cs="Times New Roman"/>
          <w:sz w:val="24"/>
          <w:szCs w:val="24"/>
        </w:rPr>
        <w:t>That fact was a sufficient basis for the fin</w:t>
      </w:r>
      <w:r w:rsidR="00BD2DDD" w:rsidRPr="00F079A2">
        <w:rPr>
          <w:rFonts w:ascii="Times New Roman" w:hAnsi="Times New Roman" w:cs="Times New Roman"/>
          <w:sz w:val="24"/>
          <w:szCs w:val="24"/>
        </w:rPr>
        <w:t xml:space="preserve">ding </w:t>
      </w:r>
      <w:r w:rsidRPr="00F079A2">
        <w:rPr>
          <w:rFonts w:ascii="Times New Roman" w:hAnsi="Times New Roman" w:cs="Times New Roman"/>
          <w:sz w:val="24"/>
          <w:szCs w:val="24"/>
        </w:rPr>
        <w:t xml:space="preserve">by </w:t>
      </w:r>
      <w:r w:rsidR="00015D4F" w:rsidRPr="00F079A2">
        <w:rPr>
          <w:rFonts w:ascii="Times New Roman" w:hAnsi="Times New Roman" w:cs="Times New Roman"/>
          <w:sz w:val="24"/>
          <w:szCs w:val="24"/>
        </w:rPr>
        <w:t>the learned</w:t>
      </w:r>
      <w:r w:rsidRPr="00F079A2">
        <w:rPr>
          <w:rFonts w:ascii="Times New Roman" w:hAnsi="Times New Roman" w:cs="Times New Roman"/>
          <w:sz w:val="24"/>
          <w:szCs w:val="24"/>
        </w:rPr>
        <w:t xml:space="preserve"> Judge</w:t>
      </w:r>
      <w:r w:rsidR="00FA03D2" w:rsidRPr="00F079A2">
        <w:rPr>
          <w:rFonts w:ascii="Times New Roman" w:hAnsi="Times New Roman" w:cs="Times New Roman"/>
          <w:sz w:val="24"/>
          <w:szCs w:val="24"/>
        </w:rPr>
        <w:t xml:space="preserve"> that the goods in respect of which payment was claimed in the summons were delivered to </w:t>
      </w:r>
      <w:proofErr w:type="spellStart"/>
      <w:r w:rsidR="00FA03D2" w:rsidRPr="00F079A2">
        <w:rPr>
          <w:rFonts w:ascii="Times New Roman" w:hAnsi="Times New Roman" w:cs="Times New Roman"/>
          <w:sz w:val="24"/>
          <w:szCs w:val="24"/>
        </w:rPr>
        <w:t>Shamva</w:t>
      </w:r>
      <w:proofErr w:type="spellEnd"/>
      <w:r w:rsidR="0091167C" w:rsidRPr="00F079A2">
        <w:rPr>
          <w:rFonts w:ascii="Times New Roman" w:hAnsi="Times New Roman" w:cs="Times New Roman"/>
          <w:sz w:val="24"/>
          <w:szCs w:val="24"/>
        </w:rPr>
        <w:t xml:space="preserve"> </w:t>
      </w:r>
      <w:r w:rsidRPr="00F079A2">
        <w:rPr>
          <w:rFonts w:ascii="Times New Roman" w:hAnsi="Times New Roman" w:cs="Times New Roman"/>
          <w:sz w:val="24"/>
          <w:szCs w:val="24"/>
        </w:rPr>
        <w:t xml:space="preserve">Mine.   </w:t>
      </w:r>
    </w:p>
    <w:p w:rsidR="0010508D" w:rsidRPr="00F079A2" w:rsidRDefault="00E82BC1" w:rsidP="00096C9D">
      <w:pPr>
        <w:jc w:val="both"/>
        <w:rPr>
          <w:rFonts w:ascii="Times New Roman" w:hAnsi="Times New Roman" w:cs="Times New Roman"/>
          <w:b/>
          <w:sz w:val="24"/>
          <w:szCs w:val="24"/>
          <w:u w:val="single"/>
        </w:rPr>
      </w:pPr>
      <w:r w:rsidRPr="00F079A2">
        <w:rPr>
          <w:rFonts w:ascii="Times New Roman" w:hAnsi="Times New Roman" w:cs="Times New Roman"/>
          <w:b/>
          <w:sz w:val="24"/>
          <w:szCs w:val="24"/>
          <w:u w:val="single"/>
        </w:rPr>
        <w:t>GROUND 3: WHETHER SET-OFF WAS ESTABLISHED</w:t>
      </w:r>
    </w:p>
    <w:p w:rsidR="00E71B35" w:rsidRPr="00F079A2" w:rsidRDefault="00E71B35" w:rsidP="00806DA4">
      <w:pPr>
        <w:spacing w:after="0"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Set </w:t>
      </w:r>
      <w:r w:rsidR="00734534" w:rsidRPr="00F079A2">
        <w:rPr>
          <w:rFonts w:ascii="Times New Roman" w:hAnsi="Times New Roman" w:cs="Times New Roman"/>
          <w:sz w:val="24"/>
          <w:szCs w:val="24"/>
        </w:rPr>
        <w:t xml:space="preserve">off must be pleaded and proved.  </w:t>
      </w:r>
      <w:r w:rsidRPr="00F079A2">
        <w:rPr>
          <w:rFonts w:ascii="Times New Roman" w:hAnsi="Times New Roman" w:cs="Times New Roman"/>
          <w:sz w:val="24"/>
          <w:szCs w:val="24"/>
        </w:rPr>
        <w:t>The appellant, while challenging the quantity of the goods received</w:t>
      </w:r>
      <w:r w:rsidR="00015D4F" w:rsidRPr="00F079A2">
        <w:rPr>
          <w:rFonts w:ascii="Times New Roman" w:hAnsi="Times New Roman" w:cs="Times New Roman"/>
          <w:sz w:val="24"/>
          <w:szCs w:val="24"/>
        </w:rPr>
        <w:t>,</w:t>
      </w:r>
      <w:r w:rsidRPr="00F079A2">
        <w:rPr>
          <w:rFonts w:ascii="Times New Roman" w:hAnsi="Times New Roman" w:cs="Times New Roman"/>
          <w:sz w:val="24"/>
          <w:szCs w:val="24"/>
        </w:rPr>
        <w:t xml:space="preserve"> did not plead set off.</w:t>
      </w:r>
      <w:r w:rsidR="00806DA4" w:rsidRPr="00F079A2">
        <w:rPr>
          <w:rFonts w:ascii="Times New Roman" w:hAnsi="Times New Roman" w:cs="Times New Roman"/>
          <w:sz w:val="24"/>
          <w:szCs w:val="24"/>
        </w:rPr>
        <w:t xml:space="preserve">  </w:t>
      </w:r>
      <w:r w:rsidR="0043585C" w:rsidRPr="00F079A2">
        <w:rPr>
          <w:rFonts w:ascii="Times New Roman" w:hAnsi="Times New Roman" w:cs="Times New Roman"/>
          <w:sz w:val="24"/>
          <w:szCs w:val="24"/>
        </w:rPr>
        <w:t xml:space="preserve">The doctrine </w:t>
      </w:r>
      <w:r w:rsidR="00806DA4" w:rsidRPr="00F079A2">
        <w:rPr>
          <w:rFonts w:ascii="Times New Roman" w:hAnsi="Times New Roman" w:cs="Times New Roman"/>
          <w:sz w:val="24"/>
          <w:szCs w:val="24"/>
        </w:rPr>
        <w:t>was</w:t>
      </w:r>
      <w:r w:rsidR="004762E8" w:rsidRPr="00F079A2">
        <w:rPr>
          <w:rFonts w:ascii="Times New Roman" w:hAnsi="Times New Roman" w:cs="Times New Roman"/>
          <w:sz w:val="24"/>
          <w:szCs w:val="24"/>
        </w:rPr>
        <w:t xml:space="preserve"> explained by INNES CJ in </w:t>
      </w:r>
      <w:proofErr w:type="spellStart"/>
      <w:r w:rsidR="004762E8" w:rsidRPr="00F079A2">
        <w:rPr>
          <w:rFonts w:ascii="Times New Roman" w:hAnsi="Times New Roman" w:cs="Times New Roman"/>
          <w:i/>
          <w:sz w:val="24"/>
          <w:szCs w:val="24"/>
        </w:rPr>
        <w:t>Schierhout</w:t>
      </w:r>
      <w:proofErr w:type="spellEnd"/>
      <w:r w:rsidR="004762E8" w:rsidRPr="00F079A2">
        <w:rPr>
          <w:rFonts w:ascii="Times New Roman" w:hAnsi="Times New Roman" w:cs="Times New Roman"/>
          <w:i/>
          <w:sz w:val="24"/>
          <w:szCs w:val="24"/>
        </w:rPr>
        <w:t xml:space="preserve"> v Union Government </w:t>
      </w:r>
      <w:r w:rsidR="004762E8" w:rsidRPr="00F079A2">
        <w:rPr>
          <w:rFonts w:ascii="Times New Roman" w:hAnsi="Times New Roman" w:cs="Times New Roman"/>
          <w:sz w:val="24"/>
          <w:szCs w:val="24"/>
        </w:rPr>
        <w:t xml:space="preserve">1926 AD </w:t>
      </w:r>
      <w:r w:rsidR="00806DA4" w:rsidRPr="00F079A2">
        <w:rPr>
          <w:rFonts w:ascii="Times New Roman" w:hAnsi="Times New Roman" w:cs="Times New Roman"/>
          <w:sz w:val="24"/>
          <w:szCs w:val="24"/>
        </w:rPr>
        <w:t xml:space="preserve">286 </w:t>
      </w:r>
      <w:r w:rsidR="008C634D" w:rsidRPr="00F079A2">
        <w:rPr>
          <w:rFonts w:ascii="Times New Roman" w:hAnsi="Times New Roman" w:cs="Times New Roman"/>
          <w:sz w:val="24"/>
          <w:szCs w:val="24"/>
        </w:rPr>
        <w:t xml:space="preserve">at p 289 – 290 </w:t>
      </w:r>
      <w:r w:rsidR="00806DA4" w:rsidRPr="00F079A2">
        <w:rPr>
          <w:rFonts w:ascii="Times New Roman" w:hAnsi="Times New Roman" w:cs="Times New Roman"/>
          <w:sz w:val="24"/>
          <w:szCs w:val="24"/>
        </w:rPr>
        <w:t>as</w:t>
      </w:r>
      <w:r w:rsidR="004762E8" w:rsidRPr="00F079A2">
        <w:rPr>
          <w:rFonts w:ascii="Times New Roman" w:hAnsi="Times New Roman" w:cs="Times New Roman"/>
          <w:sz w:val="24"/>
          <w:szCs w:val="24"/>
        </w:rPr>
        <w:t xml:space="preserve"> follows</w:t>
      </w:r>
      <w:r w:rsidR="004762E8" w:rsidRPr="00F079A2">
        <w:rPr>
          <w:rStyle w:val="FootnoteReference"/>
          <w:rFonts w:ascii="Times New Roman" w:hAnsi="Times New Roman" w:cs="Times New Roman"/>
          <w:sz w:val="24"/>
          <w:szCs w:val="24"/>
        </w:rPr>
        <w:footnoteReference w:id="3"/>
      </w:r>
      <w:r w:rsidRPr="00F079A2">
        <w:rPr>
          <w:rFonts w:ascii="Times New Roman" w:hAnsi="Times New Roman" w:cs="Times New Roman"/>
          <w:sz w:val="24"/>
          <w:szCs w:val="24"/>
        </w:rPr>
        <w:t>:</w:t>
      </w:r>
      <w:r w:rsidR="00734534" w:rsidRPr="00F079A2">
        <w:rPr>
          <w:rFonts w:ascii="Times New Roman" w:hAnsi="Times New Roman" w:cs="Times New Roman"/>
          <w:sz w:val="24"/>
          <w:szCs w:val="24"/>
        </w:rPr>
        <w:t>-</w:t>
      </w:r>
    </w:p>
    <w:p w:rsidR="00BB0DBF" w:rsidRPr="00F079A2" w:rsidRDefault="001663FC" w:rsidP="00806DA4">
      <w:pPr>
        <w:spacing w:after="0"/>
        <w:ind w:left="720"/>
        <w:jc w:val="both"/>
        <w:rPr>
          <w:rFonts w:ascii="Times New Roman" w:hAnsi="Times New Roman" w:cs="Times New Roman"/>
          <w:sz w:val="24"/>
          <w:szCs w:val="24"/>
        </w:rPr>
      </w:pPr>
      <w:r w:rsidRPr="00F079A2">
        <w:rPr>
          <w:rFonts w:ascii="Times New Roman" w:hAnsi="Times New Roman" w:cs="Times New Roman"/>
          <w:sz w:val="24"/>
          <w:szCs w:val="24"/>
        </w:rPr>
        <w:t xml:space="preserve">“The doctrine of set-off with us is not derived from statute and regulated by rule of court, as in England. It is a recognized principle of our common law. When two parties are mutually indebted to each other, both debts being liquidated and fully due, then the doctrine of compensation comes into operation. The one debt extinguishes the other </w:t>
      </w:r>
      <w:r w:rsidRPr="00F079A2">
        <w:rPr>
          <w:rFonts w:ascii="Times New Roman" w:hAnsi="Times New Roman" w:cs="Times New Roman"/>
          <w:i/>
          <w:sz w:val="24"/>
          <w:szCs w:val="24"/>
        </w:rPr>
        <w:t xml:space="preserve">pro </w:t>
      </w:r>
      <w:proofErr w:type="spellStart"/>
      <w:r w:rsidRPr="00F079A2">
        <w:rPr>
          <w:rFonts w:ascii="Times New Roman" w:hAnsi="Times New Roman" w:cs="Times New Roman"/>
          <w:i/>
          <w:sz w:val="24"/>
          <w:szCs w:val="24"/>
        </w:rPr>
        <w:t>tanto</w:t>
      </w:r>
      <w:proofErr w:type="spellEnd"/>
      <w:r w:rsidR="00EF5C51" w:rsidRPr="00F079A2">
        <w:rPr>
          <w:rFonts w:ascii="Times New Roman" w:hAnsi="Times New Roman" w:cs="Times New Roman"/>
          <w:i/>
          <w:sz w:val="24"/>
          <w:szCs w:val="24"/>
        </w:rPr>
        <w:t xml:space="preserve"> </w:t>
      </w:r>
      <w:r w:rsidRPr="00F079A2">
        <w:rPr>
          <w:rFonts w:ascii="Times New Roman" w:hAnsi="Times New Roman" w:cs="Times New Roman"/>
          <w:sz w:val="24"/>
          <w:szCs w:val="24"/>
        </w:rPr>
        <w:t xml:space="preserve">as effectually as if payment had been made. Should one of the creditors seek thereafter to enforce his claim, the defendant would have to set up the </w:t>
      </w:r>
      <w:proofErr w:type="spellStart"/>
      <w:r w:rsidRPr="00F079A2">
        <w:rPr>
          <w:rFonts w:ascii="Times New Roman" w:hAnsi="Times New Roman" w:cs="Times New Roman"/>
          <w:sz w:val="24"/>
          <w:szCs w:val="24"/>
        </w:rPr>
        <w:t>defence</w:t>
      </w:r>
      <w:proofErr w:type="spellEnd"/>
      <w:r w:rsidRPr="00F079A2">
        <w:rPr>
          <w:rFonts w:ascii="Times New Roman" w:hAnsi="Times New Roman" w:cs="Times New Roman"/>
          <w:sz w:val="24"/>
          <w:szCs w:val="24"/>
        </w:rPr>
        <w:t xml:space="preserve"> of </w:t>
      </w:r>
      <w:proofErr w:type="spellStart"/>
      <w:r w:rsidR="00EF5C51" w:rsidRPr="00F079A2">
        <w:rPr>
          <w:rFonts w:ascii="Times New Roman" w:hAnsi="Times New Roman" w:cs="Times New Roman"/>
          <w:i/>
          <w:sz w:val="24"/>
          <w:szCs w:val="24"/>
        </w:rPr>
        <w:t>compensatio</w:t>
      </w:r>
      <w:proofErr w:type="spellEnd"/>
      <w:r w:rsidR="00EF5C51" w:rsidRPr="00F079A2">
        <w:rPr>
          <w:rFonts w:ascii="Times New Roman" w:hAnsi="Times New Roman" w:cs="Times New Roman"/>
          <w:i/>
          <w:sz w:val="24"/>
          <w:szCs w:val="24"/>
        </w:rPr>
        <w:t xml:space="preserve"> </w:t>
      </w:r>
      <w:r w:rsidR="00C866E8" w:rsidRPr="00F079A2">
        <w:rPr>
          <w:rFonts w:ascii="Times New Roman" w:hAnsi="Times New Roman" w:cs="Times New Roman"/>
          <w:sz w:val="24"/>
          <w:szCs w:val="24"/>
        </w:rPr>
        <w:t xml:space="preserve">by bringing the facts to the notice of the court – as indeed the </w:t>
      </w:r>
      <w:proofErr w:type="spellStart"/>
      <w:r w:rsidR="00C866E8" w:rsidRPr="00F079A2">
        <w:rPr>
          <w:rFonts w:ascii="Times New Roman" w:hAnsi="Times New Roman" w:cs="Times New Roman"/>
          <w:sz w:val="24"/>
          <w:szCs w:val="24"/>
        </w:rPr>
        <w:t>defence</w:t>
      </w:r>
      <w:proofErr w:type="spellEnd"/>
      <w:r w:rsidR="00C866E8" w:rsidRPr="00F079A2">
        <w:rPr>
          <w:rFonts w:ascii="Times New Roman" w:hAnsi="Times New Roman" w:cs="Times New Roman"/>
          <w:sz w:val="24"/>
          <w:szCs w:val="24"/>
        </w:rPr>
        <w:t xml:space="preserve"> of payment would also have to be pleaded and proved. But, compensation once established, </w:t>
      </w:r>
      <w:r w:rsidR="00C866E8" w:rsidRPr="00F079A2">
        <w:rPr>
          <w:rFonts w:ascii="Times New Roman" w:hAnsi="Times New Roman" w:cs="Times New Roman"/>
          <w:sz w:val="24"/>
          <w:szCs w:val="24"/>
        </w:rPr>
        <w:lastRenderedPageBreak/>
        <w:t xml:space="preserve">the claim would be regarded as extinguished from the moment the mutual debts were in </w:t>
      </w:r>
      <w:r w:rsidR="00E71B35" w:rsidRPr="00F079A2">
        <w:rPr>
          <w:rFonts w:ascii="Times New Roman" w:hAnsi="Times New Roman" w:cs="Times New Roman"/>
          <w:sz w:val="24"/>
          <w:szCs w:val="24"/>
        </w:rPr>
        <w:t>existence together”</w:t>
      </w:r>
      <w:r w:rsidR="00E71B35" w:rsidRPr="00F079A2">
        <w:rPr>
          <w:rStyle w:val="FootnoteReference"/>
          <w:rFonts w:ascii="Times New Roman" w:hAnsi="Times New Roman" w:cs="Times New Roman"/>
          <w:sz w:val="24"/>
          <w:szCs w:val="24"/>
        </w:rPr>
        <w:footnoteReference w:id="4"/>
      </w:r>
      <w:r w:rsidR="0000622E" w:rsidRPr="00F079A2">
        <w:rPr>
          <w:rFonts w:ascii="Times New Roman" w:hAnsi="Times New Roman" w:cs="Times New Roman"/>
          <w:sz w:val="24"/>
          <w:szCs w:val="24"/>
        </w:rPr>
        <w:t>.</w:t>
      </w:r>
    </w:p>
    <w:p w:rsidR="00BB0DBF" w:rsidRPr="00F079A2" w:rsidRDefault="00BB0DBF" w:rsidP="00BB0DBF">
      <w:pPr>
        <w:spacing w:after="0"/>
        <w:ind w:left="720"/>
        <w:jc w:val="both"/>
        <w:rPr>
          <w:rFonts w:ascii="Times New Roman" w:hAnsi="Times New Roman" w:cs="Times New Roman"/>
          <w:sz w:val="24"/>
          <w:szCs w:val="24"/>
        </w:rPr>
      </w:pPr>
    </w:p>
    <w:p w:rsidR="00BB0DBF" w:rsidRPr="00F079A2" w:rsidRDefault="00BB0DBF" w:rsidP="00BB0DBF">
      <w:pPr>
        <w:spacing w:after="0"/>
        <w:ind w:left="720"/>
        <w:jc w:val="both"/>
        <w:rPr>
          <w:rFonts w:ascii="Times New Roman" w:hAnsi="Times New Roman" w:cs="Times New Roman"/>
          <w:sz w:val="24"/>
          <w:szCs w:val="24"/>
        </w:rPr>
      </w:pPr>
    </w:p>
    <w:p w:rsidR="00E71B35" w:rsidRPr="00F079A2" w:rsidRDefault="0000622E" w:rsidP="006D64F8">
      <w:pPr>
        <w:spacing w:after="0"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S</w:t>
      </w:r>
      <w:r w:rsidR="00300C79" w:rsidRPr="00F079A2">
        <w:rPr>
          <w:rFonts w:ascii="Times New Roman" w:hAnsi="Times New Roman" w:cs="Times New Roman"/>
          <w:sz w:val="24"/>
          <w:szCs w:val="24"/>
        </w:rPr>
        <w:t xml:space="preserve">ee also </w:t>
      </w:r>
      <w:r w:rsidR="00300C79" w:rsidRPr="00F079A2">
        <w:rPr>
          <w:rFonts w:ascii="Times New Roman" w:hAnsi="Times New Roman" w:cs="Times New Roman"/>
          <w:i/>
          <w:sz w:val="24"/>
          <w:szCs w:val="24"/>
        </w:rPr>
        <w:t>Commissioner of Taxes v First Merchant Bank Ltd</w:t>
      </w:r>
      <w:r w:rsidR="00300C79" w:rsidRPr="00F079A2">
        <w:rPr>
          <w:rStyle w:val="FootnoteReference"/>
          <w:rFonts w:ascii="Times New Roman" w:hAnsi="Times New Roman" w:cs="Times New Roman"/>
          <w:sz w:val="24"/>
          <w:szCs w:val="24"/>
        </w:rPr>
        <w:footnoteReference w:id="5"/>
      </w:r>
      <w:r w:rsidR="00300C79" w:rsidRPr="00F079A2">
        <w:rPr>
          <w:rFonts w:ascii="Times New Roman" w:hAnsi="Times New Roman" w:cs="Times New Roman"/>
          <w:sz w:val="24"/>
          <w:szCs w:val="24"/>
        </w:rPr>
        <w:t xml:space="preserve"> where GUBBAY CJ said:</w:t>
      </w:r>
    </w:p>
    <w:p w:rsidR="00BB0DBF" w:rsidRPr="00F079A2" w:rsidRDefault="0000622E" w:rsidP="0035532C">
      <w:pPr>
        <w:ind w:left="720"/>
        <w:jc w:val="both"/>
        <w:rPr>
          <w:rFonts w:ascii="Times New Roman" w:hAnsi="Times New Roman" w:cs="Times New Roman"/>
          <w:sz w:val="24"/>
          <w:szCs w:val="24"/>
        </w:rPr>
      </w:pPr>
      <w:r w:rsidRPr="00F079A2">
        <w:rPr>
          <w:rFonts w:ascii="Times New Roman" w:hAnsi="Times New Roman" w:cs="Times New Roman"/>
          <w:sz w:val="24"/>
          <w:szCs w:val="24"/>
        </w:rPr>
        <w:t>“At common law</w:t>
      </w:r>
      <w:r w:rsidR="00672F6D" w:rsidRPr="00F079A2">
        <w:rPr>
          <w:rFonts w:ascii="Times New Roman" w:hAnsi="Times New Roman" w:cs="Times New Roman"/>
          <w:sz w:val="24"/>
          <w:szCs w:val="24"/>
        </w:rPr>
        <w:t xml:space="preserve">, set-off or </w:t>
      </w:r>
      <w:proofErr w:type="spellStart"/>
      <w:r w:rsidR="00672F6D" w:rsidRPr="00F079A2">
        <w:rPr>
          <w:rFonts w:ascii="Times New Roman" w:hAnsi="Times New Roman" w:cs="Times New Roman"/>
          <w:i/>
          <w:sz w:val="24"/>
          <w:szCs w:val="24"/>
        </w:rPr>
        <w:t>compensatio</w:t>
      </w:r>
      <w:proofErr w:type="spellEnd"/>
      <w:r w:rsidR="00672F6D" w:rsidRPr="00F079A2">
        <w:rPr>
          <w:rFonts w:ascii="Times New Roman" w:hAnsi="Times New Roman" w:cs="Times New Roman"/>
          <w:i/>
          <w:sz w:val="24"/>
          <w:szCs w:val="24"/>
        </w:rPr>
        <w:t xml:space="preserve"> </w:t>
      </w:r>
      <w:r w:rsidR="00672F6D" w:rsidRPr="00F079A2">
        <w:rPr>
          <w:rFonts w:ascii="Times New Roman" w:hAnsi="Times New Roman" w:cs="Times New Roman"/>
          <w:sz w:val="24"/>
          <w:szCs w:val="24"/>
        </w:rPr>
        <w:t>is a method by which mutual debts, being liquidated and due, may be extinguished</w:t>
      </w:r>
      <w:r w:rsidR="0035532C" w:rsidRPr="00F079A2">
        <w:rPr>
          <w:rFonts w:ascii="Times New Roman" w:hAnsi="Times New Roman" w:cs="Times New Roman"/>
          <w:sz w:val="24"/>
          <w:szCs w:val="24"/>
        </w:rPr>
        <w:t>; if unequal, the smaller is discharged and the larger is p</w:t>
      </w:r>
      <w:r w:rsidRPr="00F079A2">
        <w:rPr>
          <w:rFonts w:ascii="Times New Roman" w:hAnsi="Times New Roman" w:cs="Times New Roman"/>
          <w:sz w:val="24"/>
          <w:szCs w:val="24"/>
        </w:rPr>
        <w:t>roportionally reduced”.</w:t>
      </w:r>
    </w:p>
    <w:p w:rsidR="004445E7" w:rsidRPr="00F079A2" w:rsidRDefault="004445E7" w:rsidP="004445E7">
      <w:pPr>
        <w:spacing w:after="0" w:line="240" w:lineRule="auto"/>
        <w:ind w:left="720"/>
        <w:jc w:val="both"/>
        <w:rPr>
          <w:rFonts w:ascii="Times New Roman" w:hAnsi="Times New Roman" w:cs="Times New Roman"/>
          <w:sz w:val="24"/>
          <w:szCs w:val="24"/>
        </w:rPr>
      </w:pPr>
    </w:p>
    <w:p w:rsidR="00251DC5" w:rsidRPr="00F079A2" w:rsidRDefault="00251DC5" w:rsidP="00251DC5">
      <w:pPr>
        <w:spacing w:after="0" w:line="240" w:lineRule="auto"/>
        <w:ind w:firstLine="1440"/>
        <w:jc w:val="both"/>
        <w:rPr>
          <w:rFonts w:ascii="Times New Roman" w:hAnsi="Times New Roman" w:cs="Times New Roman"/>
          <w:sz w:val="24"/>
          <w:szCs w:val="24"/>
        </w:rPr>
      </w:pPr>
    </w:p>
    <w:p w:rsidR="00BB0DBF" w:rsidRPr="00F079A2" w:rsidRDefault="005E1B90" w:rsidP="00EF5C51">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For set-off to operate the defendant must be in a position to say “the plaintiff owes me a debt” rather than “I have a claim against him”. The debt must be capable of easy and speedy proof.</w:t>
      </w:r>
      <w:r w:rsidRPr="00F079A2">
        <w:rPr>
          <w:rStyle w:val="FootnoteReference"/>
          <w:rFonts w:ascii="Times New Roman" w:hAnsi="Times New Roman" w:cs="Times New Roman"/>
          <w:sz w:val="24"/>
          <w:szCs w:val="24"/>
        </w:rPr>
        <w:footnoteReference w:id="6"/>
      </w:r>
      <w:r w:rsidR="00EF5C51" w:rsidRPr="00F079A2">
        <w:rPr>
          <w:rFonts w:ascii="Times New Roman" w:hAnsi="Times New Roman" w:cs="Times New Roman"/>
          <w:sz w:val="24"/>
          <w:szCs w:val="24"/>
        </w:rPr>
        <w:t xml:space="preserve"> </w:t>
      </w:r>
    </w:p>
    <w:p w:rsidR="00735431" w:rsidRPr="00F079A2" w:rsidRDefault="00735431" w:rsidP="00735431">
      <w:pPr>
        <w:spacing w:after="0" w:line="240" w:lineRule="auto"/>
        <w:ind w:firstLine="1440"/>
        <w:jc w:val="both"/>
        <w:rPr>
          <w:rFonts w:ascii="Times New Roman" w:hAnsi="Times New Roman" w:cs="Times New Roman"/>
          <w:sz w:val="24"/>
          <w:szCs w:val="24"/>
        </w:rPr>
      </w:pPr>
    </w:p>
    <w:p w:rsidR="00BB0DBF" w:rsidRPr="00F079A2" w:rsidRDefault="00300C79" w:rsidP="00EF5C51">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The learned Judge considered the </w:t>
      </w:r>
      <w:proofErr w:type="spellStart"/>
      <w:r w:rsidRPr="00F079A2">
        <w:rPr>
          <w:rFonts w:ascii="Times New Roman" w:hAnsi="Times New Roman" w:cs="Times New Roman"/>
          <w:sz w:val="24"/>
          <w:szCs w:val="24"/>
        </w:rPr>
        <w:t>defence</w:t>
      </w:r>
      <w:proofErr w:type="spellEnd"/>
      <w:r w:rsidRPr="00F079A2">
        <w:rPr>
          <w:rFonts w:ascii="Times New Roman" w:hAnsi="Times New Roman" w:cs="Times New Roman"/>
          <w:sz w:val="24"/>
          <w:szCs w:val="24"/>
        </w:rPr>
        <w:t xml:space="preserve"> of set-off on the basis that</w:t>
      </w:r>
      <w:r w:rsidR="00C003FE" w:rsidRPr="00F079A2">
        <w:rPr>
          <w:rFonts w:ascii="Times New Roman" w:hAnsi="Times New Roman" w:cs="Times New Roman"/>
          <w:sz w:val="24"/>
          <w:szCs w:val="24"/>
        </w:rPr>
        <w:t>,</w:t>
      </w:r>
      <w:r w:rsidRPr="00F079A2">
        <w:rPr>
          <w:rFonts w:ascii="Times New Roman" w:hAnsi="Times New Roman" w:cs="Times New Roman"/>
          <w:sz w:val="24"/>
          <w:szCs w:val="24"/>
        </w:rPr>
        <w:t xml:space="preserve"> while it was not pleaded as a </w:t>
      </w:r>
      <w:proofErr w:type="spellStart"/>
      <w:r w:rsidRPr="00F079A2">
        <w:rPr>
          <w:rFonts w:ascii="Times New Roman" w:hAnsi="Times New Roman" w:cs="Times New Roman"/>
          <w:sz w:val="24"/>
          <w:szCs w:val="24"/>
        </w:rPr>
        <w:t>defence</w:t>
      </w:r>
      <w:proofErr w:type="spellEnd"/>
      <w:r w:rsidRPr="00F079A2">
        <w:rPr>
          <w:rFonts w:ascii="Times New Roman" w:hAnsi="Times New Roman" w:cs="Times New Roman"/>
          <w:sz w:val="24"/>
          <w:szCs w:val="24"/>
        </w:rPr>
        <w:t>, it was sufficiently ventilated by the parties before the issue of summons and during the trial.</w:t>
      </w:r>
    </w:p>
    <w:p w:rsidR="00735431" w:rsidRPr="00F079A2" w:rsidRDefault="00735431" w:rsidP="00735431">
      <w:pPr>
        <w:spacing w:after="0" w:line="240" w:lineRule="auto"/>
        <w:ind w:firstLine="1440"/>
        <w:jc w:val="both"/>
        <w:rPr>
          <w:rFonts w:ascii="Times New Roman" w:hAnsi="Times New Roman" w:cs="Times New Roman"/>
          <w:sz w:val="24"/>
          <w:szCs w:val="24"/>
        </w:rPr>
      </w:pPr>
    </w:p>
    <w:p w:rsidR="00BB0DBF" w:rsidRPr="00F079A2" w:rsidRDefault="0000622E" w:rsidP="00EF5C51">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The </w:t>
      </w:r>
      <w:r w:rsidR="009176FA" w:rsidRPr="00F079A2">
        <w:rPr>
          <w:rFonts w:ascii="Times New Roman" w:hAnsi="Times New Roman" w:cs="Times New Roman"/>
          <w:sz w:val="24"/>
          <w:szCs w:val="24"/>
        </w:rPr>
        <w:t>appellant raised</w:t>
      </w:r>
      <w:r w:rsidRPr="00F079A2">
        <w:rPr>
          <w:rFonts w:ascii="Times New Roman" w:hAnsi="Times New Roman" w:cs="Times New Roman"/>
          <w:sz w:val="24"/>
          <w:szCs w:val="24"/>
        </w:rPr>
        <w:t xml:space="preserve"> this </w:t>
      </w:r>
      <w:proofErr w:type="spellStart"/>
      <w:r w:rsidRPr="00F079A2">
        <w:rPr>
          <w:rFonts w:ascii="Times New Roman" w:hAnsi="Times New Roman" w:cs="Times New Roman"/>
          <w:sz w:val="24"/>
          <w:szCs w:val="24"/>
        </w:rPr>
        <w:t>defence</w:t>
      </w:r>
      <w:proofErr w:type="spellEnd"/>
      <w:r w:rsidRPr="00F079A2">
        <w:rPr>
          <w:rFonts w:ascii="Times New Roman" w:hAnsi="Times New Roman" w:cs="Times New Roman"/>
          <w:sz w:val="24"/>
          <w:szCs w:val="24"/>
        </w:rPr>
        <w:t xml:space="preserve"> in re</w:t>
      </w:r>
      <w:r w:rsidR="00BD2DDD" w:rsidRPr="00F079A2">
        <w:rPr>
          <w:rFonts w:ascii="Times New Roman" w:hAnsi="Times New Roman" w:cs="Times New Roman"/>
          <w:sz w:val="24"/>
          <w:szCs w:val="24"/>
        </w:rPr>
        <w:t>s</w:t>
      </w:r>
      <w:r w:rsidRPr="00F079A2">
        <w:rPr>
          <w:rFonts w:ascii="Times New Roman" w:hAnsi="Times New Roman" w:cs="Times New Roman"/>
          <w:sz w:val="24"/>
          <w:szCs w:val="24"/>
        </w:rPr>
        <w:t xml:space="preserve">pect </w:t>
      </w:r>
      <w:r w:rsidR="009176FA" w:rsidRPr="00F079A2">
        <w:rPr>
          <w:rFonts w:ascii="Times New Roman" w:hAnsi="Times New Roman" w:cs="Times New Roman"/>
          <w:sz w:val="24"/>
          <w:szCs w:val="24"/>
        </w:rPr>
        <w:t>of mixers</w:t>
      </w:r>
      <w:r w:rsidR="00270859" w:rsidRPr="00F079A2">
        <w:rPr>
          <w:rFonts w:ascii="Times New Roman" w:hAnsi="Times New Roman" w:cs="Times New Roman"/>
          <w:sz w:val="24"/>
          <w:szCs w:val="24"/>
        </w:rPr>
        <w:t xml:space="preserve"> delivered to </w:t>
      </w:r>
      <w:proofErr w:type="spellStart"/>
      <w:r w:rsidR="00270859" w:rsidRPr="00F079A2">
        <w:rPr>
          <w:rFonts w:ascii="Times New Roman" w:hAnsi="Times New Roman" w:cs="Times New Roman"/>
          <w:sz w:val="24"/>
          <w:szCs w:val="24"/>
        </w:rPr>
        <w:t>Mazowe</w:t>
      </w:r>
      <w:proofErr w:type="spellEnd"/>
      <w:r w:rsidR="00EF5C51" w:rsidRPr="00F079A2">
        <w:rPr>
          <w:rFonts w:ascii="Times New Roman" w:hAnsi="Times New Roman" w:cs="Times New Roman"/>
          <w:sz w:val="24"/>
          <w:szCs w:val="24"/>
        </w:rPr>
        <w:t xml:space="preserve"> </w:t>
      </w:r>
      <w:r w:rsidR="009176FA" w:rsidRPr="00F079A2">
        <w:rPr>
          <w:rFonts w:ascii="Times New Roman" w:hAnsi="Times New Roman" w:cs="Times New Roman"/>
          <w:sz w:val="24"/>
          <w:szCs w:val="24"/>
        </w:rPr>
        <w:t>M</w:t>
      </w:r>
      <w:r w:rsidR="00270859" w:rsidRPr="00F079A2">
        <w:rPr>
          <w:rFonts w:ascii="Times New Roman" w:hAnsi="Times New Roman" w:cs="Times New Roman"/>
          <w:sz w:val="24"/>
          <w:szCs w:val="24"/>
        </w:rPr>
        <w:t xml:space="preserve">ine and </w:t>
      </w:r>
      <w:r w:rsidR="002A6A89" w:rsidRPr="00F079A2">
        <w:rPr>
          <w:rFonts w:ascii="Times New Roman" w:hAnsi="Times New Roman" w:cs="Times New Roman"/>
          <w:sz w:val="24"/>
          <w:szCs w:val="24"/>
        </w:rPr>
        <w:t>a</w:t>
      </w:r>
      <w:r w:rsidR="00750A3E" w:rsidRPr="00F079A2">
        <w:rPr>
          <w:rFonts w:ascii="Times New Roman" w:hAnsi="Times New Roman" w:cs="Times New Roman"/>
          <w:sz w:val="24"/>
          <w:szCs w:val="24"/>
        </w:rPr>
        <w:t xml:space="preserve"> motor control </w:t>
      </w:r>
      <w:proofErr w:type="spellStart"/>
      <w:r w:rsidR="00750A3E" w:rsidRPr="00F079A2">
        <w:rPr>
          <w:rFonts w:ascii="Times New Roman" w:hAnsi="Times New Roman" w:cs="Times New Roman"/>
          <w:sz w:val="24"/>
          <w:szCs w:val="24"/>
        </w:rPr>
        <w:t>cent</w:t>
      </w:r>
      <w:r w:rsidR="002F2629" w:rsidRPr="00F079A2">
        <w:rPr>
          <w:rFonts w:ascii="Times New Roman" w:hAnsi="Times New Roman" w:cs="Times New Roman"/>
          <w:sz w:val="24"/>
          <w:szCs w:val="24"/>
        </w:rPr>
        <w:t>re</w:t>
      </w:r>
      <w:proofErr w:type="spellEnd"/>
      <w:r w:rsidR="00750A3E" w:rsidRPr="00F079A2">
        <w:rPr>
          <w:rFonts w:ascii="Times New Roman" w:hAnsi="Times New Roman" w:cs="Times New Roman"/>
          <w:sz w:val="24"/>
          <w:szCs w:val="24"/>
        </w:rPr>
        <w:t xml:space="preserve"> </w:t>
      </w:r>
      <w:r w:rsidR="002A6A89" w:rsidRPr="00F079A2">
        <w:rPr>
          <w:rFonts w:ascii="Times New Roman" w:hAnsi="Times New Roman" w:cs="Times New Roman"/>
          <w:sz w:val="24"/>
          <w:szCs w:val="24"/>
        </w:rPr>
        <w:t xml:space="preserve">system purchased for </w:t>
      </w:r>
      <w:proofErr w:type="spellStart"/>
      <w:r w:rsidR="00270859" w:rsidRPr="00F079A2">
        <w:rPr>
          <w:rFonts w:ascii="Times New Roman" w:hAnsi="Times New Roman" w:cs="Times New Roman"/>
          <w:sz w:val="24"/>
          <w:szCs w:val="24"/>
        </w:rPr>
        <w:t>Shamva</w:t>
      </w:r>
      <w:proofErr w:type="spellEnd"/>
      <w:r w:rsidR="00EF5C51" w:rsidRPr="00F079A2">
        <w:rPr>
          <w:rFonts w:ascii="Times New Roman" w:hAnsi="Times New Roman" w:cs="Times New Roman"/>
          <w:sz w:val="24"/>
          <w:szCs w:val="24"/>
        </w:rPr>
        <w:t xml:space="preserve"> </w:t>
      </w:r>
      <w:r w:rsidR="009176FA" w:rsidRPr="00F079A2">
        <w:rPr>
          <w:rFonts w:ascii="Times New Roman" w:hAnsi="Times New Roman" w:cs="Times New Roman"/>
          <w:sz w:val="24"/>
          <w:szCs w:val="24"/>
        </w:rPr>
        <w:t>M</w:t>
      </w:r>
      <w:r w:rsidR="00270859" w:rsidRPr="00F079A2">
        <w:rPr>
          <w:rFonts w:ascii="Times New Roman" w:hAnsi="Times New Roman" w:cs="Times New Roman"/>
          <w:sz w:val="24"/>
          <w:szCs w:val="24"/>
        </w:rPr>
        <w:t>ine</w:t>
      </w:r>
      <w:r w:rsidR="002A6A89" w:rsidRPr="00F079A2">
        <w:rPr>
          <w:rFonts w:ascii="Times New Roman" w:hAnsi="Times New Roman" w:cs="Times New Roman"/>
          <w:sz w:val="24"/>
          <w:szCs w:val="24"/>
        </w:rPr>
        <w:t xml:space="preserve"> but which remained undelivered at the date of summons</w:t>
      </w:r>
      <w:r w:rsidR="00382499" w:rsidRPr="00F079A2">
        <w:rPr>
          <w:rFonts w:ascii="Times New Roman" w:hAnsi="Times New Roman" w:cs="Times New Roman"/>
          <w:sz w:val="24"/>
          <w:szCs w:val="24"/>
        </w:rPr>
        <w:t xml:space="preserve">.  </w:t>
      </w:r>
      <w:r w:rsidR="005C3C30" w:rsidRPr="00F079A2">
        <w:rPr>
          <w:rFonts w:ascii="Times New Roman" w:hAnsi="Times New Roman" w:cs="Times New Roman"/>
          <w:sz w:val="24"/>
          <w:szCs w:val="24"/>
        </w:rPr>
        <w:t>Reg</w:t>
      </w:r>
      <w:r w:rsidR="00C003FE" w:rsidRPr="00F079A2">
        <w:rPr>
          <w:rFonts w:ascii="Times New Roman" w:hAnsi="Times New Roman" w:cs="Times New Roman"/>
          <w:sz w:val="24"/>
          <w:szCs w:val="24"/>
        </w:rPr>
        <w:t>arding the motor control system</w:t>
      </w:r>
      <w:r w:rsidR="005C3C30" w:rsidRPr="00F079A2">
        <w:rPr>
          <w:rFonts w:ascii="Times New Roman" w:hAnsi="Times New Roman" w:cs="Times New Roman"/>
          <w:sz w:val="24"/>
          <w:szCs w:val="24"/>
        </w:rPr>
        <w:t xml:space="preserve"> </w:t>
      </w:r>
      <w:r w:rsidR="00382499" w:rsidRPr="00F079A2">
        <w:rPr>
          <w:rFonts w:ascii="Times New Roman" w:hAnsi="Times New Roman" w:cs="Times New Roman"/>
          <w:sz w:val="24"/>
          <w:szCs w:val="24"/>
        </w:rPr>
        <w:t>it was</w:t>
      </w:r>
      <w:r w:rsidR="00C472E1" w:rsidRPr="00F079A2">
        <w:rPr>
          <w:rFonts w:ascii="Times New Roman" w:hAnsi="Times New Roman" w:cs="Times New Roman"/>
          <w:sz w:val="24"/>
          <w:szCs w:val="24"/>
        </w:rPr>
        <w:t xml:space="preserve"> common cause that the appellant had </w:t>
      </w:r>
      <w:r w:rsidR="009176FA" w:rsidRPr="00F079A2">
        <w:rPr>
          <w:rFonts w:ascii="Times New Roman" w:hAnsi="Times New Roman" w:cs="Times New Roman"/>
          <w:sz w:val="24"/>
          <w:szCs w:val="24"/>
        </w:rPr>
        <w:t>made prepayments</w:t>
      </w:r>
      <w:r w:rsidR="00C472E1" w:rsidRPr="00F079A2">
        <w:rPr>
          <w:rFonts w:ascii="Times New Roman" w:hAnsi="Times New Roman" w:cs="Times New Roman"/>
          <w:sz w:val="24"/>
          <w:szCs w:val="24"/>
        </w:rPr>
        <w:t xml:space="preserve"> to the respondent </w:t>
      </w:r>
      <w:r w:rsidR="00937375" w:rsidRPr="00F079A2">
        <w:rPr>
          <w:rFonts w:ascii="Times New Roman" w:hAnsi="Times New Roman" w:cs="Times New Roman"/>
          <w:sz w:val="24"/>
          <w:szCs w:val="24"/>
        </w:rPr>
        <w:t>totaling</w:t>
      </w:r>
      <w:r w:rsidR="00C472E1" w:rsidRPr="00F079A2">
        <w:rPr>
          <w:rFonts w:ascii="Times New Roman" w:hAnsi="Times New Roman" w:cs="Times New Roman"/>
          <w:sz w:val="24"/>
          <w:szCs w:val="24"/>
        </w:rPr>
        <w:t xml:space="preserve"> </w:t>
      </w:r>
      <w:r w:rsidR="009176FA" w:rsidRPr="00F079A2">
        <w:rPr>
          <w:rFonts w:ascii="Times New Roman" w:hAnsi="Times New Roman" w:cs="Times New Roman"/>
          <w:sz w:val="24"/>
          <w:szCs w:val="24"/>
        </w:rPr>
        <w:t>USD</w:t>
      </w:r>
      <w:r w:rsidR="002A6A89" w:rsidRPr="00F079A2">
        <w:rPr>
          <w:rFonts w:ascii="Times New Roman" w:hAnsi="Times New Roman" w:cs="Times New Roman"/>
          <w:sz w:val="24"/>
          <w:szCs w:val="24"/>
        </w:rPr>
        <w:t>149 006</w:t>
      </w:r>
      <w:proofErr w:type="gramStart"/>
      <w:r w:rsidR="002A6A89" w:rsidRPr="00F079A2">
        <w:rPr>
          <w:rFonts w:ascii="Times New Roman" w:hAnsi="Times New Roman" w:cs="Times New Roman"/>
          <w:sz w:val="24"/>
          <w:szCs w:val="24"/>
        </w:rPr>
        <w:t>,10</w:t>
      </w:r>
      <w:proofErr w:type="gramEnd"/>
      <w:r w:rsidR="002A6A89" w:rsidRPr="00F079A2">
        <w:rPr>
          <w:rFonts w:ascii="Times New Roman" w:hAnsi="Times New Roman" w:cs="Times New Roman"/>
          <w:sz w:val="24"/>
          <w:szCs w:val="24"/>
        </w:rPr>
        <w:t xml:space="preserve"> for the </w:t>
      </w:r>
      <w:r w:rsidR="00B06C5E" w:rsidRPr="00F079A2">
        <w:rPr>
          <w:rFonts w:ascii="Times New Roman" w:hAnsi="Times New Roman" w:cs="Times New Roman"/>
          <w:sz w:val="24"/>
          <w:szCs w:val="24"/>
        </w:rPr>
        <w:t>system which comprised of a motor control</w:t>
      </w:r>
      <w:r w:rsidR="00C472E1" w:rsidRPr="00F079A2">
        <w:rPr>
          <w:rFonts w:ascii="Times New Roman" w:hAnsi="Times New Roman" w:cs="Times New Roman"/>
          <w:sz w:val="24"/>
          <w:szCs w:val="24"/>
        </w:rPr>
        <w:t xml:space="preserve"> </w:t>
      </w:r>
      <w:proofErr w:type="spellStart"/>
      <w:r w:rsidR="00C472E1" w:rsidRPr="00F079A2">
        <w:rPr>
          <w:rFonts w:ascii="Times New Roman" w:hAnsi="Times New Roman" w:cs="Times New Roman"/>
          <w:sz w:val="24"/>
          <w:szCs w:val="24"/>
        </w:rPr>
        <w:t>centre</w:t>
      </w:r>
      <w:proofErr w:type="spellEnd"/>
      <w:r w:rsidR="009176FA" w:rsidRPr="00F079A2">
        <w:rPr>
          <w:rFonts w:ascii="Times New Roman" w:hAnsi="Times New Roman" w:cs="Times New Roman"/>
          <w:sz w:val="24"/>
          <w:szCs w:val="24"/>
        </w:rPr>
        <w:t xml:space="preserve"> </w:t>
      </w:r>
      <w:r w:rsidR="005C3C30" w:rsidRPr="00F079A2">
        <w:rPr>
          <w:rFonts w:ascii="Times New Roman" w:hAnsi="Times New Roman" w:cs="Times New Roman"/>
          <w:sz w:val="24"/>
          <w:szCs w:val="24"/>
        </w:rPr>
        <w:t>and six variable speed drives;</w:t>
      </w:r>
      <w:r w:rsidR="00C472E1" w:rsidRPr="00F079A2">
        <w:rPr>
          <w:rFonts w:ascii="Times New Roman" w:hAnsi="Times New Roman" w:cs="Times New Roman"/>
          <w:sz w:val="24"/>
          <w:szCs w:val="24"/>
        </w:rPr>
        <w:t xml:space="preserve"> that the respondent</w:t>
      </w:r>
      <w:r w:rsidR="00EF5C51" w:rsidRPr="00F079A2">
        <w:rPr>
          <w:rFonts w:ascii="Times New Roman" w:hAnsi="Times New Roman" w:cs="Times New Roman"/>
          <w:sz w:val="24"/>
          <w:szCs w:val="24"/>
        </w:rPr>
        <w:t xml:space="preserve"> </w:t>
      </w:r>
      <w:r w:rsidR="00C472E1" w:rsidRPr="00F079A2">
        <w:rPr>
          <w:rFonts w:ascii="Times New Roman" w:hAnsi="Times New Roman" w:cs="Times New Roman"/>
          <w:sz w:val="24"/>
          <w:szCs w:val="24"/>
        </w:rPr>
        <w:t>did not appro</w:t>
      </w:r>
      <w:r w:rsidR="002A6A89" w:rsidRPr="00F079A2">
        <w:rPr>
          <w:rFonts w:ascii="Times New Roman" w:hAnsi="Times New Roman" w:cs="Times New Roman"/>
          <w:sz w:val="24"/>
          <w:szCs w:val="24"/>
        </w:rPr>
        <w:t xml:space="preserve">priate that amount to </w:t>
      </w:r>
      <w:r w:rsidR="009176FA" w:rsidRPr="00F079A2">
        <w:rPr>
          <w:rFonts w:ascii="Times New Roman" w:hAnsi="Times New Roman" w:cs="Times New Roman"/>
          <w:sz w:val="24"/>
          <w:szCs w:val="24"/>
        </w:rPr>
        <w:t>the debt</w:t>
      </w:r>
      <w:r w:rsidR="002A6A89" w:rsidRPr="00F079A2">
        <w:rPr>
          <w:rFonts w:ascii="Times New Roman" w:hAnsi="Times New Roman" w:cs="Times New Roman"/>
          <w:sz w:val="24"/>
          <w:szCs w:val="24"/>
        </w:rPr>
        <w:t xml:space="preserve"> alleged in the summons or the proved debt </w:t>
      </w:r>
      <w:r w:rsidR="00C472E1" w:rsidRPr="00F079A2">
        <w:rPr>
          <w:rFonts w:ascii="Times New Roman" w:hAnsi="Times New Roman" w:cs="Times New Roman"/>
          <w:sz w:val="24"/>
          <w:szCs w:val="24"/>
        </w:rPr>
        <w:t xml:space="preserve">of </w:t>
      </w:r>
      <w:r w:rsidR="009176FA" w:rsidRPr="00F079A2">
        <w:rPr>
          <w:rFonts w:ascii="Times New Roman" w:hAnsi="Times New Roman" w:cs="Times New Roman"/>
          <w:sz w:val="24"/>
          <w:szCs w:val="24"/>
        </w:rPr>
        <w:t>USD</w:t>
      </w:r>
      <w:r w:rsidR="00C472E1" w:rsidRPr="00F079A2">
        <w:rPr>
          <w:rFonts w:ascii="Times New Roman" w:hAnsi="Times New Roman" w:cs="Times New Roman"/>
          <w:sz w:val="24"/>
          <w:szCs w:val="24"/>
        </w:rPr>
        <w:t xml:space="preserve">301 342. </w:t>
      </w:r>
      <w:r w:rsidR="00C472E1" w:rsidRPr="00F079A2">
        <w:rPr>
          <w:rFonts w:ascii="Times New Roman" w:hAnsi="Times New Roman" w:cs="Times New Roman"/>
          <w:sz w:val="24"/>
          <w:szCs w:val="24"/>
        </w:rPr>
        <w:lastRenderedPageBreak/>
        <w:t>73 but used it rather in the manufacture of the motor contro</w:t>
      </w:r>
      <w:r w:rsidR="00882AF9" w:rsidRPr="00F079A2">
        <w:rPr>
          <w:rFonts w:ascii="Times New Roman" w:hAnsi="Times New Roman" w:cs="Times New Roman"/>
          <w:sz w:val="24"/>
          <w:szCs w:val="24"/>
        </w:rPr>
        <w:t>l system</w:t>
      </w:r>
      <w:r w:rsidR="005C3C30" w:rsidRPr="00F079A2">
        <w:rPr>
          <w:rFonts w:ascii="Times New Roman" w:hAnsi="Times New Roman" w:cs="Times New Roman"/>
          <w:sz w:val="24"/>
          <w:szCs w:val="24"/>
        </w:rPr>
        <w:t>; that at</w:t>
      </w:r>
      <w:r w:rsidR="00C472E1" w:rsidRPr="00F079A2">
        <w:rPr>
          <w:rFonts w:ascii="Times New Roman" w:hAnsi="Times New Roman" w:cs="Times New Roman"/>
          <w:sz w:val="24"/>
          <w:szCs w:val="24"/>
        </w:rPr>
        <w:t xml:space="preserve"> the close of pleadings on 3 February 2012 the manufacture of the</w:t>
      </w:r>
      <w:r w:rsidR="002A6A89" w:rsidRPr="00F079A2">
        <w:rPr>
          <w:rFonts w:ascii="Times New Roman" w:hAnsi="Times New Roman" w:cs="Times New Roman"/>
          <w:sz w:val="24"/>
          <w:szCs w:val="24"/>
        </w:rPr>
        <w:t xml:space="preserve"> motor control </w:t>
      </w:r>
      <w:r w:rsidR="00F9601A" w:rsidRPr="00F079A2">
        <w:rPr>
          <w:rFonts w:ascii="Times New Roman" w:hAnsi="Times New Roman" w:cs="Times New Roman"/>
          <w:sz w:val="24"/>
          <w:szCs w:val="24"/>
        </w:rPr>
        <w:t>system</w:t>
      </w:r>
      <w:r w:rsidR="002A6A89" w:rsidRPr="00F079A2">
        <w:rPr>
          <w:rFonts w:ascii="Times New Roman" w:hAnsi="Times New Roman" w:cs="Times New Roman"/>
          <w:sz w:val="24"/>
          <w:szCs w:val="24"/>
        </w:rPr>
        <w:t xml:space="preserve"> was </w:t>
      </w:r>
      <w:r w:rsidR="009176FA" w:rsidRPr="00F079A2">
        <w:rPr>
          <w:rFonts w:ascii="Times New Roman" w:hAnsi="Times New Roman" w:cs="Times New Roman"/>
          <w:sz w:val="24"/>
          <w:szCs w:val="24"/>
        </w:rPr>
        <w:t>still in</w:t>
      </w:r>
      <w:r w:rsidR="00C472E1" w:rsidRPr="00F079A2">
        <w:rPr>
          <w:rFonts w:ascii="Times New Roman" w:hAnsi="Times New Roman" w:cs="Times New Roman"/>
          <w:sz w:val="24"/>
          <w:szCs w:val="24"/>
        </w:rPr>
        <w:t xml:space="preserve"> progress</w:t>
      </w:r>
      <w:r w:rsidR="0043585C" w:rsidRPr="00F079A2">
        <w:rPr>
          <w:rFonts w:ascii="Times New Roman" w:hAnsi="Times New Roman" w:cs="Times New Roman"/>
          <w:sz w:val="24"/>
          <w:szCs w:val="24"/>
        </w:rPr>
        <w:t>;</w:t>
      </w:r>
      <w:r w:rsidR="00643D4F" w:rsidRPr="00F079A2">
        <w:rPr>
          <w:rFonts w:ascii="Times New Roman" w:hAnsi="Times New Roman" w:cs="Times New Roman"/>
          <w:sz w:val="24"/>
          <w:szCs w:val="24"/>
        </w:rPr>
        <w:t xml:space="preserve"> and that the appellant did not cancel the contract of sale of the motor control </w:t>
      </w:r>
      <w:r w:rsidR="008227C2" w:rsidRPr="00F079A2">
        <w:rPr>
          <w:rFonts w:ascii="Times New Roman" w:hAnsi="Times New Roman" w:cs="Times New Roman"/>
          <w:sz w:val="24"/>
          <w:szCs w:val="24"/>
        </w:rPr>
        <w:t>system</w:t>
      </w:r>
      <w:r w:rsidR="0043585C" w:rsidRPr="00F079A2">
        <w:rPr>
          <w:rStyle w:val="FootnoteReference"/>
          <w:rFonts w:ascii="Times New Roman" w:hAnsi="Times New Roman" w:cs="Times New Roman"/>
          <w:sz w:val="24"/>
          <w:szCs w:val="24"/>
        </w:rPr>
        <w:footnoteReference w:id="7"/>
      </w:r>
      <w:r w:rsidR="001B3FC9" w:rsidRPr="00F079A2">
        <w:rPr>
          <w:rFonts w:ascii="Times New Roman" w:hAnsi="Times New Roman" w:cs="Times New Roman"/>
          <w:sz w:val="24"/>
          <w:szCs w:val="24"/>
        </w:rPr>
        <w:t xml:space="preserve">.  </w:t>
      </w:r>
      <w:r w:rsidR="00643D4F" w:rsidRPr="00F079A2">
        <w:rPr>
          <w:rFonts w:ascii="Times New Roman" w:hAnsi="Times New Roman" w:cs="Times New Roman"/>
          <w:sz w:val="24"/>
          <w:szCs w:val="24"/>
        </w:rPr>
        <w:t>In addition</w:t>
      </w:r>
      <w:r w:rsidR="00D13808" w:rsidRPr="00F079A2">
        <w:rPr>
          <w:rFonts w:ascii="Times New Roman" w:hAnsi="Times New Roman" w:cs="Times New Roman"/>
          <w:sz w:val="24"/>
          <w:szCs w:val="24"/>
        </w:rPr>
        <w:t>,</w:t>
      </w:r>
      <w:r w:rsidR="00643D4F" w:rsidRPr="00F079A2">
        <w:rPr>
          <w:rFonts w:ascii="Times New Roman" w:hAnsi="Times New Roman" w:cs="Times New Roman"/>
          <w:sz w:val="24"/>
          <w:szCs w:val="24"/>
        </w:rPr>
        <w:t xml:space="preserve"> the court found that the appellant had not placed the respondent </w:t>
      </w:r>
      <w:r w:rsidR="00643D4F" w:rsidRPr="00F079A2">
        <w:rPr>
          <w:rFonts w:ascii="Times New Roman" w:hAnsi="Times New Roman" w:cs="Times New Roman"/>
          <w:i/>
          <w:sz w:val="24"/>
          <w:szCs w:val="24"/>
        </w:rPr>
        <w:t xml:space="preserve">in </w:t>
      </w:r>
      <w:proofErr w:type="spellStart"/>
      <w:r w:rsidR="00643D4F" w:rsidRPr="00F079A2">
        <w:rPr>
          <w:rFonts w:ascii="Times New Roman" w:hAnsi="Times New Roman" w:cs="Times New Roman"/>
          <w:i/>
          <w:sz w:val="24"/>
          <w:szCs w:val="24"/>
        </w:rPr>
        <w:t>mora</w:t>
      </w:r>
      <w:proofErr w:type="spellEnd"/>
      <w:r w:rsidR="00643D4F" w:rsidRPr="00F079A2">
        <w:rPr>
          <w:rFonts w:ascii="Times New Roman" w:hAnsi="Times New Roman" w:cs="Times New Roman"/>
          <w:sz w:val="24"/>
          <w:szCs w:val="24"/>
        </w:rPr>
        <w:t xml:space="preserve"> and </w:t>
      </w:r>
      <w:r w:rsidR="00297969" w:rsidRPr="00F079A2">
        <w:rPr>
          <w:rFonts w:ascii="Times New Roman" w:hAnsi="Times New Roman" w:cs="Times New Roman"/>
          <w:sz w:val="24"/>
          <w:szCs w:val="24"/>
        </w:rPr>
        <w:t>that the</w:t>
      </w:r>
      <w:r w:rsidR="00643D4F" w:rsidRPr="00F079A2">
        <w:rPr>
          <w:rFonts w:ascii="Times New Roman" w:hAnsi="Times New Roman" w:cs="Times New Roman"/>
          <w:sz w:val="24"/>
          <w:szCs w:val="24"/>
        </w:rPr>
        <w:t xml:space="preserve"> failure to deliver in these circumstances did not amount to a debt due for the purposes of set off.</w:t>
      </w:r>
    </w:p>
    <w:p w:rsidR="001B3FC9" w:rsidRPr="00F079A2" w:rsidRDefault="001B3FC9" w:rsidP="001B3FC9">
      <w:pPr>
        <w:spacing w:after="0" w:line="240" w:lineRule="auto"/>
        <w:ind w:firstLine="1440"/>
        <w:jc w:val="both"/>
        <w:rPr>
          <w:rFonts w:ascii="Times New Roman" w:hAnsi="Times New Roman" w:cs="Times New Roman"/>
          <w:sz w:val="24"/>
          <w:szCs w:val="24"/>
        </w:rPr>
      </w:pPr>
    </w:p>
    <w:p w:rsidR="00351EF4" w:rsidRPr="00F079A2" w:rsidRDefault="00C641D7" w:rsidP="001B3FC9">
      <w:pPr>
        <w:spacing w:line="480" w:lineRule="auto"/>
        <w:rPr>
          <w:rFonts w:ascii="Times New Roman" w:hAnsi="Times New Roman" w:cs="Times New Roman"/>
          <w:sz w:val="24"/>
          <w:szCs w:val="24"/>
        </w:rPr>
      </w:pPr>
      <w:r w:rsidRPr="00F079A2">
        <w:rPr>
          <w:rFonts w:ascii="Times New Roman" w:hAnsi="Times New Roman" w:cs="Times New Roman"/>
          <w:sz w:val="24"/>
          <w:szCs w:val="24"/>
        </w:rPr>
        <w:tab/>
      </w:r>
      <w:r w:rsidRPr="00F079A2">
        <w:rPr>
          <w:rFonts w:ascii="Times New Roman" w:hAnsi="Times New Roman" w:cs="Times New Roman"/>
          <w:sz w:val="24"/>
          <w:szCs w:val="24"/>
        </w:rPr>
        <w:tab/>
      </w:r>
      <w:r w:rsidR="00351EF4" w:rsidRPr="00F079A2">
        <w:rPr>
          <w:rFonts w:ascii="Times New Roman" w:hAnsi="Times New Roman" w:cs="Times New Roman"/>
          <w:sz w:val="24"/>
          <w:szCs w:val="24"/>
        </w:rPr>
        <w:t xml:space="preserve">The appellant’s </w:t>
      </w:r>
      <w:r w:rsidR="00297969" w:rsidRPr="00F079A2">
        <w:rPr>
          <w:rFonts w:ascii="Times New Roman" w:hAnsi="Times New Roman" w:cs="Times New Roman"/>
          <w:sz w:val="24"/>
          <w:szCs w:val="24"/>
        </w:rPr>
        <w:t>contention that</w:t>
      </w:r>
      <w:r w:rsidR="00351EF4" w:rsidRPr="00F079A2">
        <w:rPr>
          <w:rFonts w:ascii="Times New Roman" w:hAnsi="Times New Roman" w:cs="Times New Roman"/>
          <w:sz w:val="24"/>
          <w:szCs w:val="24"/>
        </w:rPr>
        <w:t xml:space="preserve"> it was entitled to set off on the basis of non-delivery of the motor </w:t>
      </w:r>
      <w:r w:rsidR="00D13808" w:rsidRPr="00F079A2">
        <w:rPr>
          <w:rFonts w:ascii="Times New Roman" w:hAnsi="Times New Roman" w:cs="Times New Roman"/>
          <w:sz w:val="24"/>
          <w:szCs w:val="24"/>
        </w:rPr>
        <w:t>control system</w:t>
      </w:r>
      <w:r w:rsidR="00351EF4" w:rsidRPr="00F079A2">
        <w:rPr>
          <w:rFonts w:ascii="Times New Roman" w:hAnsi="Times New Roman" w:cs="Times New Roman"/>
          <w:sz w:val="24"/>
          <w:szCs w:val="24"/>
        </w:rPr>
        <w:t xml:space="preserve"> was in my view correctly rejected by the court </w:t>
      </w:r>
      <w:r w:rsidR="003F1DB8" w:rsidRPr="00F079A2">
        <w:rPr>
          <w:rFonts w:ascii="Times New Roman" w:hAnsi="Times New Roman" w:cs="Times New Roman"/>
          <w:i/>
          <w:sz w:val="24"/>
          <w:szCs w:val="24"/>
        </w:rPr>
        <w:t xml:space="preserve">a quo </w:t>
      </w:r>
      <w:r w:rsidR="00351EF4" w:rsidRPr="00F079A2">
        <w:rPr>
          <w:rFonts w:ascii="Times New Roman" w:hAnsi="Times New Roman" w:cs="Times New Roman"/>
          <w:sz w:val="24"/>
          <w:szCs w:val="24"/>
        </w:rPr>
        <w:t xml:space="preserve">on the basis of its finding that the appellant had neither cancelled the contract nor placed the respondent </w:t>
      </w:r>
      <w:r w:rsidR="00351EF4" w:rsidRPr="00F079A2">
        <w:rPr>
          <w:rFonts w:ascii="Times New Roman" w:hAnsi="Times New Roman" w:cs="Times New Roman"/>
          <w:i/>
          <w:sz w:val="24"/>
          <w:szCs w:val="24"/>
        </w:rPr>
        <w:t xml:space="preserve">in </w:t>
      </w:r>
      <w:proofErr w:type="spellStart"/>
      <w:r w:rsidR="00351EF4" w:rsidRPr="00F079A2">
        <w:rPr>
          <w:rFonts w:ascii="Times New Roman" w:hAnsi="Times New Roman" w:cs="Times New Roman"/>
          <w:i/>
          <w:sz w:val="24"/>
          <w:szCs w:val="24"/>
        </w:rPr>
        <w:t>mora</w:t>
      </w:r>
      <w:proofErr w:type="spellEnd"/>
      <w:r w:rsidR="00351EF4" w:rsidRPr="00F079A2">
        <w:rPr>
          <w:rFonts w:ascii="Times New Roman" w:hAnsi="Times New Roman" w:cs="Times New Roman"/>
          <w:sz w:val="24"/>
          <w:szCs w:val="24"/>
        </w:rPr>
        <w:t xml:space="preserve">. </w:t>
      </w:r>
    </w:p>
    <w:p w:rsidR="001B3FC9" w:rsidRPr="00F079A2" w:rsidRDefault="001B3FC9" w:rsidP="001B3FC9">
      <w:pPr>
        <w:spacing w:after="0" w:line="240" w:lineRule="auto"/>
        <w:rPr>
          <w:rFonts w:ascii="Times New Roman" w:hAnsi="Times New Roman" w:cs="Times New Roman"/>
          <w:sz w:val="24"/>
          <w:szCs w:val="24"/>
        </w:rPr>
      </w:pPr>
    </w:p>
    <w:p w:rsidR="00BB0DBF" w:rsidRPr="00F079A2" w:rsidRDefault="00351EF4" w:rsidP="001B3FC9">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 xml:space="preserve">As to the mixers delivered to </w:t>
      </w:r>
      <w:proofErr w:type="spellStart"/>
      <w:r w:rsidRPr="00F079A2">
        <w:rPr>
          <w:rFonts w:ascii="Times New Roman" w:hAnsi="Times New Roman" w:cs="Times New Roman"/>
          <w:sz w:val="24"/>
          <w:szCs w:val="24"/>
        </w:rPr>
        <w:t>Mazowe</w:t>
      </w:r>
      <w:proofErr w:type="spellEnd"/>
      <w:r w:rsidR="00882AF9" w:rsidRPr="00F079A2">
        <w:rPr>
          <w:rFonts w:ascii="Times New Roman" w:hAnsi="Times New Roman" w:cs="Times New Roman"/>
          <w:sz w:val="24"/>
          <w:szCs w:val="24"/>
        </w:rPr>
        <w:t xml:space="preserve"> </w:t>
      </w:r>
      <w:r w:rsidRPr="00F079A2">
        <w:rPr>
          <w:rFonts w:ascii="Times New Roman" w:hAnsi="Times New Roman" w:cs="Times New Roman"/>
          <w:sz w:val="24"/>
          <w:szCs w:val="24"/>
        </w:rPr>
        <w:t>mine</w:t>
      </w:r>
      <w:r w:rsidR="00D13808" w:rsidRPr="00F079A2">
        <w:rPr>
          <w:rFonts w:ascii="Times New Roman" w:hAnsi="Times New Roman" w:cs="Times New Roman"/>
          <w:sz w:val="24"/>
          <w:szCs w:val="24"/>
        </w:rPr>
        <w:t>,</w:t>
      </w:r>
      <w:r w:rsidRPr="00F079A2">
        <w:rPr>
          <w:rFonts w:ascii="Times New Roman" w:hAnsi="Times New Roman" w:cs="Times New Roman"/>
          <w:sz w:val="24"/>
          <w:szCs w:val="24"/>
        </w:rPr>
        <w:t xml:space="preserve"> the </w:t>
      </w:r>
      <w:proofErr w:type="spellStart"/>
      <w:r w:rsidRPr="00F079A2">
        <w:rPr>
          <w:rFonts w:ascii="Times New Roman" w:hAnsi="Times New Roman" w:cs="Times New Roman"/>
          <w:sz w:val="24"/>
          <w:szCs w:val="24"/>
        </w:rPr>
        <w:t>defence</w:t>
      </w:r>
      <w:proofErr w:type="spellEnd"/>
      <w:r w:rsidRPr="00F079A2">
        <w:rPr>
          <w:rFonts w:ascii="Times New Roman" w:hAnsi="Times New Roman" w:cs="Times New Roman"/>
          <w:sz w:val="24"/>
          <w:szCs w:val="24"/>
        </w:rPr>
        <w:t xml:space="preserve"> of set off was raised against th</w:t>
      </w:r>
      <w:r w:rsidR="00882AF9" w:rsidRPr="00F079A2">
        <w:rPr>
          <w:rFonts w:ascii="Times New Roman" w:hAnsi="Times New Roman" w:cs="Times New Roman"/>
          <w:sz w:val="24"/>
          <w:szCs w:val="24"/>
        </w:rPr>
        <w:t>e amounts claimed by the respondent</w:t>
      </w:r>
      <w:r w:rsidRPr="00F079A2">
        <w:rPr>
          <w:rFonts w:ascii="Times New Roman" w:hAnsi="Times New Roman" w:cs="Times New Roman"/>
          <w:sz w:val="24"/>
          <w:szCs w:val="24"/>
        </w:rPr>
        <w:t xml:space="preserve"> on the basis that the mixers had failed to function because of </w:t>
      </w:r>
      <w:r w:rsidR="00297969" w:rsidRPr="00F079A2">
        <w:rPr>
          <w:rFonts w:ascii="Times New Roman" w:hAnsi="Times New Roman" w:cs="Times New Roman"/>
          <w:sz w:val="24"/>
          <w:szCs w:val="24"/>
        </w:rPr>
        <w:t>latent mechanical</w:t>
      </w:r>
      <w:r w:rsidRPr="00F079A2">
        <w:rPr>
          <w:rFonts w:ascii="Times New Roman" w:hAnsi="Times New Roman" w:cs="Times New Roman"/>
          <w:sz w:val="24"/>
          <w:szCs w:val="24"/>
        </w:rPr>
        <w:t xml:space="preserve"> defects.  However, after hearing </w:t>
      </w:r>
      <w:r w:rsidR="00297969" w:rsidRPr="00F079A2">
        <w:rPr>
          <w:rFonts w:ascii="Times New Roman" w:hAnsi="Times New Roman" w:cs="Times New Roman"/>
          <w:sz w:val="24"/>
          <w:szCs w:val="24"/>
        </w:rPr>
        <w:t>expert</w:t>
      </w:r>
      <w:r w:rsidRPr="00F079A2">
        <w:rPr>
          <w:rFonts w:ascii="Times New Roman" w:hAnsi="Times New Roman" w:cs="Times New Roman"/>
          <w:sz w:val="24"/>
          <w:szCs w:val="24"/>
        </w:rPr>
        <w:t xml:space="preserve"> evidence</w:t>
      </w:r>
      <w:r w:rsidR="007B6D6A" w:rsidRPr="00F079A2">
        <w:rPr>
          <w:rFonts w:ascii="Times New Roman" w:hAnsi="Times New Roman" w:cs="Times New Roman"/>
          <w:sz w:val="24"/>
          <w:szCs w:val="24"/>
        </w:rPr>
        <w:t>,</w:t>
      </w:r>
      <w:r w:rsidRPr="00F079A2">
        <w:rPr>
          <w:rFonts w:ascii="Times New Roman" w:hAnsi="Times New Roman" w:cs="Times New Roman"/>
          <w:sz w:val="24"/>
          <w:szCs w:val="24"/>
        </w:rPr>
        <w:t xml:space="preserve"> </w:t>
      </w:r>
      <w:r w:rsidR="00297969" w:rsidRPr="00F079A2">
        <w:rPr>
          <w:rFonts w:ascii="Times New Roman" w:hAnsi="Times New Roman" w:cs="Times New Roman"/>
          <w:sz w:val="24"/>
          <w:szCs w:val="24"/>
        </w:rPr>
        <w:t>the</w:t>
      </w:r>
      <w:r w:rsidRPr="00F079A2">
        <w:rPr>
          <w:rFonts w:ascii="Times New Roman" w:hAnsi="Times New Roman" w:cs="Times New Roman"/>
          <w:sz w:val="24"/>
          <w:szCs w:val="24"/>
        </w:rPr>
        <w:t xml:space="preserve"> court </w:t>
      </w:r>
      <w:r w:rsidRPr="00F079A2">
        <w:rPr>
          <w:rFonts w:ascii="Times New Roman" w:hAnsi="Times New Roman" w:cs="Times New Roman"/>
          <w:i/>
          <w:sz w:val="24"/>
          <w:szCs w:val="24"/>
        </w:rPr>
        <w:t>a quo</w:t>
      </w:r>
      <w:r w:rsidRPr="00F079A2">
        <w:rPr>
          <w:rFonts w:ascii="Times New Roman" w:hAnsi="Times New Roman" w:cs="Times New Roman"/>
          <w:sz w:val="24"/>
          <w:szCs w:val="24"/>
        </w:rPr>
        <w:t xml:space="preserve"> was satisfied that the problems</w:t>
      </w:r>
      <w:r w:rsidR="00741A26" w:rsidRPr="00F079A2">
        <w:rPr>
          <w:rFonts w:ascii="Times New Roman" w:hAnsi="Times New Roman" w:cs="Times New Roman"/>
          <w:sz w:val="24"/>
          <w:szCs w:val="24"/>
        </w:rPr>
        <w:t xml:space="preserve"> </w:t>
      </w:r>
      <w:r w:rsidR="007B6D6A" w:rsidRPr="00F079A2">
        <w:rPr>
          <w:rFonts w:ascii="Times New Roman" w:hAnsi="Times New Roman" w:cs="Times New Roman"/>
          <w:sz w:val="24"/>
          <w:szCs w:val="24"/>
        </w:rPr>
        <w:t>bedeviling</w:t>
      </w:r>
      <w:r w:rsidR="00741A26" w:rsidRPr="00F079A2">
        <w:rPr>
          <w:rFonts w:ascii="Times New Roman" w:hAnsi="Times New Roman" w:cs="Times New Roman"/>
          <w:sz w:val="24"/>
          <w:szCs w:val="24"/>
        </w:rPr>
        <w:t xml:space="preserve"> the functioning of the mixers were the result </w:t>
      </w:r>
      <w:r w:rsidR="007470D0" w:rsidRPr="00F079A2">
        <w:rPr>
          <w:rFonts w:ascii="Times New Roman" w:hAnsi="Times New Roman" w:cs="Times New Roman"/>
          <w:sz w:val="24"/>
          <w:szCs w:val="24"/>
        </w:rPr>
        <w:t>of operational</w:t>
      </w:r>
      <w:r w:rsidR="00741A26" w:rsidRPr="00F079A2">
        <w:rPr>
          <w:rFonts w:ascii="Times New Roman" w:hAnsi="Times New Roman" w:cs="Times New Roman"/>
          <w:sz w:val="24"/>
          <w:szCs w:val="24"/>
        </w:rPr>
        <w:t xml:space="preserve"> ineptitude by the appellant</w:t>
      </w:r>
      <w:r w:rsidR="00C756BE" w:rsidRPr="00F079A2">
        <w:rPr>
          <w:rFonts w:ascii="Times New Roman" w:hAnsi="Times New Roman" w:cs="Times New Roman"/>
          <w:sz w:val="24"/>
          <w:szCs w:val="24"/>
        </w:rPr>
        <w:t>’</w:t>
      </w:r>
      <w:r w:rsidR="00741A26" w:rsidRPr="00F079A2">
        <w:rPr>
          <w:rFonts w:ascii="Times New Roman" w:hAnsi="Times New Roman" w:cs="Times New Roman"/>
          <w:sz w:val="24"/>
          <w:szCs w:val="24"/>
        </w:rPr>
        <w:t xml:space="preserve">s </w:t>
      </w:r>
      <w:r w:rsidR="007470D0" w:rsidRPr="00F079A2">
        <w:rPr>
          <w:rFonts w:ascii="Times New Roman" w:hAnsi="Times New Roman" w:cs="Times New Roman"/>
          <w:sz w:val="24"/>
          <w:szCs w:val="24"/>
        </w:rPr>
        <w:t>employees as</w:t>
      </w:r>
      <w:r w:rsidR="00741A26" w:rsidRPr="00F079A2">
        <w:rPr>
          <w:rFonts w:ascii="Times New Roman" w:hAnsi="Times New Roman" w:cs="Times New Roman"/>
          <w:sz w:val="24"/>
          <w:szCs w:val="24"/>
        </w:rPr>
        <w:t xml:space="preserve"> opposed to latent mechanical defects.  </w:t>
      </w:r>
      <w:r w:rsidR="00750A3E" w:rsidRPr="00F079A2">
        <w:rPr>
          <w:rFonts w:ascii="Times New Roman" w:hAnsi="Times New Roman" w:cs="Times New Roman"/>
          <w:sz w:val="24"/>
          <w:szCs w:val="24"/>
        </w:rPr>
        <w:t>Indeed</w:t>
      </w:r>
      <w:r w:rsidR="003C2323" w:rsidRPr="00F079A2">
        <w:rPr>
          <w:rFonts w:ascii="Times New Roman" w:hAnsi="Times New Roman" w:cs="Times New Roman"/>
          <w:sz w:val="24"/>
          <w:szCs w:val="24"/>
        </w:rPr>
        <w:t>,</w:t>
      </w:r>
      <w:r w:rsidR="00750A3E" w:rsidRPr="00F079A2">
        <w:rPr>
          <w:rFonts w:ascii="Times New Roman" w:hAnsi="Times New Roman" w:cs="Times New Roman"/>
          <w:sz w:val="24"/>
          <w:szCs w:val="24"/>
        </w:rPr>
        <w:t xml:space="preserve"> correspondence on record indicates that the parties were working together to resolve the problem</w:t>
      </w:r>
      <w:r w:rsidRPr="00F079A2">
        <w:rPr>
          <w:rStyle w:val="FootnoteReference"/>
          <w:rFonts w:ascii="Times New Roman" w:hAnsi="Times New Roman" w:cs="Times New Roman"/>
          <w:sz w:val="24"/>
          <w:szCs w:val="24"/>
        </w:rPr>
        <w:footnoteReference w:id="8"/>
      </w:r>
      <w:r w:rsidR="007470D0" w:rsidRPr="00F079A2">
        <w:rPr>
          <w:rFonts w:ascii="Times New Roman" w:hAnsi="Times New Roman" w:cs="Times New Roman"/>
          <w:sz w:val="24"/>
          <w:szCs w:val="24"/>
        </w:rPr>
        <w:t xml:space="preserve">.  </w:t>
      </w:r>
      <w:r w:rsidR="00750A3E" w:rsidRPr="00F079A2">
        <w:rPr>
          <w:rFonts w:ascii="Times New Roman" w:hAnsi="Times New Roman" w:cs="Times New Roman"/>
          <w:sz w:val="24"/>
          <w:szCs w:val="24"/>
        </w:rPr>
        <w:t xml:space="preserve">After a detailed </w:t>
      </w:r>
      <w:r w:rsidR="007470D0" w:rsidRPr="00F079A2">
        <w:rPr>
          <w:rFonts w:ascii="Times New Roman" w:hAnsi="Times New Roman" w:cs="Times New Roman"/>
          <w:sz w:val="24"/>
          <w:szCs w:val="24"/>
        </w:rPr>
        <w:t>analysis and</w:t>
      </w:r>
      <w:r w:rsidR="00750A3E" w:rsidRPr="00F079A2">
        <w:rPr>
          <w:rFonts w:ascii="Times New Roman" w:hAnsi="Times New Roman" w:cs="Times New Roman"/>
          <w:sz w:val="24"/>
          <w:szCs w:val="24"/>
        </w:rPr>
        <w:t xml:space="preserve"> careful assessment of the evidence</w:t>
      </w:r>
      <w:r w:rsidR="00882AF9" w:rsidRPr="00F079A2">
        <w:rPr>
          <w:rFonts w:ascii="Times New Roman" w:hAnsi="Times New Roman" w:cs="Times New Roman"/>
          <w:sz w:val="24"/>
          <w:szCs w:val="24"/>
        </w:rPr>
        <w:t>,</w:t>
      </w:r>
      <w:r w:rsidR="00750A3E" w:rsidRPr="00F079A2">
        <w:rPr>
          <w:rFonts w:ascii="Times New Roman" w:hAnsi="Times New Roman" w:cs="Times New Roman"/>
          <w:sz w:val="24"/>
          <w:szCs w:val="24"/>
        </w:rPr>
        <w:t xml:space="preserve"> </w:t>
      </w:r>
      <w:r w:rsidR="007470D0" w:rsidRPr="00F079A2">
        <w:rPr>
          <w:rFonts w:ascii="Times New Roman" w:hAnsi="Times New Roman" w:cs="Times New Roman"/>
          <w:sz w:val="24"/>
          <w:szCs w:val="24"/>
        </w:rPr>
        <w:t>the learned</w:t>
      </w:r>
      <w:r w:rsidR="00750A3E" w:rsidRPr="00F079A2">
        <w:rPr>
          <w:rFonts w:ascii="Times New Roman" w:hAnsi="Times New Roman" w:cs="Times New Roman"/>
          <w:sz w:val="24"/>
          <w:szCs w:val="24"/>
        </w:rPr>
        <w:t xml:space="preserve"> Judge rejected the evidence of the appellant</w:t>
      </w:r>
      <w:r w:rsidR="00C756BE" w:rsidRPr="00F079A2">
        <w:rPr>
          <w:rFonts w:ascii="Times New Roman" w:hAnsi="Times New Roman" w:cs="Times New Roman"/>
          <w:sz w:val="24"/>
          <w:szCs w:val="24"/>
        </w:rPr>
        <w:t>’</w:t>
      </w:r>
      <w:r w:rsidR="00750A3E" w:rsidRPr="00F079A2">
        <w:rPr>
          <w:rFonts w:ascii="Times New Roman" w:hAnsi="Times New Roman" w:cs="Times New Roman"/>
          <w:sz w:val="24"/>
          <w:szCs w:val="24"/>
        </w:rPr>
        <w:t xml:space="preserve">s witnesses which </w:t>
      </w:r>
      <w:r w:rsidR="007470D0" w:rsidRPr="00F079A2">
        <w:rPr>
          <w:rFonts w:ascii="Times New Roman" w:hAnsi="Times New Roman" w:cs="Times New Roman"/>
          <w:sz w:val="24"/>
          <w:szCs w:val="24"/>
        </w:rPr>
        <w:t>evidence he</w:t>
      </w:r>
      <w:r w:rsidR="003C2323" w:rsidRPr="00F079A2">
        <w:rPr>
          <w:rFonts w:ascii="Times New Roman" w:hAnsi="Times New Roman" w:cs="Times New Roman"/>
          <w:sz w:val="24"/>
          <w:szCs w:val="24"/>
        </w:rPr>
        <w:t xml:space="preserve"> </w:t>
      </w:r>
      <w:r w:rsidR="007470D0" w:rsidRPr="00F079A2">
        <w:rPr>
          <w:rFonts w:ascii="Times New Roman" w:hAnsi="Times New Roman" w:cs="Times New Roman"/>
          <w:sz w:val="24"/>
          <w:szCs w:val="24"/>
        </w:rPr>
        <w:t>found to</w:t>
      </w:r>
      <w:r w:rsidR="00750A3E" w:rsidRPr="00F079A2">
        <w:rPr>
          <w:rFonts w:ascii="Times New Roman" w:hAnsi="Times New Roman" w:cs="Times New Roman"/>
          <w:sz w:val="24"/>
          <w:szCs w:val="24"/>
        </w:rPr>
        <w:t xml:space="preserve"> be unreliable and unworthy of belief and concluded that the appellant had failed to establish</w:t>
      </w:r>
      <w:r w:rsidR="007A6033" w:rsidRPr="00F079A2">
        <w:rPr>
          <w:rFonts w:ascii="Times New Roman" w:hAnsi="Times New Roman" w:cs="Times New Roman"/>
          <w:sz w:val="24"/>
          <w:szCs w:val="24"/>
        </w:rPr>
        <w:t xml:space="preserve"> the fact</w:t>
      </w:r>
      <w:r w:rsidR="0014387F" w:rsidRPr="00F079A2">
        <w:rPr>
          <w:rFonts w:ascii="Times New Roman" w:hAnsi="Times New Roman" w:cs="Times New Roman"/>
          <w:sz w:val="24"/>
          <w:szCs w:val="24"/>
        </w:rPr>
        <w:t xml:space="preserve"> that the goods </w:t>
      </w:r>
      <w:r w:rsidR="0014387F" w:rsidRPr="00F079A2">
        <w:rPr>
          <w:rFonts w:ascii="Times New Roman" w:hAnsi="Times New Roman" w:cs="Times New Roman"/>
          <w:sz w:val="24"/>
          <w:szCs w:val="24"/>
        </w:rPr>
        <w:lastRenderedPageBreak/>
        <w:t>were returned by the appellant because of latent defects and</w:t>
      </w:r>
      <w:r w:rsidR="003C2323" w:rsidRPr="00F079A2">
        <w:rPr>
          <w:rFonts w:ascii="Times New Roman" w:hAnsi="Times New Roman" w:cs="Times New Roman"/>
          <w:sz w:val="24"/>
          <w:szCs w:val="24"/>
        </w:rPr>
        <w:t>,</w:t>
      </w:r>
      <w:r w:rsidR="0014387F" w:rsidRPr="00F079A2">
        <w:rPr>
          <w:rFonts w:ascii="Times New Roman" w:hAnsi="Times New Roman" w:cs="Times New Roman"/>
          <w:sz w:val="24"/>
          <w:szCs w:val="24"/>
        </w:rPr>
        <w:t xml:space="preserve"> therefore</w:t>
      </w:r>
      <w:r w:rsidR="007470D0" w:rsidRPr="00F079A2">
        <w:rPr>
          <w:rFonts w:ascii="Times New Roman" w:hAnsi="Times New Roman" w:cs="Times New Roman"/>
          <w:sz w:val="24"/>
          <w:szCs w:val="24"/>
        </w:rPr>
        <w:t xml:space="preserve">, the </w:t>
      </w:r>
      <w:proofErr w:type="spellStart"/>
      <w:r w:rsidR="0014387F" w:rsidRPr="00F079A2">
        <w:rPr>
          <w:rFonts w:ascii="Times New Roman" w:hAnsi="Times New Roman" w:cs="Times New Roman"/>
          <w:sz w:val="24"/>
          <w:szCs w:val="24"/>
        </w:rPr>
        <w:t>defence</w:t>
      </w:r>
      <w:proofErr w:type="spellEnd"/>
      <w:r w:rsidR="0014387F" w:rsidRPr="00F079A2">
        <w:rPr>
          <w:rFonts w:ascii="Times New Roman" w:hAnsi="Times New Roman" w:cs="Times New Roman"/>
          <w:sz w:val="24"/>
          <w:szCs w:val="24"/>
        </w:rPr>
        <w:t xml:space="preserve"> of set </w:t>
      </w:r>
      <w:r w:rsidR="007470D0" w:rsidRPr="00F079A2">
        <w:rPr>
          <w:rFonts w:ascii="Times New Roman" w:hAnsi="Times New Roman" w:cs="Times New Roman"/>
          <w:sz w:val="24"/>
          <w:szCs w:val="24"/>
        </w:rPr>
        <w:t>off based</w:t>
      </w:r>
      <w:r w:rsidR="0014387F" w:rsidRPr="00F079A2">
        <w:rPr>
          <w:rFonts w:ascii="Times New Roman" w:hAnsi="Times New Roman" w:cs="Times New Roman"/>
          <w:sz w:val="24"/>
          <w:szCs w:val="24"/>
        </w:rPr>
        <w:t xml:space="preserve"> thereon. </w:t>
      </w:r>
    </w:p>
    <w:p w:rsidR="007470D0" w:rsidRPr="00F079A2" w:rsidRDefault="007470D0" w:rsidP="00BB0DBF">
      <w:pPr>
        <w:spacing w:after="0" w:line="240" w:lineRule="auto"/>
        <w:ind w:firstLine="1440"/>
        <w:jc w:val="both"/>
        <w:rPr>
          <w:rFonts w:ascii="Times New Roman" w:hAnsi="Times New Roman" w:cs="Times New Roman"/>
          <w:sz w:val="24"/>
          <w:szCs w:val="24"/>
        </w:rPr>
      </w:pPr>
    </w:p>
    <w:p w:rsidR="00750A3E" w:rsidRPr="00F079A2" w:rsidRDefault="00882AF9" w:rsidP="007B1DAA">
      <w:pPr>
        <w:spacing w:after="0"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At p 12</w:t>
      </w:r>
      <w:r w:rsidRPr="00F079A2">
        <w:rPr>
          <w:rStyle w:val="FootnoteReference"/>
          <w:rFonts w:ascii="Times New Roman" w:hAnsi="Times New Roman" w:cs="Times New Roman"/>
          <w:sz w:val="24"/>
          <w:szCs w:val="24"/>
        </w:rPr>
        <w:footnoteReference w:id="9"/>
      </w:r>
      <w:r w:rsidR="0014387F" w:rsidRPr="00F079A2">
        <w:rPr>
          <w:rFonts w:ascii="Times New Roman" w:hAnsi="Times New Roman" w:cs="Times New Roman"/>
          <w:sz w:val="24"/>
          <w:szCs w:val="24"/>
        </w:rPr>
        <w:t xml:space="preserve"> of the cyclostyled judgment the court observed:</w:t>
      </w:r>
      <w:r w:rsidR="007470D0" w:rsidRPr="00F079A2">
        <w:rPr>
          <w:rFonts w:ascii="Times New Roman" w:hAnsi="Times New Roman" w:cs="Times New Roman"/>
          <w:sz w:val="24"/>
          <w:szCs w:val="24"/>
        </w:rPr>
        <w:t>-</w:t>
      </w:r>
    </w:p>
    <w:p w:rsidR="00741A26" w:rsidRPr="00F079A2" w:rsidRDefault="00741A26" w:rsidP="007B1DAA">
      <w:pPr>
        <w:spacing w:after="0"/>
        <w:ind w:left="720"/>
        <w:jc w:val="both"/>
        <w:rPr>
          <w:rFonts w:ascii="Times New Roman" w:hAnsi="Times New Roman" w:cs="Times New Roman"/>
        </w:rPr>
      </w:pPr>
      <w:r w:rsidRPr="00F079A2">
        <w:rPr>
          <w:rFonts w:ascii="Times New Roman" w:hAnsi="Times New Roman" w:cs="Times New Roman"/>
          <w:sz w:val="24"/>
          <w:szCs w:val="24"/>
        </w:rPr>
        <w:t>“The report of Sana (the appellant’s witness</w:t>
      </w:r>
      <w:r w:rsidR="007470D0" w:rsidRPr="00F079A2">
        <w:rPr>
          <w:rFonts w:ascii="Times New Roman" w:hAnsi="Times New Roman" w:cs="Times New Roman"/>
          <w:sz w:val="24"/>
          <w:szCs w:val="24"/>
        </w:rPr>
        <w:t>) defies</w:t>
      </w:r>
      <w:r w:rsidRPr="00F079A2">
        <w:rPr>
          <w:rFonts w:ascii="Times New Roman" w:hAnsi="Times New Roman" w:cs="Times New Roman"/>
          <w:sz w:val="24"/>
          <w:szCs w:val="24"/>
        </w:rPr>
        <w:t xml:space="preserve"> his conclusion </w:t>
      </w:r>
      <w:r w:rsidR="007470D0" w:rsidRPr="00F079A2">
        <w:rPr>
          <w:rFonts w:ascii="Times New Roman" w:hAnsi="Times New Roman" w:cs="Times New Roman"/>
          <w:sz w:val="24"/>
          <w:szCs w:val="24"/>
        </w:rPr>
        <w:t>that the</w:t>
      </w:r>
      <w:r w:rsidRPr="00F079A2">
        <w:rPr>
          <w:rFonts w:ascii="Times New Roman" w:hAnsi="Times New Roman" w:cs="Times New Roman"/>
          <w:sz w:val="24"/>
          <w:szCs w:val="24"/>
        </w:rPr>
        <w:t xml:space="preserve"> mixers at both </w:t>
      </w:r>
      <w:proofErr w:type="spellStart"/>
      <w:r w:rsidRPr="00F079A2">
        <w:rPr>
          <w:rFonts w:ascii="Times New Roman" w:hAnsi="Times New Roman" w:cs="Times New Roman"/>
          <w:sz w:val="24"/>
          <w:szCs w:val="24"/>
        </w:rPr>
        <w:t>Mazowe</w:t>
      </w:r>
      <w:proofErr w:type="spellEnd"/>
      <w:r w:rsidRPr="00F079A2">
        <w:rPr>
          <w:rFonts w:ascii="Times New Roman" w:hAnsi="Times New Roman" w:cs="Times New Roman"/>
          <w:sz w:val="24"/>
          <w:szCs w:val="24"/>
        </w:rPr>
        <w:t xml:space="preserve"> and </w:t>
      </w:r>
      <w:proofErr w:type="spellStart"/>
      <w:r w:rsidRPr="00F079A2">
        <w:rPr>
          <w:rFonts w:ascii="Times New Roman" w:hAnsi="Times New Roman" w:cs="Times New Roman"/>
          <w:sz w:val="24"/>
          <w:szCs w:val="24"/>
        </w:rPr>
        <w:t>Shamva</w:t>
      </w:r>
      <w:proofErr w:type="spellEnd"/>
      <w:r w:rsidRPr="00F079A2">
        <w:rPr>
          <w:rFonts w:ascii="Times New Roman" w:hAnsi="Times New Roman" w:cs="Times New Roman"/>
          <w:sz w:val="24"/>
          <w:szCs w:val="24"/>
        </w:rPr>
        <w:t xml:space="preserve"> were a total failure.  </w:t>
      </w:r>
      <w:r w:rsidR="007470D0" w:rsidRPr="00F079A2">
        <w:rPr>
          <w:rFonts w:ascii="Times New Roman" w:hAnsi="Times New Roman" w:cs="Times New Roman"/>
          <w:sz w:val="24"/>
          <w:szCs w:val="24"/>
        </w:rPr>
        <w:t>They were</w:t>
      </w:r>
      <w:r w:rsidRPr="00F079A2">
        <w:rPr>
          <w:rFonts w:ascii="Times New Roman" w:hAnsi="Times New Roman" w:cs="Times New Roman"/>
          <w:sz w:val="24"/>
          <w:szCs w:val="24"/>
        </w:rPr>
        <w:t xml:space="preserve"> running but faced problems that appear to me to be operational in the sense that the defendant’s (appellant’s) employees failed to</w:t>
      </w:r>
      <w:r w:rsidRPr="00F079A2">
        <w:rPr>
          <w:rFonts w:ascii="Times New Roman" w:hAnsi="Times New Roman" w:cs="Times New Roman"/>
        </w:rPr>
        <w:t xml:space="preserve"> follow laid down operating procedure</w:t>
      </w:r>
      <w:r w:rsidR="00B64228" w:rsidRPr="00F079A2">
        <w:rPr>
          <w:rFonts w:ascii="Times New Roman" w:hAnsi="Times New Roman" w:cs="Times New Roman"/>
        </w:rPr>
        <w:t xml:space="preserve">s in </w:t>
      </w:r>
      <w:r w:rsidR="009B4858" w:rsidRPr="00F079A2">
        <w:rPr>
          <w:rFonts w:ascii="Times New Roman" w:hAnsi="Times New Roman" w:cs="Times New Roman"/>
        </w:rPr>
        <w:t xml:space="preserve">running the equipment.” </w:t>
      </w:r>
    </w:p>
    <w:p w:rsidR="00BB0DBF" w:rsidRPr="00F079A2" w:rsidRDefault="00BB0DBF" w:rsidP="007470D0">
      <w:pPr>
        <w:ind w:left="720"/>
        <w:jc w:val="both"/>
        <w:rPr>
          <w:rFonts w:ascii="Times New Roman" w:hAnsi="Times New Roman" w:cs="Times New Roman"/>
        </w:rPr>
      </w:pPr>
    </w:p>
    <w:p w:rsidR="00BB0DBF" w:rsidRPr="00F079A2" w:rsidRDefault="00BB0DBF" w:rsidP="00F079A2">
      <w:pPr>
        <w:spacing w:after="0" w:line="240" w:lineRule="auto"/>
        <w:ind w:left="720"/>
        <w:jc w:val="both"/>
        <w:rPr>
          <w:rFonts w:ascii="Times New Roman" w:hAnsi="Times New Roman" w:cs="Times New Roman"/>
        </w:rPr>
      </w:pPr>
    </w:p>
    <w:p w:rsidR="0000622E" w:rsidRPr="00F079A2" w:rsidRDefault="00BD2DDD" w:rsidP="00BB0DBF">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The court noted also</w:t>
      </w:r>
      <w:r w:rsidR="0014387F" w:rsidRPr="00F079A2">
        <w:rPr>
          <w:rFonts w:ascii="Times New Roman" w:hAnsi="Times New Roman" w:cs="Times New Roman"/>
          <w:sz w:val="24"/>
          <w:szCs w:val="24"/>
        </w:rPr>
        <w:t>, and that was the uncontroverted evidence of the respondent</w:t>
      </w:r>
      <w:r w:rsidR="007470D0" w:rsidRPr="00F079A2">
        <w:rPr>
          <w:rFonts w:ascii="Times New Roman" w:hAnsi="Times New Roman" w:cs="Times New Roman"/>
          <w:sz w:val="24"/>
          <w:szCs w:val="24"/>
        </w:rPr>
        <w:t>, that</w:t>
      </w:r>
      <w:r w:rsidRPr="00F079A2">
        <w:rPr>
          <w:rFonts w:ascii="Times New Roman" w:hAnsi="Times New Roman" w:cs="Times New Roman"/>
          <w:sz w:val="24"/>
          <w:szCs w:val="24"/>
        </w:rPr>
        <w:t xml:space="preserve"> the appellant </w:t>
      </w:r>
      <w:r w:rsidR="00741A26" w:rsidRPr="00F079A2">
        <w:rPr>
          <w:rFonts w:ascii="Times New Roman" w:hAnsi="Times New Roman" w:cs="Times New Roman"/>
          <w:sz w:val="24"/>
          <w:szCs w:val="24"/>
        </w:rPr>
        <w:t xml:space="preserve">only took the position </w:t>
      </w:r>
      <w:r w:rsidR="00E13E86" w:rsidRPr="00F079A2">
        <w:rPr>
          <w:rFonts w:ascii="Times New Roman" w:hAnsi="Times New Roman" w:cs="Times New Roman"/>
          <w:sz w:val="24"/>
          <w:szCs w:val="24"/>
        </w:rPr>
        <w:t>that the</w:t>
      </w:r>
      <w:r w:rsidRPr="00F079A2">
        <w:rPr>
          <w:rFonts w:ascii="Times New Roman" w:hAnsi="Times New Roman" w:cs="Times New Roman"/>
          <w:sz w:val="24"/>
          <w:szCs w:val="24"/>
        </w:rPr>
        <w:t xml:space="preserve"> problems were of a mechanical nature after the issue of summons. </w:t>
      </w:r>
      <w:r w:rsidR="00B64228" w:rsidRPr="00F079A2">
        <w:rPr>
          <w:rFonts w:ascii="Times New Roman" w:hAnsi="Times New Roman" w:cs="Times New Roman"/>
          <w:sz w:val="24"/>
          <w:szCs w:val="24"/>
        </w:rPr>
        <w:t>Before that</w:t>
      </w:r>
      <w:r w:rsidR="0014387F" w:rsidRPr="00F079A2">
        <w:rPr>
          <w:rFonts w:ascii="Times New Roman" w:hAnsi="Times New Roman" w:cs="Times New Roman"/>
          <w:sz w:val="24"/>
          <w:szCs w:val="24"/>
        </w:rPr>
        <w:t>,</w:t>
      </w:r>
      <w:r w:rsidR="00B64228" w:rsidRPr="00F079A2">
        <w:rPr>
          <w:rFonts w:ascii="Times New Roman" w:hAnsi="Times New Roman" w:cs="Times New Roman"/>
          <w:sz w:val="24"/>
          <w:szCs w:val="24"/>
        </w:rPr>
        <w:t xml:space="preserve"> the appellant was content with repair </w:t>
      </w:r>
      <w:r w:rsidR="00741A26" w:rsidRPr="00F079A2">
        <w:rPr>
          <w:rFonts w:ascii="Times New Roman" w:hAnsi="Times New Roman" w:cs="Times New Roman"/>
          <w:sz w:val="24"/>
          <w:szCs w:val="24"/>
        </w:rPr>
        <w:t xml:space="preserve">of the </w:t>
      </w:r>
      <w:r w:rsidR="00B64228" w:rsidRPr="00F079A2">
        <w:rPr>
          <w:rFonts w:ascii="Times New Roman" w:hAnsi="Times New Roman" w:cs="Times New Roman"/>
          <w:sz w:val="24"/>
          <w:szCs w:val="24"/>
        </w:rPr>
        <w:t>damaged equipment</w:t>
      </w:r>
      <w:r w:rsidR="00741A26" w:rsidRPr="00F079A2">
        <w:rPr>
          <w:rFonts w:ascii="Times New Roman" w:hAnsi="Times New Roman" w:cs="Times New Roman"/>
          <w:sz w:val="24"/>
          <w:szCs w:val="24"/>
        </w:rPr>
        <w:t xml:space="preserve"> in terms of the </w:t>
      </w:r>
      <w:r w:rsidR="00DC7E88" w:rsidRPr="00F079A2">
        <w:rPr>
          <w:rFonts w:ascii="Times New Roman" w:hAnsi="Times New Roman" w:cs="Times New Roman"/>
          <w:sz w:val="24"/>
          <w:szCs w:val="24"/>
        </w:rPr>
        <w:t>warranty.  I</w:t>
      </w:r>
      <w:r w:rsidR="00C756BE" w:rsidRPr="00F079A2">
        <w:rPr>
          <w:rFonts w:ascii="Times New Roman" w:hAnsi="Times New Roman" w:cs="Times New Roman"/>
          <w:sz w:val="24"/>
          <w:szCs w:val="24"/>
        </w:rPr>
        <w:t xml:space="preserve"> find no misdirection in the approach of the trial court and its conclusion</w:t>
      </w:r>
      <w:r w:rsidR="0007103E" w:rsidRPr="00F079A2">
        <w:rPr>
          <w:rFonts w:ascii="Times New Roman" w:hAnsi="Times New Roman" w:cs="Times New Roman"/>
          <w:sz w:val="24"/>
          <w:szCs w:val="24"/>
        </w:rPr>
        <w:t>,</w:t>
      </w:r>
      <w:r w:rsidR="00C756BE" w:rsidRPr="00F079A2">
        <w:rPr>
          <w:rFonts w:ascii="Times New Roman" w:hAnsi="Times New Roman" w:cs="Times New Roman"/>
          <w:sz w:val="24"/>
          <w:szCs w:val="24"/>
        </w:rPr>
        <w:t xml:space="preserve"> in my view</w:t>
      </w:r>
      <w:r w:rsidR="0007103E" w:rsidRPr="00F079A2">
        <w:rPr>
          <w:rFonts w:ascii="Times New Roman" w:hAnsi="Times New Roman" w:cs="Times New Roman"/>
          <w:sz w:val="24"/>
          <w:szCs w:val="24"/>
        </w:rPr>
        <w:t>,</w:t>
      </w:r>
      <w:r w:rsidR="00C756BE" w:rsidRPr="00F079A2">
        <w:rPr>
          <w:rFonts w:ascii="Times New Roman" w:hAnsi="Times New Roman" w:cs="Times New Roman"/>
          <w:sz w:val="24"/>
          <w:szCs w:val="24"/>
        </w:rPr>
        <w:t xml:space="preserve"> accords with the evidence on record.</w:t>
      </w:r>
    </w:p>
    <w:p w:rsidR="0014387F" w:rsidRPr="00F079A2" w:rsidRDefault="00DC7E88" w:rsidP="00096C9D">
      <w:pPr>
        <w:jc w:val="both"/>
        <w:rPr>
          <w:rFonts w:ascii="Times New Roman" w:hAnsi="Times New Roman" w:cs="Times New Roman"/>
          <w:b/>
          <w:sz w:val="24"/>
          <w:szCs w:val="24"/>
          <w:u w:val="single"/>
        </w:rPr>
      </w:pPr>
      <w:r w:rsidRPr="00F079A2">
        <w:rPr>
          <w:rFonts w:ascii="Times New Roman" w:hAnsi="Times New Roman" w:cs="Times New Roman"/>
          <w:b/>
          <w:sz w:val="24"/>
          <w:szCs w:val="24"/>
          <w:u w:val="single"/>
        </w:rPr>
        <w:t>GROUND 4:</w:t>
      </w:r>
      <w:r w:rsidRPr="00F079A2">
        <w:rPr>
          <w:rFonts w:ascii="Times New Roman" w:hAnsi="Times New Roman" w:cs="Times New Roman"/>
          <w:b/>
          <w:sz w:val="24"/>
          <w:szCs w:val="24"/>
          <w:u w:val="single"/>
        </w:rPr>
        <w:tab/>
        <w:t xml:space="preserve"> FACTUAL FINDINGS.</w:t>
      </w:r>
    </w:p>
    <w:p w:rsidR="00691D59" w:rsidRPr="00F079A2" w:rsidRDefault="004B1850" w:rsidP="00BB0DBF">
      <w:pPr>
        <w:spacing w:line="480" w:lineRule="auto"/>
        <w:jc w:val="both"/>
        <w:rPr>
          <w:rFonts w:ascii="Times New Roman" w:hAnsi="Times New Roman" w:cs="Times New Roman"/>
          <w:sz w:val="24"/>
          <w:szCs w:val="24"/>
        </w:rPr>
      </w:pPr>
      <w:r w:rsidRPr="00F079A2">
        <w:rPr>
          <w:rFonts w:ascii="Times New Roman" w:hAnsi="Times New Roman" w:cs="Times New Roman"/>
          <w:sz w:val="24"/>
          <w:szCs w:val="24"/>
        </w:rPr>
        <w:tab/>
      </w:r>
      <w:r w:rsidRPr="00F079A2">
        <w:rPr>
          <w:rFonts w:ascii="Times New Roman" w:hAnsi="Times New Roman" w:cs="Times New Roman"/>
          <w:sz w:val="24"/>
          <w:szCs w:val="24"/>
        </w:rPr>
        <w:tab/>
      </w:r>
      <w:r w:rsidR="00691D59" w:rsidRPr="00F079A2">
        <w:rPr>
          <w:rFonts w:ascii="Times New Roman" w:hAnsi="Times New Roman" w:cs="Times New Roman"/>
          <w:sz w:val="24"/>
          <w:szCs w:val="24"/>
        </w:rPr>
        <w:t>It is settled that an appellate court will not interfere with factual findings made by a trial court unless those findings were grossly u</w:t>
      </w:r>
      <w:r w:rsidR="00FC2F59" w:rsidRPr="00F079A2">
        <w:rPr>
          <w:rFonts w:ascii="Times New Roman" w:hAnsi="Times New Roman" w:cs="Times New Roman"/>
          <w:sz w:val="24"/>
          <w:szCs w:val="24"/>
        </w:rPr>
        <w:t>n</w:t>
      </w:r>
      <w:r w:rsidR="00691D59" w:rsidRPr="00F079A2">
        <w:rPr>
          <w:rFonts w:ascii="Times New Roman" w:hAnsi="Times New Roman" w:cs="Times New Roman"/>
          <w:sz w:val="24"/>
          <w:szCs w:val="24"/>
        </w:rPr>
        <w:t>reasonable in the sense that n</w:t>
      </w:r>
      <w:r w:rsidR="00FC2F59" w:rsidRPr="00F079A2">
        <w:rPr>
          <w:rFonts w:ascii="Times New Roman" w:hAnsi="Times New Roman" w:cs="Times New Roman"/>
          <w:sz w:val="24"/>
          <w:szCs w:val="24"/>
        </w:rPr>
        <w:t>o reasonable tribunal applying its mind to the same</w:t>
      </w:r>
      <w:r w:rsidR="00691D59" w:rsidRPr="00F079A2">
        <w:rPr>
          <w:rFonts w:ascii="Times New Roman" w:hAnsi="Times New Roman" w:cs="Times New Roman"/>
          <w:sz w:val="24"/>
          <w:szCs w:val="24"/>
        </w:rPr>
        <w:t xml:space="preserve"> facts </w:t>
      </w:r>
      <w:r w:rsidR="00FC2F59" w:rsidRPr="00F079A2">
        <w:rPr>
          <w:rFonts w:ascii="Times New Roman" w:hAnsi="Times New Roman" w:cs="Times New Roman"/>
          <w:sz w:val="24"/>
          <w:szCs w:val="24"/>
        </w:rPr>
        <w:t>would have arrived at the same conclusion</w:t>
      </w:r>
      <w:r w:rsidR="00A0022B" w:rsidRPr="00F079A2">
        <w:rPr>
          <w:rFonts w:ascii="Times New Roman" w:hAnsi="Times New Roman" w:cs="Times New Roman"/>
          <w:sz w:val="24"/>
          <w:szCs w:val="24"/>
        </w:rPr>
        <w:t>; or</w:t>
      </w:r>
      <w:r w:rsidR="00FC2F59" w:rsidRPr="00F079A2">
        <w:rPr>
          <w:rFonts w:ascii="Times New Roman" w:hAnsi="Times New Roman" w:cs="Times New Roman"/>
          <w:sz w:val="24"/>
          <w:szCs w:val="24"/>
        </w:rPr>
        <w:t xml:space="preserve"> that the cour</w:t>
      </w:r>
      <w:r w:rsidR="008E6766" w:rsidRPr="00F079A2">
        <w:rPr>
          <w:rFonts w:ascii="Times New Roman" w:hAnsi="Times New Roman" w:cs="Times New Roman"/>
          <w:sz w:val="24"/>
          <w:szCs w:val="24"/>
        </w:rPr>
        <w:t>t had taken leave of its senses; o</w:t>
      </w:r>
      <w:r w:rsidR="00FC2F59" w:rsidRPr="00F079A2">
        <w:rPr>
          <w:rFonts w:ascii="Times New Roman" w:hAnsi="Times New Roman" w:cs="Times New Roman"/>
          <w:sz w:val="24"/>
          <w:szCs w:val="24"/>
        </w:rPr>
        <w:t>r</w:t>
      </w:r>
      <w:r w:rsidR="008E6766" w:rsidRPr="00F079A2">
        <w:rPr>
          <w:rFonts w:ascii="Times New Roman" w:hAnsi="Times New Roman" w:cs="Times New Roman"/>
          <w:sz w:val="24"/>
          <w:szCs w:val="24"/>
        </w:rPr>
        <w:t>, put otherwise,</w:t>
      </w:r>
      <w:r w:rsidR="00FC2F59" w:rsidRPr="00F079A2">
        <w:rPr>
          <w:rFonts w:ascii="Times New Roman" w:hAnsi="Times New Roman" w:cs="Times New Roman"/>
          <w:sz w:val="24"/>
          <w:szCs w:val="24"/>
        </w:rPr>
        <w:t xml:space="preserve"> the decision is so outrageous in its defiance of logic that no sensible person who had applied his mind to the question to be de</w:t>
      </w:r>
      <w:r w:rsidR="00C756BE" w:rsidRPr="00F079A2">
        <w:rPr>
          <w:rFonts w:ascii="Times New Roman" w:hAnsi="Times New Roman" w:cs="Times New Roman"/>
          <w:sz w:val="24"/>
          <w:szCs w:val="24"/>
        </w:rPr>
        <w:t>cided could have arrived at it.</w:t>
      </w:r>
      <w:r w:rsidR="00C756BE" w:rsidRPr="00F079A2">
        <w:rPr>
          <w:rStyle w:val="FootnoteReference"/>
          <w:rFonts w:ascii="Times New Roman" w:hAnsi="Times New Roman" w:cs="Times New Roman"/>
          <w:sz w:val="24"/>
          <w:szCs w:val="24"/>
        </w:rPr>
        <w:footnoteReference w:id="10"/>
      </w:r>
    </w:p>
    <w:p w:rsidR="00BB0DBF" w:rsidRPr="00F079A2" w:rsidRDefault="00BB0DBF" w:rsidP="00BB0DBF">
      <w:pPr>
        <w:spacing w:after="0" w:line="240" w:lineRule="auto"/>
        <w:jc w:val="both"/>
        <w:rPr>
          <w:rFonts w:ascii="Times New Roman" w:hAnsi="Times New Roman" w:cs="Times New Roman"/>
          <w:sz w:val="24"/>
          <w:szCs w:val="24"/>
        </w:rPr>
      </w:pPr>
    </w:p>
    <w:p w:rsidR="00BF4213" w:rsidRPr="00F079A2" w:rsidRDefault="00A0022B" w:rsidP="00BB0DBF">
      <w:pPr>
        <w:spacing w:line="480" w:lineRule="auto"/>
        <w:jc w:val="both"/>
        <w:rPr>
          <w:rFonts w:ascii="Times New Roman" w:hAnsi="Times New Roman" w:cs="Times New Roman"/>
          <w:sz w:val="24"/>
          <w:szCs w:val="24"/>
        </w:rPr>
      </w:pPr>
      <w:r w:rsidRPr="00F079A2">
        <w:rPr>
          <w:rFonts w:ascii="Times New Roman" w:hAnsi="Times New Roman" w:cs="Times New Roman"/>
          <w:sz w:val="24"/>
          <w:szCs w:val="24"/>
        </w:rPr>
        <w:lastRenderedPageBreak/>
        <w:tab/>
      </w:r>
      <w:r w:rsidRPr="00F079A2">
        <w:rPr>
          <w:rFonts w:ascii="Times New Roman" w:hAnsi="Times New Roman" w:cs="Times New Roman"/>
          <w:sz w:val="24"/>
          <w:szCs w:val="24"/>
        </w:rPr>
        <w:tab/>
      </w:r>
      <w:r w:rsidR="008E6766" w:rsidRPr="00F079A2">
        <w:rPr>
          <w:rFonts w:ascii="Times New Roman" w:hAnsi="Times New Roman" w:cs="Times New Roman"/>
          <w:sz w:val="24"/>
          <w:szCs w:val="24"/>
        </w:rPr>
        <w:t xml:space="preserve">The factual issues raised by the appellant in its notice of appeal were carefully considered by the learned Judge who gave detailed reasons for his decision on the facts. None of the established grounds for interference as set out above has been established. On the contrary, the judgment of the court </w:t>
      </w:r>
      <w:r w:rsidR="008E6766" w:rsidRPr="00F079A2">
        <w:rPr>
          <w:rFonts w:ascii="Times New Roman" w:hAnsi="Times New Roman" w:cs="Times New Roman"/>
          <w:i/>
          <w:sz w:val="24"/>
          <w:szCs w:val="24"/>
        </w:rPr>
        <w:t>a quo</w:t>
      </w:r>
      <w:r w:rsidR="008E6766" w:rsidRPr="00F079A2">
        <w:rPr>
          <w:rFonts w:ascii="Times New Roman" w:hAnsi="Times New Roman" w:cs="Times New Roman"/>
          <w:sz w:val="24"/>
          <w:szCs w:val="24"/>
        </w:rPr>
        <w:t xml:space="preserve"> is detailed and well-reasoned and his findings accord with the probabilities of the matter.  His preference of the evidence of the respondent’s witnesses against that of the appellant’s witnesses is amply supported by the record. No basis</w:t>
      </w:r>
      <w:r w:rsidR="000C4A51" w:rsidRPr="00F079A2">
        <w:rPr>
          <w:rFonts w:ascii="Times New Roman" w:hAnsi="Times New Roman" w:cs="Times New Roman"/>
          <w:sz w:val="24"/>
          <w:szCs w:val="24"/>
        </w:rPr>
        <w:t>,</w:t>
      </w:r>
      <w:r w:rsidR="008E6766" w:rsidRPr="00F079A2">
        <w:rPr>
          <w:rFonts w:ascii="Times New Roman" w:hAnsi="Times New Roman" w:cs="Times New Roman"/>
          <w:sz w:val="24"/>
          <w:szCs w:val="24"/>
        </w:rPr>
        <w:t xml:space="preserve"> therefore</w:t>
      </w:r>
      <w:r w:rsidR="000C4A51" w:rsidRPr="00F079A2">
        <w:rPr>
          <w:rFonts w:ascii="Times New Roman" w:hAnsi="Times New Roman" w:cs="Times New Roman"/>
          <w:sz w:val="24"/>
          <w:szCs w:val="24"/>
        </w:rPr>
        <w:t>,</w:t>
      </w:r>
      <w:r w:rsidR="008E6766" w:rsidRPr="00F079A2">
        <w:rPr>
          <w:rFonts w:ascii="Times New Roman" w:hAnsi="Times New Roman" w:cs="Times New Roman"/>
          <w:sz w:val="24"/>
          <w:szCs w:val="24"/>
        </w:rPr>
        <w:t xml:space="preserve"> has been established for interference with the judgment of the court </w:t>
      </w:r>
      <w:r w:rsidR="008E6766" w:rsidRPr="00F079A2">
        <w:rPr>
          <w:rFonts w:ascii="Times New Roman" w:hAnsi="Times New Roman" w:cs="Times New Roman"/>
          <w:i/>
          <w:sz w:val="24"/>
          <w:szCs w:val="24"/>
        </w:rPr>
        <w:t>a quo</w:t>
      </w:r>
      <w:r w:rsidR="008E6766" w:rsidRPr="00F079A2">
        <w:rPr>
          <w:rFonts w:ascii="Times New Roman" w:hAnsi="Times New Roman" w:cs="Times New Roman"/>
          <w:sz w:val="24"/>
          <w:szCs w:val="24"/>
        </w:rPr>
        <w:t>.</w:t>
      </w:r>
    </w:p>
    <w:p w:rsidR="00BB0DBF" w:rsidRPr="00F079A2" w:rsidRDefault="00BB0DBF" w:rsidP="00BB0DBF">
      <w:pPr>
        <w:spacing w:after="0" w:line="240" w:lineRule="auto"/>
        <w:jc w:val="both"/>
        <w:rPr>
          <w:rFonts w:ascii="Times New Roman" w:hAnsi="Times New Roman" w:cs="Times New Roman"/>
          <w:sz w:val="24"/>
          <w:szCs w:val="24"/>
        </w:rPr>
      </w:pPr>
    </w:p>
    <w:p w:rsidR="008E6766" w:rsidRPr="00F079A2" w:rsidRDefault="008E6766" w:rsidP="00BB0DBF">
      <w:pPr>
        <w:spacing w:line="480" w:lineRule="auto"/>
        <w:ind w:firstLine="1440"/>
        <w:jc w:val="both"/>
        <w:rPr>
          <w:rFonts w:ascii="Times New Roman" w:hAnsi="Times New Roman" w:cs="Times New Roman"/>
          <w:sz w:val="24"/>
          <w:szCs w:val="24"/>
        </w:rPr>
      </w:pPr>
      <w:r w:rsidRPr="00F079A2">
        <w:rPr>
          <w:rFonts w:ascii="Times New Roman" w:hAnsi="Times New Roman" w:cs="Times New Roman"/>
          <w:sz w:val="24"/>
          <w:szCs w:val="24"/>
        </w:rPr>
        <w:t>The appeal is</w:t>
      </w:r>
      <w:r w:rsidR="000F432B" w:rsidRPr="00F079A2">
        <w:rPr>
          <w:rFonts w:ascii="Times New Roman" w:hAnsi="Times New Roman" w:cs="Times New Roman"/>
          <w:sz w:val="24"/>
          <w:szCs w:val="24"/>
        </w:rPr>
        <w:t>,</w:t>
      </w:r>
      <w:r w:rsidRPr="00F079A2">
        <w:rPr>
          <w:rFonts w:ascii="Times New Roman" w:hAnsi="Times New Roman" w:cs="Times New Roman"/>
          <w:sz w:val="24"/>
          <w:szCs w:val="24"/>
        </w:rPr>
        <w:t xml:space="preserve"> for the above reasons</w:t>
      </w:r>
      <w:r w:rsidR="000F432B" w:rsidRPr="00F079A2">
        <w:rPr>
          <w:rFonts w:ascii="Times New Roman" w:hAnsi="Times New Roman" w:cs="Times New Roman"/>
          <w:sz w:val="24"/>
          <w:szCs w:val="24"/>
        </w:rPr>
        <w:t>,</w:t>
      </w:r>
      <w:r w:rsidRPr="00F079A2">
        <w:rPr>
          <w:rFonts w:ascii="Times New Roman" w:hAnsi="Times New Roman" w:cs="Times New Roman"/>
          <w:sz w:val="24"/>
          <w:szCs w:val="24"/>
        </w:rPr>
        <w:t xml:space="preserve"> dismissed with costs.</w:t>
      </w:r>
    </w:p>
    <w:p w:rsidR="00506ED2" w:rsidRPr="00F079A2" w:rsidRDefault="00506ED2" w:rsidP="00096C9D">
      <w:pPr>
        <w:jc w:val="both"/>
        <w:rPr>
          <w:rFonts w:ascii="Times New Roman" w:hAnsi="Times New Roman" w:cs="Times New Roman"/>
          <w:sz w:val="24"/>
          <w:szCs w:val="24"/>
        </w:rPr>
      </w:pPr>
    </w:p>
    <w:p w:rsidR="00506ED2" w:rsidRPr="00F079A2" w:rsidRDefault="00506ED2" w:rsidP="00096C9D">
      <w:pPr>
        <w:jc w:val="both"/>
        <w:rPr>
          <w:rFonts w:ascii="Times New Roman" w:hAnsi="Times New Roman" w:cs="Times New Roman"/>
          <w:sz w:val="24"/>
          <w:szCs w:val="24"/>
        </w:rPr>
      </w:pPr>
    </w:p>
    <w:p w:rsidR="00A014AE" w:rsidRPr="00F079A2" w:rsidRDefault="00D56612" w:rsidP="00096C9D">
      <w:pPr>
        <w:jc w:val="both"/>
        <w:rPr>
          <w:rFonts w:ascii="Times New Roman" w:hAnsi="Times New Roman" w:cs="Times New Roman"/>
          <w:sz w:val="24"/>
          <w:szCs w:val="24"/>
        </w:rPr>
      </w:pPr>
      <w:r w:rsidRPr="00F079A2">
        <w:rPr>
          <w:rFonts w:ascii="Times New Roman" w:hAnsi="Times New Roman" w:cs="Times New Roman"/>
          <w:sz w:val="24"/>
          <w:szCs w:val="24"/>
        </w:rPr>
        <w:tab/>
      </w:r>
      <w:r w:rsidR="00352030" w:rsidRPr="00F079A2">
        <w:rPr>
          <w:rFonts w:ascii="Times New Roman" w:hAnsi="Times New Roman" w:cs="Times New Roman"/>
          <w:sz w:val="24"/>
          <w:szCs w:val="24"/>
        </w:rPr>
        <w:tab/>
      </w:r>
      <w:r w:rsidRPr="00F079A2">
        <w:rPr>
          <w:rFonts w:ascii="Times New Roman" w:hAnsi="Times New Roman" w:cs="Times New Roman"/>
          <w:b/>
          <w:sz w:val="24"/>
          <w:szCs w:val="24"/>
        </w:rPr>
        <w:t>GARWE JA</w:t>
      </w:r>
      <w:r w:rsidRPr="00F079A2">
        <w:rPr>
          <w:rFonts w:ascii="Times New Roman" w:hAnsi="Times New Roman" w:cs="Times New Roman"/>
          <w:sz w:val="24"/>
          <w:szCs w:val="24"/>
        </w:rPr>
        <w:t>:</w:t>
      </w:r>
      <w:r w:rsidRPr="00F079A2">
        <w:rPr>
          <w:rFonts w:ascii="Times New Roman" w:hAnsi="Times New Roman" w:cs="Times New Roman"/>
          <w:sz w:val="24"/>
          <w:szCs w:val="24"/>
        </w:rPr>
        <w:tab/>
      </w:r>
      <w:r w:rsidRPr="00F079A2">
        <w:rPr>
          <w:rFonts w:ascii="Times New Roman" w:hAnsi="Times New Roman" w:cs="Times New Roman"/>
          <w:sz w:val="24"/>
          <w:szCs w:val="24"/>
        </w:rPr>
        <w:tab/>
        <w:t>I agree</w:t>
      </w:r>
    </w:p>
    <w:p w:rsidR="00D56612" w:rsidRPr="00F079A2" w:rsidRDefault="00D56612" w:rsidP="00096C9D">
      <w:pPr>
        <w:jc w:val="both"/>
        <w:rPr>
          <w:rFonts w:ascii="Times New Roman" w:hAnsi="Times New Roman" w:cs="Times New Roman"/>
          <w:sz w:val="24"/>
          <w:szCs w:val="24"/>
        </w:rPr>
      </w:pPr>
    </w:p>
    <w:p w:rsidR="00D56612" w:rsidRPr="00F079A2" w:rsidRDefault="00D56612" w:rsidP="00096C9D">
      <w:pPr>
        <w:jc w:val="both"/>
        <w:rPr>
          <w:rFonts w:ascii="Times New Roman" w:hAnsi="Times New Roman" w:cs="Times New Roman"/>
          <w:sz w:val="24"/>
          <w:szCs w:val="24"/>
        </w:rPr>
      </w:pPr>
    </w:p>
    <w:p w:rsidR="00D56612" w:rsidRPr="00F079A2" w:rsidRDefault="00D56612" w:rsidP="00096C9D">
      <w:pPr>
        <w:jc w:val="both"/>
        <w:rPr>
          <w:rFonts w:ascii="Times New Roman" w:hAnsi="Times New Roman" w:cs="Times New Roman"/>
          <w:sz w:val="24"/>
          <w:szCs w:val="24"/>
        </w:rPr>
      </w:pPr>
      <w:r w:rsidRPr="00F079A2">
        <w:rPr>
          <w:rFonts w:ascii="Times New Roman" w:hAnsi="Times New Roman" w:cs="Times New Roman"/>
          <w:sz w:val="24"/>
          <w:szCs w:val="24"/>
        </w:rPr>
        <w:tab/>
      </w:r>
      <w:r w:rsidR="00352030" w:rsidRPr="00F079A2">
        <w:rPr>
          <w:rFonts w:ascii="Times New Roman" w:hAnsi="Times New Roman" w:cs="Times New Roman"/>
          <w:sz w:val="24"/>
          <w:szCs w:val="24"/>
        </w:rPr>
        <w:tab/>
      </w:r>
      <w:r w:rsidRPr="00F079A2">
        <w:rPr>
          <w:rFonts w:ascii="Times New Roman" w:hAnsi="Times New Roman" w:cs="Times New Roman"/>
          <w:b/>
          <w:sz w:val="24"/>
          <w:szCs w:val="24"/>
        </w:rPr>
        <w:t>PATEL JA:</w:t>
      </w:r>
      <w:r w:rsidRPr="00F079A2">
        <w:rPr>
          <w:rFonts w:ascii="Times New Roman" w:hAnsi="Times New Roman" w:cs="Times New Roman"/>
          <w:sz w:val="24"/>
          <w:szCs w:val="24"/>
        </w:rPr>
        <w:tab/>
      </w:r>
      <w:r w:rsidRPr="00F079A2">
        <w:rPr>
          <w:rFonts w:ascii="Times New Roman" w:hAnsi="Times New Roman" w:cs="Times New Roman"/>
          <w:sz w:val="24"/>
          <w:szCs w:val="24"/>
        </w:rPr>
        <w:tab/>
        <w:t>I agree</w:t>
      </w:r>
    </w:p>
    <w:p w:rsidR="00B25D14" w:rsidRPr="00F079A2" w:rsidRDefault="00B25D14" w:rsidP="00096C9D">
      <w:pPr>
        <w:jc w:val="both"/>
        <w:rPr>
          <w:rFonts w:ascii="Times New Roman" w:hAnsi="Times New Roman" w:cs="Times New Roman"/>
          <w:sz w:val="24"/>
          <w:szCs w:val="24"/>
        </w:rPr>
      </w:pPr>
    </w:p>
    <w:p w:rsidR="00B25D14" w:rsidRPr="00F079A2" w:rsidRDefault="00B25D14" w:rsidP="00096C9D">
      <w:pPr>
        <w:jc w:val="both"/>
        <w:rPr>
          <w:rFonts w:ascii="Times New Roman" w:hAnsi="Times New Roman" w:cs="Times New Roman"/>
          <w:sz w:val="24"/>
          <w:szCs w:val="24"/>
        </w:rPr>
      </w:pPr>
    </w:p>
    <w:p w:rsidR="00D56612" w:rsidRPr="00F079A2" w:rsidRDefault="00D56612" w:rsidP="00096C9D">
      <w:pPr>
        <w:jc w:val="both"/>
        <w:rPr>
          <w:rFonts w:ascii="Times New Roman" w:hAnsi="Times New Roman" w:cs="Times New Roman"/>
          <w:sz w:val="24"/>
          <w:szCs w:val="24"/>
        </w:rPr>
      </w:pPr>
    </w:p>
    <w:p w:rsidR="00796C70" w:rsidRPr="00F079A2" w:rsidRDefault="004A2E2D" w:rsidP="00096C9D">
      <w:pPr>
        <w:jc w:val="both"/>
        <w:rPr>
          <w:rFonts w:ascii="Times New Roman" w:hAnsi="Times New Roman" w:cs="Times New Roman"/>
          <w:sz w:val="24"/>
          <w:szCs w:val="24"/>
        </w:rPr>
      </w:pPr>
      <w:proofErr w:type="spellStart"/>
      <w:r w:rsidRPr="00F079A2">
        <w:rPr>
          <w:rFonts w:ascii="Times New Roman" w:hAnsi="Times New Roman" w:cs="Times New Roman"/>
          <w:i/>
          <w:sz w:val="24"/>
          <w:szCs w:val="24"/>
        </w:rPr>
        <w:t>Machingambi</w:t>
      </w:r>
      <w:proofErr w:type="spellEnd"/>
      <w:r w:rsidRPr="00F079A2">
        <w:rPr>
          <w:rFonts w:ascii="Times New Roman" w:hAnsi="Times New Roman" w:cs="Times New Roman"/>
          <w:i/>
          <w:sz w:val="24"/>
          <w:szCs w:val="24"/>
        </w:rPr>
        <w:t xml:space="preserve"> Legal Practitioner</w:t>
      </w:r>
      <w:r w:rsidRPr="00F079A2">
        <w:rPr>
          <w:rFonts w:ascii="Times New Roman" w:hAnsi="Times New Roman" w:cs="Times New Roman"/>
          <w:sz w:val="24"/>
          <w:szCs w:val="24"/>
        </w:rPr>
        <w:t>, plaintiff’s legal practitioners</w:t>
      </w:r>
    </w:p>
    <w:p w:rsidR="004A2E2D" w:rsidRPr="00F079A2" w:rsidRDefault="004A2E2D" w:rsidP="00096C9D">
      <w:pPr>
        <w:jc w:val="both"/>
        <w:rPr>
          <w:rFonts w:ascii="Times New Roman" w:hAnsi="Times New Roman" w:cs="Times New Roman"/>
          <w:sz w:val="24"/>
          <w:szCs w:val="24"/>
        </w:rPr>
      </w:pPr>
      <w:r w:rsidRPr="00F079A2">
        <w:rPr>
          <w:rFonts w:ascii="Times New Roman" w:hAnsi="Times New Roman" w:cs="Times New Roman"/>
          <w:i/>
          <w:sz w:val="24"/>
          <w:szCs w:val="24"/>
        </w:rPr>
        <w:t>Kantor &amp;</w:t>
      </w:r>
      <w:r w:rsidR="008879E2" w:rsidRPr="00F079A2">
        <w:rPr>
          <w:rFonts w:ascii="Times New Roman" w:hAnsi="Times New Roman" w:cs="Times New Roman"/>
          <w:i/>
          <w:sz w:val="24"/>
          <w:szCs w:val="24"/>
        </w:rPr>
        <w:t xml:space="preserve"> </w:t>
      </w:r>
      <w:proofErr w:type="spellStart"/>
      <w:r w:rsidRPr="00F079A2">
        <w:rPr>
          <w:rFonts w:ascii="Times New Roman" w:hAnsi="Times New Roman" w:cs="Times New Roman"/>
          <w:i/>
          <w:sz w:val="24"/>
          <w:szCs w:val="24"/>
        </w:rPr>
        <w:t>Immerman</w:t>
      </w:r>
      <w:proofErr w:type="spellEnd"/>
      <w:r w:rsidRPr="00F079A2">
        <w:rPr>
          <w:rFonts w:ascii="Times New Roman" w:hAnsi="Times New Roman" w:cs="Times New Roman"/>
          <w:sz w:val="24"/>
          <w:szCs w:val="24"/>
        </w:rPr>
        <w:t>, defendant’s legal practitioners</w:t>
      </w:r>
    </w:p>
    <w:p w:rsidR="008507A3" w:rsidRPr="00F079A2" w:rsidRDefault="008507A3" w:rsidP="00096C9D">
      <w:pPr>
        <w:jc w:val="both"/>
        <w:rPr>
          <w:rFonts w:ascii="Times New Roman" w:hAnsi="Times New Roman" w:cs="Times New Roman"/>
          <w:sz w:val="24"/>
          <w:szCs w:val="24"/>
        </w:rPr>
      </w:pPr>
    </w:p>
    <w:sectPr w:rsidR="008507A3" w:rsidRPr="00F079A2" w:rsidSect="00C573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C5E" w:rsidRDefault="00B92C5E" w:rsidP="0010508D">
      <w:pPr>
        <w:spacing w:after="0" w:line="240" w:lineRule="auto"/>
      </w:pPr>
      <w:r>
        <w:separator/>
      </w:r>
    </w:p>
  </w:endnote>
  <w:endnote w:type="continuationSeparator" w:id="0">
    <w:p w:rsidR="00B92C5E" w:rsidRDefault="00B92C5E" w:rsidP="0010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C5E" w:rsidRDefault="00B92C5E" w:rsidP="0010508D">
      <w:pPr>
        <w:spacing w:after="0" w:line="240" w:lineRule="auto"/>
      </w:pPr>
      <w:r>
        <w:separator/>
      </w:r>
    </w:p>
  </w:footnote>
  <w:footnote w:type="continuationSeparator" w:id="0">
    <w:p w:rsidR="00B92C5E" w:rsidRDefault="00B92C5E" w:rsidP="0010508D">
      <w:pPr>
        <w:spacing w:after="0" w:line="240" w:lineRule="auto"/>
      </w:pPr>
      <w:r>
        <w:continuationSeparator/>
      </w:r>
    </w:p>
  </w:footnote>
  <w:footnote w:id="1">
    <w:p w:rsidR="00F40EB1" w:rsidRDefault="00F40EB1">
      <w:pPr>
        <w:pStyle w:val="FootnoteText"/>
      </w:pPr>
      <w:r>
        <w:rPr>
          <w:rStyle w:val="FootnoteReference"/>
        </w:rPr>
        <w:footnoteRef/>
      </w:r>
      <w:r>
        <w:t xml:space="preserve"> See also Fore at Record </w:t>
      </w:r>
      <w:proofErr w:type="spellStart"/>
      <w:r>
        <w:t>pp</w:t>
      </w:r>
      <w:proofErr w:type="spellEnd"/>
      <w:r>
        <w:t xml:space="preserve"> 464, 466. He admitted that the order for the</w:t>
      </w:r>
      <w:r w:rsidR="00882AF9">
        <w:t xml:space="preserve"> motor control system</w:t>
      </w:r>
      <w:r>
        <w:t xml:space="preserve"> in respect of which he sought a set-</w:t>
      </w:r>
      <w:r w:rsidR="005C4C4E">
        <w:t>off was</w:t>
      </w:r>
      <w:r>
        <w:t xml:space="preserve"> not cancelled.</w:t>
      </w:r>
    </w:p>
  </w:footnote>
  <w:footnote w:id="2">
    <w:p w:rsidR="0010508D" w:rsidRDefault="0010508D">
      <w:pPr>
        <w:pStyle w:val="FootnoteText"/>
      </w:pPr>
      <w:r>
        <w:rPr>
          <w:rStyle w:val="FootnoteReference"/>
        </w:rPr>
        <w:footnoteRef/>
      </w:r>
      <w:r w:rsidR="004854A5">
        <w:t xml:space="preserve"> </w:t>
      </w:r>
      <w:proofErr w:type="gramStart"/>
      <w:r w:rsidR="004854A5">
        <w:t xml:space="preserve">Record </w:t>
      </w:r>
      <w:proofErr w:type="spellStart"/>
      <w:r w:rsidR="004854A5">
        <w:t>pp</w:t>
      </w:r>
      <w:proofErr w:type="spellEnd"/>
      <w:r w:rsidR="004854A5">
        <w:t xml:space="preserve"> 463 and 513.</w:t>
      </w:r>
      <w:proofErr w:type="gramEnd"/>
      <w:r w:rsidR="00F40EB1">
        <w:t xml:space="preserve"> </w:t>
      </w:r>
    </w:p>
  </w:footnote>
  <w:footnote w:id="3">
    <w:p w:rsidR="004762E8" w:rsidRDefault="004762E8">
      <w:pPr>
        <w:pStyle w:val="FootnoteText"/>
      </w:pPr>
      <w:r>
        <w:rPr>
          <w:rStyle w:val="FootnoteReference"/>
        </w:rPr>
        <w:footnoteRef/>
      </w:r>
      <w:r>
        <w:t xml:space="preserve"> At pp289-290</w:t>
      </w:r>
    </w:p>
  </w:footnote>
  <w:footnote w:id="4">
    <w:p w:rsidR="00E71B35" w:rsidRDefault="00E71B35">
      <w:pPr>
        <w:pStyle w:val="FootnoteText"/>
      </w:pPr>
      <w:r>
        <w:rPr>
          <w:rStyle w:val="FootnoteReference"/>
        </w:rPr>
        <w:footnoteRef/>
      </w:r>
      <w:r>
        <w:t xml:space="preserve"> Confirmed in </w:t>
      </w:r>
      <w:proofErr w:type="spellStart"/>
      <w:r>
        <w:t>Mahommed</w:t>
      </w:r>
      <w:proofErr w:type="spellEnd"/>
      <w:r>
        <w:t xml:space="preserve"> v </w:t>
      </w:r>
      <w:proofErr w:type="spellStart"/>
      <w:r>
        <w:t>Nagdee</w:t>
      </w:r>
      <w:proofErr w:type="spellEnd"/>
      <w:r>
        <w:t xml:space="preserve"> 1952 1 SA</w:t>
      </w:r>
      <w:r w:rsidR="005E1B90">
        <w:t>410 (A)at 416H</w:t>
      </w:r>
    </w:p>
  </w:footnote>
  <w:footnote w:id="5">
    <w:p w:rsidR="00300C79" w:rsidRDefault="00300C79">
      <w:pPr>
        <w:pStyle w:val="FootnoteText"/>
      </w:pPr>
      <w:r>
        <w:rPr>
          <w:rStyle w:val="FootnoteReference"/>
        </w:rPr>
        <w:footnoteRef/>
      </w:r>
      <w:r>
        <w:t xml:space="preserve"> 1997 (1)ZLR 350 (S) at 353C</w:t>
      </w:r>
    </w:p>
  </w:footnote>
  <w:footnote w:id="6">
    <w:p w:rsidR="005E1B90" w:rsidRDefault="005E1B90">
      <w:pPr>
        <w:pStyle w:val="FootnoteText"/>
      </w:pPr>
      <w:r>
        <w:rPr>
          <w:rStyle w:val="FootnoteReference"/>
        </w:rPr>
        <w:footnoteRef/>
      </w:r>
      <w:r>
        <w:t xml:space="preserve"> See Treasurer-General v Van Vuren1905TS 582 at 589</w:t>
      </w:r>
      <w:r w:rsidR="007F33CE">
        <w:t xml:space="preserve">; </w:t>
      </w:r>
      <w:proofErr w:type="spellStart"/>
      <w:r w:rsidR="007F33CE">
        <w:t>R.H.Christie</w:t>
      </w:r>
      <w:r>
        <w:t>The</w:t>
      </w:r>
      <w:proofErr w:type="spellEnd"/>
      <w:r>
        <w:t xml:space="preserve"> Law of Contract in South Africa 3ed at p 530.</w:t>
      </w:r>
    </w:p>
  </w:footnote>
  <w:footnote w:id="7">
    <w:p w:rsidR="0043585C" w:rsidRDefault="0043585C">
      <w:pPr>
        <w:pStyle w:val="FootnoteText"/>
      </w:pPr>
      <w:r>
        <w:rPr>
          <w:rStyle w:val="FootnoteReference"/>
        </w:rPr>
        <w:footnoteRef/>
      </w:r>
      <w:r>
        <w:t xml:space="preserve"> </w:t>
      </w:r>
      <w:r w:rsidR="004854A5" w:rsidRPr="00882AF9">
        <w:rPr>
          <w:rFonts w:ascii="Arial" w:hAnsi="Arial" w:cs="Arial"/>
        </w:rPr>
        <w:t xml:space="preserve">There was in fact a concession in the court </w:t>
      </w:r>
      <w:r w:rsidR="004854A5" w:rsidRPr="007B6D6A">
        <w:rPr>
          <w:rFonts w:ascii="Arial" w:hAnsi="Arial" w:cs="Arial"/>
          <w:i/>
        </w:rPr>
        <w:t xml:space="preserve">a </w:t>
      </w:r>
      <w:r w:rsidR="007B6D6A" w:rsidRPr="007B6D6A">
        <w:rPr>
          <w:rFonts w:ascii="Arial" w:hAnsi="Arial" w:cs="Arial"/>
          <w:i/>
        </w:rPr>
        <w:t>quo</w:t>
      </w:r>
      <w:r w:rsidR="007B6D6A" w:rsidRPr="00882AF9">
        <w:rPr>
          <w:rFonts w:ascii="Arial" w:hAnsi="Arial" w:cs="Arial"/>
        </w:rPr>
        <w:t xml:space="preserve"> by</w:t>
      </w:r>
      <w:r w:rsidR="004854A5" w:rsidRPr="00882AF9">
        <w:rPr>
          <w:rFonts w:ascii="Arial" w:hAnsi="Arial" w:cs="Arial"/>
        </w:rPr>
        <w:t xml:space="preserve"> </w:t>
      </w:r>
      <w:proofErr w:type="spellStart"/>
      <w:r w:rsidR="004854A5" w:rsidRPr="00882AF9">
        <w:rPr>
          <w:rFonts w:ascii="Arial" w:hAnsi="Arial" w:cs="Arial"/>
        </w:rPr>
        <w:t>Mr</w:t>
      </w:r>
      <w:proofErr w:type="spellEnd"/>
      <w:r w:rsidR="004854A5" w:rsidRPr="00882AF9">
        <w:rPr>
          <w:rFonts w:ascii="Arial" w:hAnsi="Arial" w:cs="Arial"/>
        </w:rPr>
        <w:t xml:space="preserve"> </w:t>
      </w:r>
      <w:proofErr w:type="spellStart"/>
      <w:r w:rsidR="004854A5" w:rsidRPr="00882AF9">
        <w:rPr>
          <w:rFonts w:ascii="Arial" w:hAnsi="Arial" w:cs="Arial"/>
        </w:rPr>
        <w:t>Tandi</w:t>
      </w:r>
      <w:proofErr w:type="spellEnd"/>
      <w:r w:rsidR="004854A5" w:rsidRPr="00882AF9">
        <w:rPr>
          <w:rFonts w:ascii="Arial" w:hAnsi="Arial" w:cs="Arial"/>
        </w:rPr>
        <w:t xml:space="preserve"> that the contract for the sale of the motor control center and 6 variable speed drives had not been cancelled.  See Record p518</w:t>
      </w:r>
      <w:r w:rsidR="00882AF9" w:rsidRPr="00882AF9">
        <w:rPr>
          <w:rFonts w:ascii="Arial" w:hAnsi="Arial" w:cs="Arial"/>
        </w:rPr>
        <w:t>. See also footnote 1 (supra)</w:t>
      </w:r>
    </w:p>
  </w:footnote>
  <w:footnote w:id="8">
    <w:p w:rsidR="00351EF4" w:rsidRDefault="00351EF4">
      <w:pPr>
        <w:pStyle w:val="FootnoteText"/>
      </w:pPr>
      <w:r>
        <w:rPr>
          <w:rStyle w:val="FootnoteReference"/>
        </w:rPr>
        <w:footnoteRef/>
      </w:r>
      <w:r>
        <w:t xml:space="preserve">  Record </w:t>
      </w:r>
      <w:proofErr w:type="spellStart"/>
      <w:r>
        <w:t>pps</w:t>
      </w:r>
      <w:proofErr w:type="spellEnd"/>
      <w:r>
        <w:t xml:space="preserve"> 307, 311,312, 313</w:t>
      </w:r>
    </w:p>
  </w:footnote>
  <w:footnote w:id="9">
    <w:p w:rsidR="00882AF9" w:rsidRDefault="00882AF9">
      <w:pPr>
        <w:pStyle w:val="FootnoteText"/>
      </w:pPr>
      <w:r>
        <w:rPr>
          <w:rStyle w:val="FootnoteReference"/>
        </w:rPr>
        <w:footnoteRef/>
      </w:r>
      <w:r>
        <w:t xml:space="preserve"> Record p518</w:t>
      </w:r>
    </w:p>
  </w:footnote>
  <w:footnote w:id="10">
    <w:p w:rsidR="00C756BE" w:rsidRDefault="00C756BE">
      <w:pPr>
        <w:pStyle w:val="FootnoteText"/>
      </w:pPr>
      <w:r>
        <w:rPr>
          <w:rStyle w:val="FootnoteReference"/>
        </w:rPr>
        <w:footnoteRef/>
      </w:r>
      <w:proofErr w:type="spellStart"/>
      <w:r>
        <w:t>Herbstein</w:t>
      </w:r>
      <w:proofErr w:type="spellEnd"/>
      <w:r>
        <w:t xml:space="preserve"> and Van </w:t>
      </w:r>
      <w:proofErr w:type="spellStart"/>
      <w:r>
        <w:t>Winsen</w:t>
      </w:r>
      <w:proofErr w:type="spellEnd"/>
      <w:r>
        <w:t xml:space="preserve"> The civil Practice of The Superior Courts</w:t>
      </w:r>
      <w:r w:rsidR="00506ED2">
        <w:t xml:space="preserve"> at page 738-9</w:t>
      </w:r>
      <w:r w:rsidR="000F1F7D">
        <w:t>;</w:t>
      </w:r>
    </w:p>
    <w:p w:rsidR="000F1F7D" w:rsidRDefault="00CF7849">
      <w:pPr>
        <w:pStyle w:val="FootnoteText"/>
      </w:pPr>
      <w:r>
        <w:t>Hama v National Railways of Zimbabwe 1996 (1) ZLR 664 (S) at 670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9009F4">
      <w:tc>
        <w:tcPr>
          <w:tcW w:w="0" w:type="auto"/>
          <w:tcBorders>
            <w:right w:val="single" w:sz="6" w:space="0" w:color="000000" w:themeColor="text1"/>
          </w:tcBorders>
        </w:tcPr>
        <w:sdt>
          <w:sdtPr>
            <w:alias w:val="Company"/>
            <w:id w:val="78735422"/>
            <w:placeholder>
              <w:docPart w:val="37DE9B44C83D434BBEC2DCE648F822A3"/>
            </w:placeholder>
            <w:dataBinding w:prefixMappings="xmlns:ns0='http://schemas.openxmlformats.org/officeDocument/2006/extended-properties'" w:xpath="/ns0:Properties[1]/ns0:Company[1]" w:storeItemID="{6668398D-A668-4E3E-A5EB-62B293D839F1}"/>
            <w:text/>
          </w:sdtPr>
          <w:sdtEndPr/>
          <w:sdtContent>
            <w:p w:rsidR="009009F4" w:rsidRDefault="009009F4">
              <w:pPr>
                <w:pStyle w:val="Header"/>
                <w:jc w:val="right"/>
              </w:pPr>
              <w:r>
                <w:t>Judgment No SC 12/2015</w:t>
              </w:r>
            </w:p>
          </w:sdtContent>
        </w:sdt>
        <w:sdt>
          <w:sdtPr>
            <w:rPr>
              <w:b/>
              <w:bCs/>
            </w:rPr>
            <w:alias w:val="Title"/>
            <w:id w:val="78735415"/>
            <w:placeholder>
              <w:docPart w:val="55D7F3E721B94A6A91D70E8BA4B27A7B"/>
            </w:placeholder>
            <w:dataBinding w:prefixMappings="xmlns:ns0='http://schemas.openxmlformats.org/package/2006/metadata/core-properties' xmlns:ns1='http://purl.org/dc/elements/1.1/'" w:xpath="/ns0:coreProperties[1]/ns1:title[1]" w:storeItemID="{6C3C8BC8-F283-45AE-878A-BAB7291924A1}"/>
            <w:text/>
          </w:sdtPr>
          <w:sdtEndPr/>
          <w:sdtContent>
            <w:p w:rsidR="009009F4" w:rsidRDefault="009009F4">
              <w:pPr>
                <w:pStyle w:val="Header"/>
                <w:jc w:val="right"/>
                <w:rPr>
                  <w:b/>
                  <w:bCs/>
                </w:rPr>
              </w:pPr>
              <w:r>
                <w:rPr>
                  <w:b/>
                  <w:bCs/>
                </w:rPr>
                <w:t>Civil Appeal No SC 119/13</w:t>
              </w:r>
            </w:p>
          </w:sdtContent>
        </w:sdt>
      </w:tc>
      <w:tc>
        <w:tcPr>
          <w:tcW w:w="1152" w:type="dxa"/>
          <w:tcBorders>
            <w:left w:val="single" w:sz="6" w:space="0" w:color="000000" w:themeColor="text1"/>
          </w:tcBorders>
        </w:tcPr>
        <w:p w:rsidR="009009F4" w:rsidRDefault="009009F4">
          <w:pPr>
            <w:pStyle w:val="Header"/>
            <w:rPr>
              <w:b/>
              <w:bCs/>
            </w:rPr>
          </w:pPr>
          <w:r>
            <w:fldChar w:fldCharType="begin"/>
          </w:r>
          <w:r>
            <w:instrText xml:space="preserve"> PAGE   \* MERGEFORMAT </w:instrText>
          </w:r>
          <w:r>
            <w:fldChar w:fldCharType="separate"/>
          </w:r>
          <w:r w:rsidR="00796558">
            <w:rPr>
              <w:noProof/>
            </w:rPr>
            <w:t>2</w:t>
          </w:r>
          <w:r>
            <w:rPr>
              <w:noProof/>
            </w:rPr>
            <w:fldChar w:fldCharType="end"/>
          </w:r>
        </w:p>
      </w:tc>
    </w:tr>
  </w:tbl>
  <w:p w:rsidR="002D56CC" w:rsidRDefault="002D5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E0C30"/>
    <w:multiLevelType w:val="hybridMultilevel"/>
    <w:tmpl w:val="3AB236D0"/>
    <w:lvl w:ilvl="0" w:tplc="D2AA8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7A3"/>
    <w:rsid w:val="0000622E"/>
    <w:rsid w:val="00015D4F"/>
    <w:rsid w:val="00024556"/>
    <w:rsid w:val="0002532F"/>
    <w:rsid w:val="00047691"/>
    <w:rsid w:val="00055195"/>
    <w:rsid w:val="0007103E"/>
    <w:rsid w:val="00083939"/>
    <w:rsid w:val="0008596D"/>
    <w:rsid w:val="00096C9D"/>
    <w:rsid w:val="000A3E5C"/>
    <w:rsid w:val="000C23D7"/>
    <w:rsid w:val="000C4A51"/>
    <w:rsid w:val="000C59E1"/>
    <w:rsid w:val="000F03E5"/>
    <w:rsid w:val="000F1F7D"/>
    <w:rsid w:val="000F420B"/>
    <w:rsid w:val="000F432B"/>
    <w:rsid w:val="0010508D"/>
    <w:rsid w:val="001171A1"/>
    <w:rsid w:val="0014387F"/>
    <w:rsid w:val="001663FC"/>
    <w:rsid w:val="001B3FC9"/>
    <w:rsid w:val="001B6E3A"/>
    <w:rsid w:val="00251DC5"/>
    <w:rsid w:val="00270859"/>
    <w:rsid w:val="002762E1"/>
    <w:rsid w:val="00283AE1"/>
    <w:rsid w:val="002962E0"/>
    <w:rsid w:val="002964E4"/>
    <w:rsid w:val="00297969"/>
    <w:rsid w:val="002A6A89"/>
    <w:rsid w:val="002B0494"/>
    <w:rsid w:val="002D56CC"/>
    <w:rsid w:val="002F2629"/>
    <w:rsid w:val="00300C79"/>
    <w:rsid w:val="00320964"/>
    <w:rsid w:val="003247C0"/>
    <w:rsid w:val="00351EF4"/>
    <w:rsid w:val="00352030"/>
    <w:rsid w:val="0035532C"/>
    <w:rsid w:val="00356F90"/>
    <w:rsid w:val="003605A9"/>
    <w:rsid w:val="00375AFE"/>
    <w:rsid w:val="00381BA6"/>
    <w:rsid w:val="00382499"/>
    <w:rsid w:val="0039700B"/>
    <w:rsid w:val="003A04B5"/>
    <w:rsid w:val="003A357C"/>
    <w:rsid w:val="003B0BDE"/>
    <w:rsid w:val="003B705E"/>
    <w:rsid w:val="003C19AC"/>
    <w:rsid w:val="003C2323"/>
    <w:rsid w:val="003E378C"/>
    <w:rsid w:val="003F1DB8"/>
    <w:rsid w:val="003F4CA3"/>
    <w:rsid w:val="0043585C"/>
    <w:rsid w:val="00437263"/>
    <w:rsid w:val="0044315A"/>
    <w:rsid w:val="004445E7"/>
    <w:rsid w:val="00453177"/>
    <w:rsid w:val="00464CFF"/>
    <w:rsid w:val="004762E8"/>
    <w:rsid w:val="004766CC"/>
    <w:rsid w:val="00481256"/>
    <w:rsid w:val="004854A5"/>
    <w:rsid w:val="004942B0"/>
    <w:rsid w:val="004A2E2D"/>
    <w:rsid w:val="004B1850"/>
    <w:rsid w:val="004C1F59"/>
    <w:rsid w:val="004D099A"/>
    <w:rsid w:val="00503AE0"/>
    <w:rsid w:val="00506ED2"/>
    <w:rsid w:val="00596924"/>
    <w:rsid w:val="005A1D83"/>
    <w:rsid w:val="005C3C30"/>
    <w:rsid w:val="005C4C4E"/>
    <w:rsid w:val="005E121F"/>
    <w:rsid w:val="005E1B90"/>
    <w:rsid w:val="005E2C1A"/>
    <w:rsid w:val="005E592A"/>
    <w:rsid w:val="00623AB3"/>
    <w:rsid w:val="00643D4F"/>
    <w:rsid w:val="0065767B"/>
    <w:rsid w:val="00661464"/>
    <w:rsid w:val="00667CF9"/>
    <w:rsid w:val="00672F6D"/>
    <w:rsid w:val="00685713"/>
    <w:rsid w:val="00691D53"/>
    <w:rsid w:val="00691D59"/>
    <w:rsid w:val="00693EAE"/>
    <w:rsid w:val="006B324C"/>
    <w:rsid w:val="006C179B"/>
    <w:rsid w:val="006D36BF"/>
    <w:rsid w:val="006D3E12"/>
    <w:rsid w:val="006D64F8"/>
    <w:rsid w:val="006D6971"/>
    <w:rsid w:val="006E51CB"/>
    <w:rsid w:val="00734534"/>
    <w:rsid w:val="00735431"/>
    <w:rsid w:val="00741A26"/>
    <w:rsid w:val="007470D0"/>
    <w:rsid w:val="00750A3E"/>
    <w:rsid w:val="00755099"/>
    <w:rsid w:val="007733D7"/>
    <w:rsid w:val="00787BE8"/>
    <w:rsid w:val="00787DC3"/>
    <w:rsid w:val="00796558"/>
    <w:rsid w:val="00796C70"/>
    <w:rsid w:val="007A6033"/>
    <w:rsid w:val="007B1DAA"/>
    <w:rsid w:val="007B6D6A"/>
    <w:rsid w:val="007C0D41"/>
    <w:rsid w:val="007C712A"/>
    <w:rsid w:val="007F33CE"/>
    <w:rsid w:val="00806DA4"/>
    <w:rsid w:val="008227C2"/>
    <w:rsid w:val="008317F1"/>
    <w:rsid w:val="008507A3"/>
    <w:rsid w:val="008721E8"/>
    <w:rsid w:val="00882AF9"/>
    <w:rsid w:val="008879E2"/>
    <w:rsid w:val="008B6012"/>
    <w:rsid w:val="008C3271"/>
    <w:rsid w:val="008C634D"/>
    <w:rsid w:val="008E6766"/>
    <w:rsid w:val="008E7D68"/>
    <w:rsid w:val="009009F4"/>
    <w:rsid w:val="0091167C"/>
    <w:rsid w:val="009176FA"/>
    <w:rsid w:val="00937375"/>
    <w:rsid w:val="009503F0"/>
    <w:rsid w:val="00986C68"/>
    <w:rsid w:val="009A6817"/>
    <w:rsid w:val="009A7C60"/>
    <w:rsid w:val="009B4858"/>
    <w:rsid w:val="009C13A5"/>
    <w:rsid w:val="009C3624"/>
    <w:rsid w:val="00A0022B"/>
    <w:rsid w:val="00A014AE"/>
    <w:rsid w:val="00A055C0"/>
    <w:rsid w:val="00A110CC"/>
    <w:rsid w:val="00A303A1"/>
    <w:rsid w:val="00A73BAC"/>
    <w:rsid w:val="00AB5537"/>
    <w:rsid w:val="00AF7CEE"/>
    <w:rsid w:val="00B06C5E"/>
    <w:rsid w:val="00B176B3"/>
    <w:rsid w:val="00B25D14"/>
    <w:rsid w:val="00B5397A"/>
    <w:rsid w:val="00B64228"/>
    <w:rsid w:val="00B70D92"/>
    <w:rsid w:val="00B74009"/>
    <w:rsid w:val="00B8477A"/>
    <w:rsid w:val="00B92C5E"/>
    <w:rsid w:val="00BA744B"/>
    <w:rsid w:val="00BB0DBF"/>
    <w:rsid w:val="00BD2DDD"/>
    <w:rsid w:val="00BF4213"/>
    <w:rsid w:val="00C003FE"/>
    <w:rsid w:val="00C27177"/>
    <w:rsid w:val="00C472E1"/>
    <w:rsid w:val="00C512CB"/>
    <w:rsid w:val="00C5730B"/>
    <w:rsid w:val="00C641D7"/>
    <w:rsid w:val="00C74D89"/>
    <w:rsid w:val="00C756BE"/>
    <w:rsid w:val="00C83A31"/>
    <w:rsid w:val="00C866E8"/>
    <w:rsid w:val="00CD243E"/>
    <w:rsid w:val="00CF04ED"/>
    <w:rsid w:val="00CF7849"/>
    <w:rsid w:val="00D06D4D"/>
    <w:rsid w:val="00D13808"/>
    <w:rsid w:val="00D147F8"/>
    <w:rsid w:val="00D22B2D"/>
    <w:rsid w:val="00D309E5"/>
    <w:rsid w:val="00D56612"/>
    <w:rsid w:val="00D70ED5"/>
    <w:rsid w:val="00DA72BC"/>
    <w:rsid w:val="00DC7E88"/>
    <w:rsid w:val="00DD595C"/>
    <w:rsid w:val="00DE068D"/>
    <w:rsid w:val="00E13E86"/>
    <w:rsid w:val="00E216FB"/>
    <w:rsid w:val="00E25A35"/>
    <w:rsid w:val="00E53C01"/>
    <w:rsid w:val="00E71B35"/>
    <w:rsid w:val="00E751F2"/>
    <w:rsid w:val="00E82BC1"/>
    <w:rsid w:val="00EC3C53"/>
    <w:rsid w:val="00EC78B7"/>
    <w:rsid w:val="00EC7988"/>
    <w:rsid w:val="00EF0724"/>
    <w:rsid w:val="00EF4BD8"/>
    <w:rsid w:val="00EF5862"/>
    <w:rsid w:val="00EF5C51"/>
    <w:rsid w:val="00F079A2"/>
    <w:rsid w:val="00F1260D"/>
    <w:rsid w:val="00F3574B"/>
    <w:rsid w:val="00F40EB1"/>
    <w:rsid w:val="00F9601A"/>
    <w:rsid w:val="00FA03D2"/>
    <w:rsid w:val="00FA60C4"/>
    <w:rsid w:val="00FC2F59"/>
    <w:rsid w:val="00FF72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D89"/>
    <w:pPr>
      <w:ind w:left="720"/>
      <w:contextualSpacing/>
    </w:pPr>
  </w:style>
  <w:style w:type="paragraph" w:styleId="FootnoteText">
    <w:name w:val="footnote text"/>
    <w:basedOn w:val="Normal"/>
    <w:link w:val="FootnoteTextChar"/>
    <w:uiPriority w:val="99"/>
    <w:semiHidden/>
    <w:unhideWhenUsed/>
    <w:rsid w:val="00105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08D"/>
    <w:rPr>
      <w:sz w:val="20"/>
      <w:szCs w:val="20"/>
    </w:rPr>
  </w:style>
  <w:style w:type="character" w:styleId="FootnoteReference">
    <w:name w:val="footnote reference"/>
    <w:basedOn w:val="DefaultParagraphFont"/>
    <w:uiPriority w:val="99"/>
    <w:semiHidden/>
    <w:unhideWhenUsed/>
    <w:rsid w:val="0010508D"/>
    <w:rPr>
      <w:vertAlign w:val="superscript"/>
    </w:rPr>
  </w:style>
  <w:style w:type="paragraph" w:styleId="Header">
    <w:name w:val="header"/>
    <w:basedOn w:val="Normal"/>
    <w:link w:val="HeaderChar"/>
    <w:uiPriority w:val="99"/>
    <w:unhideWhenUsed/>
    <w:rsid w:val="002D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6CC"/>
  </w:style>
  <w:style w:type="paragraph" w:styleId="Footer">
    <w:name w:val="footer"/>
    <w:basedOn w:val="Normal"/>
    <w:link w:val="FooterChar"/>
    <w:uiPriority w:val="99"/>
    <w:unhideWhenUsed/>
    <w:rsid w:val="002D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6CC"/>
  </w:style>
  <w:style w:type="paragraph" w:styleId="BalloonText">
    <w:name w:val="Balloon Text"/>
    <w:basedOn w:val="Normal"/>
    <w:link w:val="BalloonTextChar"/>
    <w:uiPriority w:val="99"/>
    <w:semiHidden/>
    <w:unhideWhenUsed/>
    <w:rsid w:val="002D5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D89"/>
    <w:pPr>
      <w:ind w:left="720"/>
      <w:contextualSpacing/>
    </w:pPr>
  </w:style>
  <w:style w:type="paragraph" w:styleId="FootnoteText">
    <w:name w:val="footnote text"/>
    <w:basedOn w:val="Normal"/>
    <w:link w:val="FootnoteTextChar"/>
    <w:uiPriority w:val="99"/>
    <w:semiHidden/>
    <w:unhideWhenUsed/>
    <w:rsid w:val="00105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08D"/>
    <w:rPr>
      <w:sz w:val="20"/>
      <w:szCs w:val="20"/>
    </w:rPr>
  </w:style>
  <w:style w:type="character" w:styleId="FootnoteReference">
    <w:name w:val="footnote reference"/>
    <w:basedOn w:val="DefaultParagraphFont"/>
    <w:uiPriority w:val="99"/>
    <w:semiHidden/>
    <w:unhideWhenUsed/>
    <w:rsid w:val="0010508D"/>
    <w:rPr>
      <w:vertAlign w:val="superscript"/>
    </w:rPr>
  </w:style>
  <w:style w:type="paragraph" w:styleId="Header">
    <w:name w:val="header"/>
    <w:basedOn w:val="Normal"/>
    <w:link w:val="HeaderChar"/>
    <w:uiPriority w:val="99"/>
    <w:unhideWhenUsed/>
    <w:rsid w:val="002D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6CC"/>
  </w:style>
  <w:style w:type="paragraph" w:styleId="Footer">
    <w:name w:val="footer"/>
    <w:basedOn w:val="Normal"/>
    <w:link w:val="FooterChar"/>
    <w:uiPriority w:val="99"/>
    <w:unhideWhenUsed/>
    <w:rsid w:val="002D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6CC"/>
  </w:style>
  <w:style w:type="paragraph" w:styleId="BalloonText">
    <w:name w:val="Balloon Text"/>
    <w:basedOn w:val="Normal"/>
    <w:link w:val="BalloonTextChar"/>
    <w:uiPriority w:val="99"/>
    <w:semiHidden/>
    <w:unhideWhenUsed/>
    <w:rsid w:val="002D5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DE9B44C83D434BBEC2DCE648F822A3"/>
        <w:category>
          <w:name w:val="General"/>
          <w:gallery w:val="placeholder"/>
        </w:category>
        <w:types>
          <w:type w:val="bbPlcHdr"/>
        </w:types>
        <w:behaviors>
          <w:behavior w:val="content"/>
        </w:behaviors>
        <w:guid w:val="{F94C43E3-662D-4338-B194-872DB25C56AE}"/>
      </w:docPartPr>
      <w:docPartBody>
        <w:p w:rsidR="00BD450C" w:rsidRDefault="00C21763" w:rsidP="00C21763">
          <w:pPr>
            <w:pStyle w:val="37DE9B44C83D434BBEC2DCE648F822A3"/>
          </w:pPr>
          <w:r>
            <w:t>[Type the company name]</w:t>
          </w:r>
        </w:p>
      </w:docPartBody>
    </w:docPart>
    <w:docPart>
      <w:docPartPr>
        <w:name w:val="55D7F3E721B94A6A91D70E8BA4B27A7B"/>
        <w:category>
          <w:name w:val="General"/>
          <w:gallery w:val="placeholder"/>
        </w:category>
        <w:types>
          <w:type w:val="bbPlcHdr"/>
        </w:types>
        <w:behaviors>
          <w:behavior w:val="content"/>
        </w:behaviors>
        <w:guid w:val="{004AA758-0B49-4143-B2EF-2D73339F0B9D}"/>
      </w:docPartPr>
      <w:docPartBody>
        <w:p w:rsidR="00BD450C" w:rsidRDefault="00C21763" w:rsidP="00C21763">
          <w:pPr>
            <w:pStyle w:val="55D7F3E721B94A6A91D70E8BA4B27A7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B301E"/>
    <w:rsid w:val="00062D6F"/>
    <w:rsid w:val="000648F9"/>
    <w:rsid w:val="00067116"/>
    <w:rsid w:val="002E076A"/>
    <w:rsid w:val="00301205"/>
    <w:rsid w:val="003B08B7"/>
    <w:rsid w:val="004F4110"/>
    <w:rsid w:val="00720C39"/>
    <w:rsid w:val="007B301E"/>
    <w:rsid w:val="007F5CA9"/>
    <w:rsid w:val="008204CB"/>
    <w:rsid w:val="009205C7"/>
    <w:rsid w:val="00AF3DE3"/>
    <w:rsid w:val="00BD450C"/>
    <w:rsid w:val="00C21763"/>
    <w:rsid w:val="00E8628C"/>
    <w:rsid w:val="00F96BC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927D48139408B973D1053AE120A3F">
    <w:name w:val="7D1927D48139408B973D1053AE120A3F"/>
    <w:rsid w:val="007B301E"/>
  </w:style>
  <w:style w:type="paragraph" w:customStyle="1" w:styleId="CB32A2D3AA2247989509D5EEC6B60590">
    <w:name w:val="CB32A2D3AA2247989509D5EEC6B60590"/>
    <w:rsid w:val="007B301E"/>
  </w:style>
  <w:style w:type="paragraph" w:customStyle="1" w:styleId="37DE9B44C83D434BBEC2DCE648F822A3">
    <w:name w:val="37DE9B44C83D434BBEC2DCE648F822A3"/>
    <w:rsid w:val="00C21763"/>
  </w:style>
  <w:style w:type="paragraph" w:customStyle="1" w:styleId="55D7F3E721B94A6A91D70E8BA4B27A7B">
    <w:name w:val="55D7F3E721B94A6A91D70E8BA4B27A7B"/>
    <w:rsid w:val="00C217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4E94A-44C6-4FCA-8D30-1A7AC26D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Civil Appeal No SC 119/13</vt:lpstr>
    </vt:vector>
  </TitlesOfParts>
  <Company>Judgment No SC 12/2015</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119/13</dc:title>
  <dc:creator>Vernanda</dc:creator>
  <cp:lastModifiedBy>judge</cp:lastModifiedBy>
  <cp:revision>12</cp:revision>
  <cp:lastPrinted>2015-04-01T12:13:00Z</cp:lastPrinted>
  <dcterms:created xsi:type="dcterms:W3CDTF">2015-03-04T13:50:00Z</dcterms:created>
  <dcterms:modified xsi:type="dcterms:W3CDTF">2015-04-01T12:15:00Z</dcterms:modified>
</cp:coreProperties>
</file>